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1"/>
        <w:tblW w:w="27639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03"/>
        <w:gridCol w:w="2640"/>
        <w:gridCol w:w="1134"/>
        <w:gridCol w:w="3118"/>
        <w:gridCol w:w="2922"/>
        <w:gridCol w:w="1132"/>
        <w:gridCol w:w="2823"/>
        <w:gridCol w:w="903"/>
        <w:gridCol w:w="1716"/>
        <w:gridCol w:w="1701"/>
        <w:gridCol w:w="1701"/>
        <w:gridCol w:w="1276"/>
        <w:gridCol w:w="1731"/>
        <w:gridCol w:w="3940"/>
      </w:tblGrid>
      <w:tr>
        <w:tblPrEx/>
        <w:trPr>
          <w:trHeight w:val="344" w:hRule="exact"/>
        </w:trPr>
        <w:tc>
          <w:tcPr>
            <w:gridSpan w:val="8"/>
            <w:shd w:val="clear" w:color="auto" w:fill="auto"/>
            <w:tcW w:w="15575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  <w:t xml:space="preserve">ОПИСАНИЕ ОБЪЕКТА ЗАКУПКИ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</w:tc>
        <w:tc>
          <w:tcPr>
            <w:gridSpan w:val="6"/>
            <w:tcW w:w="12064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44" w:hRule="exact"/>
        </w:trPr>
        <w:tc>
          <w:tcPr>
            <w:gridSpan w:val="8"/>
            <w:shd w:val="clear" w:color="auto" w:fill="auto"/>
            <w:tcBorders>
              <w:bottom w:val="single" w:color="000000" w:sz="5" w:space="0"/>
            </w:tcBorders>
            <w:tcW w:w="15575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  <w:t xml:space="preserve">1. Наименование объекта закупки с указанием количества товара, объема работ, услуг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</w:tc>
        <w:tc>
          <w:tcPr>
            <w:gridSpan w:val="6"/>
            <w:tcBorders>
              <w:bottom w:val="single" w:color="000000" w:sz="5" w:space="0"/>
            </w:tcBorders>
            <w:tcW w:w="12064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44" w:hRule="exact"/>
        </w:trPr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903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Тип объекта закупки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640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Наименование товара, работы, услуги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Код позиции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2614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Характеристики товара, работы, услуги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r>
          </w:p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(объем работы, услуги)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Цена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r>
          </w:p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 за единицу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31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Стоимость позиции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3940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Товарный знак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</w:p>
        </w:tc>
      </w:tr>
      <w:tr>
        <w:tblPrEx/>
        <w:trPr>
          <w:trHeight w:val="917" w:hRule="exact"/>
        </w:trPr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90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64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3118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Наименование характеристики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922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Значение характеристики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132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Единица измерения характеристики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823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Инструкция по заполнению характеристик в заявке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619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Обоснование включения дополнительной информации в сведения о товаре, работе, услуге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27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3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3940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352" w:hRule="exact"/>
        </w:trPr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903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услуга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640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highlight w:val="white"/>
              </w:rPr>
              <w:t xml:space="preserve">Сертификат активации сервиса совместной технической поддержки ПО ViPNet Administrator 4.x (КС2) уровень - Расширенный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62.02.30.000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3118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highlight w:val="none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9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highlight w:val="none"/>
              </w:rPr>
              <w:t xml:space="preserve">согласно с прикрепленным файлом "Техническое задание"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132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823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619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штука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16"/>
                <w:u w:val="none"/>
                <w:vertAlign w:val="baseline"/>
              </w:rPr>
              <w:t xml:space="preserve">29 612,50</w:t>
            </w:r>
            <w:r>
              <w:rPr>
                <w:sz w:val="2"/>
                <w:szCs w:val="16"/>
              </w:rPr>
            </w:r>
            <w:r>
              <w:rPr>
                <w:sz w:val="2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31" w:type="dxa"/>
            <w:textDirection w:val="lrTb"/>
            <w:noWrap w:val="false"/>
          </w:tcPr>
          <w:p>
            <w:pPr>
              <w:jc w:val="center"/>
              <w:rPr>
                <w:sz w:val="2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16"/>
                <w:u w:val="none"/>
              </w:rPr>
              <w:t xml:space="preserve">29 612,50</w:t>
            </w:r>
            <w:r>
              <w:rPr>
                <w:sz w:val="2"/>
                <w:szCs w:val="16"/>
              </w:rPr>
            </w:r>
            <w:r>
              <w:rPr>
                <w:sz w:val="2"/>
                <w:szCs w:val="16"/>
              </w:rPr>
            </w:r>
          </w:p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r>
          </w:p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r>
          </w:p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r>
          </w:p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r>
          </w:p>
        </w:tc>
        <w:tc>
          <w:tcPr>
            <w:shd w:val="clear" w:color="auto" w:fill="auto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3940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546" w:hRule="exact"/>
        </w:trPr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903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услуга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640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Сертификат активации сервиса совместной технической поддержки ПО ViPNet Client for Windows 4.x (КС2)  уровень - Расширенный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134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62.02.30.000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highlight w:val="none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highlight w:val="yellow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92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highlight w:val="none"/>
              </w:rPr>
              <w:t xml:space="preserve">согласно с прикрепленным файлом "Техническое задание"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132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823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619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2,00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штука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16"/>
                <w:u w:val="none"/>
                <w:vertAlign w:val="baseline"/>
              </w:rPr>
              <w:t xml:space="preserve">2 965,00</w:t>
            </w:r>
            <w:r>
              <w:rPr>
                <w:sz w:val="2"/>
                <w:szCs w:val="16"/>
              </w:rPr>
            </w:r>
            <w:r>
              <w:rPr>
                <w:sz w:val="2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31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  <w:t xml:space="preserve">5 930,00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r>
          </w:p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r>
          </w:p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3940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572" w:hRule="exact"/>
        </w:trPr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903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услуга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640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Сертификат активации сервиса совместной технической поддержки ПО ViPNet Client 4U for Linux (KC2) уровень - Расширенный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134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62.02.30.000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highlight w:val="none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highlight w:val="yellow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92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highlight w:val="none"/>
              </w:rPr>
              <w:t xml:space="preserve">согласно с прикрепленным файлом "Техническое задание"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132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823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619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штука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16"/>
                <w:u w:val="none"/>
                <w:vertAlign w:val="baseline"/>
              </w:rPr>
              <w:t xml:space="preserve">2 472,50</w:t>
            </w:r>
            <w:r>
              <w:rPr>
                <w:sz w:val="2"/>
                <w:szCs w:val="16"/>
              </w:rPr>
            </w:r>
            <w:r>
              <w:rPr>
                <w:sz w:val="2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3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16"/>
                <w:u w:val="none"/>
              </w:rPr>
              <w:t xml:space="preserve">2 472,50</w:t>
            </w:r>
            <w:r>
              <w:rPr>
                <w:sz w:val="2"/>
                <w:szCs w:val="16"/>
              </w:rPr>
            </w:r>
            <w:r>
              <w:rPr>
                <w:sz w:val="2"/>
                <w:szCs w:val="16"/>
              </w:rPr>
            </w:r>
            <w:r>
              <w:rPr>
                <w:sz w:val="2"/>
                <w:szCs w:val="16"/>
              </w:rPr>
            </w:r>
            <w:r>
              <w:rPr>
                <w:sz w:val="2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3940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559" w:hRule="exact"/>
        </w:trPr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903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услуга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640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Сертификат активации сервиса совместной технической поддержки ПАК ViPNet Coordinator HW100 C 4.x (+unlim)  уровень - Расширенный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134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62.02.30.000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highlight w:val="none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highlight w:val="yellow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92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highlight w:val="none"/>
              </w:rPr>
              <w:t xml:space="preserve">согласно с прикрепленным файлом "Техническое задание"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132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823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619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7,00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штука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16"/>
                <w:u w:val="none"/>
                <w:vertAlign w:val="baseline"/>
              </w:rPr>
              <w:t xml:space="preserve">71 680,00</w:t>
            </w:r>
            <w:r>
              <w:rPr>
                <w:sz w:val="2"/>
                <w:szCs w:val="16"/>
              </w:rPr>
            </w:r>
            <w:r>
              <w:rPr>
                <w:sz w:val="2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31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  <w:t xml:space="preserve">501 760,00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3940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559" w:hRule="exact"/>
        </w:trPr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903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услуга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640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Сертификат активации сервиса совместной технической поддержки ПАК ViPNet Coordinator HW1000 4.x уровень - Расширенный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134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62.02.30.000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highlight w:val="none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highlight w:val="yellow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92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highlight w:val="none"/>
              </w:rPr>
              <w:t xml:space="preserve">согласно с прикрепленным файлом "Техническое задание"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132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823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2619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  <w:t xml:space="preserve">штука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16"/>
                <w:u w:val="none"/>
                <w:vertAlign w:val="baseline"/>
              </w:rPr>
              <w:t xml:space="preserve">154 750,00</w:t>
            </w:r>
            <w:r>
              <w:rPr>
                <w:sz w:val="2"/>
                <w:szCs w:val="16"/>
              </w:rPr>
            </w:r>
            <w:r>
              <w:rPr>
                <w:sz w:val="2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173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16"/>
                <w:u w:val="none"/>
              </w:rPr>
              <w:t xml:space="preserve">154 750,00</w:t>
            </w:r>
            <w:r>
              <w:rPr>
                <w:sz w:val="2"/>
                <w:szCs w:val="16"/>
              </w:rPr>
            </w:r>
            <w:r>
              <w:rPr>
                <w:sz w:val="2"/>
                <w:szCs w:val="16"/>
              </w:rPr>
            </w:r>
          </w:p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r>
          </w:p>
          <w:p>
            <w:pPr>
              <w:jc w:val="center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2"/>
                <w:szCs w:val="12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3940" w:type="dxa"/>
            <w:vMerge w:val="restart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28913" w:h="17008" w:orient="landscape"/>
          <w:pgMar w:top="567" w:right="567" w:bottom="517" w:left="567" w:header="567" w:footer="517" w:gutter="0"/>
          <w:cols w:num="1" w:sep="0" w:space="1701" w:equalWidth="1"/>
          <w:docGrid w:linePitch="360"/>
        </w:sectPr>
      </w:pPr>
      <w:r/>
      <w:r/>
    </w:p>
    <w:tbl>
      <w:tblPr>
        <w:tblStyle w:val="841"/>
        <w:tblW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256"/>
      </w:tblGrid>
      <w:tr>
        <w:tblPrEx/>
        <w:trPr>
          <w:trHeight w:val="9638" w:hRule="exact"/>
        </w:trPr>
        <w:tc>
          <w:tcPr>
            <w:shd w:val="clear" w:color="auto" w:fill="auto"/>
            <w:tcW w:w="9256" w:type="dxa"/>
            <w:vMerge w:val="restart"/>
            <w:textDirection w:val="lrTb"/>
            <w:noWrap w:val="false"/>
          </w:tcPr>
          <w:p>
            <w:pPr>
              <w:jc w:val="both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ab/>
              <w:t xml:space="preserve">2. Гарантийные обязательства поставщика (подрядчика, исполнителя): Не установлено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  <w:p>
            <w:pPr>
              <w:jc w:val="both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ab/>
              <w:t xml:space="preserve">3. Требования к гарантии качества товара, работы, услуги: не установлено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  <w:p>
            <w:pPr>
              <w:jc w:val="both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ab/>
              <w:t xml:space="preserve">4. Требования к гарантийному сроку товара, работы, услуги: не установлено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  <w:p>
            <w:pPr>
              <w:jc w:val="both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ab/>
              <w:t xml:space="preserve">5. Требования к объему предоставления гарантий качества товара, работы, услуги: не установлено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  <w:p>
            <w:pPr>
              <w:jc w:val="both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ab/>
              <w:t xml:space="preserve">6. Требования к гарантийному обслуживанию товара: не установлено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  <w:p>
            <w:pPr>
              <w:jc w:val="both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ab/>
              <w:t xml:space="preserve">7. Требования к предоставлению гарантии производителя и (или) поставщика товара: не установлено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  <w:p>
            <w:pPr>
              <w:jc w:val="both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ab/>
              <w:t xml:space="preserve">8. Требования к расходам на эксплуатацию товара: не установлено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  <w:p>
            <w:pPr>
              <w:jc w:val="both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ab/>
              <w:t xml:space="preserve">9. Требования к обязательности осуществления монтажа и наладки товара: не установлено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  <w:p>
            <w:pPr>
              <w:jc w:val="both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ab/>
              <w:t xml:space="preserve">9.1. Требования к обучению лиц, осуществляющих использование и обслуживание товара: не установлено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  <w:p>
            <w:pPr>
              <w:jc w:val="both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ab/>
              <w:t xml:space="preserve">10. Функциональные, технические и качественные характеристики товара, работы, услуги, эксплуатационные характеристики товара, работы, услуги (при необходимости).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  <w:p>
            <w:pPr>
              <w:jc w:val="both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ab/>
              <w:t xml:space="preserve">10.1. Используемые для определения соответствия потребностям заказчика или эквивалентности предлагаемых к выполнению работ, оказанию услуг макси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мальные и (или) минимальные значения показателей (характеристик) работ, услуг и показатели (характеристики), значения которых не могут изменяться: указаны в извещении об осуществлении закупки в разделе «Объект закупки», таблице пункта 1 данного документа.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  <w:p>
            <w:pPr>
              <w:jc w:val="both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  <w:p>
            <w:pPr>
              <w:jc w:val="both"/>
              <w:spacing w:line="229" w:lineRule="auto"/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8"/>
              </w:rPr>
            </w:r>
          </w:p>
          <w:p>
            <w:r/>
            <w:r/>
          </w:p>
        </w:tc>
      </w:tr>
      <w:tr>
        <w:tblPrEx/>
        <w:trPr>
          <w:trHeight w:val="1134" w:hRule="exact"/>
        </w:trPr>
        <w:tc>
          <w:tcPr>
            <w:tcW w:w="9256" w:type="dxa"/>
            <w:textDirection w:val="lrTb"/>
            <w:noWrap w:val="false"/>
          </w:tcPr>
          <w:p>
            <w:r/>
            <w:r/>
          </w:p>
        </w:tc>
      </w:tr>
    </w:tbl>
    <w:sectPr>
      <w:footnotePr/>
      <w:endnotePr/>
      <w:type w:val="nextPage"/>
      <w:pgSz w:w="11906" w:h="16838" w:orient="portrait"/>
      <w:pgMar w:top="1134" w:right="850" w:bottom="1084" w:left="1701" w:header="1134" w:footer="1084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7">
    <w:name w:val="Caption Char"/>
    <w:basedOn w:val="840"/>
    <w:link w:val="828"/>
    <w:uiPriority w:val="35"/>
    <w:rPr>
      <w:b/>
      <w:bCs/>
      <w:color w:val="4f81bd" w:themeColor="accent1"/>
      <w:sz w:val="18"/>
      <w:szCs w:val="18"/>
    </w:rPr>
  </w:style>
  <w:style w:type="paragraph" w:styleId="654">
    <w:name w:val="toc 1"/>
    <w:basedOn w:val="839"/>
    <w:next w:val="839"/>
    <w:uiPriority w:val="39"/>
    <w:unhideWhenUsed/>
    <w:pPr>
      <w:spacing w:after="100"/>
    </w:pPr>
  </w:style>
  <w:style w:type="paragraph" w:styleId="655">
    <w:name w:val="toc 2"/>
    <w:basedOn w:val="839"/>
    <w:next w:val="839"/>
    <w:uiPriority w:val="39"/>
    <w:unhideWhenUsed/>
    <w:pPr>
      <w:ind w:left="220"/>
      <w:spacing w:after="100"/>
    </w:pPr>
  </w:style>
  <w:style w:type="paragraph" w:styleId="656">
    <w:name w:val="toc 3"/>
    <w:basedOn w:val="839"/>
    <w:next w:val="839"/>
    <w:uiPriority w:val="39"/>
    <w:unhideWhenUsed/>
    <w:pPr>
      <w:ind w:left="440"/>
      <w:spacing w:after="100"/>
    </w:pPr>
  </w:style>
  <w:style w:type="paragraph" w:styleId="657">
    <w:name w:val="toc 4"/>
    <w:basedOn w:val="839"/>
    <w:next w:val="839"/>
    <w:uiPriority w:val="39"/>
    <w:unhideWhenUsed/>
    <w:pPr>
      <w:ind w:left="660"/>
      <w:spacing w:after="100"/>
    </w:pPr>
  </w:style>
  <w:style w:type="paragraph" w:styleId="658">
    <w:name w:val="toc 5"/>
    <w:basedOn w:val="839"/>
    <w:next w:val="839"/>
    <w:uiPriority w:val="39"/>
    <w:unhideWhenUsed/>
    <w:pPr>
      <w:ind w:left="880"/>
      <w:spacing w:after="100"/>
    </w:pPr>
  </w:style>
  <w:style w:type="paragraph" w:styleId="659">
    <w:name w:val="toc 6"/>
    <w:basedOn w:val="839"/>
    <w:next w:val="839"/>
    <w:uiPriority w:val="39"/>
    <w:unhideWhenUsed/>
    <w:pPr>
      <w:ind w:left="1100"/>
      <w:spacing w:after="100"/>
    </w:pPr>
  </w:style>
  <w:style w:type="paragraph" w:styleId="660">
    <w:name w:val="toc 7"/>
    <w:basedOn w:val="839"/>
    <w:next w:val="839"/>
    <w:uiPriority w:val="39"/>
    <w:unhideWhenUsed/>
    <w:pPr>
      <w:ind w:left="1320"/>
      <w:spacing w:after="100"/>
    </w:pPr>
  </w:style>
  <w:style w:type="paragraph" w:styleId="661">
    <w:name w:val="toc 8"/>
    <w:basedOn w:val="839"/>
    <w:next w:val="839"/>
    <w:uiPriority w:val="39"/>
    <w:unhideWhenUsed/>
    <w:pPr>
      <w:ind w:left="1540"/>
      <w:spacing w:after="100"/>
    </w:pPr>
  </w:style>
  <w:style w:type="paragraph" w:styleId="662">
    <w:name w:val="toc 9"/>
    <w:basedOn w:val="839"/>
    <w:next w:val="839"/>
    <w:uiPriority w:val="39"/>
    <w:unhideWhenUsed/>
    <w:pPr>
      <w:ind w:left="1760"/>
      <w:spacing w:after="100"/>
    </w:pPr>
  </w:style>
  <w:style w:type="table" w:styleId="663">
    <w:name w:val="Table Grid"/>
    <w:basedOn w:val="8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4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5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6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7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8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9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0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1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be5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be5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2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3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4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5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6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7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98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99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blStylePr w:type="band1Horz">
      <w:tcPr>
        <w:shd w:val="clear" w:color="ffffff" w:themeColor="accent1" w:themeTint="75" w:fill="aec5e1" w:themeFill="accent1" w:themeFillTint="75"/>
      </w:tcPr>
    </w:tblStylePr>
    <w:tblStylePr w:type="band1Vert">
      <w:tcPr>
        <w:shd w:val="clear" w:color="ffffff" w:themeColor="accent1" w:themeTint="75" w:fill="aec5e1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0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blStylePr w:type="band1Horz">
      <w:tcPr>
        <w:shd w:val="clear" w:color="ffffff" w:themeColor="accent2" w:themeTint="75" w:fill="e2afad" w:themeFill="accent2" w:themeFillTint="75"/>
      </w:tcPr>
    </w:tblStylePr>
    <w:tblStylePr w:type="band1Vert">
      <w:tcPr>
        <w:shd w:val="clear" w:color="ffffff" w:themeColor="accent2" w:themeTint="75" w:fill="e2af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1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blStylePr w:type="band1Horz">
      <w:tcPr>
        <w:shd w:val="clear" w:color="ffffff" w:themeColor="accent3" w:themeTint="75" w:fill="d1e0b3" w:themeFill="accent3" w:themeFillTint="75"/>
      </w:tcPr>
    </w:tblStylePr>
    <w:tblStylePr w:type="band1Vert">
      <w:tcPr>
        <w:shd w:val="clear" w:color="ffffff" w:themeColor="accent3" w:themeTint="75" w:fill="d1e0b3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2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5b8d4" w:themeFill="accent4" w:themeFillTint="75"/>
      </w:tcPr>
    </w:tblStylePr>
    <w:tblStylePr w:type="band1Vert">
      <w:tcPr>
        <w:shd w:val="clear" w:color="ffffff" w:themeColor="accent4" w:themeTint="75" w:fill="c5b8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cd9e5" w:themeFill="accent5" w:themeFillTint="75"/>
      </w:tcPr>
    </w:tblStylePr>
    <w:tblStylePr w:type="band1Vert">
      <w:tcPr>
        <w:shd w:val="clear" w:color="ffffff" w:themeColor="accent5" w:themeTint="75" w:fill="acd9e5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blStylePr w:type="band1Horz">
      <w:tcPr>
        <w:shd w:val="clear" w:color="ffffff" w:themeColor="accent6" w:themeTint="75" w:fill="fbcfaa" w:themeFill="accent6" w:themeFillTint="75"/>
      </w:tcPr>
    </w:tblStylePr>
    <w:tblStylePr w:type="band1Vert">
      <w:tcPr>
        <w:shd w:val="clear" w:color="ffffff" w:themeColor="accent6" w:themeTint="75" w:fill="fbcf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5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6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be5f2" w:themeFill="accent1" w:themeFillTint="34"/>
      </w:tcPr>
    </w:tblStylePr>
    <w:tblStylePr w:type="band1Vert">
      <w:tcPr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6da5" w:themeColor="accent1" w:themeTint="80" w:themeShade="95"/>
      </w:rPr>
    </w:tblStylePr>
    <w:tblStylePr w:type="firstRow">
      <w:rPr>
        <w:b/>
        <w:color w:val="3e6da5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</w:tblStylePr>
    <w:tblStylePr w:type="lastRow">
      <w:rPr>
        <w:b/>
        <w:color w:val="3e6da5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07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3dddc" w:themeFill="accent2" w:themeFillTint="32"/>
      </w:tcPr>
    </w:tblStylePr>
    <w:tblStylePr w:type="band1Vert">
      <w:tcPr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f3a38" w:themeColor="accent2" w:themeTint="97" w:themeShade="95"/>
      </w:rPr>
    </w:tblStylePr>
    <w:tblStylePr w:type="firstRow">
      <w:rPr>
        <w:b/>
        <w:color w:val="9f3a38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</w:tblStylePr>
    <w:tblStylePr w:type="lastRow">
      <w:rPr>
        <w:b/>
        <w:color w:val="9f3a38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08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bf1dd" w:themeFill="accent3" w:themeFillTint="34"/>
      </w:tcPr>
    </w:tblStylePr>
    <w:tblStylePr w:type="band1Vert">
      <w:tcPr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32f" w:themeColor="accent3" w:themeTint="FE" w:themeShade="95"/>
      </w:rPr>
    </w:tblStylePr>
    <w:tblStylePr w:type="firstRow">
      <w:rPr>
        <w:b/>
        <w:color w:val="5c73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</w:tblStylePr>
    <w:tblStylePr w:type="lastRow">
      <w:rPr>
        <w:b/>
        <w:color w:val="5c73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09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4" w:themeColor="accent4" w:themeTint="9A" w:themeShade="95"/>
      </w:rPr>
    </w:tblStylePr>
    <w:tblStylePr w:type="firstRow">
      <w:rPr>
        <w:b/>
        <w:color w:val="664f84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</w:tblStylePr>
    <w:tblStylePr w:type="lastRow">
      <w:rPr>
        <w:b/>
        <w:color w:val="664f84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0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879" w:themeColor="accent5" w:themeShade="95"/>
      </w:rPr>
    </w:tblStylePr>
    <w:tblStylePr w:type="firstRow">
      <w:rPr>
        <w:b/>
        <w:color w:val="266879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</w:tblStylePr>
    <w:tblStylePr w:type="lastRow">
      <w:rPr>
        <w:b/>
        <w:color w:val="266879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1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ad9" w:themeFill="accent6" w:themeFillTint="34"/>
      </w:tcPr>
    </w:tblStylePr>
    <w:tblStylePr w:type="band1Vert">
      <w:tcPr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879" w:themeColor="accent5" w:themeShade="95"/>
      </w:rPr>
    </w:tblStylePr>
    <w:tblStylePr w:type="firstRow">
      <w:rPr>
        <w:b/>
        <w:color w:val="266879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</w:tblStylePr>
    <w:tblStylePr w:type="lastRow">
      <w:rPr>
        <w:b/>
        <w:color w:val="266879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2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6da5" w:themeColor="accent1" w:themeTint="80" w:themeShade="95"/>
        <w:sz w:val="22"/>
      </w:rPr>
      <w:tcPr>
        <w:shd w:val="clear" w:color="ffffff" w:themeColor="accent1" w:themeTint="34" w:fill="dbe5f2" w:themeFill="accent1" w:themeFillTint="34"/>
      </w:tcPr>
    </w:tblStylePr>
    <w:tblStylePr w:type="band1Vert">
      <w:tcPr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f3a38" w:themeColor="accent2" w:themeTint="97" w:themeShade="95"/>
        <w:sz w:val="22"/>
      </w:rPr>
      <w:tcPr>
        <w:shd w:val="clear" w:color="ffffff" w:themeColor="accent2" w:themeTint="32" w:fill="f3dddc" w:themeFill="accent2" w:themeFillTint="32"/>
      </w:tcPr>
    </w:tblStylePr>
    <w:tblStylePr w:type="band1Vert">
      <w:tcPr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32f" w:themeColor="accent3" w:themeTint="FE" w:themeShade="95"/>
        <w:sz w:val="22"/>
      </w:rPr>
      <w:tcPr>
        <w:shd w:val="clear" w:color="ffffff" w:themeColor="accent3" w:themeTint="34" w:fill="ebf1dd" w:themeFill="accent3" w:themeFillTint="34"/>
      </w:tcPr>
    </w:tblStylePr>
    <w:tblStylePr w:type="band1Vert">
      <w:tcPr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4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879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879" w:themeColor="accent5" w:themeShade="95"/>
        <w:sz w:val="22"/>
      </w:r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25408" w:themeColor="accent6" w:themeShade="95"/>
        <w:sz w:val="22"/>
      </w:rPr>
      <w:tcPr>
        <w:shd w:val="clear" w:color="ffffff" w:themeColor="accent6" w:themeTint="34" w:fill="fdead9" w:themeFill="accent6" w:themeFillTint="34"/>
      </w:tcPr>
    </w:tblStylePr>
    <w:tblStylePr w:type="band1Vert">
      <w:tcPr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b25408" w:themeColor="accent6" w:themeShade="95"/>
        <w:sz w:val="22"/>
      </w:r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dfee" w:themeFill="accent1" w:themeFillTint="40"/>
      </w:tcPr>
    </w:tblStylePr>
    <w:tblStylePr w:type="band1Vert">
      <w:tcPr>
        <w:shd w:val="clear" w:color="ffffff" w:themeColor="accent1" w:themeTint="40" w:fill="d3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8" w:themeFill="accent4" w:themeFillTint="40"/>
      </w:tcPr>
    </w:tblStylePr>
    <w:tblStylePr w:type="band1Vert">
      <w:tcPr>
        <w:shd w:val="clear" w:color="ffffff" w:themeColor="accent4" w:themeTint="40" w:fill="dfd8e8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2eaf1" w:themeFill="accent5" w:themeFillTint="40"/>
      </w:tcPr>
    </w:tblStylePr>
    <w:tblStylePr w:type="band1Vert">
      <w:tcPr>
        <w:shd w:val="clear" w:color="ffffff" w:themeColor="accent5" w:themeTint="40" w:fill="d2eaf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de5d1" w:themeFill="accent6" w:themeFillTint="40"/>
      </w:tcPr>
    </w:tblStylePr>
    <w:tblStylePr w:type="band1Vert">
      <w:tcPr>
        <w:shd w:val="clear" w:color="ffffff" w:themeColor="accent6" w:themeTint="40" w:fill="fde5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7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28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29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0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8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1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2eaf1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2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de5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3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c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2cddd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ac091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8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2eaf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de5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8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9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blStylePr w:type="band1Horz"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0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blStylePr w:type="band1Horz"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blStylePr w:type="band1Horz"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blStylePr w:type="band1Horz"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blStylePr w:type="band1Horz"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5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dfee" w:themeFill="accent1" w:themeFillTint="40"/>
      </w:tcPr>
    </w:tblStylePr>
    <w:tblStylePr w:type="band1Vert">
      <w:tcPr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b4b72" w:themeColor="accent1" w:themeShade="95"/>
      </w:rPr>
    </w:tblStylePr>
    <w:tblStylePr w:type="firstRow">
      <w:rPr>
        <w:b/>
        <w:color w:val="2b4b72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</w:tblStylePr>
    <w:tblStylePr w:type="lastRow">
      <w:rPr>
        <w:b/>
        <w:color w:val="2b4b72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6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f3a38" w:themeColor="accent2" w:themeTint="97" w:themeShade="95"/>
      </w:rPr>
    </w:tblStylePr>
    <w:tblStylePr w:type="firstRow">
      <w:rPr>
        <w:b/>
        <w:color w:val="9f3a38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</w:tblStylePr>
    <w:tblStylePr w:type="lastRow">
      <w:rPr>
        <w:b/>
        <w:color w:val="9f3a38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7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93f" w:themeColor="accent3" w:themeTint="98" w:themeShade="95"/>
      </w:rPr>
    </w:tblStylePr>
    <w:tblStylePr w:type="firstRow">
      <w:rPr>
        <w:b/>
        <w:color w:val="7c99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</w:tblStylePr>
    <w:tblStylePr w:type="lastRow">
      <w:rPr>
        <w:b/>
        <w:color w:val="7c99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58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8" w:themeFill="accent4" w:themeFillTint="40"/>
      </w:tcPr>
    </w:tblStylePr>
    <w:tblStylePr w:type="band1Vert">
      <w:tcPr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4" w:themeColor="accent4" w:themeTint="9A" w:themeShade="95"/>
      </w:rPr>
    </w:tblStylePr>
    <w:tblStylePr w:type="firstRow">
      <w:rPr>
        <w:b/>
        <w:color w:val="664f84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</w:tblStylePr>
    <w:tblStylePr w:type="lastRow">
      <w:rPr>
        <w:b/>
        <w:color w:val="664f84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59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2eaf1" w:themeFill="accent5" w:themeFillTint="40"/>
      </w:tcPr>
    </w:tblStylePr>
    <w:tblStylePr w:type="band1Vert">
      <w:tcPr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ba3" w:themeColor="accent5" w:themeTint="9A" w:themeShade="95"/>
      </w:rPr>
    </w:tblStylePr>
    <w:tblStylePr w:type="firstRow">
      <w:rPr>
        <w:b/>
        <w:color w:val="338ba3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</w:tblStylePr>
    <w:tblStylePr w:type="lastRow">
      <w:rPr>
        <w:b/>
        <w:color w:val="338ba3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0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de5d1" w:themeFill="accent6" w:themeFillTint="40"/>
      </w:tcPr>
    </w:tblStylePr>
    <w:tblStylePr w:type="band1Vert">
      <w:tcPr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d680a" w:themeColor="accent6" w:themeTint="98" w:themeShade="95"/>
      </w:rPr>
    </w:tblStylePr>
    <w:tblStylePr w:type="firstRow">
      <w:rPr>
        <w:b/>
        <w:color w:val="dd680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</w:tblStylePr>
    <w:tblStylePr w:type="lastRow">
      <w:rPr>
        <w:b/>
        <w:color w:val="dd680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1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2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b4b72" w:themeColor="accent1" w:themeShade="95"/>
        <w:sz w:val="22"/>
      </w:rPr>
      <w:tcPr>
        <w:shd w:val="clear" w:color="ffffff" w:themeColor="accent1" w:themeTint="40" w:fill="d3dfee" w:themeFill="accent1" w:themeFillTint="40"/>
      </w:tcPr>
    </w:tblStylePr>
    <w:tblStylePr w:type="band1Vert">
      <w:tcPr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2b4b72" w:themeColor="accent1" w:themeShade="95"/>
        <w:sz w:val="22"/>
      </w:r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b4b72" w:themeColor="accent1" w:themeShade="95"/>
        <w:sz w:val="22"/>
      </w:rPr>
    </w:tblStylePr>
  </w:style>
  <w:style w:type="table" w:styleId="763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f3a38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</w:tblStylePr>
  </w:style>
  <w:style w:type="table" w:styleId="764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9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</w:tblStylePr>
  </w:style>
  <w:style w:type="table" w:styleId="765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4" w:themeColor="accent4" w:themeTint="9A" w:themeShade="95"/>
        <w:sz w:val="22"/>
      </w:rPr>
      <w:tcPr>
        <w:shd w:val="clear" w:color="ffffff" w:themeColor="accent4" w:themeTint="40" w:fill="dfd8e8" w:themeFill="accent4" w:themeFillTint="40"/>
      </w:tcPr>
    </w:tblStylePr>
    <w:tblStylePr w:type="band1Vert">
      <w:tcPr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</w:tblStylePr>
  </w:style>
  <w:style w:type="table" w:styleId="766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ba3" w:themeColor="accent5" w:themeTint="9A" w:themeShade="95"/>
        <w:sz w:val="22"/>
      </w:rPr>
      <w:tcPr>
        <w:shd w:val="clear" w:color="ffffff" w:themeColor="accent5" w:themeTint="40" w:fill="d2eaf1" w:themeFill="accent5" w:themeFillTint="40"/>
      </w:tcPr>
    </w:tblStylePr>
    <w:tblStylePr w:type="band1Vert">
      <w:tcPr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</w:tblStylePr>
  </w:style>
  <w:style w:type="table" w:styleId="767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d680a" w:themeColor="accent6" w:themeTint="98" w:themeShade="95"/>
        <w:sz w:val="22"/>
      </w:rPr>
      <w:tcPr>
        <w:shd w:val="clear" w:color="ffffff" w:themeColor="accent6" w:themeTint="40" w:fill="fde5d1" w:themeFill="accent6" w:themeFillTint="40"/>
      </w:tcPr>
    </w:tblStylePr>
    <w:tblStylePr w:type="band1Vert">
      <w:tcPr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</w:tblStylePr>
  </w:style>
  <w:style w:type="table" w:styleId="768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9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</w:style>
  <w:style w:type="table" w:styleId="770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</w:style>
  <w:style w:type="table" w:styleId="771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</w:style>
  <w:style w:type="table" w:styleId="772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</w:style>
  <w:style w:type="table" w:styleId="773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4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5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6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</w:style>
  <w:style w:type="table" w:styleId="777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</w:style>
  <w:style w:type="table" w:styleId="778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</w:style>
  <w:style w:type="table" w:styleId="779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</w:style>
  <w:style w:type="table" w:styleId="780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1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2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3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4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5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6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7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88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89">
    <w:name w:val="Heading 1"/>
    <w:basedOn w:val="839"/>
    <w:next w:val="839"/>
    <w:link w:val="798"/>
    <w:uiPriority w:val="9"/>
    <w:qFormat/>
    <w:pPr>
      <w:keepLines/>
      <w:keepNext/>
      <w:spacing w:before="360" w:after="80"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90">
    <w:name w:val="Heading 2"/>
    <w:basedOn w:val="839"/>
    <w:next w:val="839"/>
    <w:link w:val="799"/>
    <w:uiPriority w:val="9"/>
    <w:unhideWhenUsed/>
    <w:qFormat/>
    <w:pPr>
      <w:keepLines/>
      <w:keepNext/>
      <w:spacing w:before="160" w:after="80"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91">
    <w:name w:val="Heading 3"/>
    <w:basedOn w:val="839"/>
    <w:next w:val="839"/>
    <w:link w:val="800"/>
    <w:uiPriority w:val="9"/>
    <w:unhideWhenUsed/>
    <w:qFormat/>
    <w:pPr>
      <w:keepLines/>
      <w:keepNext/>
      <w:spacing w:before="160" w:after="80"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92">
    <w:name w:val="Heading 4"/>
    <w:basedOn w:val="839"/>
    <w:next w:val="839"/>
    <w:link w:val="801"/>
    <w:uiPriority w:val="9"/>
    <w:unhideWhenUsed/>
    <w:qFormat/>
    <w:pPr>
      <w:keepLines/>
      <w:keepNext/>
      <w:spacing w:before="80" w:after="40"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93">
    <w:name w:val="Heading 5"/>
    <w:basedOn w:val="839"/>
    <w:next w:val="839"/>
    <w:link w:val="802"/>
    <w:uiPriority w:val="9"/>
    <w:unhideWhenUsed/>
    <w:qFormat/>
    <w:pPr>
      <w:keepLines/>
      <w:keepNext/>
      <w:spacing w:before="80" w:after="40"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94">
    <w:name w:val="Heading 6"/>
    <w:basedOn w:val="839"/>
    <w:next w:val="839"/>
    <w:link w:val="803"/>
    <w:uiPriority w:val="9"/>
    <w:unhideWhenUsed/>
    <w:qFormat/>
    <w:pPr>
      <w:keepLines/>
      <w:keepNext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95">
    <w:name w:val="Heading 7"/>
    <w:basedOn w:val="839"/>
    <w:next w:val="839"/>
    <w:link w:val="804"/>
    <w:uiPriority w:val="9"/>
    <w:unhideWhenUsed/>
    <w:qFormat/>
    <w:pPr>
      <w:keepLines/>
      <w:keepNext/>
      <w:spacing w:before="40" w:after="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96">
    <w:name w:val="Heading 8"/>
    <w:basedOn w:val="839"/>
    <w:next w:val="839"/>
    <w:link w:val="805"/>
    <w:uiPriority w:val="9"/>
    <w:unhideWhenUsed/>
    <w:qFormat/>
    <w:pPr>
      <w:keepLines/>
      <w:keepNext/>
      <w:spacing w:after="0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97">
    <w:name w:val="Heading 9"/>
    <w:basedOn w:val="839"/>
    <w:next w:val="839"/>
    <w:link w:val="806"/>
    <w:uiPriority w:val="9"/>
    <w:unhideWhenUsed/>
    <w:qFormat/>
    <w:pPr>
      <w:keepLines/>
      <w:keepNext/>
      <w:spacing w:after="0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98">
    <w:name w:val="Heading 1 Char"/>
    <w:basedOn w:val="840"/>
    <w:link w:val="789"/>
    <w:uiPriority w:val="9"/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99">
    <w:name w:val="Heading 2 Char"/>
    <w:basedOn w:val="840"/>
    <w:link w:val="790"/>
    <w:uiPriority w:val="9"/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00">
    <w:name w:val="Heading 3 Char"/>
    <w:basedOn w:val="840"/>
    <w:link w:val="791"/>
    <w:uiPriority w:val="9"/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01">
    <w:name w:val="Heading 4 Char"/>
    <w:basedOn w:val="840"/>
    <w:link w:val="792"/>
    <w:uiPriority w:val="9"/>
    <w:rPr>
      <w:rFonts w:ascii="Arial" w:hAnsi="Arial" w:eastAsia="Arial" w:cs="Arial"/>
      <w:i/>
      <w:iCs/>
      <w:color w:val="0f4761" w:themeColor="accent1" w:themeShade="BF"/>
    </w:rPr>
  </w:style>
  <w:style w:type="character" w:styleId="802">
    <w:name w:val="Heading 5 Char"/>
    <w:basedOn w:val="840"/>
    <w:link w:val="793"/>
    <w:uiPriority w:val="9"/>
    <w:rPr>
      <w:rFonts w:ascii="Arial" w:hAnsi="Arial" w:eastAsia="Arial" w:cs="Arial"/>
      <w:color w:val="0f4761" w:themeColor="accent1" w:themeShade="BF"/>
    </w:rPr>
  </w:style>
  <w:style w:type="character" w:styleId="803">
    <w:name w:val="Heading 6 Char"/>
    <w:basedOn w:val="840"/>
    <w:link w:val="794"/>
    <w:uiPriority w:val="9"/>
    <w:rPr>
      <w:rFonts w:ascii="Arial" w:hAnsi="Arial" w:eastAsia="Arial" w:cs="Arial"/>
      <w:i/>
      <w:iCs/>
      <w:color w:val="595959" w:themeColor="text1" w:themeTint="A6"/>
    </w:rPr>
  </w:style>
  <w:style w:type="character" w:styleId="804">
    <w:name w:val="Heading 7 Char"/>
    <w:basedOn w:val="840"/>
    <w:link w:val="795"/>
    <w:uiPriority w:val="9"/>
    <w:rPr>
      <w:rFonts w:ascii="Arial" w:hAnsi="Arial" w:eastAsia="Arial" w:cs="Arial"/>
      <w:color w:val="595959" w:themeColor="text1" w:themeTint="A6"/>
    </w:rPr>
  </w:style>
  <w:style w:type="character" w:styleId="805">
    <w:name w:val="Heading 8 Char"/>
    <w:basedOn w:val="840"/>
    <w:link w:val="796"/>
    <w:uiPriority w:val="9"/>
    <w:rPr>
      <w:rFonts w:ascii="Arial" w:hAnsi="Arial" w:eastAsia="Arial" w:cs="Arial"/>
      <w:i/>
      <w:iCs/>
      <w:color w:val="272727" w:themeColor="text1" w:themeTint="D8"/>
    </w:rPr>
  </w:style>
  <w:style w:type="character" w:styleId="806">
    <w:name w:val="Heading 9 Char"/>
    <w:basedOn w:val="840"/>
    <w:link w:val="797"/>
    <w:uiPriority w:val="9"/>
    <w:rPr>
      <w:rFonts w:ascii="Arial" w:hAnsi="Arial" w:eastAsia="Arial" w:cs="Arial"/>
      <w:i/>
      <w:iCs/>
      <w:color w:val="272727" w:themeColor="text1" w:themeTint="D8"/>
    </w:rPr>
  </w:style>
  <w:style w:type="paragraph" w:styleId="807">
    <w:name w:val="Title"/>
    <w:basedOn w:val="839"/>
    <w:next w:val="839"/>
    <w:link w:val="808"/>
    <w:uiPriority w:val="10"/>
    <w:qFormat/>
    <w:pPr>
      <w:contextualSpacing/>
      <w:spacing w:after="80" w:line="240" w:lineRule="auto"/>
    </w:pPr>
    <w:rPr>
      <w:rFonts w:ascii="Arial" w:hAnsi="Arial" w:eastAsia="Arial" w:cs="Arial"/>
      <w:spacing w:val="-10"/>
      <w:sz w:val="56"/>
      <w:szCs w:val="56"/>
    </w:rPr>
  </w:style>
  <w:style w:type="character" w:styleId="808">
    <w:name w:val="Title Char"/>
    <w:basedOn w:val="840"/>
    <w:link w:val="807"/>
    <w:uiPriority w:val="10"/>
    <w:rPr>
      <w:rFonts w:ascii="Arial" w:hAnsi="Arial" w:eastAsia="Arial" w:cs="Arial"/>
      <w:spacing w:val="-10"/>
      <w:sz w:val="56"/>
      <w:szCs w:val="56"/>
    </w:rPr>
  </w:style>
  <w:style w:type="paragraph" w:styleId="809">
    <w:name w:val="Subtitle"/>
    <w:basedOn w:val="839"/>
    <w:next w:val="839"/>
    <w:link w:val="810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styleId="810">
    <w:name w:val="Subtitle Char"/>
    <w:basedOn w:val="840"/>
    <w:link w:val="809"/>
    <w:uiPriority w:val="11"/>
    <w:rPr>
      <w:color w:val="595959" w:themeColor="text1" w:themeTint="A6"/>
      <w:spacing w:val="15"/>
      <w:sz w:val="28"/>
      <w:szCs w:val="28"/>
    </w:rPr>
  </w:style>
  <w:style w:type="paragraph" w:styleId="811">
    <w:name w:val="Quote"/>
    <w:basedOn w:val="839"/>
    <w:next w:val="839"/>
    <w:link w:val="812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12">
    <w:name w:val="Quote Char"/>
    <w:basedOn w:val="840"/>
    <w:link w:val="811"/>
    <w:uiPriority w:val="29"/>
    <w:rPr>
      <w:i/>
      <w:iCs/>
      <w:color w:val="404040" w:themeColor="text1" w:themeTint="BF"/>
    </w:rPr>
  </w:style>
  <w:style w:type="paragraph" w:styleId="813">
    <w:name w:val="List Paragraph"/>
    <w:basedOn w:val="839"/>
    <w:uiPriority w:val="34"/>
    <w:qFormat/>
    <w:pPr>
      <w:contextualSpacing/>
      <w:ind w:left="720"/>
    </w:pPr>
  </w:style>
  <w:style w:type="character" w:styleId="814">
    <w:name w:val="Intense Emphasis"/>
    <w:basedOn w:val="840"/>
    <w:uiPriority w:val="21"/>
    <w:qFormat/>
    <w:rPr>
      <w:i/>
      <w:iCs/>
      <w:color w:val="0f4761" w:themeColor="accent1" w:themeShade="BF"/>
    </w:rPr>
  </w:style>
  <w:style w:type="paragraph" w:styleId="815">
    <w:name w:val="Intense Quote"/>
    <w:basedOn w:val="839"/>
    <w:next w:val="839"/>
    <w:link w:val="816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816">
    <w:name w:val="Intense Quote Char"/>
    <w:basedOn w:val="840"/>
    <w:link w:val="815"/>
    <w:uiPriority w:val="30"/>
    <w:rPr>
      <w:i/>
      <w:iCs/>
      <w:color w:val="0f4761" w:themeColor="accent1" w:themeShade="BF"/>
    </w:rPr>
  </w:style>
  <w:style w:type="character" w:styleId="817">
    <w:name w:val="Intense Reference"/>
    <w:basedOn w:val="84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818">
    <w:name w:val="No Spacing"/>
    <w:basedOn w:val="839"/>
    <w:uiPriority w:val="1"/>
    <w:qFormat/>
    <w:pPr>
      <w:spacing w:after="0" w:line="240" w:lineRule="auto"/>
    </w:pPr>
  </w:style>
  <w:style w:type="character" w:styleId="819">
    <w:name w:val="Subtle Emphasis"/>
    <w:basedOn w:val="840"/>
    <w:uiPriority w:val="19"/>
    <w:qFormat/>
    <w:rPr>
      <w:i/>
      <w:iCs/>
      <w:color w:val="404040" w:themeColor="text1" w:themeTint="BF"/>
    </w:rPr>
  </w:style>
  <w:style w:type="character" w:styleId="820">
    <w:name w:val="Emphasis"/>
    <w:basedOn w:val="840"/>
    <w:uiPriority w:val="20"/>
    <w:qFormat/>
    <w:rPr>
      <w:i/>
      <w:iCs/>
    </w:rPr>
  </w:style>
  <w:style w:type="character" w:styleId="821">
    <w:name w:val="Strong"/>
    <w:basedOn w:val="840"/>
    <w:uiPriority w:val="22"/>
    <w:qFormat/>
    <w:rPr>
      <w:b/>
      <w:bCs/>
    </w:rPr>
  </w:style>
  <w:style w:type="character" w:styleId="822">
    <w:name w:val="Subtle Reference"/>
    <w:basedOn w:val="840"/>
    <w:uiPriority w:val="31"/>
    <w:qFormat/>
    <w:rPr>
      <w:smallCaps/>
      <w:color w:val="5a5a5a" w:themeColor="text1" w:themeTint="A5"/>
    </w:rPr>
  </w:style>
  <w:style w:type="character" w:styleId="823">
    <w:name w:val="Book Title"/>
    <w:basedOn w:val="840"/>
    <w:uiPriority w:val="33"/>
    <w:qFormat/>
    <w:rPr>
      <w:b/>
      <w:bCs/>
      <w:i/>
      <w:iCs/>
      <w:spacing w:val="5"/>
    </w:rPr>
  </w:style>
  <w:style w:type="paragraph" w:styleId="824">
    <w:name w:val="Header"/>
    <w:basedOn w:val="839"/>
    <w:link w:val="825"/>
    <w:uiPriority w:val="99"/>
    <w:unhideWhenUsed/>
    <w:pPr>
      <w:spacing w:after="0" w:line="240" w:lineRule="auto"/>
      <w:tabs>
        <w:tab w:val="center" w:pos="4844" w:leader="none"/>
        <w:tab w:val="right" w:pos="9689" w:leader="none"/>
      </w:tabs>
    </w:pPr>
  </w:style>
  <w:style w:type="character" w:styleId="825">
    <w:name w:val="Header Char"/>
    <w:basedOn w:val="840"/>
    <w:link w:val="824"/>
    <w:uiPriority w:val="99"/>
  </w:style>
  <w:style w:type="paragraph" w:styleId="826">
    <w:name w:val="Footer"/>
    <w:basedOn w:val="839"/>
    <w:link w:val="827"/>
    <w:uiPriority w:val="99"/>
    <w:unhideWhenUsed/>
    <w:pPr>
      <w:spacing w:after="0" w:line="240" w:lineRule="auto"/>
      <w:tabs>
        <w:tab w:val="center" w:pos="4844" w:leader="none"/>
        <w:tab w:val="right" w:pos="9689" w:leader="none"/>
      </w:tabs>
    </w:pPr>
  </w:style>
  <w:style w:type="character" w:styleId="827">
    <w:name w:val="Footer Char"/>
    <w:basedOn w:val="840"/>
    <w:link w:val="826"/>
    <w:uiPriority w:val="99"/>
  </w:style>
  <w:style w:type="paragraph" w:styleId="828">
    <w:name w:val="Caption"/>
    <w:basedOn w:val="839"/>
    <w:next w:val="839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829">
    <w:name w:val="footnote text"/>
    <w:basedOn w:val="839"/>
    <w:link w:val="83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30">
    <w:name w:val="Footnote Text Char"/>
    <w:basedOn w:val="840"/>
    <w:link w:val="829"/>
    <w:uiPriority w:val="99"/>
    <w:semiHidden/>
    <w:rPr>
      <w:sz w:val="20"/>
      <w:szCs w:val="20"/>
    </w:rPr>
  </w:style>
  <w:style w:type="character" w:styleId="831">
    <w:name w:val="footnote reference"/>
    <w:basedOn w:val="840"/>
    <w:uiPriority w:val="99"/>
    <w:semiHidden/>
    <w:unhideWhenUsed/>
    <w:rPr>
      <w:vertAlign w:val="superscript"/>
    </w:rPr>
  </w:style>
  <w:style w:type="paragraph" w:styleId="832">
    <w:name w:val="endnote text"/>
    <w:basedOn w:val="839"/>
    <w:link w:val="83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33">
    <w:name w:val="Endnote Text Char"/>
    <w:basedOn w:val="840"/>
    <w:link w:val="832"/>
    <w:uiPriority w:val="99"/>
    <w:semiHidden/>
    <w:rPr>
      <w:sz w:val="20"/>
      <w:szCs w:val="20"/>
    </w:rPr>
  </w:style>
  <w:style w:type="character" w:styleId="834">
    <w:name w:val="endnote reference"/>
    <w:basedOn w:val="840"/>
    <w:uiPriority w:val="99"/>
    <w:semiHidden/>
    <w:unhideWhenUsed/>
    <w:rPr>
      <w:vertAlign w:val="superscript"/>
    </w:rPr>
  </w:style>
  <w:style w:type="character" w:styleId="835">
    <w:name w:val="Hyperlink"/>
    <w:basedOn w:val="840"/>
    <w:uiPriority w:val="99"/>
    <w:unhideWhenUsed/>
    <w:rPr>
      <w:color w:val="0563c1" w:themeColor="hyperlink"/>
      <w:u w:val="single"/>
    </w:rPr>
  </w:style>
  <w:style w:type="character" w:styleId="836">
    <w:name w:val="FollowedHyperlink"/>
    <w:basedOn w:val="840"/>
    <w:uiPriority w:val="99"/>
    <w:semiHidden/>
    <w:unhideWhenUsed/>
    <w:rPr>
      <w:color w:val="954f72" w:themeColor="followedHyperlink"/>
      <w:u w:val="single"/>
    </w:rPr>
  </w:style>
  <w:style w:type="paragraph" w:styleId="837">
    <w:name w:val="TOC Heading"/>
    <w:uiPriority w:val="39"/>
    <w:unhideWhenUsed/>
  </w:style>
  <w:style w:type="paragraph" w:styleId="838">
    <w:name w:val="table of figures"/>
    <w:basedOn w:val="839"/>
    <w:next w:val="839"/>
    <w:uiPriority w:val="99"/>
    <w:unhideWhenUsed/>
    <w:pPr>
      <w:spacing w:after="0" w:afterAutospacing="0"/>
    </w:pPr>
  </w:style>
  <w:style w:type="paragraph" w:styleId="839" w:default="1">
    <w:name w:val="Normal"/>
    <w:qFormat/>
    <w:pPr>
      <w:spacing w:after="0" w:line="240" w:lineRule="auto"/>
    </w:pPr>
    <w:rPr>
      <w:sz w:val="2"/>
    </w:rPr>
  </w:style>
  <w:style w:type="character" w:styleId="840" w:default="1">
    <w:name w:val="Default Paragraph Font"/>
    <w:uiPriority w:val="1"/>
    <w:semiHidden/>
    <w:unhideWhenUsed/>
  </w:style>
  <w:style w:type="table" w:styleId="841" w:default="1">
    <w:name w:val="Normal Table"/>
    <w:uiPriority w:val="99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АИС «ГОСЗАКАЗ»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Description_Purchase_Object_PILOT_(Sti)</dc:title>
  <dc:subject>Description_Purchase_Object_PILOT_(Sti)</dc:subject>
  <dc:creator>gba</dc:creator>
  <cp:keywords/>
  <dc:description>Описание объекта закупки ПИЛОТ</dc:description>
  <cp:lastModifiedBy>ngorbunova</cp:lastModifiedBy>
  <cp:revision>8</cp:revision>
  <dcterms:created xsi:type="dcterms:W3CDTF">2024-03-28T09:02:46Z</dcterms:created>
  <dcterms:modified xsi:type="dcterms:W3CDTF">2026-10-05T07:58:03Z</dcterms:modified>
</cp:coreProperties>
</file>