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426"/>
        <w:jc w:val="center"/>
        <w:rPr>
          <w:b/>
          <w:bCs/>
          <w:sz w:val="22"/>
          <w:szCs w:val="22"/>
        </w:rPr>
        <w:outlineLvl w:val="0"/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ind w:firstLine="426"/>
        <w:jc w:val="center"/>
        <w:rPr>
          <w:b/>
          <w:bCs/>
          <w:sz w:val="22"/>
          <w:szCs w:val="22"/>
        </w:rPr>
        <w:outlineLvl w:val="0"/>
      </w:pPr>
      <w:r>
        <w:rPr>
          <w:b/>
          <w:bCs/>
          <w:sz w:val="22"/>
          <w:szCs w:val="22"/>
        </w:rPr>
        <w:t xml:space="preserve">МУНИЦИПАЛЬНЫЙ </w:t>
      </w:r>
      <w:r>
        <w:rPr>
          <w:b/>
          <w:bCs/>
          <w:sz w:val="22"/>
          <w:szCs w:val="22"/>
        </w:rPr>
        <w:t xml:space="preserve">КОНТРАКТ</w:t>
      </w:r>
      <w:r>
        <w:rPr>
          <w:b/>
          <w:bCs/>
          <w:sz w:val="22"/>
          <w:szCs w:val="22"/>
        </w:rPr>
        <w:t xml:space="preserve"> (ПРОЕКТ) №_____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ind w:firstLine="426"/>
        <w:jc w:val="center"/>
        <w:rPr>
          <w:sz w:val="22"/>
          <w:szCs w:val="22"/>
        </w:rPr>
        <w:outlineLvl w:val="0"/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center"/>
        <w:rPr>
          <w:rFonts w:ascii="Times New Roman" w:hAnsi="Times New Roman" w:cs="Times New Roman"/>
          <w:color w:val="000000" w:themeColor="text1"/>
          <w:sz w:val="44"/>
          <w:szCs w:val="44"/>
          <w:highlight w:val="yellow"/>
        </w:rPr>
        <w:outlineLvl w:val="0"/>
      </w:pPr>
      <w:r>
        <w:rPr>
          <w:sz w:val="22"/>
          <w:szCs w:val="22"/>
        </w:rPr>
        <w:t xml:space="preserve">Идентификационный код закупки</w:t>
      </w:r>
      <w:r>
        <w:rPr>
          <w:sz w:val="22"/>
          <w:szCs w:val="22"/>
        </w:rPr>
        <w:t xml:space="preserve">: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32"/>
          <w:highlight w:val="none"/>
        </w:rPr>
        <w:t xml:space="preserve"> </w:t>
      </w:r>
      <w:r>
        <w:rPr>
          <w:rFonts w:ascii="Tahoma" w:hAnsi="Tahoma" w:eastAsia="Tahoma" w:cs="Tahoma"/>
          <w:color w:val="383838"/>
          <w:sz w:val="18"/>
          <w:highlight w:val="white"/>
        </w:rPr>
        <w:t xml:space="preserve">263220800384722080100100060016202244</w:t>
      </w:r>
      <w:r>
        <w:rPr>
          <w:rFonts w:ascii="Tahoma" w:hAnsi="Tahoma" w:eastAsia="Tahoma" w:cs="Tahoma"/>
          <w:color w:val="383838"/>
          <w:sz w:val="18"/>
          <w:highlight w:val="white"/>
        </w:rPr>
      </w:r>
      <w:r>
        <w:rPr>
          <w:rFonts w:ascii="Times New Roman" w:hAnsi="Times New Roman" w:cs="Times New Roman"/>
          <w:color w:val="000000" w:themeColor="text1"/>
          <w:sz w:val="44"/>
          <w:szCs w:val="44"/>
          <w:highlight w:val="yellow"/>
        </w:rPr>
      </w:r>
    </w:p>
    <w:p>
      <w:pPr>
        <w:ind w:firstLine="426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outlineLvl w:val="0"/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ind w:firstLine="426"/>
        <w:jc w:val="both"/>
        <w:rPr>
          <w:b/>
          <w:bCs/>
          <w:sz w:val="22"/>
          <w:szCs w:val="22"/>
        </w:rPr>
        <w:outlineLvl w:val="0"/>
      </w:pPr>
      <w:r>
        <w:rPr>
          <w:sz w:val="22"/>
          <w:szCs w:val="22"/>
        </w:rPr>
        <w:t xml:space="preserve">г. Новоалтайск</w:t>
      </w:r>
      <w:r>
        <w:rPr>
          <w:sz w:val="22"/>
          <w:szCs w:val="22"/>
        </w:rPr>
        <w:t xml:space="preserve">                                                </w:t>
      </w: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    </w:t>
      </w: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                    </w:t>
      </w:r>
      <w:r>
        <w:rPr>
          <w:sz w:val="22"/>
          <w:szCs w:val="22"/>
        </w:rPr>
        <w:t xml:space="preserve">«</w:t>
      </w:r>
      <w:r>
        <w:rPr>
          <w:sz w:val="22"/>
          <w:szCs w:val="22"/>
        </w:rPr>
        <w:t xml:space="preserve">___</w:t>
      </w:r>
      <w:r>
        <w:rPr>
          <w:sz w:val="22"/>
          <w:szCs w:val="22"/>
        </w:rPr>
        <w:t xml:space="preserve">» </w:t>
      </w:r>
      <w:r>
        <w:rPr>
          <w:sz w:val="22"/>
          <w:szCs w:val="22"/>
        </w:rPr>
        <w:t xml:space="preserve">________</w:t>
      </w:r>
      <w:r>
        <w:rPr>
          <w:sz w:val="22"/>
          <w:szCs w:val="22"/>
        </w:rPr>
        <w:t xml:space="preserve"> 2026</w:t>
      </w:r>
      <w:r>
        <w:rPr>
          <w:sz w:val="22"/>
          <w:szCs w:val="22"/>
        </w:rPr>
        <w:t xml:space="preserve">г.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both"/>
        <w:rPr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sz w:val="22"/>
          <w:szCs w:val="22"/>
        </w:rPr>
      </w:r>
      <w:r>
        <w:rPr>
          <w:rFonts w:ascii="Times New Roman" w:hAnsi="Times New Roman" w:eastAsia="Times New Roman" w:cs="Times New Roman"/>
          <w:b/>
          <w:sz w:val="22"/>
          <w:szCs w:val="22"/>
        </w:rPr>
        <w:t xml:space="preserve">Администрация города Новоалтайск</w:t>
      </w:r>
      <w:r>
        <w:rPr>
          <w:rFonts w:ascii="Times New Roman" w:hAnsi="Times New Roman" w:eastAsia="Times New Roman" w:cs="Times New Roman"/>
          <w:b/>
          <w:sz w:val="22"/>
          <w:szCs w:val="22"/>
        </w:rPr>
        <w:t xml:space="preserve">а Алтайского края</w:t>
      </w:r>
      <w:r>
        <w:rPr>
          <w:sz w:val="22"/>
          <w:szCs w:val="22"/>
        </w:rPr>
        <w:t xml:space="preserve">, именуемая в дальнейшем </w:t>
      </w:r>
      <w:r>
        <w:rPr>
          <w:b/>
          <w:bCs/>
          <w:sz w:val="22"/>
          <w:szCs w:val="22"/>
        </w:rPr>
        <w:t xml:space="preserve">«Заказчик»</w:t>
      </w:r>
      <w:r>
        <w:rPr>
          <w:sz w:val="22"/>
          <w:szCs w:val="22"/>
        </w:rPr>
        <w:t xml:space="preserve">, в лице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Главы города Бодунова Владимира Георгиевича</w:t>
      </w:r>
      <w:r>
        <w:rPr>
          <w:sz w:val="22"/>
          <w:szCs w:val="22"/>
        </w:rPr>
        <w:t xml:space="preserve">, действующего на основании Устава</w:t>
      </w:r>
      <w:r>
        <w:rPr>
          <w:sz w:val="22"/>
          <w:szCs w:val="22"/>
        </w:rPr>
        <w:t xml:space="preserve"> с одной стороны, </w:t>
      </w:r>
      <w:r>
        <w:rPr>
          <w:sz w:val="22"/>
          <w:szCs w:val="22"/>
        </w:rPr>
        <w:t xml:space="preserve">и </w:t>
      </w:r>
      <w:r>
        <w:rPr>
          <w:b/>
          <w:sz w:val="22"/>
          <w:szCs w:val="22"/>
        </w:rPr>
        <w:t xml:space="preserve">________</w:t>
      </w:r>
      <w:r>
        <w:rPr>
          <w:b/>
          <w:sz w:val="22"/>
          <w:szCs w:val="22"/>
        </w:rPr>
        <w:t xml:space="preserve">_____</w:t>
      </w:r>
      <w:r>
        <w:rPr>
          <w:sz w:val="22"/>
          <w:szCs w:val="22"/>
        </w:rPr>
        <w:t xml:space="preserve">, именуемое в дальнейшем </w:t>
      </w:r>
      <w:r>
        <w:rPr>
          <w:b/>
          <w:sz w:val="22"/>
          <w:szCs w:val="22"/>
        </w:rPr>
        <w:t xml:space="preserve">«</w:t>
      </w:r>
      <w:r>
        <w:rPr>
          <w:b/>
          <w:sz w:val="22"/>
          <w:szCs w:val="22"/>
        </w:rPr>
        <w:t xml:space="preserve">Исполнитель</w:t>
      </w:r>
      <w:r>
        <w:rPr>
          <w:b/>
          <w:sz w:val="22"/>
          <w:szCs w:val="22"/>
        </w:rPr>
        <w:t xml:space="preserve">»</w:t>
      </w:r>
      <w:r>
        <w:rPr>
          <w:sz w:val="22"/>
          <w:szCs w:val="22"/>
        </w:rPr>
        <w:t xml:space="preserve">, в лице ___________, </w:t>
      </w:r>
      <w:r>
        <w:rPr>
          <w:sz w:val="22"/>
          <w:szCs w:val="22"/>
        </w:rPr>
        <w:t xml:space="preserve">действующий на основании ____________, с другой стороны, вместе именуемые «Стороны», в соответствии с законодательством Российской Федерации и иными нормативными правовыми актами о контрактной системе в сфере закупок, и на основании </w:t>
      </w:r>
      <w:r>
        <w:rPr>
          <w:i/>
          <w:sz w:val="22"/>
          <w:szCs w:val="22"/>
        </w:rPr>
        <w:t xml:space="preserve">протокола _________ </w:t>
      </w:r>
      <w:r>
        <w:rPr>
          <w:i/>
          <w:sz w:val="22"/>
          <w:szCs w:val="22"/>
        </w:rPr>
        <w:t xml:space="preserve">от</w:t>
      </w:r>
      <w:r>
        <w:rPr>
          <w:i/>
          <w:sz w:val="22"/>
          <w:szCs w:val="22"/>
        </w:rPr>
        <w:t xml:space="preserve"> _____</w:t>
      </w:r>
      <w:r>
        <w:rPr>
          <w:i/>
          <w:sz w:val="22"/>
          <w:szCs w:val="22"/>
        </w:rPr>
        <w:t xml:space="preserve">___</w:t>
      </w:r>
      <w:r>
        <w:rPr>
          <w:i/>
          <w:sz w:val="22"/>
          <w:szCs w:val="22"/>
        </w:rPr>
        <w:t xml:space="preserve"> № _____</w:t>
      </w:r>
      <w:r>
        <w:rPr>
          <w:i/>
          <w:sz w:val="22"/>
          <w:szCs w:val="22"/>
        </w:rPr>
        <w:t xml:space="preserve">__</w:t>
      </w:r>
      <w:r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 xml:space="preserve">заключили </w:t>
      </w:r>
      <w:r>
        <w:rPr>
          <w:sz w:val="22"/>
          <w:szCs w:val="22"/>
        </w:rPr>
        <w:t xml:space="preserve">настоящий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муниципальный контракт</w:t>
      </w:r>
      <w:r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 xml:space="preserve"> (далее – «Контракт»)</w:t>
      </w:r>
      <w:r>
        <w:rPr>
          <w:sz w:val="22"/>
          <w:szCs w:val="22"/>
        </w:rPr>
        <w:t xml:space="preserve"> о нижеследующем</w:t>
      </w:r>
      <w:r>
        <w:rPr>
          <w:sz w:val="22"/>
          <w:szCs w:val="22"/>
        </w:rPr>
        <w:t xml:space="preserve">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both"/>
        <w:rPr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1. Предмет контракта.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1.1. </w:t>
      </w:r>
      <w:r>
        <w:rPr>
          <w:sz w:val="22"/>
          <w:szCs w:val="22"/>
        </w:rPr>
        <w:t xml:space="preserve">Исполнитель</w:t>
      </w:r>
      <w:r>
        <w:rPr>
          <w:sz w:val="22"/>
          <w:szCs w:val="22"/>
        </w:rPr>
        <w:t xml:space="preserve"> обязуется собственными и (или) привлеченными силами своевременно </w:t>
      </w:r>
      <w:r>
        <w:rPr>
          <w:sz w:val="22"/>
          <w:szCs w:val="22"/>
        </w:rPr>
        <w:t xml:space="preserve">оказать</w:t>
      </w:r>
      <w:r>
        <w:rPr>
          <w:sz w:val="22"/>
          <w:szCs w:val="22"/>
        </w:rPr>
        <w:t xml:space="preserve"> на условиях </w:t>
      </w:r>
      <w:r>
        <w:rPr>
          <w:sz w:val="22"/>
          <w:szCs w:val="22"/>
        </w:rPr>
        <w:t xml:space="preserve">настоящего Контракта</w:t>
      </w:r>
      <w:r>
        <w:rPr>
          <w:sz w:val="22"/>
          <w:szCs w:val="22"/>
        </w:rPr>
        <w:t xml:space="preserve"> </w:t>
      </w:r>
      <w:r>
        <w:rPr>
          <w:b w:val="0"/>
          <w:bCs w:val="0"/>
          <w:sz w:val="22"/>
          <w:szCs w:val="22"/>
        </w:rPr>
        <w:t xml:space="preserve">услуги </w:t>
      </w:r>
      <w:r>
        <w:rPr>
          <w:b w:val="0"/>
          <w:bCs w:val="0"/>
          <w:sz w:val="22"/>
          <w:szCs w:val="22"/>
        </w:rPr>
        <w:t xml:space="preserve">по технической поддержке информационных систем VipNet </w:t>
      </w:r>
      <w:r>
        <w:rPr>
          <w:sz w:val="22"/>
          <w:szCs w:val="22"/>
        </w:rPr>
        <w:t xml:space="preserve">(далее – </w:t>
      </w:r>
      <w:r>
        <w:rPr>
          <w:sz w:val="22"/>
          <w:szCs w:val="22"/>
        </w:rPr>
        <w:t xml:space="preserve">услуги</w:t>
      </w:r>
      <w:r>
        <w:rPr>
          <w:sz w:val="22"/>
          <w:szCs w:val="22"/>
        </w:rPr>
        <w:t xml:space="preserve">) </w:t>
      </w:r>
      <w:r>
        <w:rPr>
          <w:sz w:val="22"/>
          <w:szCs w:val="22"/>
        </w:rPr>
        <w:t xml:space="preserve">в соответствии с</w:t>
      </w:r>
      <w:r>
        <w:rPr>
          <w:sz w:val="22"/>
          <w:szCs w:val="22"/>
        </w:rPr>
        <w:t xml:space="preserve"> Техническим заданием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(</w:t>
      </w:r>
      <w:r>
        <w:rPr>
          <w:sz w:val="22"/>
          <w:szCs w:val="22"/>
        </w:rPr>
        <w:t xml:space="preserve">П</w:t>
      </w:r>
      <w:r>
        <w:rPr>
          <w:sz w:val="22"/>
          <w:szCs w:val="22"/>
        </w:rPr>
        <w:t xml:space="preserve">риложение №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1 к </w:t>
      </w:r>
      <w:r>
        <w:rPr>
          <w:sz w:val="22"/>
          <w:szCs w:val="22"/>
        </w:rPr>
        <w:t xml:space="preserve">К</w:t>
      </w:r>
      <w:r>
        <w:rPr>
          <w:sz w:val="22"/>
          <w:szCs w:val="22"/>
        </w:rPr>
        <w:t xml:space="preserve">онтракту) </w:t>
      </w:r>
      <w:r>
        <w:rPr>
          <w:sz w:val="22"/>
          <w:szCs w:val="22"/>
        </w:rPr>
        <w:t xml:space="preserve">и сдать ее результат Заказчику, а Заказчик обязуется</w:t>
      </w:r>
      <w:r>
        <w:rPr>
          <w:sz w:val="22"/>
          <w:szCs w:val="22"/>
        </w:rPr>
        <w:t xml:space="preserve"> принять и оплатить </w:t>
      </w:r>
      <w:r>
        <w:rPr>
          <w:sz w:val="22"/>
          <w:szCs w:val="22"/>
        </w:rPr>
        <w:t xml:space="preserve">их</w:t>
      </w:r>
      <w:r>
        <w:rPr>
          <w:sz w:val="22"/>
          <w:szCs w:val="22"/>
        </w:rPr>
        <w:t xml:space="preserve">.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Состав</w:t>
      </w:r>
      <w:r>
        <w:rPr>
          <w:bCs/>
          <w:sz w:val="22"/>
          <w:szCs w:val="22"/>
        </w:rPr>
        <w:t xml:space="preserve"> и объем услуги определяется Техническим заданием (Приложение №1 к Контракту), Спецификацией (Приложение №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2 к </w:t>
      </w:r>
      <w:r>
        <w:rPr>
          <w:bCs/>
          <w:sz w:val="22"/>
          <w:szCs w:val="22"/>
        </w:rPr>
        <w:t xml:space="preserve">К</w:t>
      </w:r>
      <w:r>
        <w:rPr>
          <w:bCs/>
          <w:sz w:val="22"/>
          <w:szCs w:val="22"/>
        </w:rPr>
        <w:t xml:space="preserve">онтракту).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</w:t>
      </w: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Место оказания услуги:</w:t>
      </w:r>
      <w:r>
        <w:rPr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none"/>
        </w:rPr>
        <w:t xml:space="preserve">658080, Алтайский край, город Новоалтайск, ул. Парковая 1а</w:t>
      </w:r>
      <w:r>
        <w:rPr>
          <w:sz w:val="22"/>
          <w:szCs w:val="22"/>
        </w:rPr>
        <w:t xml:space="preserve"> </w:t>
      </w:r>
      <w:r>
        <w:rPr>
          <w:color w:val="000000"/>
          <w:sz w:val="24"/>
          <w:szCs w:val="24"/>
        </w:rPr>
        <w:t xml:space="preserve">(далее – «место оказания услуги»)</w:t>
      </w:r>
      <w:r>
        <w:t xml:space="preserve">,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электронные версии документов и лицензионные ключи направляются на электронный адрес Заказчика </w:t>
      </w:r>
      <w:r>
        <w:rPr>
          <w:rFonts w:ascii="Times New Roman" w:hAnsi="Times New Roman"/>
          <w:sz w:val="22"/>
          <w:szCs w:val="22"/>
          <w:highlight w:val="none"/>
          <w:lang w:val="en-US"/>
        </w:rPr>
      </w:r>
      <w:hyperlink r:id="rId10" w:tooltip="http://admins@novoalt.alregn.ru" w:history="1">
        <w:r>
          <w:rPr>
            <w:rStyle w:val="936"/>
            <w:rFonts w:ascii="Times New Roman" w:hAnsi="Times New Roman"/>
            <w:sz w:val="22"/>
            <w:szCs w:val="22"/>
            <w:highlight w:val="none"/>
            <w:lang w:val="en-US"/>
          </w:rPr>
          <w:t xml:space="preserve">admins@novoalt.alregn.ru</w:t>
        </w:r>
        <w:r>
          <w:rPr>
            <w:rStyle w:val="936"/>
            <w:sz w:val="22"/>
            <w:szCs w:val="22"/>
          </w:rPr>
        </w:r>
        <w:r>
          <w:rPr>
            <w:rStyle w:val="936"/>
            <w:sz w:val="22"/>
            <w:szCs w:val="22"/>
          </w:rPr>
        </w:r>
      </w:hyperlink>
      <w:r>
        <w:rPr>
          <w:sz w:val="22"/>
          <w:szCs w:val="22"/>
        </w:rPr>
        <w:t xml:space="preserve">.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2. </w:t>
      </w:r>
      <w:r>
        <w:rPr>
          <w:b/>
          <w:sz w:val="22"/>
          <w:szCs w:val="22"/>
        </w:rPr>
        <w:t xml:space="preserve">Цена Контракта и порядок оплаты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940"/>
        <w:ind w:left="0" w:firstLine="426"/>
        <w:spacing w:line="240" w:lineRule="auto"/>
        <w:widowControl w:val="off"/>
        <w:tabs>
          <w:tab w:val="left" w:pos="1276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2.1. </w:t>
      </w:r>
      <w:r>
        <w:rPr>
          <w:sz w:val="22"/>
          <w:szCs w:val="22"/>
        </w:rPr>
        <w:tab/>
        <w:t xml:space="preserve">Цена Контракта является твердой и определяется на весь срок исполнения Контракта, не может изменяться в ходе исполнения Контракта, за исключением случаев, установленных Контрактом и (или) предусмотренных законодательством Российской Федерации.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40"/>
        <w:ind w:left="0" w:firstLine="426"/>
        <w:spacing w:line="240" w:lineRule="auto"/>
        <w:widowControl w:val="off"/>
        <w:tabs>
          <w:tab w:val="left" w:pos="1276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Цена Контракта составляет</w:t>
      </w:r>
      <w:r>
        <w:rPr>
          <w:sz w:val="22"/>
          <w:szCs w:val="22"/>
        </w:rPr>
        <w:t xml:space="preserve">: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______</w:t>
      </w:r>
      <w:r>
        <w:rPr>
          <w:b/>
          <w:sz w:val="22"/>
          <w:szCs w:val="22"/>
        </w:rPr>
        <w:t xml:space="preserve"> руб. </w:t>
      </w:r>
      <w:r>
        <w:rPr>
          <w:b/>
          <w:sz w:val="22"/>
          <w:szCs w:val="22"/>
        </w:rPr>
        <w:t xml:space="preserve">____</w:t>
      </w:r>
      <w:r>
        <w:rPr>
          <w:b/>
          <w:sz w:val="22"/>
          <w:szCs w:val="22"/>
        </w:rPr>
        <w:t xml:space="preserve"> коп.</w:t>
      </w:r>
      <w:r>
        <w:rPr>
          <w:sz w:val="22"/>
          <w:szCs w:val="22"/>
        </w:rPr>
        <w:t xml:space="preserve"> (__________ рублей ___ копеек</w:t>
      </w:r>
      <w:r>
        <w:rPr>
          <w:sz w:val="22"/>
          <w:szCs w:val="22"/>
        </w:rPr>
        <w:t xml:space="preserve">)</w:t>
      </w:r>
      <w:r>
        <w:rPr>
          <w:sz w:val="22"/>
          <w:szCs w:val="22"/>
        </w:rPr>
        <w:t xml:space="preserve">, включая налог на добавленную стоимость (__ %): </w:t>
      </w:r>
      <w:r>
        <w:rPr>
          <w:sz w:val="22"/>
          <w:szCs w:val="22"/>
        </w:rPr>
        <w:t xml:space="preserve">______ руб. ____ коп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 (__________ </w:t>
      </w:r>
      <w:r>
        <w:rPr>
          <w:sz w:val="22"/>
          <w:szCs w:val="22"/>
        </w:rPr>
        <w:t xml:space="preserve">р</w:t>
      </w:r>
      <w:r>
        <w:rPr>
          <w:sz w:val="22"/>
          <w:szCs w:val="22"/>
        </w:rPr>
        <w:t xml:space="preserve">ублей ___ копеек)</w:t>
      </w:r>
      <w:r>
        <w:rPr>
          <w:sz w:val="22"/>
          <w:szCs w:val="22"/>
        </w:rPr>
        <w:t xml:space="preserve"> (НДС не облагается на основании ______________ Налогового кодекса РФ и ____________).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47"/>
        <w:ind w:firstLine="426"/>
        <w:rPr>
          <w:sz w:val="22"/>
          <w:szCs w:val="22"/>
        </w:rPr>
      </w:pPr>
      <w:r>
        <w:rPr>
          <w:sz w:val="22"/>
          <w:szCs w:val="22"/>
        </w:rPr>
        <w:t xml:space="preserve">Цена единицы услуги указана в </w:t>
      </w:r>
      <w:r>
        <w:rPr>
          <w:sz w:val="22"/>
          <w:szCs w:val="22"/>
        </w:rPr>
        <w:t xml:space="preserve">С</w:t>
      </w:r>
      <w:r>
        <w:rPr>
          <w:sz w:val="22"/>
          <w:szCs w:val="22"/>
        </w:rPr>
        <w:t xml:space="preserve">пецификации (</w:t>
      </w:r>
      <w:r>
        <w:rPr>
          <w:sz w:val="22"/>
          <w:szCs w:val="22"/>
        </w:rPr>
        <w:t xml:space="preserve">П</w:t>
      </w:r>
      <w:r>
        <w:rPr>
          <w:sz w:val="22"/>
          <w:szCs w:val="22"/>
        </w:rPr>
        <w:t xml:space="preserve">риложение №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2 к </w:t>
      </w:r>
      <w:r>
        <w:rPr>
          <w:sz w:val="22"/>
          <w:szCs w:val="22"/>
        </w:rPr>
        <w:t xml:space="preserve">К</w:t>
      </w:r>
      <w:r>
        <w:rPr>
          <w:sz w:val="22"/>
          <w:szCs w:val="22"/>
        </w:rPr>
        <w:t xml:space="preserve">онтракту).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40"/>
        <w:contextualSpacing w:val="0"/>
        <w:ind w:left="0" w:firstLine="426"/>
        <w:spacing w:line="240" w:lineRule="auto"/>
        <w:widowControl w:val="off"/>
        <w:tabs>
          <w:tab w:val="left" w:pos="1276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В случае если в соответствии с законодательством Российской Федерации о налогах и сборах налоги, сборы и иные обязательные платежи в бюджеты бюджетной системы Российской Федерации, связанные с оплатой контракта, под</w:t>
      </w:r>
      <w:r>
        <w:rPr>
          <w:sz w:val="22"/>
          <w:szCs w:val="22"/>
        </w:rPr>
        <w:t xml:space="preserve">лежат уплате в бюджеты бюджетной системы Российской Федерации заказчиком, то сумма, подлежащая уплате заказчиком по контракту юридическому лицу или физическому лицу, в том числе зарегистрированному в качестве индивидуального предпринимателя, уменьшается на</w:t>
      </w:r>
      <w:r>
        <w:rPr>
          <w:sz w:val="22"/>
          <w:szCs w:val="22"/>
        </w:rPr>
        <w:t xml:space="preserve"> размер таких налогов, сборов и иных обязательных платежей.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40"/>
        <w:contextualSpacing w:val="0"/>
        <w:ind w:left="0" w:firstLine="426"/>
        <w:spacing w:line="240" w:lineRule="auto"/>
        <w:widowControl w:val="off"/>
        <w:tabs>
          <w:tab w:val="left" w:pos="1276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2.2. </w:t>
      </w:r>
      <w:r>
        <w:rPr>
          <w:sz w:val="22"/>
          <w:szCs w:val="22"/>
        </w:rPr>
        <w:t xml:space="preserve">В общую цену Контракта включены все расходы Исполнителя, необходимые для осуществления им своих обязательств по Контракту в полном объеме и надлежащего качества, в том числе все подлежащие к уплате налоги, сборы и другие обязательные </w:t>
      </w:r>
      <w:r>
        <w:rPr>
          <w:sz w:val="22"/>
          <w:szCs w:val="22"/>
        </w:rPr>
        <w:t xml:space="preserve">платежи,</w:t>
      </w:r>
      <w:r>
        <w:rPr>
          <w:sz w:val="22"/>
          <w:szCs w:val="22"/>
        </w:rPr>
        <w:t xml:space="preserve"> и иные расходы, связанные с оказанием услуги.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40"/>
        <w:contextualSpacing w:val="0"/>
        <w:ind w:left="0" w:firstLine="426"/>
        <w:spacing w:line="240" w:lineRule="auto"/>
        <w:widowControl w:val="off"/>
        <w:tabs>
          <w:tab w:val="left" w:pos="1276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2.3.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Оплата по Контракту производится в следующем порядке: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40"/>
        <w:contextualSpacing w:val="0"/>
        <w:ind w:left="0" w:firstLine="426"/>
        <w:spacing w:line="240" w:lineRule="auto"/>
        <w:widowControl w:val="off"/>
        <w:tabs>
          <w:tab w:val="left" w:pos="1276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2.3</w:t>
      </w:r>
      <w:r>
        <w:rPr>
          <w:sz w:val="22"/>
          <w:szCs w:val="22"/>
        </w:rPr>
        <w:t xml:space="preserve">.1</w:t>
      </w:r>
      <w:r>
        <w:rPr>
          <w:sz w:val="22"/>
          <w:szCs w:val="22"/>
        </w:rPr>
        <w:t xml:space="preserve">.Оплата производится в безналичном порядке путем перечисления Заказчиком денежных средств на указанный в Контракте расчетный счет </w:t>
      </w:r>
      <w:r>
        <w:rPr>
          <w:sz w:val="22"/>
          <w:szCs w:val="22"/>
        </w:rPr>
        <w:t xml:space="preserve">Исполнител</w:t>
      </w:r>
      <w:r>
        <w:rPr>
          <w:sz w:val="22"/>
          <w:szCs w:val="22"/>
        </w:rPr>
        <w:t xml:space="preserve">я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40"/>
        <w:contextualSpacing w:val="0"/>
        <w:ind w:left="0" w:firstLine="426"/>
        <w:spacing w:line="240" w:lineRule="auto"/>
        <w:widowControl w:val="off"/>
        <w:tabs>
          <w:tab w:val="left" w:pos="1276" w:leader="none"/>
        </w:tabs>
        <w:rPr>
          <w:sz w:val="22"/>
          <w:szCs w:val="22"/>
          <w:highlight w:val="yellow"/>
        </w:rPr>
      </w:pPr>
      <w:r>
        <w:rPr>
          <w:sz w:val="22"/>
          <w:szCs w:val="22"/>
        </w:rPr>
        <w:t xml:space="preserve">2.3</w:t>
      </w:r>
      <w:r>
        <w:rPr>
          <w:sz w:val="22"/>
          <w:szCs w:val="22"/>
        </w:rPr>
        <w:t xml:space="preserve">.2</w:t>
      </w:r>
      <w:r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Оплата </w:t>
      </w:r>
      <w:r>
        <w:rPr>
          <w:sz w:val="22"/>
          <w:szCs w:val="22"/>
        </w:rPr>
        <w:t xml:space="preserve">осуществляется в рублях Российской Федерации </w:t>
      </w:r>
      <w:r>
        <w:rPr>
          <w:sz w:val="22"/>
          <w:szCs w:val="22"/>
        </w:rPr>
        <w:t xml:space="preserve">за счет средств бюджета городского округа города Новоалтайска</w:t>
      </w:r>
      <w:r>
        <w:rPr>
          <w:sz w:val="22"/>
          <w:szCs w:val="22"/>
        </w:rPr>
        <w:t xml:space="preserve">.</w:t>
      </w:r>
      <w:r>
        <w:rPr>
          <w:sz w:val="22"/>
          <w:szCs w:val="22"/>
          <w:highlight w:val="yellow"/>
        </w:rPr>
      </w:r>
      <w:r>
        <w:rPr>
          <w:sz w:val="22"/>
          <w:szCs w:val="22"/>
          <w:highlight w:val="yellow"/>
        </w:rPr>
      </w:r>
    </w:p>
    <w:p>
      <w:pPr>
        <w:pStyle w:val="940"/>
        <w:contextualSpacing w:val="0"/>
        <w:ind w:left="0" w:firstLine="426"/>
        <w:spacing w:line="240" w:lineRule="auto"/>
        <w:widowControl w:val="off"/>
        <w:tabs>
          <w:tab w:val="left" w:pos="1276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2.</w:t>
      </w: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 </w:t>
      </w:r>
      <w:r>
        <w:rPr>
          <w:iCs/>
          <w:sz w:val="22"/>
          <w:szCs w:val="22"/>
        </w:rPr>
        <w:t xml:space="preserve">Авансовые платежи по Контракту не предусмотрены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40"/>
        <w:contextualSpacing w:val="0"/>
        <w:ind w:left="0" w:firstLine="426"/>
        <w:spacing w:line="240" w:lineRule="auto"/>
        <w:widowControl w:val="off"/>
        <w:tabs>
          <w:tab w:val="left" w:pos="1276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2.3.4. </w:t>
      </w:r>
      <w:r>
        <w:rPr>
          <w:sz w:val="22"/>
          <w:szCs w:val="22"/>
        </w:rPr>
        <w:t xml:space="preserve">Оплата </w:t>
      </w:r>
      <w:r>
        <w:rPr>
          <w:sz w:val="22"/>
          <w:szCs w:val="22"/>
        </w:rPr>
        <w:t xml:space="preserve">оказанной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услуги</w:t>
      </w:r>
      <w:r>
        <w:rPr>
          <w:sz w:val="22"/>
          <w:szCs w:val="22"/>
        </w:rPr>
        <w:t xml:space="preserve"> (ее результата) осуществляется в течение</w:t>
      </w:r>
      <w:r>
        <w:rPr>
          <w:sz w:val="22"/>
          <w:szCs w:val="22"/>
        </w:rPr>
        <w:t xml:space="preserve">: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7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(семи) </w:t>
      </w:r>
      <w:r>
        <w:rPr>
          <w:b/>
          <w:sz w:val="22"/>
          <w:szCs w:val="22"/>
        </w:rPr>
        <w:t xml:space="preserve">рабочих </w:t>
      </w:r>
      <w:r>
        <w:rPr>
          <w:b/>
          <w:sz w:val="22"/>
          <w:szCs w:val="22"/>
        </w:rPr>
        <w:t xml:space="preserve">дней</w:t>
      </w:r>
      <w:r>
        <w:rPr>
          <w:sz w:val="22"/>
          <w:szCs w:val="22"/>
        </w:rPr>
        <w:t xml:space="preserve"> с даты </w:t>
      </w:r>
      <w:r>
        <w:rPr>
          <w:sz w:val="22"/>
          <w:szCs w:val="22"/>
        </w:rPr>
        <w:t xml:space="preserve">подписания Сторонами документ</w:t>
      </w:r>
      <w:r>
        <w:rPr>
          <w:sz w:val="22"/>
          <w:szCs w:val="22"/>
        </w:rPr>
        <w:t xml:space="preserve">а(</w:t>
      </w:r>
      <w:r>
        <w:rPr>
          <w:sz w:val="22"/>
          <w:szCs w:val="22"/>
        </w:rPr>
        <w:t xml:space="preserve">ов</w:t>
      </w:r>
      <w:r>
        <w:rPr>
          <w:sz w:val="22"/>
          <w:szCs w:val="22"/>
        </w:rPr>
        <w:t xml:space="preserve">) о приемке, предусмотренного(</w:t>
      </w:r>
      <w:r>
        <w:rPr>
          <w:sz w:val="22"/>
          <w:szCs w:val="22"/>
        </w:rPr>
        <w:t xml:space="preserve">ых</w:t>
      </w:r>
      <w:r>
        <w:rPr>
          <w:sz w:val="22"/>
          <w:szCs w:val="22"/>
        </w:rPr>
        <w:t xml:space="preserve">) п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 5.2. Контракта.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40"/>
        <w:contextualSpacing w:val="0"/>
        <w:ind w:left="0" w:firstLine="426"/>
        <w:spacing w:line="240" w:lineRule="auto"/>
        <w:widowControl w:val="off"/>
        <w:rPr>
          <w:sz w:val="22"/>
          <w:szCs w:val="22"/>
        </w:rPr>
      </w:pPr>
      <w:r>
        <w:rPr>
          <w:sz w:val="22"/>
          <w:szCs w:val="22"/>
        </w:rPr>
        <w:t xml:space="preserve">2.</w:t>
      </w:r>
      <w:r>
        <w:rPr>
          <w:sz w:val="22"/>
          <w:szCs w:val="22"/>
        </w:rPr>
        <w:t xml:space="preserve">4. Обязательства Заказчика по оплате цены Контракта считаются исполненными с момента списания денежных сре</w:t>
      </w:r>
      <w:r>
        <w:rPr>
          <w:sz w:val="22"/>
          <w:szCs w:val="22"/>
        </w:rPr>
        <w:t xml:space="preserve">дств в р</w:t>
      </w:r>
      <w:r>
        <w:rPr>
          <w:sz w:val="22"/>
          <w:szCs w:val="22"/>
        </w:rPr>
        <w:t xml:space="preserve">азмере, установленном Контрактом, с лицевого счета Заказчика. За дальнейшее прохождение денежных средств Заказчик ответственности не несет.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both"/>
        <w:widowControl w:val="off"/>
        <w:tabs>
          <w:tab w:val="left" w:pos="709" w:leader="none"/>
          <w:tab w:val="left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2.5. </w:t>
      </w:r>
      <w:r>
        <w:rPr>
          <w:sz w:val="22"/>
          <w:szCs w:val="22"/>
        </w:rPr>
        <w:t xml:space="preserve">В случае </w:t>
      </w:r>
      <w:r>
        <w:rPr>
          <w:sz w:val="22"/>
          <w:szCs w:val="22"/>
        </w:rPr>
        <w:t xml:space="preserve">у</w:t>
      </w:r>
      <w:r>
        <w:rPr>
          <w:sz w:val="22"/>
          <w:szCs w:val="22"/>
        </w:rPr>
        <w:t xml:space="preserve">меньшения Заказчику соответствующими государственными органами в установленном порядке ранее утвержденных бюджетных ассигнований, приводящего к невозможности исполнения Заказчиком обязательств по Контракту, о чем Заказчик уведомляет Исполнителя, Стороны со</w:t>
      </w:r>
      <w:r>
        <w:rPr>
          <w:sz w:val="22"/>
          <w:szCs w:val="22"/>
        </w:rPr>
        <w:t xml:space="preserve">гласовывают в соответствии с законодательством Российской Федерации новые условия Контракта, в том числе по цене и (или) срокам исполнения Контракта и (или) объему услуги.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both"/>
        <w:widowControl w:val="off"/>
        <w:tabs>
          <w:tab w:val="left" w:pos="709" w:leader="none"/>
          <w:tab w:val="left" w:pos="1418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3</w:t>
      </w:r>
      <w:r>
        <w:rPr>
          <w:b/>
          <w:bCs/>
          <w:sz w:val="22"/>
          <w:szCs w:val="22"/>
        </w:rPr>
        <w:t xml:space="preserve">. Права и обязанности </w:t>
      </w:r>
      <w:r>
        <w:rPr>
          <w:b/>
          <w:bCs/>
          <w:sz w:val="22"/>
          <w:szCs w:val="22"/>
        </w:rPr>
        <w:t xml:space="preserve">С</w:t>
      </w:r>
      <w:r>
        <w:rPr>
          <w:b/>
          <w:bCs/>
          <w:sz w:val="22"/>
          <w:szCs w:val="22"/>
        </w:rPr>
        <w:t xml:space="preserve">торон.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numPr>
          <w:ilvl w:val="1"/>
          <w:numId w:val="5"/>
        </w:numPr>
        <w:ind w:left="0" w:firstLine="426"/>
        <w:jc w:val="both"/>
        <w:tabs>
          <w:tab w:val="left" w:pos="113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Заказчик имеет право: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numPr>
          <w:ilvl w:val="2"/>
          <w:numId w:val="5"/>
        </w:numPr>
        <w:ind w:left="0" w:firstLine="426"/>
        <w:jc w:val="both"/>
        <w:tabs>
          <w:tab w:val="left" w:pos="113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Требовать от </w:t>
      </w:r>
      <w:r>
        <w:rPr>
          <w:sz w:val="22"/>
          <w:szCs w:val="22"/>
        </w:rPr>
        <w:t xml:space="preserve">Исполнителя</w:t>
      </w:r>
      <w:r>
        <w:rPr>
          <w:sz w:val="22"/>
          <w:szCs w:val="22"/>
        </w:rPr>
        <w:t xml:space="preserve"> надлежащего исполнения обязательств в соответствии с Контрактом, а также требовать своевременного устранения выявленных недостатков.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40"/>
        <w:numPr>
          <w:ilvl w:val="2"/>
          <w:numId w:val="5"/>
        </w:numPr>
        <w:ind w:left="0" w:firstLine="426"/>
        <w:spacing w:line="240" w:lineRule="auto"/>
        <w:tabs>
          <w:tab w:val="left" w:pos="113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Требовать от Исполнителя представления надлежащим образом оформленных документов, указанных в п</w:t>
      </w:r>
      <w:r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5.2 Контракта.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numPr>
          <w:ilvl w:val="2"/>
          <w:numId w:val="5"/>
        </w:numPr>
        <w:ind w:left="0" w:firstLine="426"/>
        <w:jc w:val="both"/>
        <w:tabs>
          <w:tab w:val="left" w:pos="113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Проверять в любое время ход и качество </w:t>
      </w:r>
      <w:r>
        <w:rPr>
          <w:sz w:val="22"/>
          <w:szCs w:val="22"/>
        </w:rPr>
        <w:t xml:space="preserve">выполняемой </w:t>
      </w:r>
      <w:r>
        <w:rPr>
          <w:sz w:val="22"/>
          <w:szCs w:val="22"/>
        </w:rPr>
        <w:t xml:space="preserve">Исполнител</w:t>
      </w:r>
      <w:r>
        <w:rPr>
          <w:sz w:val="22"/>
          <w:szCs w:val="22"/>
        </w:rPr>
        <w:t xml:space="preserve">ем</w:t>
      </w:r>
      <w:r>
        <w:rPr>
          <w:sz w:val="22"/>
          <w:szCs w:val="22"/>
        </w:rPr>
        <w:t xml:space="preserve"> услуги по Контракту, оказывать консультативную и иную помощь без вмешательства в его оперативно-хозяйственную деятельность.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numPr>
          <w:ilvl w:val="2"/>
          <w:numId w:val="5"/>
        </w:numPr>
        <w:ind w:left="0" w:firstLine="426"/>
        <w:jc w:val="both"/>
        <w:tabs>
          <w:tab w:val="left" w:pos="113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Отказаться (полностью или частич</w:t>
      </w:r>
      <w:r>
        <w:rPr>
          <w:sz w:val="22"/>
          <w:szCs w:val="22"/>
        </w:rPr>
        <w:t xml:space="preserve">но) от приемки и оплаты услуги</w:t>
      </w:r>
      <w:r>
        <w:rPr>
          <w:sz w:val="22"/>
          <w:szCs w:val="22"/>
        </w:rPr>
        <w:t xml:space="preserve">, в случае неисполнения в срок или ненадлежащего исполнения Исполнителем принятых на себя обязательств в соответствии с условиями Контракта.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numPr>
          <w:ilvl w:val="2"/>
          <w:numId w:val="5"/>
        </w:numPr>
        <w:ind w:left="0" w:firstLine="426"/>
        <w:jc w:val="both"/>
        <w:tabs>
          <w:tab w:val="left" w:pos="113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Требовать возмещения убытков, причиненных по вине </w:t>
      </w:r>
      <w:r>
        <w:rPr>
          <w:sz w:val="22"/>
          <w:szCs w:val="22"/>
        </w:rPr>
        <w:t xml:space="preserve">Исполнителя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numPr>
          <w:ilvl w:val="2"/>
          <w:numId w:val="5"/>
        </w:numPr>
        <w:ind w:left="0" w:firstLine="426"/>
        <w:jc w:val="both"/>
        <w:tabs>
          <w:tab w:val="left" w:pos="113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Требовать от </w:t>
      </w:r>
      <w:r>
        <w:rPr>
          <w:sz w:val="22"/>
          <w:szCs w:val="22"/>
        </w:rPr>
        <w:t xml:space="preserve">Исполнителя</w:t>
      </w:r>
      <w:r>
        <w:rPr>
          <w:sz w:val="22"/>
          <w:szCs w:val="22"/>
        </w:rPr>
        <w:t xml:space="preserve"> возвратить сумму излишне полученных денежных сре</w:t>
      </w:r>
      <w:r>
        <w:rPr>
          <w:sz w:val="22"/>
          <w:szCs w:val="22"/>
        </w:rPr>
        <w:t xml:space="preserve">дств в сл</w:t>
      </w:r>
      <w:r>
        <w:rPr>
          <w:sz w:val="22"/>
          <w:szCs w:val="22"/>
        </w:rPr>
        <w:t xml:space="preserve">учае установления контрольными органами фактов оплаты Заказчиком </w:t>
      </w:r>
      <w:r>
        <w:rPr>
          <w:sz w:val="22"/>
          <w:szCs w:val="22"/>
        </w:rPr>
        <w:t xml:space="preserve">услуги</w:t>
      </w:r>
      <w:r>
        <w:rPr>
          <w:sz w:val="22"/>
          <w:szCs w:val="22"/>
        </w:rPr>
        <w:t xml:space="preserve"> сверх фактического объема </w:t>
      </w:r>
      <w:r>
        <w:rPr>
          <w:sz w:val="22"/>
          <w:szCs w:val="22"/>
        </w:rPr>
        <w:t xml:space="preserve">оказанной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услуги</w:t>
      </w:r>
      <w:r>
        <w:rPr>
          <w:sz w:val="22"/>
          <w:szCs w:val="22"/>
        </w:rPr>
        <w:t xml:space="preserve">, завышения стоимости </w:t>
      </w:r>
      <w:r>
        <w:rPr>
          <w:sz w:val="22"/>
          <w:szCs w:val="22"/>
        </w:rPr>
        <w:t xml:space="preserve">оказанной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услуги</w:t>
      </w:r>
      <w:r>
        <w:rPr>
          <w:sz w:val="22"/>
          <w:szCs w:val="22"/>
        </w:rPr>
        <w:t xml:space="preserve">, использования при выполнении </w:t>
      </w:r>
      <w:r>
        <w:rPr>
          <w:sz w:val="22"/>
          <w:szCs w:val="22"/>
        </w:rPr>
        <w:t xml:space="preserve">услуги</w:t>
      </w:r>
      <w:r>
        <w:rPr>
          <w:sz w:val="22"/>
          <w:szCs w:val="22"/>
        </w:rPr>
        <w:t xml:space="preserve"> материалов, не предусмотренных Контрактом, изменения способа </w:t>
      </w:r>
      <w:r>
        <w:rPr>
          <w:sz w:val="22"/>
          <w:szCs w:val="22"/>
        </w:rPr>
        <w:t xml:space="preserve">оказания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услуги</w:t>
      </w:r>
      <w:r>
        <w:rPr>
          <w:sz w:val="22"/>
          <w:szCs w:val="22"/>
        </w:rPr>
        <w:t xml:space="preserve"> при отсутствии соответствующих согласований с Заказчиком.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numPr>
          <w:ilvl w:val="2"/>
          <w:numId w:val="5"/>
        </w:numPr>
        <w:ind w:left="0" w:firstLine="426"/>
        <w:jc w:val="both"/>
        <w:tabs>
          <w:tab w:val="left" w:pos="113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Осуществлять иные права, предусмотренные Контрактом и (или) законодательством Российской Федерации.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numPr>
          <w:ilvl w:val="1"/>
          <w:numId w:val="5"/>
        </w:numPr>
        <w:ind w:left="0" w:firstLine="426"/>
        <w:jc w:val="both"/>
        <w:tabs>
          <w:tab w:val="left" w:pos="113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Заказчик обязан: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both"/>
        <w:tabs>
          <w:tab w:val="left" w:pos="113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3.2.1.Проводить экспертизу предоставленных Исполнителем результатов, предусмотренных Контрактом, в части их соответствия условиям Контракта своими силами или путем привлечения экспертов, экспертных организаций.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both"/>
        <w:tabs>
          <w:tab w:val="left" w:pos="113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3.2.2.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Обеспечить приемку оказанной по Контракту услуги, в соответствии с условиями Контракта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both"/>
        <w:tabs>
          <w:tab w:val="left" w:pos="113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3.2.3. Оплатить оказанную услугу, в соответствии с условиями Контракта.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both"/>
        <w:tabs>
          <w:tab w:val="left" w:pos="113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3.2.4. Направить Исполнителю требование об уплате неустоек (штрафов, пеней) за неисполнение или ненадлежащее исполнение обязательств по Контракту.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both"/>
        <w:tabs>
          <w:tab w:val="left" w:pos="113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3.2.5. Выполнять иные обязанности, предусмотренные Контрактом.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numPr>
          <w:ilvl w:val="1"/>
          <w:numId w:val="5"/>
        </w:numPr>
        <w:ind w:left="0" w:firstLine="426"/>
        <w:jc w:val="both"/>
        <w:tabs>
          <w:tab w:val="left" w:pos="113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Исполнитель</w:t>
      </w:r>
      <w:r>
        <w:rPr>
          <w:sz w:val="22"/>
          <w:szCs w:val="22"/>
        </w:rPr>
        <w:t xml:space="preserve"> вправе: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numPr>
          <w:ilvl w:val="2"/>
          <w:numId w:val="5"/>
        </w:numPr>
        <w:ind w:left="0" w:firstLine="426"/>
        <w:jc w:val="both"/>
        <w:tabs>
          <w:tab w:val="left" w:pos="113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Тре</w:t>
      </w:r>
      <w:r>
        <w:rPr>
          <w:sz w:val="22"/>
          <w:szCs w:val="22"/>
        </w:rPr>
        <w:t xml:space="preserve">бовать приемки и оплаты услуги, </w:t>
      </w:r>
      <w:r>
        <w:rPr>
          <w:sz w:val="22"/>
          <w:szCs w:val="22"/>
        </w:rPr>
        <w:t xml:space="preserve">в объеме, порядке, сроки и на условиях, предусмотренных Контрактом.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numPr>
          <w:ilvl w:val="2"/>
          <w:numId w:val="5"/>
        </w:numPr>
        <w:ind w:left="0" w:firstLine="426"/>
        <w:jc w:val="both"/>
        <w:tabs>
          <w:tab w:val="left" w:pos="113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Требовать от Заказчика оплаты принятого без замечаний результата </w:t>
      </w:r>
      <w:r>
        <w:rPr>
          <w:sz w:val="22"/>
          <w:szCs w:val="22"/>
        </w:rPr>
        <w:t xml:space="preserve">услуги</w:t>
      </w:r>
      <w:r>
        <w:rPr>
          <w:i/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numPr>
          <w:ilvl w:val="2"/>
          <w:numId w:val="5"/>
        </w:numPr>
        <w:ind w:left="0" w:firstLine="426"/>
        <w:jc w:val="both"/>
        <w:tabs>
          <w:tab w:val="left" w:pos="113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Требовать уплаты неустоек (штрафов, пеней) и (или) убытков, причиненных по вине Заказчика.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numPr>
          <w:ilvl w:val="1"/>
          <w:numId w:val="5"/>
        </w:numPr>
        <w:ind w:left="0" w:firstLine="426"/>
        <w:jc w:val="both"/>
        <w:tabs>
          <w:tab w:val="left" w:pos="113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Исполнитель</w:t>
      </w:r>
      <w:r>
        <w:rPr>
          <w:sz w:val="22"/>
          <w:szCs w:val="22"/>
        </w:rPr>
        <w:t xml:space="preserve"> обязан: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both"/>
        <w:tabs>
          <w:tab w:val="left" w:pos="113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3.4.1.</w:t>
      </w:r>
      <w:r>
        <w:rPr>
          <w:sz w:val="22"/>
          <w:szCs w:val="22"/>
        </w:rPr>
        <w:tab/>
        <w:t xml:space="preserve">Оказать предусмотренную Контрактом услугу, обеспечив надлежащее качество, в соответствии с требованиями нормативных документов, в сроки, ус</w:t>
      </w:r>
      <w:r>
        <w:rPr>
          <w:sz w:val="22"/>
          <w:szCs w:val="22"/>
        </w:rPr>
        <w:t xml:space="preserve">тановленные Контрактом</w:t>
      </w:r>
      <w:r>
        <w:rPr>
          <w:sz w:val="22"/>
          <w:szCs w:val="22"/>
        </w:rPr>
        <w:t xml:space="preserve">, в пределах цены Контракта.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both"/>
        <w:tabs>
          <w:tab w:val="left" w:pos="113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3.4.2.</w:t>
      </w:r>
      <w:r>
        <w:rPr>
          <w:sz w:val="22"/>
          <w:szCs w:val="22"/>
        </w:rPr>
        <w:tab/>
        <w:t xml:space="preserve">Соблюдать действующие у Заказчика правила внутреннего трудового распорядка, правила техники безопасности и пожарной безопасности, а также пропускной режим.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both"/>
        <w:tabs>
          <w:tab w:val="left" w:pos="113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3.4.3.</w:t>
      </w:r>
      <w:r>
        <w:rPr>
          <w:sz w:val="22"/>
          <w:szCs w:val="22"/>
        </w:rPr>
        <w:tab/>
        <w:t xml:space="preserve">Не предоставлять другим лицам или разглашать иным способом конфиденциальную информацию, полученную в результате исполнения обязательств по Контракту.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both"/>
        <w:tabs>
          <w:tab w:val="left" w:pos="113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3.4.4.</w:t>
      </w:r>
      <w:r>
        <w:rPr>
          <w:sz w:val="22"/>
          <w:szCs w:val="22"/>
        </w:rPr>
        <w:tab/>
        <w:t xml:space="preserve">По требованию Заказчика своими средствами и за свой счет в срок, согласованный с Заказчиком устранить допущенные по своей вине недостатки или иные отступления от условий Контракта.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both"/>
        <w:tabs>
          <w:tab w:val="left" w:pos="113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3.4.5.</w:t>
      </w:r>
      <w:r>
        <w:rPr>
          <w:sz w:val="22"/>
          <w:szCs w:val="22"/>
        </w:rPr>
        <w:t xml:space="preserve"> Предоставлять своевременно достоверную информацию о ходе исполнения своих обязательств, в том числе о сложностях, возникающих при исполнении Контракта.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both"/>
        <w:tabs>
          <w:tab w:val="left" w:pos="113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3.4.</w:t>
      </w:r>
      <w:r>
        <w:rPr>
          <w:sz w:val="22"/>
          <w:szCs w:val="22"/>
        </w:rPr>
        <w:t xml:space="preserve">6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ab/>
      </w:r>
      <w:r>
        <w:rPr>
          <w:sz w:val="22"/>
          <w:szCs w:val="22"/>
        </w:rPr>
        <w:t xml:space="preserve">Возвра</w:t>
      </w:r>
      <w:r>
        <w:rPr>
          <w:sz w:val="22"/>
          <w:szCs w:val="22"/>
        </w:rPr>
        <w:t xml:space="preserve">тить сумму излишне полученных денежных средств в случае установления контролирующими органами фактов оплаты Заказчиком услуги сверх фактически оказанного объема услуги, использования при оказании услуги материалов, не предусмотренных Контрактом, изменения </w:t>
      </w:r>
      <w:r>
        <w:rPr>
          <w:sz w:val="22"/>
          <w:szCs w:val="22"/>
        </w:rPr>
        <w:t xml:space="preserve">способа оказания услуги при отсутствии соответствующих согласований с Заказчиком, а также в других случаях, установленных актом проверки, в течение 10 (Десяти) дней с даты получения требования Заказчика.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both"/>
        <w:tabs>
          <w:tab w:val="left" w:pos="113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3.4.</w:t>
      </w:r>
      <w:r>
        <w:rPr>
          <w:sz w:val="22"/>
          <w:szCs w:val="22"/>
        </w:rPr>
        <w:t xml:space="preserve">7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Выполнять иные обязанности, предусмотренные Контрактом.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both"/>
        <w:tabs>
          <w:tab w:val="left" w:pos="1134" w:leader="none"/>
        </w:tabs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</w:r>
      <w:r>
        <w:rPr>
          <w:i/>
          <w:iCs/>
          <w:sz w:val="22"/>
          <w:szCs w:val="22"/>
        </w:rPr>
      </w:r>
      <w:r>
        <w:rPr>
          <w:i/>
          <w:iCs/>
          <w:sz w:val="22"/>
          <w:szCs w:val="22"/>
        </w:rPr>
      </w:r>
    </w:p>
    <w:p>
      <w:pPr>
        <w:numPr>
          <w:ilvl w:val="0"/>
          <w:numId w:val="5"/>
        </w:numPr>
        <w:ind w:left="0" w:firstLine="426"/>
        <w:jc w:val="center"/>
        <w:keepNext/>
        <w:tabs>
          <w:tab w:val="left" w:pos="426" w:leader="none"/>
          <w:tab w:val="left" w:pos="1276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Сроки </w:t>
      </w:r>
      <w:r>
        <w:rPr>
          <w:b/>
          <w:sz w:val="22"/>
          <w:szCs w:val="22"/>
        </w:rPr>
        <w:t xml:space="preserve">оказания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услуги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940"/>
        <w:numPr>
          <w:ilvl w:val="1"/>
          <w:numId w:val="5"/>
        </w:numPr>
        <w:keepNext/>
        <w:spacing w:line="240" w:lineRule="auto"/>
        <w:tabs>
          <w:tab w:val="left" w:pos="851" w:leader="none"/>
        </w:tabs>
        <w:rPr>
          <w:sz w:val="22"/>
          <w:szCs w:val="22"/>
        </w:rPr>
        <w:outlineLvl w:val="2"/>
      </w:pPr>
      <w:r>
        <w:rPr>
          <w:sz w:val="22"/>
          <w:szCs w:val="22"/>
        </w:rPr>
        <w:t xml:space="preserve">Услуги должны быть оказаны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в течение 3</w:t>
      </w:r>
      <w:r>
        <w:rPr>
          <w:sz w:val="22"/>
          <w:szCs w:val="22"/>
          <w:highlight w:val="none"/>
        </w:rPr>
        <w:t xml:space="preserve">0</w:t>
      </w:r>
      <w:r>
        <w:rPr>
          <w:sz w:val="22"/>
          <w:szCs w:val="22"/>
          <w:highlight w:val="none"/>
        </w:rPr>
        <w:t xml:space="preserve"> </w:t>
      </w:r>
      <w:r>
        <w:rPr>
          <w:sz w:val="22"/>
          <w:szCs w:val="22"/>
          <w:highlight w:val="none"/>
        </w:rPr>
        <w:t xml:space="preserve">(</w:t>
      </w:r>
      <w:r>
        <w:rPr>
          <w:sz w:val="22"/>
          <w:szCs w:val="22"/>
          <w:highlight w:val="none"/>
        </w:rPr>
        <w:t xml:space="preserve">тридцати</w:t>
      </w:r>
      <w:r>
        <w:rPr>
          <w:sz w:val="22"/>
          <w:szCs w:val="22"/>
          <w:highlight w:val="none"/>
        </w:rPr>
        <w:t xml:space="preserve">) календарных дн</w:t>
      </w:r>
      <w:r>
        <w:rPr>
          <w:sz w:val="22"/>
          <w:szCs w:val="22"/>
          <w:highlight w:val="none"/>
        </w:rPr>
        <w:t xml:space="preserve">ей </w:t>
      </w:r>
      <w:r>
        <w:rPr>
          <w:sz w:val="22"/>
          <w:szCs w:val="22"/>
        </w:rPr>
        <w:t xml:space="preserve">со дня заключения контракта. 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40"/>
        <w:ind w:left="426" w:firstLine="0"/>
        <w:keepNext/>
        <w:spacing w:line="240" w:lineRule="auto"/>
        <w:tabs>
          <w:tab w:val="left" w:pos="426" w:leader="none"/>
        </w:tabs>
        <w:rPr>
          <w:sz w:val="22"/>
          <w:szCs w:val="22"/>
        </w:rPr>
        <w:outlineLvl w:val="2"/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center"/>
        <w:keepNext/>
        <w:tabs>
          <w:tab w:val="left" w:pos="426" w:leader="none"/>
        </w:tabs>
        <w:rPr>
          <w:b/>
          <w:bCs/>
          <w:sz w:val="22"/>
          <w:szCs w:val="22"/>
        </w:rPr>
        <w:outlineLvl w:val="2"/>
      </w:pPr>
      <w:r>
        <w:rPr>
          <w:b/>
          <w:sz w:val="22"/>
          <w:szCs w:val="22"/>
        </w:rPr>
        <w:t xml:space="preserve">5. </w:t>
      </w:r>
      <w:r>
        <w:rPr>
          <w:b/>
          <w:bCs/>
          <w:sz w:val="22"/>
          <w:szCs w:val="22"/>
        </w:rPr>
        <w:t xml:space="preserve">Порядок сдачи и приемки </w:t>
      </w:r>
      <w:r>
        <w:rPr>
          <w:b/>
          <w:sz w:val="22"/>
          <w:szCs w:val="22"/>
        </w:rPr>
        <w:t xml:space="preserve">услуги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numPr>
          <w:ilvl w:val="1"/>
          <w:numId w:val="21"/>
        </w:numPr>
        <w:ind w:left="0" w:firstLine="426"/>
        <w:jc w:val="both"/>
        <w:shd w:val="clear" w:color="auto" w:fill="ffffff"/>
        <w:tabs>
          <w:tab w:val="left" w:pos="0" w:leader="none"/>
          <w:tab w:val="left" w:pos="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Приемка оказанной услуги на соответствие требованиям, установленным в Контракте, осуществляется</w:t>
      </w:r>
      <w:r>
        <w:rPr>
          <w:sz w:val="22"/>
          <w:szCs w:val="22"/>
        </w:rPr>
        <w:t xml:space="preserve"> за весь предусмотренный Контрактом объем </w:t>
      </w:r>
      <w:r>
        <w:rPr>
          <w:sz w:val="22"/>
          <w:szCs w:val="22"/>
        </w:rPr>
        <w:t xml:space="preserve">услуги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numPr>
          <w:ilvl w:val="1"/>
          <w:numId w:val="21"/>
        </w:numPr>
        <w:ind w:left="0" w:firstLine="426"/>
        <w:jc w:val="both"/>
        <w:shd w:val="clear" w:color="auto" w:fill="ffffff"/>
        <w:tabs>
          <w:tab w:val="left" w:pos="284" w:leader="none"/>
          <w:tab w:val="left" w:pos="851" w:leader="none"/>
          <w:tab w:val="left" w:pos="1134" w:leader="none"/>
          <w:tab w:val="left" w:pos="1418" w:leader="none"/>
          <w:tab w:val="left" w:pos="149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Исполнитель в день окончания оказания услуги направляет в адрес Заказчика</w:t>
      </w:r>
      <w:r>
        <w:rPr>
          <w:sz w:val="22"/>
          <w:szCs w:val="22"/>
        </w:rPr>
        <w:t xml:space="preserve">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426"/>
        <w:jc w:val="both"/>
        <w:shd w:val="clear" w:color="auto" w:fill="ffffff"/>
        <w:tabs>
          <w:tab w:val="left" w:pos="284" w:leader="none"/>
          <w:tab w:val="left" w:pos="851" w:leader="none"/>
          <w:tab w:val="left" w:pos="1134" w:leader="none"/>
          <w:tab w:val="left" w:pos="1418" w:leader="none"/>
          <w:tab w:val="left" w:pos="149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-</w:t>
      </w:r>
      <w:r>
        <w:rPr>
          <w:sz w:val="22"/>
          <w:szCs w:val="22"/>
        </w:rPr>
        <w:t xml:space="preserve"> извещение (уведомление) о готовности услуги к сдаче,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426"/>
        <w:jc w:val="both"/>
        <w:shd w:val="clear" w:color="auto" w:fill="ffffff"/>
        <w:tabs>
          <w:tab w:val="left" w:pos="284" w:leader="none"/>
          <w:tab w:val="left" w:pos="851" w:leader="none"/>
          <w:tab w:val="left" w:pos="1134" w:leader="none"/>
          <w:tab w:val="left" w:pos="1418" w:leader="none"/>
          <w:tab w:val="left" w:pos="149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sz w:val="22"/>
          <w:szCs w:val="22"/>
        </w:rPr>
        <w:t xml:space="preserve">документ</w:t>
      </w:r>
      <w:r>
        <w:rPr>
          <w:sz w:val="22"/>
          <w:szCs w:val="22"/>
        </w:rPr>
        <w:t xml:space="preserve"> о приемк</w:t>
      </w:r>
      <w:r>
        <w:rPr>
          <w:sz w:val="22"/>
          <w:szCs w:val="22"/>
        </w:rPr>
        <w:t xml:space="preserve">е составленный по форме, с учетом положений п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 5.4 Контракта.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both"/>
        <w:shd w:val="clear" w:color="auto" w:fill="ffffff"/>
        <w:tabs>
          <w:tab w:val="left" w:pos="284" w:leader="none"/>
          <w:tab w:val="left" w:pos="851" w:leader="none"/>
          <w:tab w:val="left" w:pos="1134" w:leader="none"/>
          <w:tab w:val="left" w:pos="1418" w:leader="none"/>
          <w:tab w:val="left" w:pos="149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В случае неисполнения Исполнителем указанной обязанности Заказчик вправе приостановить приемку услуги.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numPr>
          <w:ilvl w:val="1"/>
          <w:numId w:val="21"/>
        </w:numPr>
        <w:ind w:left="0" w:firstLine="426"/>
        <w:jc w:val="both"/>
        <w:shd w:val="clear" w:color="auto" w:fill="ffffff"/>
        <w:tabs>
          <w:tab w:val="left" w:pos="284" w:leader="none"/>
          <w:tab w:val="left" w:pos="851" w:leader="none"/>
          <w:tab w:val="left" w:pos="1418" w:leader="none"/>
          <w:tab w:val="left" w:pos="1498" w:leader="none"/>
        </w:tabs>
        <w:rPr>
          <w:strike/>
          <w:sz w:val="22"/>
          <w:szCs w:val="22"/>
        </w:rPr>
      </w:pPr>
      <w:r>
        <w:rPr>
          <w:sz w:val="22"/>
          <w:szCs w:val="22"/>
        </w:rPr>
        <w:t xml:space="preserve">Приемка Заказчиком исполнения К</w:t>
      </w:r>
      <w:r>
        <w:rPr>
          <w:sz w:val="22"/>
          <w:szCs w:val="22"/>
        </w:rPr>
        <w:t xml:space="preserve">онтракта</w:t>
      </w:r>
      <w:r>
        <w:rPr>
          <w:sz w:val="22"/>
          <w:szCs w:val="22"/>
        </w:rPr>
        <w:t xml:space="preserve">,</w:t>
      </w:r>
      <w:r>
        <w:rPr>
          <w:sz w:val="22"/>
          <w:szCs w:val="22"/>
        </w:rPr>
        <w:t xml:space="preserve"> а также оказанной услуги</w:t>
      </w:r>
      <w:r>
        <w:rPr>
          <w:sz w:val="22"/>
          <w:szCs w:val="22"/>
        </w:rPr>
        <w:t xml:space="preserve"> включая проведение экспертизы результатов, предусмотренных Контрактом, в части их соответствия условиям Контракта осуществляется в течение</w:t>
      </w:r>
      <w:r>
        <w:rPr>
          <w:sz w:val="22"/>
          <w:szCs w:val="22"/>
        </w:rPr>
        <w:t xml:space="preserve">: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5</w:t>
      </w:r>
      <w:r>
        <w:rPr>
          <w:b/>
          <w:sz w:val="22"/>
          <w:szCs w:val="22"/>
        </w:rPr>
        <w:t xml:space="preserve"> (</w:t>
      </w:r>
      <w:r>
        <w:rPr>
          <w:b/>
          <w:sz w:val="22"/>
          <w:szCs w:val="22"/>
        </w:rPr>
        <w:t xml:space="preserve">пяти</w:t>
      </w:r>
      <w:r>
        <w:rPr>
          <w:b/>
          <w:sz w:val="22"/>
          <w:szCs w:val="22"/>
        </w:rPr>
        <w:t xml:space="preserve">)</w:t>
      </w:r>
      <w:r>
        <w:rPr>
          <w:b/>
          <w:sz w:val="22"/>
          <w:szCs w:val="22"/>
        </w:rPr>
        <w:t xml:space="preserve"> рабочих</w:t>
      </w:r>
      <w:r>
        <w:rPr>
          <w:b/>
          <w:sz w:val="22"/>
          <w:szCs w:val="22"/>
        </w:rPr>
        <w:t xml:space="preserve"> дней</w:t>
      </w:r>
      <w:r>
        <w:rPr>
          <w:sz w:val="22"/>
          <w:szCs w:val="22"/>
        </w:rPr>
        <w:t xml:space="preserve"> со дня поступления от Исполнителя извещения (уведомления), документ</w:t>
      </w:r>
      <w:r>
        <w:rPr>
          <w:sz w:val="22"/>
          <w:szCs w:val="22"/>
        </w:rPr>
        <w:t xml:space="preserve">а(</w:t>
      </w:r>
      <w:r>
        <w:rPr>
          <w:sz w:val="22"/>
          <w:szCs w:val="22"/>
        </w:rPr>
        <w:t xml:space="preserve">ов</w:t>
      </w:r>
      <w:r>
        <w:rPr>
          <w:sz w:val="22"/>
          <w:szCs w:val="22"/>
        </w:rPr>
        <w:t xml:space="preserve">) о приемке</w:t>
      </w:r>
      <w:r>
        <w:rPr>
          <w:sz w:val="22"/>
          <w:szCs w:val="22"/>
        </w:rPr>
        <w:t xml:space="preserve"> услуги.</w:t>
      </w:r>
      <w:r>
        <w:rPr>
          <w:sz w:val="22"/>
          <w:szCs w:val="22"/>
        </w:rPr>
        <w:t xml:space="preserve"> </w:t>
      </w:r>
      <w:r>
        <w:rPr>
          <w:strike/>
          <w:sz w:val="22"/>
          <w:szCs w:val="22"/>
        </w:rPr>
      </w:r>
      <w:r>
        <w:rPr>
          <w:strike/>
          <w:sz w:val="22"/>
          <w:szCs w:val="22"/>
        </w:rPr>
      </w:r>
    </w:p>
    <w:p>
      <w:pPr>
        <w:numPr>
          <w:ilvl w:val="1"/>
          <w:numId w:val="21"/>
        </w:numPr>
        <w:contextualSpacing/>
        <w:ind w:left="0" w:firstLine="426"/>
        <w:jc w:val="both"/>
        <w:tabs>
          <w:tab w:val="left" w:pos="284" w:leader="none"/>
          <w:tab w:val="left" w:pos="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Исполнитель формирует с использованием единой информационной системы, подписывает усиленной электронной подписью лица, имеющего право действовать от имени </w:t>
      </w:r>
      <w:r>
        <w:rPr>
          <w:sz w:val="22"/>
          <w:szCs w:val="22"/>
        </w:rPr>
        <w:t xml:space="preserve">Исполнителя</w:t>
      </w:r>
      <w:r>
        <w:rPr>
          <w:sz w:val="22"/>
          <w:szCs w:val="22"/>
        </w:rPr>
        <w:t xml:space="preserve">, и размещает в единой информационной системе документ о при</w:t>
      </w:r>
      <w:r>
        <w:rPr>
          <w:sz w:val="22"/>
          <w:szCs w:val="22"/>
        </w:rPr>
        <w:t xml:space="preserve">емке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numPr>
          <w:ilvl w:val="1"/>
          <w:numId w:val="21"/>
        </w:numPr>
        <w:contextualSpacing/>
        <w:ind w:left="0" w:firstLine="426"/>
        <w:jc w:val="both"/>
        <w:tabs>
          <w:tab w:val="left" w:pos="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Датой поступления заказчику документа о приемке, подписанного Исполнителем</w:t>
      </w:r>
      <w:r>
        <w:rPr>
          <w:sz w:val="22"/>
          <w:szCs w:val="22"/>
        </w:rPr>
        <w:t xml:space="preserve">,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считается дата размещения в соответствии с п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 5.4. Контракта такого документа в единой информационной системе в соответствии с часовой зоной, в которой расположен заказчик.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numPr>
          <w:ilvl w:val="1"/>
          <w:numId w:val="21"/>
        </w:numPr>
        <w:ind w:left="0" w:firstLine="426"/>
        <w:jc w:val="both"/>
        <w:shd w:val="clear" w:color="auto" w:fill="ffffff"/>
        <w:tabs>
          <w:tab w:val="left" w:pos="851" w:leader="none"/>
          <w:tab w:val="left" w:pos="1418" w:leader="none"/>
          <w:tab w:val="left" w:pos="149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Заказчик извещает Исполнителя о дате (датах) приемки. Исполнитель имеет право направить сво</w:t>
      </w:r>
      <w:r>
        <w:rPr>
          <w:sz w:val="22"/>
          <w:szCs w:val="22"/>
        </w:rPr>
        <w:t xml:space="preserve">его представителя для наблюдения за процедурой приемки, известив об этом Заказчика. В случае поступления Заказчику извещения от Исполнителя о направлении своего представителя приемка должна быть осуществлена только в присутствии представителя Исполнителя.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numPr>
          <w:ilvl w:val="1"/>
          <w:numId w:val="21"/>
        </w:numPr>
        <w:ind w:left="0" w:firstLine="426"/>
        <w:jc w:val="both"/>
        <w:shd w:val="clear" w:color="auto" w:fill="ffffff"/>
        <w:tabs>
          <w:tab w:val="left" w:pos="851" w:leader="none"/>
          <w:tab w:val="left" w:pos="1418" w:leader="none"/>
          <w:tab w:val="left" w:pos="149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Экспертиза результатов, предусмотренных Контрактом, может проводиться Заказчиком своими силами или </w:t>
      </w:r>
      <w:r>
        <w:rPr>
          <w:bCs/>
          <w:sz w:val="22"/>
          <w:szCs w:val="22"/>
        </w:rPr>
        <w:t xml:space="preserve">к ее проведению могут привлекаться эксперты, экспертные организации.</w:t>
      </w:r>
      <w:r>
        <w:rPr>
          <w:sz w:val="22"/>
          <w:szCs w:val="22"/>
        </w:rPr>
        <w:t xml:space="preserve"> Заказчик вправе создать приемочную комиссию, состоящую из не менее пяти человек. В случае привлечения Заказчиком для проведения экспертизы экспертов, экспертных орг</w:t>
      </w:r>
      <w:r>
        <w:rPr>
          <w:sz w:val="22"/>
          <w:szCs w:val="22"/>
        </w:rPr>
        <w:t xml:space="preserve">анизаций при принятии решения о приемке или об отказе в приемке оказанной услуги приемочная комиссия должна учитывать отраженные в заключении по результатам указанной экспертизы предложения экспертов, экспертных организаций, привлеченных для ее проведения.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numPr>
          <w:ilvl w:val="1"/>
          <w:numId w:val="21"/>
        </w:numPr>
        <w:ind w:left="0" w:firstLine="426"/>
        <w:jc w:val="both"/>
        <w:shd w:val="clear" w:color="auto" w:fill="ffffff"/>
        <w:tabs>
          <w:tab w:val="left" w:pos="851" w:leader="none"/>
          <w:tab w:val="left" w:pos="1418" w:leader="none"/>
          <w:tab w:val="left" w:pos="1498" w:leader="none"/>
        </w:tabs>
        <w:rPr>
          <w:sz w:val="22"/>
          <w:szCs w:val="22"/>
        </w:rPr>
      </w:pPr>
      <w:r>
        <w:rPr>
          <w:sz w:val="22"/>
          <w:szCs w:val="22"/>
          <w:lang w:eastAsia="ar-SA"/>
        </w:rPr>
        <w:t xml:space="preserve">Заказчик, принявший услугу без проверки, не лишается права ссылаться на недостатки, которые будут установлены в ходе использования услуги.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numPr>
          <w:ilvl w:val="1"/>
          <w:numId w:val="21"/>
        </w:numPr>
        <w:ind w:left="0" w:firstLine="426"/>
        <w:jc w:val="both"/>
        <w:shd w:val="clear" w:color="auto" w:fill="ffffff"/>
        <w:tabs>
          <w:tab w:val="left" w:pos="851" w:leader="none"/>
          <w:tab w:val="left" w:pos="1418" w:leader="none"/>
          <w:tab w:val="left" w:pos="149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При уклонении Заказчика от принятия оказанной услуги Исполнитель не вправе продавать оказанную услугу в соответствии с п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 6 ст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 720 Гражданского кодекса Российской Федерации.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numPr>
          <w:ilvl w:val="1"/>
          <w:numId w:val="21"/>
        </w:numPr>
        <w:ind w:left="0" w:firstLine="426"/>
        <w:jc w:val="both"/>
        <w:shd w:val="clear" w:color="auto" w:fill="ffffff"/>
        <w:tabs>
          <w:tab w:val="left" w:pos="993" w:leader="none"/>
          <w:tab w:val="left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По истечении срока, указанного в п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 5.3 Контракта Заказчик (за исключением случая создания приемочной комиссии) совершает одно из следующих действий: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contextualSpacing/>
        <w:ind w:firstLine="426"/>
        <w:jc w:val="both"/>
        <w:tabs>
          <w:tab w:val="left" w:pos="993" w:leader="none"/>
          <w:tab w:val="left" w:pos="1276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а) подписывает усиленной электронной подписью лица, имеющего право действовать от имени заказчика, и размещает в единой информационной системе документ о приемке;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contextualSpacing/>
        <w:ind w:firstLine="426"/>
        <w:jc w:val="both"/>
        <w:tabs>
          <w:tab w:val="left" w:pos="993" w:leader="none"/>
          <w:tab w:val="left" w:pos="1276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б) формирует с использованием еди</w:t>
      </w:r>
      <w:r>
        <w:rPr>
          <w:sz w:val="22"/>
          <w:szCs w:val="22"/>
        </w:rPr>
        <w:t xml:space="preserve">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мотивированный отказ от подписания документа о приемке с указанием причин такого отказа;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numPr>
          <w:ilvl w:val="1"/>
          <w:numId w:val="21"/>
        </w:numPr>
        <w:contextualSpacing/>
        <w:ind w:left="0" w:firstLine="426"/>
        <w:jc w:val="both"/>
        <w:tabs>
          <w:tab w:val="left" w:pos="993" w:leader="none"/>
          <w:tab w:val="left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В случае создания в соответствии с п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 5.7. Контракта приемочной комиссии по истечении срока, указанного в п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 5.3. Контракта: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contextualSpacing/>
        <w:ind w:firstLine="426"/>
        <w:jc w:val="both"/>
        <w:tabs>
          <w:tab w:val="left" w:pos="993" w:leader="none"/>
          <w:tab w:val="left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а) члены приемочной комиссии подписывают усиленными эле</w:t>
      </w:r>
      <w:r>
        <w:rPr>
          <w:sz w:val="22"/>
          <w:szCs w:val="22"/>
        </w:rPr>
        <w:t xml:space="preserve">ктронными подписями поступивший документ о приемке или формируют с использованием единой информационной системы, подписывают усиленными электронными подписями мотивированный отказ от подписания документа о приемке с указанием причин такого отказа. При этом</w:t>
      </w:r>
      <w:r>
        <w:rPr>
          <w:sz w:val="22"/>
          <w:szCs w:val="22"/>
        </w:rPr>
        <w:t xml:space="preserve">,</w:t>
      </w:r>
      <w:r>
        <w:rPr>
          <w:sz w:val="22"/>
          <w:szCs w:val="22"/>
        </w:rPr>
        <w:t xml:space="preserve"> если приемочная комиссия включает членов, не являющихся </w:t>
      </w:r>
      <w:r>
        <w:rPr>
          <w:sz w:val="22"/>
          <w:szCs w:val="22"/>
        </w:rPr>
        <w:t xml:space="preserve">работниками Заказчика, допускается осуществлять подписание документа о приемке, составление мотивированного отказа от подписания документа о приемке, подписание такого отказа без использования усиленных электронных подписей и единой информационной системы.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contextualSpacing/>
        <w:ind w:firstLine="426"/>
        <w:jc w:val="both"/>
        <w:tabs>
          <w:tab w:val="left" w:pos="993" w:leader="none"/>
          <w:tab w:val="left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б) 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</w:t>
      </w:r>
      <w:r>
        <w:rPr>
          <w:sz w:val="22"/>
          <w:szCs w:val="22"/>
        </w:rPr>
        <w:t xml:space="preserve">от подписания документа о приемке усиленной электронной подписью лица, имеющего право действовать от имени Заказч</w:t>
      </w:r>
      <w:r>
        <w:rPr>
          <w:sz w:val="22"/>
          <w:szCs w:val="22"/>
        </w:rPr>
        <w:t xml:space="preserve">ика, и размещает их в единой информационной системе. Если члены приемочной комиссии не использовали усиленные электронные подписи и единую информационную систему, Заказчик прилагает подписанные ими документы в форме электронных образов бумажных документов.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numPr>
          <w:ilvl w:val="1"/>
          <w:numId w:val="21"/>
        </w:numPr>
        <w:contextualSpacing/>
        <w:ind w:left="0" w:firstLine="426"/>
        <w:jc w:val="both"/>
        <w:tabs>
          <w:tab w:val="left" w:pos="993" w:leader="none"/>
          <w:tab w:val="left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В случае отказа Заказчика от принятия услуги в связи с необходимостью устранения выявленных недостатков, Исполнитель вправе в срок, установленный в мотивированном отказе от подписания документа о приемке, составленном Заказчиком, устранить причины</w:t>
      </w:r>
      <w:r>
        <w:rPr>
          <w:sz w:val="22"/>
          <w:szCs w:val="22"/>
        </w:rPr>
        <w:t xml:space="preserve">,</w:t>
      </w:r>
      <w:r>
        <w:rPr>
          <w:sz w:val="22"/>
          <w:szCs w:val="22"/>
        </w:rPr>
        <w:t xml:space="preserve"> указанные в таком мотивированном отказе недостатки за свой счет и направить заказчику документ о приемке в порядке, предусмотренном п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 5.4 Контракта.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numPr>
          <w:ilvl w:val="1"/>
          <w:numId w:val="21"/>
        </w:numPr>
        <w:contextualSpacing/>
        <w:ind w:left="0" w:firstLine="426"/>
        <w:jc w:val="both"/>
        <w:tabs>
          <w:tab w:val="left" w:pos="993" w:leader="none"/>
          <w:tab w:val="left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В случае если Исполнитель не согласен с </w:t>
      </w:r>
      <w:r>
        <w:rPr>
          <w:sz w:val="22"/>
          <w:szCs w:val="22"/>
        </w:rPr>
        <w:t xml:space="preserve">мотивированным отказом от подписания документа о приемке</w:t>
      </w:r>
      <w:r>
        <w:rPr>
          <w:sz w:val="22"/>
          <w:szCs w:val="22"/>
        </w:rPr>
        <w:t xml:space="preserve">, Исполнитель обязан самостоятельно подтвердить надлежащие исполнение обязательств по Контракту заключением эксперта, эксп</w:t>
      </w:r>
      <w:r>
        <w:rPr>
          <w:sz w:val="22"/>
          <w:szCs w:val="22"/>
        </w:rPr>
        <w:t xml:space="preserve">ертной организации и оригинал экспертного заключения представить Заказчику. Выбор эксперта, экспертной организации осуществляется Исполнителем. Оплата услуг эксперта, экспертной организации, а также всех расходов для экспертизы осуществляется Исполнителем.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numPr>
          <w:ilvl w:val="1"/>
          <w:numId w:val="21"/>
        </w:numPr>
        <w:contextualSpacing/>
        <w:ind w:left="0" w:firstLine="426"/>
        <w:jc w:val="both"/>
        <w:tabs>
          <w:tab w:val="left" w:pos="993" w:leader="none"/>
          <w:tab w:val="left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Если Исполнитель в установленный срок не устранит нарушения, Заказчик вправе предъявить Исполнителю требование о возмещении своих расходов на устранение недостатков услуги и (или) принять решение </w:t>
      </w:r>
      <w:r>
        <w:rPr>
          <w:sz w:val="22"/>
          <w:szCs w:val="22"/>
        </w:rPr>
        <w:t xml:space="preserve">об одностороннем отказе от исполнения Контракта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numPr>
          <w:ilvl w:val="1"/>
          <w:numId w:val="21"/>
        </w:numPr>
        <w:contextualSpacing/>
        <w:ind w:left="0" w:firstLine="425"/>
        <w:jc w:val="both"/>
        <w:tabs>
          <w:tab w:val="left" w:pos="993" w:leader="none"/>
          <w:tab w:val="left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Повторная процедура приемки оказанной услуги осуществляется в пор</w:t>
      </w:r>
      <w:r>
        <w:rPr>
          <w:sz w:val="22"/>
          <w:szCs w:val="22"/>
        </w:rPr>
        <w:t xml:space="preserve">ядке, установленном в пунктах 5.2 –5.14 Контракта, по письменному извещению Заказчика Исполнителем об устранении выявленных в ходе приемки оказанной услуги недостатков, зафиксированных в мотивированном отказе, и готовности сдать оказанную услугу Заказчику.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numPr>
          <w:ilvl w:val="1"/>
          <w:numId w:val="21"/>
        </w:numPr>
        <w:contextualSpacing/>
        <w:ind w:left="0" w:firstLine="426"/>
        <w:jc w:val="both"/>
        <w:shd w:val="clear" w:color="auto" w:fill="ffffff"/>
        <w:tabs>
          <w:tab w:val="left" w:pos="993" w:leader="none"/>
          <w:tab w:val="left" w:pos="1260" w:leader="none"/>
          <w:tab w:val="left" w:pos="1418" w:leader="none"/>
        </w:tabs>
        <w:rPr>
          <w:i/>
          <w:sz w:val="22"/>
          <w:szCs w:val="22"/>
        </w:rPr>
      </w:pPr>
      <w:r>
        <w:rPr>
          <w:sz w:val="22"/>
          <w:szCs w:val="22"/>
        </w:rPr>
        <w:t xml:space="preserve">Датой приемки оказанной Исполнителем услуги считается дата размещения в единой информационной системе документа о приемке, подписанного Заказчиком.</w:t>
      </w:r>
      <w:r>
        <w:rPr>
          <w:i/>
          <w:sz w:val="22"/>
          <w:szCs w:val="22"/>
        </w:rPr>
      </w:r>
      <w:r>
        <w:rPr>
          <w:i/>
          <w:sz w:val="22"/>
          <w:szCs w:val="22"/>
        </w:rPr>
      </w:r>
    </w:p>
    <w:p>
      <w:pPr>
        <w:contextualSpacing/>
        <w:ind w:left="426"/>
        <w:jc w:val="both"/>
        <w:shd w:val="clear" w:color="auto" w:fill="ffffff"/>
        <w:tabs>
          <w:tab w:val="left" w:pos="993" w:leader="none"/>
          <w:tab w:val="left" w:pos="1260" w:leader="none"/>
          <w:tab w:val="left" w:pos="1418" w:leader="none"/>
        </w:tabs>
        <w:rPr>
          <w:i/>
          <w:sz w:val="22"/>
          <w:szCs w:val="22"/>
        </w:rPr>
      </w:pPr>
      <w:r>
        <w:rPr>
          <w:i/>
          <w:sz w:val="22"/>
          <w:szCs w:val="22"/>
        </w:rPr>
      </w:r>
      <w:r>
        <w:rPr>
          <w:i/>
          <w:sz w:val="22"/>
          <w:szCs w:val="22"/>
        </w:rPr>
      </w:r>
      <w:r>
        <w:rPr>
          <w:i/>
          <w:sz w:val="22"/>
          <w:szCs w:val="22"/>
        </w:rPr>
      </w:r>
    </w:p>
    <w:p>
      <w:pPr>
        <w:numPr>
          <w:ilvl w:val="0"/>
          <w:numId w:val="21"/>
        </w:numPr>
        <w:ind w:left="0" w:firstLine="426"/>
        <w:jc w:val="center"/>
        <w:keepNext/>
        <w:tabs>
          <w:tab w:val="left" w:pos="426" w:leader="none"/>
        </w:tabs>
        <w:rPr>
          <w:b/>
          <w:bCs/>
          <w:sz w:val="22"/>
          <w:szCs w:val="22"/>
        </w:rPr>
        <w:outlineLvl w:val="2"/>
      </w:pPr>
      <w:r>
        <w:rPr>
          <w:b/>
          <w:bCs/>
          <w:sz w:val="22"/>
          <w:szCs w:val="22"/>
        </w:rPr>
        <w:t xml:space="preserve">Обеспечение исполнения Контракта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numPr>
          <w:ilvl w:val="1"/>
          <w:numId w:val="21"/>
        </w:numPr>
        <w:ind w:left="0" w:firstLine="426"/>
        <w:jc w:val="both"/>
        <w:tabs>
          <w:tab w:val="left" w:pos="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Способами обеспечения исполнения Контракта являются независимая гарантия, выданная гарантом и соответствующая требованиям ст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 45 Федерального закона от 05.04.2013 №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44-ФЗ «О</w:t>
      </w:r>
      <w:r>
        <w:rPr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контрактной системе в сфере закупок товаров, работ, услуг для обеспечения государственных и муниципальных нужд»</w:t>
      </w:r>
      <w:r>
        <w:rPr>
          <w:sz w:val="22"/>
          <w:szCs w:val="22"/>
        </w:rPr>
        <w:t xml:space="preserve"> (далее – Закон №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44-ФЗ)</w:t>
      </w:r>
      <w:r>
        <w:rPr>
          <w:sz w:val="22"/>
          <w:szCs w:val="22"/>
        </w:rPr>
        <w:t xml:space="preserve">, а также требованиям, утвержденным постановлением Правительства Российской Федерации от 08.11.2013 № 1005, или внесение денежных средств на указанный Заказчиком счет, на котором в соответствии</w:t>
      </w:r>
      <w:r>
        <w:rPr>
          <w:sz w:val="22"/>
          <w:szCs w:val="22"/>
        </w:rPr>
        <w:t xml:space="preserve"> с законодательством Российской Федерации учитываются операции со средствами, поступающими Заказчику. Способ обеспечения исполнения Контракта определяется Исполнителем самостоятельно.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contextualSpacing/>
        <w:ind w:firstLine="426"/>
        <w:jc w:val="both"/>
        <w:tabs>
          <w:tab w:val="left" w:pos="851" w:leader="none"/>
        </w:tabs>
        <w:rPr>
          <w:sz w:val="22"/>
          <w:szCs w:val="22"/>
          <w:highlight w:val="none"/>
        </w:rPr>
      </w:pPr>
      <w:r>
        <w:rPr>
          <w:sz w:val="22"/>
          <w:szCs w:val="22"/>
        </w:rPr>
        <w:t xml:space="preserve">Обеспечение исполнения Контракта предоставляется Заказчику до заключения Контракта. </w:t>
      </w:r>
      <w:r>
        <w:rPr>
          <w:sz w:val="22"/>
          <w:szCs w:val="22"/>
        </w:rPr>
        <w:t xml:space="preserve">Размер обеспечения исполнения Контракта составляет</w:t>
      </w:r>
      <w:r>
        <w:rPr>
          <w:sz w:val="22"/>
          <w:szCs w:val="22"/>
        </w:rPr>
        <w:t xml:space="preserve">: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______ руб. ____ коп</w:t>
      </w:r>
      <w:r>
        <w:rPr>
          <w:b/>
          <w:sz w:val="22"/>
          <w:szCs w:val="22"/>
        </w:rPr>
        <w:t xml:space="preserve">.</w:t>
      </w:r>
      <w:r>
        <w:rPr>
          <w:sz w:val="22"/>
          <w:szCs w:val="22"/>
        </w:rPr>
        <w:t xml:space="preserve"> (__________ </w:t>
      </w:r>
      <w:r>
        <w:rPr>
          <w:sz w:val="22"/>
          <w:szCs w:val="22"/>
        </w:rPr>
        <w:t xml:space="preserve">р</w:t>
      </w:r>
      <w:r>
        <w:rPr>
          <w:sz w:val="22"/>
          <w:szCs w:val="22"/>
        </w:rPr>
        <w:t xml:space="preserve">ублей ___ копеек)</w:t>
      </w:r>
      <w:r>
        <w:rPr>
          <w:sz w:val="22"/>
          <w:szCs w:val="22"/>
        </w:rPr>
        <w:t xml:space="preserve"> (</w:t>
      </w:r>
      <w:r>
        <w:rPr>
          <w:b/>
          <w:sz w:val="22"/>
          <w:szCs w:val="22"/>
        </w:rPr>
        <w:t xml:space="preserve">10 </w:t>
      </w:r>
      <w:r>
        <w:rPr>
          <w:b/>
          <w:sz w:val="22"/>
          <w:szCs w:val="22"/>
        </w:rPr>
        <w:t xml:space="preserve">%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цены Контракта</w:t>
      </w:r>
      <w:r>
        <w:rPr>
          <w:sz w:val="22"/>
          <w:szCs w:val="22"/>
        </w:rPr>
        <w:t xml:space="preserve">)</w:t>
      </w:r>
      <w:r>
        <w:rPr>
          <w:sz w:val="22"/>
          <w:szCs w:val="22"/>
        </w:rPr>
        <w:t xml:space="preserve">.</w:t>
      </w: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contextualSpacing/>
        <w:ind w:firstLine="426"/>
        <w:jc w:val="both"/>
        <w:tabs>
          <w:tab w:val="left" w:pos="851" w:leader="none"/>
        </w:tabs>
        <w:rPr>
          <w:sz w:val="22"/>
          <w:szCs w:val="22"/>
        </w:rPr>
      </w:pP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  <w:t xml:space="preserve">Р</w:t>
      </w:r>
      <w:r>
        <w:rPr>
          <w:sz w:val="22"/>
          <w:szCs w:val="22"/>
          <w:highlight w:val="none"/>
        </w:rPr>
        <w:t xml:space="preserve">еквизиты для перечисления денежных средств в качестве обеспечения исполнения Контракта, в случае выбора Исполнителем такого вида обеспечения как внесение денежных средств: Получатель: </w:t>
      </w:r>
      <w:r>
        <w:rPr>
          <w:sz w:val="22"/>
          <w:szCs w:val="22"/>
          <w:highlight w:val="none"/>
        </w:rPr>
        <w:t xml:space="preserve">Комитет по финансам, налоговой и кредитной политике Администрации города Новоалтайска (Администрация города Новоалтайска, л/с 05301203013). ИНН 2208003847; КПП 220801001; Банк получателя: ОКЦ № 1 СибГУ Банка России//УФК по Новосибирской области, г. Новосиби</w:t>
      </w:r>
      <w:r>
        <w:rPr>
          <w:sz w:val="22"/>
          <w:szCs w:val="22"/>
          <w:highlight w:val="none"/>
        </w:rPr>
        <w:t xml:space="preserve">рск, казначейский счёт 03232643017130005100, банковский счёт 40102810445370000043, БИК 015004950.</w:t>
      </w:r>
      <w:r>
        <w:rPr>
          <w:sz w:val="22"/>
          <w:szCs w:val="22"/>
          <w:highlight w:val="none"/>
        </w:rPr>
      </w:r>
      <w:r>
        <w:rPr>
          <w:sz w:val="22"/>
          <w:szCs w:val="22"/>
        </w:rPr>
      </w:r>
    </w:p>
    <w:p>
      <w:pPr>
        <w:contextualSpacing/>
        <w:ind w:firstLine="426"/>
        <w:jc w:val="both"/>
        <w:tabs>
          <w:tab w:val="left" w:pos="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Участник закупки освобождается от предоставления обеспечения исполнения Контракта, в том числе с учетом положений ст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 37 закона №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44-ФЗ, в случае предоставления таким участником закупки информации, содер</w:t>
      </w:r>
      <w:r>
        <w:rPr>
          <w:sz w:val="22"/>
          <w:szCs w:val="22"/>
        </w:rPr>
        <w:t xml:space="preserve">жащейся в реестре контрактов, заключенных Заказчиками, и подтверждающей исполнение таким участником (без учета правопреемства) в течение 3 лет до даты подачи заявки на участие в закупке 3 контрактов, исполненных без применения к такому Исполнителю неустоек</w:t>
      </w:r>
      <w:r>
        <w:rPr>
          <w:sz w:val="22"/>
          <w:szCs w:val="22"/>
        </w:rPr>
        <w:t xml:space="preserve"> (штрафов, пеней). При этом сумма цен таких контрактов должна составлять не </w:t>
      </w:r>
      <w:r>
        <w:rPr>
          <w:sz w:val="22"/>
          <w:szCs w:val="22"/>
        </w:rPr>
        <w:t xml:space="preserve">менее начальной</w:t>
      </w:r>
      <w:r>
        <w:rPr>
          <w:sz w:val="22"/>
          <w:szCs w:val="22"/>
        </w:rPr>
        <w:t xml:space="preserve"> (максимальной) цены Контракта, указанной в извещении об осуществлении закупки, по результатам осуществления которой заключен Контракт.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40"/>
        <w:numPr>
          <w:ilvl w:val="1"/>
          <w:numId w:val="21"/>
        </w:numPr>
        <w:ind w:left="0" w:firstLine="426"/>
        <w:spacing w:line="240" w:lineRule="auto"/>
        <w:tabs>
          <w:tab w:val="left" w:pos="0" w:leader="none"/>
          <w:tab w:val="left" w:pos="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В случае если предло</w:t>
      </w:r>
      <w:r>
        <w:rPr>
          <w:sz w:val="22"/>
          <w:szCs w:val="22"/>
        </w:rPr>
        <w:t xml:space="preserve">женная в заявке участника закупки цена снижена на двадцать пять и более процентов по отношению к начальной (максимальной) цене Контракта, участник закупки, с которым заключается Контракт, предоставляет обеспечение исполнения Контракта с учетом положений ст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 37 </w:t>
      </w:r>
      <w:r>
        <w:rPr>
          <w:sz w:val="22"/>
          <w:szCs w:val="22"/>
        </w:rPr>
        <w:t xml:space="preserve">Закона №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44-ФЗ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numPr>
          <w:ilvl w:val="1"/>
          <w:numId w:val="21"/>
        </w:numPr>
        <w:contextualSpacing/>
        <w:ind w:left="0" w:firstLine="426"/>
        <w:jc w:val="both"/>
        <w:tabs>
          <w:tab w:val="left" w:pos="851" w:leader="none"/>
        </w:tabs>
        <w:rPr>
          <w:strike/>
          <w:sz w:val="22"/>
          <w:szCs w:val="22"/>
        </w:rPr>
      </w:pPr>
      <w:r>
        <w:rPr>
          <w:sz w:val="22"/>
          <w:szCs w:val="22"/>
        </w:rPr>
        <w:t xml:space="preserve">В ходе исполнения Контракта Исполнитель </w:t>
      </w:r>
      <w:r>
        <w:rPr>
          <w:sz w:val="22"/>
          <w:szCs w:val="22"/>
        </w:rPr>
        <w:t xml:space="preserve">вправе изменить способ обеспечения исполнения Контракта и (или) предоставить Заказчику взамен ранее предоставленного обеспечения исполнения Контракта новое обеспечение исполнения Контракта, размер которого может быть уменьшен в следующем порядке и случаях:</w:t>
      </w:r>
      <w:r>
        <w:rPr>
          <w:b/>
          <w:sz w:val="22"/>
          <w:szCs w:val="22"/>
        </w:rPr>
        <w:t xml:space="preserve"> </w:t>
      </w:r>
      <w:r>
        <w:rPr>
          <w:strike/>
          <w:sz w:val="22"/>
          <w:szCs w:val="22"/>
        </w:rPr>
      </w:r>
      <w:r>
        <w:rPr>
          <w:strike/>
          <w:sz w:val="22"/>
          <w:szCs w:val="22"/>
        </w:rPr>
      </w:r>
    </w:p>
    <w:p>
      <w:pPr>
        <w:numPr>
          <w:ilvl w:val="2"/>
          <w:numId w:val="21"/>
        </w:numPr>
        <w:contextualSpacing/>
        <w:ind w:left="0" w:firstLine="426"/>
        <w:jc w:val="both"/>
        <w:tabs>
          <w:tab w:val="left" w:pos="113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услуги и стоимости исполненных обязатель</w:t>
      </w:r>
      <w:r>
        <w:rPr>
          <w:sz w:val="22"/>
          <w:szCs w:val="22"/>
        </w:rPr>
        <w:t xml:space="preserve">ств дл</w:t>
      </w:r>
      <w:r>
        <w:rPr>
          <w:sz w:val="22"/>
          <w:szCs w:val="22"/>
        </w:rPr>
        <w:t xml:space="preserve">я включения в реестр контрактов, предусмотренный ст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 103 </w:t>
      </w:r>
      <w:r>
        <w:rPr>
          <w:sz w:val="22"/>
          <w:szCs w:val="22"/>
        </w:rPr>
        <w:t xml:space="preserve">Закона №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44-ФЗ</w:t>
      </w:r>
      <w:r>
        <w:rPr>
          <w:sz w:val="22"/>
          <w:szCs w:val="22"/>
        </w:rPr>
        <w:t xml:space="preserve">. Уменьшение размера обеспечения исполнения Контракта производится пропорционально стоимости исполненных обязательств, приемка и оплата которых осуществлены в порядке и сроки, предусмотренные Контрактом.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both"/>
        <w:tabs>
          <w:tab w:val="left" w:pos="113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В случае</w:t>
      </w:r>
      <w:r>
        <w:rPr>
          <w:sz w:val="22"/>
          <w:szCs w:val="22"/>
        </w:rPr>
        <w:t xml:space="preserve">,</w:t>
      </w:r>
      <w:r>
        <w:rPr>
          <w:sz w:val="22"/>
          <w:szCs w:val="22"/>
        </w:rPr>
        <w:t xml:space="preserve"> если обеспечение исполнения Контракта осуществляется путем предоставления независимой гарантии, требование Заказчика об уплате денежных сумм по гарантии может быть предъявлено в размере </w:t>
      </w:r>
      <w:r>
        <w:rPr>
          <w:sz w:val="22"/>
          <w:szCs w:val="22"/>
        </w:rPr>
        <w:t xml:space="preserve">не более размера обеспечения исполнения Контракта, рассчитанного Заказчиком на основании информации об исполнении Контракта, размещенной в указанном реестре контрактов.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both"/>
        <w:tabs>
          <w:tab w:val="left" w:pos="113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В случае</w:t>
      </w:r>
      <w:r>
        <w:rPr>
          <w:sz w:val="22"/>
          <w:szCs w:val="22"/>
        </w:rPr>
        <w:t xml:space="preserve">,</w:t>
      </w:r>
      <w:r>
        <w:rPr>
          <w:sz w:val="22"/>
          <w:szCs w:val="22"/>
        </w:rPr>
        <w:t xml:space="preserve"> если обеспечение исполнения Контракта осуществляется путем внесения денежных средств на указанный Заказчиком счет, Заказчик по заявлению Исполнителя возвращает ему денежные средства в срок, установленный п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6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9</w:t>
      </w:r>
      <w:r>
        <w:rPr>
          <w:sz w:val="22"/>
          <w:szCs w:val="22"/>
        </w:rPr>
        <w:t xml:space="preserve"> Контракта в сумме, на которую уменьшен размер обеспечения исполнения Контракта, рассчитанный Заказчиком на основании информации об исполнении Контракта, размещенной в указанном реестре контрактов.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numPr>
          <w:ilvl w:val="2"/>
          <w:numId w:val="21"/>
        </w:numPr>
        <w:contextualSpacing/>
        <w:ind w:left="0" w:firstLine="426"/>
        <w:jc w:val="both"/>
        <w:tabs>
          <w:tab w:val="left" w:pos="113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Уменьшение размера обеспечения исполнения Контракта осуществляется при условии отсутствия неиспол</w:t>
      </w:r>
      <w:r>
        <w:rPr>
          <w:sz w:val="22"/>
          <w:szCs w:val="22"/>
        </w:rPr>
        <w:t xml:space="preserve">ненных Исполнителем требований об уплате неустоек (штрафов, пеней), предъявленных Заказчиком в соответствии с условиями Контракта, а также приемки Заказчиком оказанной услуги, результатов отдельного этапа исполнения Контракта в объеме выплаченного аванса.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Такое уменьшение не допускается в случаях, определенных Правительством Российской Федерации в целях обеспечения обороноспособности и безопасности государства, защиты здоровья, прав и законных интересов граждан Российской Федерации.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numPr>
          <w:ilvl w:val="1"/>
          <w:numId w:val="21"/>
        </w:numPr>
        <w:contextualSpacing/>
        <w:ind w:left="0" w:firstLine="426"/>
        <w:jc w:val="both"/>
        <w:tabs>
          <w:tab w:val="left" w:pos="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Уменьшение в соответствии с п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6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.1</w:t>
      </w:r>
      <w:r>
        <w:rPr>
          <w:sz w:val="22"/>
          <w:szCs w:val="22"/>
        </w:rPr>
        <w:t xml:space="preserve">, п. </w:t>
      </w:r>
      <w:r>
        <w:rPr>
          <w:sz w:val="22"/>
          <w:szCs w:val="22"/>
        </w:rPr>
        <w:t xml:space="preserve">6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.2</w:t>
      </w:r>
      <w:r>
        <w:rPr>
          <w:sz w:val="22"/>
          <w:szCs w:val="22"/>
        </w:rPr>
        <w:t xml:space="preserve"> Контракта размера обеспечения и</w:t>
      </w:r>
      <w:r>
        <w:rPr>
          <w:sz w:val="22"/>
          <w:szCs w:val="22"/>
        </w:rPr>
        <w:t xml:space="preserve">сполнения Контракта, предоставленного в виде независимой гарантии, осуществляется Заказчиком путем отказа от части своих прав по этой гарантии. При этом датой такого отказа признается дата включения соответствующей информации в указанный реестр контрактов.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numPr>
          <w:ilvl w:val="1"/>
          <w:numId w:val="21"/>
        </w:numPr>
        <w:contextualSpacing/>
        <w:ind w:left="0" w:firstLine="426"/>
        <w:jc w:val="both"/>
        <w:tabs>
          <w:tab w:val="left" w:pos="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В случае</w:t>
      </w:r>
      <w:r>
        <w:rPr>
          <w:sz w:val="22"/>
          <w:szCs w:val="22"/>
        </w:rPr>
        <w:t xml:space="preserve"> отзыва в соответствии с законодательством Российской Федерации у </w:t>
      </w:r>
      <w:r>
        <w:rPr>
          <w:sz w:val="22"/>
          <w:szCs w:val="22"/>
        </w:rPr>
        <w:t xml:space="preserve">банка</w:t>
      </w:r>
      <w:r>
        <w:rPr>
          <w:sz w:val="22"/>
          <w:szCs w:val="22"/>
        </w:rPr>
        <w:t xml:space="preserve">, предоставившего независимую гарантию в качестве обеспечения исполнения Контракта, лицензии на осуществление банковских операций </w:t>
      </w:r>
      <w:r>
        <w:rPr>
          <w:sz w:val="22"/>
          <w:szCs w:val="22"/>
        </w:rPr>
        <w:t xml:space="preserve">Исполнитель </w:t>
      </w:r>
      <w:r>
        <w:rPr>
          <w:sz w:val="22"/>
          <w:szCs w:val="22"/>
        </w:rPr>
        <w:t xml:space="preserve">обязуется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contextualSpacing/>
        <w:ind w:firstLine="426"/>
        <w:jc w:val="both"/>
        <w:tabs>
          <w:tab w:val="left" w:pos="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Размер такого обеспечения может быть уменьшен в порядке и случаях, которые предусмотрены п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6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.1</w:t>
      </w:r>
      <w:r>
        <w:rPr>
          <w:sz w:val="22"/>
          <w:szCs w:val="22"/>
        </w:rPr>
        <w:t xml:space="preserve">, п. </w:t>
      </w:r>
      <w:r>
        <w:rPr>
          <w:sz w:val="22"/>
          <w:szCs w:val="22"/>
        </w:rPr>
        <w:t xml:space="preserve">6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.2</w:t>
      </w:r>
      <w:r>
        <w:rPr>
          <w:sz w:val="22"/>
          <w:szCs w:val="22"/>
        </w:rPr>
        <w:t xml:space="preserve"> Контракта. За каждый день просрочки исполнения Исполнителем обязательства, предусмотренного настоящим Контрактом, Исполнителю начисляется пеня в размере, определенном в порядке, установленном в соответствии с п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7</w:t>
      </w:r>
      <w:r>
        <w:rPr>
          <w:sz w:val="22"/>
          <w:szCs w:val="22"/>
        </w:rPr>
        <w:t xml:space="preserve">.3 Контракта.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numPr>
          <w:ilvl w:val="1"/>
          <w:numId w:val="21"/>
        </w:numPr>
        <w:contextualSpacing/>
        <w:ind w:left="0" w:firstLine="426"/>
        <w:jc w:val="both"/>
        <w:tabs>
          <w:tab w:val="left" w:pos="709" w:leader="none"/>
          <w:tab w:val="left" w:pos="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Непредставление обеспечения исполнения Контракта в установленный срок в соответствии с п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6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5</w:t>
      </w:r>
      <w:r>
        <w:rPr>
          <w:sz w:val="22"/>
          <w:szCs w:val="22"/>
        </w:rPr>
        <w:t xml:space="preserve"> Контракта признается существенным нарушением Контракта Исполнителем и является основанием для расторжения Контракта по требованию Заказчика с возмещением убытков в полном объеме.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numPr>
          <w:ilvl w:val="1"/>
          <w:numId w:val="21"/>
        </w:numPr>
        <w:contextualSpacing/>
        <w:ind w:left="0" w:firstLine="426"/>
        <w:jc w:val="both"/>
        <w:tabs>
          <w:tab w:val="left" w:pos="709" w:leader="none"/>
          <w:tab w:val="left" w:pos="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В случае предоставления нового обеспечения исполнения Контракта возврат независимой гарантии Заказчиком гаранту, предоставившему указанную независимую гарантию, не осуществляется, взыскание по ней не производится.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numPr>
          <w:ilvl w:val="1"/>
          <w:numId w:val="21"/>
        </w:numPr>
        <w:contextualSpacing/>
        <w:ind w:left="0" w:firstLine="426"/>
        <w:jc w:val="both"/>
        <w:tabs>
          <w:tab w:val="left" w:pos="709" w:leader="none"/>
          <w:tab w:val="left" w:pos="851" w:leader="none"/>
          <w:tab w:val="left" w:pos="1134" w:leader="none"/>
          <w:tab w:val="left" w:pos="1276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По Контракту должны быть обеспечены обязательства </w:t>
      </w:r>
      <w:r>
        <w:rPr>
          <w:sz w:val="22"/>
          <w:szCs w:val="22"/>
        </w:rPr>
        <w:t xml:space="preserve">Исполнителя, в том числе за исполнение таких обязательств, как оказание услуги надлежащего качества, соблюдение сроков оказания услуги, уплата неустойки (штрафа, пеней), возмещение убытков</w:t>
      </w:r>
      <w:r>
        <w:rPr>
          <w:sz w:val="22"/>
          <w:szCs w:val="22"/>
        </w:rPr>
        <w:t xml:space="preserve">, и иных обязательств, возникших у </w:t>
      </w:r>
      <w:r>
        <w:rPr>
          <w:sz w:val="22"/>
          <w:szCs w:val="22"/>
        </w:rPr>
        <w:t xml:space="preserve">Исполнителя</w:t>
      </w:r>
      <w:r>
        <w:rPr>
          <w:sz w:val="22"/>
          <w:szCs w:val="22"/>
        </w:rPr>
        <w:t xml:space="preserve"> перед Заказчиком.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numPr>
          <w:ilvl w:val="1"/>
          <w:numId w:val="21"/>
        </w:numPr>
        <w:contextualSpacing/>
        <w:ind w:left="0" w:firstLine="426"/>
        <w:jc w:val="both"/>
        <w:tabs>
          <w:tab w:val="left" w:pos="993" w:leader="none"/>
          <w:tab w:val="left" w:pos="1134" w:leader="none"/>
          <w:tab w:val="left" w:pos="1276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 В случае надлежащего исполнения Исполнителем обязательств по Контракту, а также в случае </w:t>
      </w:r>
      <w:r>
        <w:rPr>
          <w:sz w:val="22"/>
          <w:szCs w:val="22"/>
        </w:rPr>
        <w:t xml:space="preserve">уменьшения размера обеспечения исполнения Контракта</w:t>
      </w:r>
      <w:r>
        <w:rPr>
          <w:sz w:val="22"/>
          <w:szCs w:val="22"/>
        </w:rPr>
        <w:t xml:space="preserve"> в соответствии с п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6</w:t>
      </w:r>
      <w:r>
        <w:rPr>
          <w:sz w:val="22"/>
          <w:szCs w:val="22"/>
        </w:rPr>
        <w:t xml:space="preserve">.3</w:t>
      </w:r>
      <w:r>
        <w:rPr>
          <w:sz w:val="22"/>
          <w:szCs w:val="22"/>
        </w:rPr>
        <w:t xml:space="preserve">.1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п. </w:t>
      </w:r>
      <w:r>
        <w:rPr>
          <w:sz w:val="22"/>
          <w:szCs w:val="22"/>
        </w:rPr>
        <w:t xml:space="preserve">6</w:t>
      </w:r>
      <w:r>
        <w:rPr>
          <w:sz w:val="22"/>
          <w:szCs w:val="22"/>
        </w:rPr>
        <w:t xml:space="preserve">.3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2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Контракта обеспечение исполнения Контракта подлежит возврату Исполнителю.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contextualSpacing/>
        <w:ind w:firstLine="426"/>
        <w:jc w:val="both"/>
        <w:tabs>
          <w:tab w:val="left" w:pos="993" w:leader="none"/>
          <w:tab w:val="left" w:pos="1134" w:leader="none"/>
          <w:tab w:val="left" w:pos="1276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Заказчик осуществляет возврат денежных средств на расчетный счет Исполнителя, указанный в Контракте, в течение</w:t>
      </w:r>
      <w:r>
        <w:rPr>
          <w:b/>
          <w:sz w:val="22"/>
          <w:szCs w:val="22"/>
        </w:rPr>
        <w:t xml:space="preserve">: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15</w:t>
      </w:r>
      <w:r>
        <w:rPr>
          <w:b/>
          <w:sz w:val="22"/>
          <w:szCs w:val="22"/>
        </w:rPr>
        <w:t xml:space="preserve"> (</w:t>
      </w:r>
      <w:r>
        <w:rPr>
          <w:b/>
          <w:sz w:val="22"/>
          <w:szCs w:val="22"/>
        </w:rPr>
        <w:t xml:space="preserve">пятнадцати</w:t>
      </w:r>
      <w:r>
        <w:rPr>
          <w:b/>
          <w:sz w:val="22"/>
          <w:szCs w:val="22"/>
        </w:rPr>
        <w:t xml:space="preserve">) </w:t>
      </w:r>
      <w:r>
        <w:rPr>
          <w:b/>
          <w:sz w:val="22"/>
          <w:szCs w:val="22"/>
        </w:rPr>
        <w:t xml:space="preserve">календарных </w:t>
      </w:r>
      <w:r>
        <w:rPr>
          <w:b/>
          <w:sz w:val="22"/>
          <w:szCs w:val="22"/>
        </w:rPr>
        <w:t xml:space="preserve">дней </w:t>
      </w:r>
      <w:r>
        <w:rPr>
          <w:sz w:val="22"/>
          <w:szCs w:val="22"/>
        </w:rPr>
        <w:t xml:space="preserve">с даты исполнения</w:t>
      </w:r>
      <w:r>
        <w:rPr>
          <w:sz w:val="22"/>
          <w:szCs w:val="22"/>
        </w:rPr>
        <w:t xml:space="preserve"> Исполнителем обязательств, предусмотренных Контрактом.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numPr>
          <w:ilvl w:val="1"/>
          <w:numId w:val="21"/>
        </w:numPr>
        <w:contextualSpacing/>
        <w:ind w:left="0" w:firstLine="426"/>
        <w:jc w:val="both"/>
        <w:tabs>
          <w:tab w:val="left" w:pos="709" w:leader="none"/>
          <w:tab w:val="left" w:pos="993" w:leader="none"/>
          <w:tab w:val="left" w:pos="1276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В случае неисполнения или ненадлежащего исполнения Исполнителем обязательств, Заказчик вправе удержать из внесенных Исполнителем в качестве обеспечения исполнения Контракта денежных </w:t>
      </w:r>
      <w:r>
        <w:rPr>
          <w:sz w:val="22"/>
          <w:szCs w:val="22"/>
        </w:rPr>
        <w:t xml:space="preserve">средств сумму, равную сумме денежных средств, которую Исполнитель обязан уплатить Заказчику в качестве неустоек (штрафов, пеней) и (или) в качестве возмещения убытков, либо иной сумме денежных средств, подлежащей уплате Исполнителем Заказчику по Контракту.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numPr>
          <w:ilvl w:val="1"/>
          <w:numId w:val="21"/>
        </w:numPr>
        <w:contextualSpacing/>
        <w:ind w:left="0" w:firstLine="426"/>
        <w:jc w:val="both"/>
        <w:tabs>
          <w:tab w:val="left" w:pos="709" w:leader="none"/>
          <w:tab w:val="left" w:pos="993" w:leader="none"/>
          <w:tab w:val="left" w:pos="1276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Удержание денежных средств, внесенных в качестве обеспечения исполнения Контракта, осуществляется Заказчиком во внесудебном порядке с обязательным уведомлением Исполнителя.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numPr>
          <w:ilvl w:val="1"/>
          <w:numId w:val="21"/>
        </w:numPr>
        <w:contextualSpacing/>
        <w:ind w:left="0" w:firstLine="426"/>
        <w:jc w:val="both"/>
        <w:tabs>
          <w:tab w:val="left" w:pos="709" w:leader="none"/>
          <w:tab w:val="left" w:pos="993" w:leader="none"/>
          <w:tab w:val="left" w:pos="1276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Остаток денежных средств, внесенных в качестве обеспечения исполнения Контракта, после удержания Заказчиком необходимой суммы, возвращается Исполнителю в порядке и сроки, предусмотренные п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6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9</w:t>
      </w:r>
      <w:r>
        <w:rPr>
          <w:sz w:val="22"/>
          <w:szCs w:val="22"/>
        </w:rPr>
        <w:t xml:space="preserve"> Контракта.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numPr>
          <w:ilvl w:val="1"/>
          <w:numId w:val="21"/>
        </w:numPr>
        <w:contextualSpacing/>
        <w:ind w:left="0" w:firstLine="426"/>
        <w:jc w:val="both"/>
        <w:tabs>
          <w:tab w:val="left" w:pos="709" w:leader="none"/>
          <w:tab w:val="left" w:pos="993" w:leader="none"/>
          <w:tab w:val="left" w:pos="1276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При недостаточности денежных средств, внесенных в качестве обеспечения исполнения Контракта, обращение за удовлетворением требований об уплате неустоек (</w:t>
      </w:r>
      <w:r>
        <w:rPr>
          <w:sz w:val="22"/>
          <w:szCs w:val="22"/>
        </w:rPr>
        <w:t xml:space="preserve">штрафов, пеней) и (или) возмещения убытков, либо иной суммы денежных средств, подлежащей уплате Исполнителем Заказчику по Контракту, происходит на условиях, предусмотренных Контрактом, в неудовлетворенной части (после удержания имеющихся денежных средств).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numPr>
          <w:ilvl w:val="1"/>
          <w:numId w:val="21"/>
        </w:numPr>
        <w:contextualSpacing/>
        <w:ind w:left="0" w:firstLine="426"/>
        <w:jc w:val="both"/>
        <w:tabs>
          <w:tab w:val="left" w:pos="709" w:leader="none"/>
          <w:tab w:val="left" w:pos="993" w:leader="none"/>
          <w:tab w:val="left" w:pos="1276" w:leader="none"/>
        </w:tabs>
        <w:rPr>
          <w:strike/>
          <w:sz w:val="22"/>
          <w:szCs w:val="22"/>
        </w:rPr>
      </w:pPr>
      <w:r>
        <w:rPr>
          <w:sz w:val="22"/>
          <w:szCs w:val="22"/>
        </w:rPr>
        <w:t xml:space="preserve">В случае об</w:t>
      </w:r>
      <w:r>
        <w:rPr>
          <w:sz w:val="22"/>
          <w:szCs w:val="22"/>
        </w:rPr>
        <w:t xml:space="preserve">еспечения исполнения Контракта </w:t>
      </w:r>
      <w:r>
        <w:rPr>
          <w:sz w:val="22"/>
          <w:szCs w:val="22"/>
        </w:rPr>
        <w:t xml:space="preserve">путем предоставления независимой гарантии срок ее действия должен превышать предусмотренный Контрактом срок исполнения обязательств Исполнителя, </w:t>
      </w:r>
      <w:r>
        <w:rPr>
          <w:sz w:val="22"/>
          <w:szCs w:val="22"/>
        </w:rPr>
        <w:t xml:space="preserve">которые должны быть обеспечены такой независимой гарантией, не менее чем на один месяц, в том числе в случае его изменения в соответствии со ст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 95 </w:t>
      </w:r>
      <w:r>
        <w:rPr>
          <w:sz w:val="22"/>
          <w:szCs w:val="22"/>
        </w:rPr>
        <w:t xml:space="preserve">закона №44-ФЗ</w:t>
      </w:r>
      <w:r>
        <w:rPr>
          <w:sz w:val="22"/>
          <w:szCs w:val="22"/>
        </w:rPr>
        <w:t xml:space="preserve">.</w:t>
      </w:r>
      <w:r>
        <w:rPr>
          <w:strike/>
          <w:sz w:val="22"/>
          <w:szCs w:val="22"/>
        </w:rPr>
      </w:r>
      <w:r>
        <w:rPr>
          <w:strike/>
          <w:sz w:val="22"/>
          <w:szCs w:val="22"/>
        </w:rPr>
      </w:r>
    </w:p>
    <w:p>
      <w:pPr>
        <w:contextualSpacing/>
        <w:ind w:left="426"/>
        <w:jc w:val="both"/>
        <w:tabs>
          <w:tab w:val="left" w:pos="709" w:leader="none"/>
          <w:tab w:val="left" w:pos="993" w:leader="none"/>
          <w:tab w:val="left" w:pos="1276" w:leader="none"/>
        </w:tabs>
        <w:rPr>
          <w:strike/>
          <w:sz w:val="22"/>
          <w:szCs w:val="22"/>
        </w:rPr>
      </w:pPr>
      <w:r>
        <w:rPr>
          <w:strike/>
          <w:sz w:val="22"/>
          <w:szCs w:val="22"/>
        </w:rPr>
      </w:r>
      <w:r>
        <w:rPr>
          <w:strike/>
          <w:sz w:val="22"/>
          <w:szCs w:val="22"/>
        </w:rPr>
      </w:r>
      <w:r>
        <w:rPr>
          <w:strike/>
          <w:sz w:val="22"/>
          <w:szCs w:val="22"/>
        </w:rPr>
      </w:r>
    </w:p>
    <w:p>
      <w:pPr>
        <w:ind w:firstLine="426"/>
        <w:jc w:val="center"/>
        <w:tabs>
          <w:tab w:val="left" w:pos="426" w:leader="none"/>
          <w:tab w:val="left" w:pos="1276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7</w:t>
      </w:r>
      <w:r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 xml:space="preserve">Ответственность сторон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940"/>
        <w:numPr>
          <w:ilvl w:val="1"/>
          <w:numId w:val="45"/>
        </w:numPr>
        <w:ind w:left="0" w:firstLine="426"/>
        <w:spacing w:line="240" w:lineRule="auto"/>
        <w:tabs>
          <w:tab w:val="left" w:pos="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За неисполнение или ненадлежащее исполнение обязательств по Контракту Стороны несут ответственность в соответствии с действующим законодательством Российской Федерации.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40"/>
        <w:numPr>
          <w:ilvl w:val="1"/>
          <w:numId w:val="45"/>
        </w:numPr>
        <w:ind w:left="0" w:firstLine="426"/>
        <w:spacing w:line="240" w:lineRule="auto"/>
        <w:tabs>
          <w:tab w:val="left" w:pos="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В случае просрочки исполнени</w:t>
      </w:r>
      <w:r>
        <w:rPr>
          <w:sz w:val="22"/>
          <w:szCs w:val="22"/>
        </w:rPr>
        <w:t xml:space="preserve">я Исполнителем обязательств, предусмотренных Контрактом, а также в иных случаях неисполнения или ненадлежащего исполнения Исполнителем обязательств, предусмотренных Контрактом, Заказчик направляет Исполнителю требование об уплате неустоек (штрафов, пеней).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40"/>
        <w:numPr>
          <w:ilvl w:val="1"/>
          <w:numId w:val="45"/>
        </w:numPr>
        <w:ind w:left="0" w:firstLine="426"/>
        <w:spacing w:line="240" w:lineRule="auto"/>
        <w:tabs>
          <w:tab w:val="left" w:pos="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Штрафы начисляются за неисполнение или ненадлежащее исполнение Исполнителем обязательств, предусмотренных Контрактом, за исключением просрочки исполнения Исполнителем обязательств, предусмотренных Контрактом.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both"/>
        <w:tabs>
          <w:tab w:val="left" w:pos="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За каждый факт неисполнения или нен</w:t>
      </w:r>
      <w:r>
        <w:rPr>
          <w:sz w:val="22"/>
          <w:szCs w:val="22"/>
        </w:rPr>
        <w:t xml:space="preserve">адлежащего исполнения Исполнителем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Контрактом в порядке, определе</w:t>
      </w:r>
      <w:r>
        <w:rPr>
          <w:sz w:val="22"/>
          <w:szCs w:val="22"/>
        </w:rPr>
        <w:t xml:space="preserve">нном постановлением Правительства Российской Федерации от 30.08.2017 № 1042 и рассчитывается как процент цены Контракта, или в случае, если Контрактом предусмотрены этапы исполнения Контракта, как процент этапа исполнения Контракта (далее – «цена Контракта</w:t>
      </w:r>
      <w:r>
        <w:rPr>
          <w:sz w:val="22"/>
          <w:szCs w:val="22"/>
        </w:rPr>
        <w:t xml:space="preserve"> (</w:t>
      </w:r>
      <w:r>
        <w:rPr>
          <w:sz w:val="22"/>
          <w:szCs w:val="22"/>
        </w:rPr>
        <w:t xml:space="preserve">этапа)»), в размере</w:t>
      </w:r>
      <w:r>
        <w:rPr>
          <w:sz w:val="22"/>
          <w:szCs w:val="22"/>
        </w:rPr>
        <w:t xml:space="preserve">:</w:t>
      </w:r>
      <w:r>
        <w:rPr>
          <w:sz w:val="22"/>
          <w:szCs w:val="22"/>
        </w:rPr>
        <w:t xml:space="preserve"> 1 </w:t>
      </w:r>
      <w:r>
        <w:rPr>
          <w:sz w:val="22"/>
          <w:szCs w:val="22"/>
        </w:rPr>
        <w:t xml:space="preserve">%</w:t>
      </w:r>
      <w:r>
        <w:rPr>
          <w:sz w:val="22"/>
          <w:szCs w:val="22"/>
        </w:rPr>
        <w:t xml:space="preserve"> цены Контракта (этапа), но не более 5 тыс. рублей и не менее 1 тыс. рублей.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both"/>
        <w:tabs>
          <w:tab w:val="left" w:pos="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В случае</w:t>
      </w:r>
      <w:r>
        <w:rPr>
          <w:sz w:val="22"/>
          <w:szCs w:val="22"/>
        </w:rPr>
        <w:t xml:space="preserve">,</w:t>
      </w:r>
      <w:r>
        <w:rPr>
          <w:sz w:val="22"/>
          <w:szCs w:val="22"/>
        </w:rPr>
        <w:t xml:space="preserve"> если Контракт заключается с победителем закупки (или с иным участником закупки в по</w:t>
      </w:r>
      <w:r>
        <w:rPr>
          <w:sz w:val="22"/>
          <w:szCs w:val="22"/>
        </w:rPr>
        <w:t xml:space="preserve">рядке, установленном Законом №44-ФЗ), предложившим наиболее высокую цену за право заключения Контракта в соответствии с п.9 ч.3 ст.49 Закона №44-ФЗ за каждый факт неисполнения или ненадлежащего исполнения Исполнителем обязательств, предусмотренных Контракт</w:t>
      </w:r>
      <w:r>
        <w:rPr>
          <w:sz w:val="22"/>
          <w:szCs w:val="22"/>
        </w:rPr>
        <w:t xml:space="preserve">ом, за исключением просрочки исполнения Исполнителем обязательств, предусмотренных Контрактом, размер штрафа устанавливается Контрактом в порядке, определенном постановлением Правительства Российской Федерации от 30.08.2017 № 1042, в размере, составляющем: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both"/>
        <w:tabs>
          <w:tab w:val="left" w:pos="1276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а) в случае, если цена Контракта не превышает начальную (максимальную) цену Контракта: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both"/>
        <w:tabs>
          <w:tab w:val="left" w:pos="1276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10 </w:t>
      </w:r>
      <w:r>
        <w:rPr>
          <w:sz w:val="22"/>
          <w:szCs w:val="22"/>
        </w:rPr>
        <w:t xml:space="preserve">%</w:t>
      </w:r>
      <w:r>
        <w:rPr>
          <w:sz w:val="22"/>
          <w:szCs w:val="22"/>
        </w:rPr>
        <w:t xml:space="preserve"> начальной (максимальной) цены Контракта, если цена Контракта не превышает 3 млн. рублей.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both"/>
        <w:tabs>
          <w:tab w:val="left" w:pos="1276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б) в случае, если цена контракта превышает начальную (максимальную) цену контракта: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both"/>
        <w:tabs>
          <w:tab w:val="left" w:pos="1276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10 </w:t>
      </w:r>
      <w:r>
        <w:rPr>
          <w:sz w:val="22"/>
          <w:szCs w:val="22"/>
        </w:rPr>
        <w:t xml:space="preserve">%</w:t>
      </w:r>
      <w:r>
        <w:rPr>
          <w:sz w:val="22"/>
          <w:szCs w:val="22"/>
        </w:rPr>
        <w:t xml:space="preserve"> цены контракта, если цена контракта не превышает 3 млн. рублей;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both"/>
        <w:tabs>
          <w:tab w:val="left" w:pos="1276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5 </w:t>
      </w:r>
      <w:r>
        <w:rPr>
          <w:sz w:val="22"/>
          <w:szCs w:val="22"/>
        </w:rPr>
        <w:t xml:space="preserve">%</w:t>
      </w:r>
      <w:r>
        <w:rPr>
          <w:sz w:val="22"/>
          <w:szCs w:val="22"/>
        </w:rPr>
        <w:t xml:space="preserve"> цены контракта, если цена контракта составляет от 3 млн. рублей до 50 млн. рублей (включительно);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both"/>
        <w:tabs>
          <w:tab w:val="left" w:pos="1276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1 </w:t>
      </w:r>
      <w:r>
        <w:rPr>
          <w:sz w:val="22"/>
          <w:szCs w:val="22"/>
        </w:rPr>
        <w:t xml:space="preserve">%</w:t>
      </w:r>
      <w:r>
        <w:rPr>
          <w:sz w:val="22"/>
          <w:szCs w:val="22"/>
        </w:rPr>
        <w:t xml:space="preserve"> цены контракта, если цена контракта составляет от 50 млн. рублей до 100 млн. рублей (включительно).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both"/>
        <w:tabs>
          <w:tab w:val="left" w:pos="1276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За каждый факт неисполнения или ненадлежащего исполнения Исполнителем обязательства, предусмотренного Кон</w:t>
      </w:r>
      <w:r>
        <w:rPr>
          <w:sz w:val="22"/>
          <w:szCs w:val="22"/>
        </w:rPr>
        <w:t xml:space="preserve">трактом, которое не имеет стоимостного выражения (при наличии в Контракте таких обязательств), размер штрафа устанавливается Контрактом в порядке, определенном постановлением Правительства Российской Федерации от 30.08.2017 № 1042, в размере, составляющем: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both"/>
        <w:tabs>
          <w:tab w:val="left" w:pos="1276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а) 1000 рублей, если цена Контракта не превышает 3 млн. рублей;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both"/>
        <w:tabs>
          <w:tab w:val="left" w:pos="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Пеня начисляется за каждый день прос</w:t>
      </w:r>
      <w:r>
        <w:rPr>
          <w:sz w:val="22"/>
          <w:szCs w:val="22"/>
        </w:rPr>
        <w:t xml:space="preserve">рочки исполнения Исполнителем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контрактом в размере одной трехсотой действующей на дату уп</w:t>
      </w:r>
      <w:r>
        <w:rPr>
          <w:sz w:val="22"/>
          <w:szCs w:val="22"/>
        </w:rPr>
        <w:t xml:space="preserve">латы пени ключевой ставки Центрального банка Российской Федерации от цены контракта (отдельного этапа исполнения контракта), уменьшенной на сумму, пропорциональную объему обязательств, предусмотренных контрактом (соответствующим отдельным этапом исполнения</w:t>
      </w:r>
      <w:r>
        <w:rPr>
          <w:sz w:val="22"/>
          <w:szCs w:val="22"/>
        </w:rPr>
        <w:t xml:space="preserve"> контракта) и фактически </w:t>
      </w:r>
      <w:r>
        <w:rPr>
          <w:sz w:val="22"/>
          <w:szCs w:val="22"/>
        </w:rPr>
        <w:t xml:space="preserve">исполненных</w:t>
      </w:r>
      <w:r>
        <w:rPr>
          <w:sz w:val="22"/>
          <w:szCs w:val="22"/>
        </w:rPr>
        <w:t xml:space="preserve"> Исполнителем.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40"/>
        <w:numPr>
          <w:ilvl w:val="1"/>
          <w:numId w:val="45"/>
        </w:numPr>
        <w:ind w:left="0" w:firstLine="426"/>
        <w:spacing w:line="240" w:lineRule="auto"/>
        <w:tabs>
          <w:tab w:val="left" w:pos="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Общая сумма начисленных штрафов за неисполнение или ненадлежащее исполнение Исполнителем обязательств, предусмотренных Контрактом, не может превышать цену Контракта.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40"/>
        <w:numPr>
          <w:ilvl w:val="1"/>
          <w:numId w:val="45"/>
        </w:numPr>
        <w:ind w:left="0" w:firstLine="426"/>
        <w:spacing w:line="240" w:lineRule="auto"/>
        <w:tabs>
          <w:tab w:val="left" w:pos="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Исполнитель обязан возместить убытки, причиненные Заказчику в ходе исполнения Контракта, в порядке, предусмотренном действующим законодательством, в том числе убытки, понесенные Заказчиком в связи с возвратом целевых бюджетных сре</w:t>
      </w:r>
      <w:r>
        <w:rPr>
          <w:sz w:val="22"/>
          <w:szCs w:val="22"/>
        </w:rPr>
        <w:t xml:space="preserve">дств в б</w:t>
      </w:r>
      <w:r>
        <w:rPr>
          <w:sz w:val="22"/>
          <w:szCs w:val="22"/>
        </w:rPr>
        <w:t xml:space="preserve">юджеты бюджетной системы Российской Федерации по причине несоблюдения условий их предоставления, вызванного неисполнением или ненадлежащим исполнением обязательств Исполнителя по Контракту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40"/>
        <w:numPr>
          <w:ilvl w:val="1"/>
          <w:numId w:val="45"/>
        </w:numPr>
        <w:ind w:left="0" w:firstLine="426"/>
        <w:spacing w:line="240" w:lineRule="auto"/>
        <w:tabs>
          <w:tab w:val="left" w:pos="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В качестве подтверждения фактов неисполнения или ненадлежащего исполнения Исполнителем обязательств, Заказчик может использова</w:t>
      </w:r>
      <w:r>
        <w:rPr>
          <w:sz w:val="22"/>
          <w:szCs w:val="22"/>
        </w:rPr>
        <w:t xml:space="preserve">ть фото- или видеоматериалы, составленные им в одностороннем порядке и (или) с привлечением третьих лиц, являющиеся основанием для взыскания неустоек (штрафов, пеней) или применения иной формы ответственности в соответствии с действующим законодательством.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40"/>
        <w:numPr>
          <w:ilvl w:val="1"/>
          <w:numId w:val="45"/>
        </w:numPr>
        <w:ind w:left="0" w:firstLine="426"/>
        <w:spacing w:line="240" w:lineRule="auto"/>
        <w:tabs>
          <w:tab w:val="left" w:pos="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В случае </w:t>
      </w:r>
      <w:r>
        <w:rPr>
          <w:sz w:val="22"/>
          <w:szCs w:val="22"/>
        </w:rPr>
        <w:t xml:space="preserve">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Исполнитель вправе потребовать уплаты неустоек (штрафов, пеней).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40"/>
        <w:numPr>
          <w:ilvl w:val="1"/>
          <w:numId w:val="45"/>
        </w:numPr>
        <w:ind w:left="0" w:firstLine="426"/>
        <w:spacing w:line="240" w:lineRule="auto"/>
        <w:tabs>
          <w:tab w:val="left" w:pos="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Штрафы начисляются за каждый факт неисполнения или ненадлежащее исполнение Заказчиком обязательств, предусмотренных Контрактом, за исключением проср</w:t>
      </w:r>
      <w:r>
        <w:rPr>
          <w:sz w:val="22"/>
          <w:szCs w:val="22"/>
        </w:rPr>
        <w:t xml:space="preserve">очки исполнения обязательств. Размер штрафа устанавливается в порядке, определенном постановлением Правительства Российской Федерации от 30.08.2017 № 1042, в размере, составляющем: 1000 рублей, если цена Контракта не превышает 3 млн. рублей (включительно).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40"/>
        <w:numPr>
          <w:ilvl w:val="1"/>
          <w:numId w:val="45"/>
        </w:numPr>
        <w:ind w:left="0" w:firstLine="426"/>
        <w:spacing w:line="240" w:lineRule="auto"/>
        <w:tabs>
          <w:tab w:val="left" w:pos="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Пеня начисляется за каждый день просрочки исполнения Заказчиком обязательства, предусмотренного Контрактом, начиная со дня, следующего посл</w:t>
      </w:r>
      <w:r>
        <w:rPr>
          <w:sz w:val="22"/>
          <w:szCs w:val="22"/>
        </w:rPr>
        <w:t xml:space="preserve">е дня истечения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неуплаченной в срок суммы.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40"/>
        <w:numPr>
          <w:ilvl w:val="1"/>
          <w:numId w:val="45"/>
        </w:numPr>
        <w:ind w:left="0" w:firstLine="426"/>
        <w:spacing w:line="240" w:lineRule="auto"/>
        <w:tabs>
          <w:tab w:val="left" w:pos="993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Общая сумма начисленных штрафов за ненадлежащее исполнение Заказчиком обязательств, предусмотренных Контрактом, не может превышать цену Контракта.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40"/>
        <w:numPr>
          <w:ilvl w:val="1"/>
          <w:numId w:val="45"/>
        </w:numPr>
        <w:ind w:left="0" w:firstLine="426"/>
        <w:spacing w:line="240" w:lineRule="auto"/>
        <w:tabs>
          <w:tab w:val="left" w:pos="993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Уплата неустоек (штрафов, пеней) не освобождает виновную Сторону от выполнения принятых на себя обязательств по Контракту.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40"/>
        <w:numPr>
          <w:ilvl w:val="1"/>
          <w:numId w:val="45"/>
        </w:numPr>
        <w:ind w:left="0" w:firstLine="426"/>
        <w:spacing w:line="240" w:lineRule="auto"/>
        <w:tabs>
          <w:tab w:val="left" w:pos="993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Сторона освобождается от уплаты неустоек (штрафов, пеней),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40"/>
        <w:ind w:left="426" w:firstLine="0"/>
        <w:spacing w:line="240" w:lineRule="auto"/>
        <w:tabs>
          <w:tab w:val="left" w:pos="993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40"/>
        <w:contextualSpacing w:val="0"/>
        <w:ind w:left="0" w:firstLine="426"/>
        <w:jc w:val="center"/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8</w:t>
      </w:r>
      <w:r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 xml:space="preserve">Форс-мажорные обстоятельства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940"/>
        <w:numPr>
          <w:ilvl w:val="1"/>
          <w:numId w:val="46"/>
        </w:numPr>
        <w:ind w:left="0" w:firstLine="426"/>
        <w:spacing w:line="240" w:lineRule="auto"/>
        <w:tabs>
          <w:tab w:val="left" w:pos="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Стороны освобождаются от ответственности за частичное или полное невыполнение обязательств по Контракту, если оно явилось следствием обстоятельств непреодол</w:t>
      </w:r>
      <w:r>
        <w:rPr>
          <w:sz w:val="22"/>
          <w:szCs w:val="22"/>
        </w:rPr>
        <w:t xml:space="preserve">имой силы (форс-мажор), а именно: пожара, наводнения, землетрясения, войны, военных действий, блокады, эмбарго, общих забастовок, запрещающих (либо ограничивающих) актов властей, и, если эти обстоятельства непосредственно повлияли на исполнение Контракта.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40"/>
        <w:numPr>
          <w:ilvl w:val="1"/>
          <w:numId w:val="46"/>
        </w:numPr>
        <w:ind w:left="0" w:firstLine="426"/>
        <w:spacing w:line="240" w:lineRule="auto"/>
        <w:tabs>
          <w:tab w:val="left" w:pos="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Сторона, для которой создалась невозможность </w:t>
      </w:r>
      <w:r>
        <w:rPr>
          <w:sz w:val="22"/>
          <w:szCs w:val="22"/>
        </w:rPr>
        <w:t xml:space="preserve">оказания</w:t>
      </w:r>
      <w:r>
        <w:rPr>
          <w:sz w:val="22"/>
          <w:szCs w:val="22"/>
        </w:rPr>
        <w:t xml:space="preserve"> обязательств по Контракту, обязана немедленно (в течение 3 (трех) дней) известить другую Сторону о наступлении и прекращении обстоятельств, указанных в п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8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1 Контракта. Несвоевременное извещение об этих обстоятельствах лишает соответствующую Сторону права ссылаться на них в будущем.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40"/>
        <w:numPr>
          <w:ilvl w:val="1"/>
          <w:numId w:val="46"/>
        </w:numPr>
        <w:ind w:left="0" w:firstLine="426"/>
        <w:spacing w:line="240" w:lineRule="auto"/>
        <w:tabs>
          <w:tab w:val="left" w:pos="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Обязанность доказать наличие обстоятельств непреодолимой силы лежит на Стороне Контракта, не выполнившей свои обязательства по Контракту.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40"/>
        <w:numPr>
          <w:ilvl w:val="1"/>
          <w:numId w:val="46"/>
        </w:numPr>
        <w:ind w:left="0" w:firstLine="426"/>
        <w:spacing w:line="240" w:lineRule="auto"/>
        <w:tabs>
          <w:tab w:val="left" w:pos="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Если обстоятельства, указанные в п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8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1 Контракта, и их последствия будут длиться более 1 (одного) месяца, то Стороны вправе расторгнуть Контракт. В этом случае ни одна из Сторон не имеет права потребовать от другой Стороны возмещения убытков.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40"/>
        <w:ind w:left="426" w:firstLine="0"/>
        <w:spacing w:line="240" w:lineRule="auto"/>
        <w:tabs>
          <w:tab w:val="left" w:pos="851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9</w:t>
      </w:r>
      <w:r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 xml:space="preserve">Порядок р</w:t>
      </w:r>
      <w:r>
        <w:rPr>
          <w:b/>
          <w:sz w:val="22"/>
          <w:szCs w:val="22"/>
        </w:rPr>
        <w:t xml:space="preserve">азрешени</w:t>
      </w:r>
      <w:r>
        <w:rPr>
          <w:b/>
          <w:sz w:val="22"/>
          <w:szCs w:val="22"/>
        </w:rPr>
        <w:t xml:space="preserve">я</w:t>
      </w:r>
      <w:r>
        <w:rPr>
          <w:b/>
          <w:sz w:val="22"/>
          <w:szCs w:val="22"/>
        </w:rPr>
        <w:t xml:space="preserve"> споров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939"/>
        <w:ind w:firstLine="426"/>
        <w:jc w:val="both"/>
        <w:rPr>
          <w:rFonts w:eastAsia="Times New Roman"/>
          <w:color w:val="auto"/>
          <w:sz w:val="22"/>
          <w:szCs w:val="22"/>
        </w:rPr>
      </w:pPr>
      <w:r>
        <w:rPr>
          <w:rFonts w:eastAsia="Times New Roman"/>
          <w:color w:val="auto"/>
          <w:sz w:val="22"/>
          <w:szCs w:val="22"/>
        </w:rPr>
        <w:t xml:space="preserve">9.1. </w:t>
      </w:r>
      <w:r>
        <w:rPr>
          <w:rFonts w:eastAsia="Times New Roman"/>
          <w:color w:val="auto"/>
          <w:sz w:val="22"/>
          <w:szCs w:val="22"/>
        </w:rPr>
        <w:t xml:space="preserve">Все разногласия и споры, которые могут возникнуть при исполнении Контракта, подлежат предварительному разрешению путем переговоров. В случае если Стороны не придут к соглашению, спор подлежит рассмотрению в Арбитражном суде Алтайского края.</w:t>
      </w:r>
      <w:r>
        <w:rPr>
          <w:rFonts w:eastAsia="Times New Roman"/>
          <w:color w:val="auto"/>
          <w:sz w:val="22"/>
          <w:szCs w:val="22"/>
        </w:rPr>
      </w:r>
      <w:r>
        <w:rPr>
          <w:rFonts w:eastAsia="Times New Roman"/>
          <w:color w:val="auto"/>
          <w:sz w:val="22"/>
          <w:szCs w:val="22"/>
        </w:rPr>
      </w:r>
    </w:p>
    <w:p>
      <w:pPr>
        <w:pStyle w:val="939"/>
        <w:ind w:firstLine="426"/>
        <w:jc w:val="both"/>
        <w:rPr>
          <w:rFonts w:eastAsia="Times New Roman"/>
          <w:color w:val="auto"/>
          <w:sz w:val="22"/>
          <w:szCs w:val="22"/>
        </w:rPr>
      </w:pPr>
      <w:r>
        <w:rPr>
          <w:rFonts w:eastAsia="Times New Roman"/>
          <w:color w:val="auto"/>
          <w:sz w:val="22"/>
          <w:szCs w:val="22"/>
        </w:rPr>
      </w:r>
      <w:r>
        <w:rPr>
          <w:rFonts w:eastAsia="Times New Roman"/>
          <w:color w:val="auto"/>
          <w:sz w:val="22"/>
          <w:szCs w:val="22"/>
        </w:rPr>
      </w:r>
      <w:r>
        <w:rPr>
          <w:rFonts w:eastAsia="Times New Roman"/>
          <w:color w:val="auto"/>
          <w:sz w:val="22"/>
          <w:szCs w:val="22"/>
        </w:rPr>
      </w:r>
    </w:p>
    <w:p>
      <w:pPr>
        <w:pStyle w:val="939"/>
        <w:ind w:firstLine="426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1</w:t>
      </w:r>
      <w:r>
        <w:rPr>
          <w:b/>
          <w:bCs/>
          <w:color w:val="auto"/>
          <w:sz w:val="22"/>
          <w:szCs w:val="22"/>
        </w:rPr>
        <w:t xml:space="preserve">0</w:t>
      </w:r>
      <w:r>
        <w:rPr>
          <w:b/>
          <w:bCs/>
          <w:color w:val="auto"/>
          <w:sz w:val="22"/>
          <w:szCs w:val="22"/>
        </w:rPr>
        <w:t xml:space="preserve">.</w:t>
      </w:r>
      <w:r>
        <w:rPr>
          <w:b/>
          <w:bCs/>
          <w:color w:val="auto"/>
          <w:sz w:val="22"/>
          <w:szCs w:val="22"/>
        </w:rPr>
        <w:t xml:space="preserve">Расторжение Контракта</w:t>
      </w:r>
      <w:r>
        <w:rPr>
          <w:b/>
          <w:bCs/>
          <w:color w:val="auto"/>
          <w:sz w:val="22"/>
          <w:szCs w:val="22"/>
        </w:rPr>
      </w:r>
      <w:r>
        <w:rPr>
          <w:b/>
          <w:bCs/>
          <w:color w:val="auto"/>
          <w:sz w:val="22"/>
          <w:szCs w:val="22"/>
        </w:rPr>
      </w:r>
    </w:p>
    <w:p>
      <w:pPr>
        <w:pStyle w:val="940"/>
        <w:numPr>
          <w:ilvl w:val="1"/>
          <w:numId w:val="47"/>
        </w:numPr>
        <w:ind w:left="0" w:firstLine="426"/>
        <w:spacing w:line="240" w:lineRule="auto"/>
        <w:tabs>
          <w:tab w:val="left" w:pos="993" w:leader="none"/>
          <w:tab w:val="left" w:pos="1276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Расторжение Контракта допускается по соглашению Сторон, по решению суда, а также в случае одностороннего отказа Стороны Контракта от исполнения Контракта.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40"/>
        <w:numPr>
          <w:ilvl w:val="1"/>
          <w:numId w:val="47"/>
        </w:numPr>
        <w:ind w:left="0" w:firstLine="426"/>
        <w:spacing w:line="240" w:lineRule="auto"/>
        <w:tabs>
          <w:tab w:val="left" w:pos="993" w:leader="none"/>
          <w:tab w:val="left" w:pos="1276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Заказчик вправе принять решение об одностороннем отказе от исполнения Контракта по следующим основаниям: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both"/>
        <w:tabs>
          <w:tab w:val="left" w:pos="993" w:leader="none"/>
          <w:tab w:val="left" w:pos="1418" w:leader="none"/>
        </w:tabs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- </w:t>
      </w:r>
      <w:r>
        <w:rPr>
          <w:rFonts w:eastAsia="Calibri"/>
          <w:sz w:val="22"/>
          <w:szCs w:val="22"/>
          <w:lang w:eastAsia="en-US"/>
        </w:rPr>
        <w:t xml:space="preserve">Исполнитель не приступает своевременно к исполнению Контракта или оказывает услугу настолько медленно, что завершение оказания услуги к установленному в Контракте сроку становится явно невозможным;</w:t>
      </w:r>
      <w:r>
        <w:rPr>
          <w:rFonts w:eastAsia="Calibri"/>
          <w:sz w:val="22"/>
          <w:szCs w:val="22"/>
          <w:lang w:eastAsia="en-US"/>
        </w:rPr>
      </w:r>
      <w:r>
        <w:rPr>
          <w:rFonts w:eastAsia="Calibri"/>
          <w:sz w:val="22"/>
          <w:szCs w:val="22"/>
          <w:lang w:eastAsia="en-US"/>
        </w:rPr>
      </w:r>
    </w:p>
    <w:p>
      <w:pPr>
        <w:ind w:firstLine="426"/>
        <w:jc w:val="both"/>
        <w:tabs>
          <w:tab w:val="left" w:pos="993" w:leader="none"/>
          <w:tab w:val="left" w:pos="1418" w:leader="none"/>
        </w:tabs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</w:rPr>
        <w:t xml:space="preserve">- </w:t>
      </w:r>
      <w:r>
        <w:rPr>
          <w:rFonts w:eastAsia="Calibri"/>
          <w:sz w:val="22"/>
          <w:szCs w:val="22"/>
        </w:rPr>
        <w:t xml:space="preserve">во время оказания услуги стало очевидным, что она не будет оказана надлежащим образом, и </w:t>
      </w:r>
      <w:r>
        <w:rPr>
          <w:rFonts w:eastAsia="Calibri"/>
          <w:sz w:val="22"/>
          <w:szCs w:val="22"/>
          <w:lang w:eastAsia="en-US"/>
        </w:rPr>
        <w:t xml:space="preserve">Исполнитель </w:t>
      </w:r>
      <w:r>
        <w:rPr>
          <w:rFonts w:eastAsia="Calibri"/>
          <w:sz w:val="22"/>
          <w:szCs w:val="22"/>
        </w:rPr>
        <w:t xml:space="preserve">не устранил недостатки в назначенный срок после получения требования об их устранении от Заказчика;</w:t>
      </w:r>
      <w:r>
        <w:rPr>
          <w:rFonts w:eastAsia="Calibri"/>
          <w:sz w:val="22"/>
          <w:szCs w:val="22"/>
          <w:lang w:eastAsia="en-US"/>
        </w:rPr>
      </w:r>
      <w:r>
        <w:rPr>
          <w:rFonts w:eastAsia="Calibri"/>
          <w:sz w:val="22"/>
          <w:szCs w:val="22"/>
          <w:lang w:eastAsia="en-US"/>
        </w:rPr>
      </w:r>
    </w:p>
    <w:p>
      <w:pPr>
        <w:ind w:firstLine="426"/>
        <w:jc w:val="both"/>
        <w:tabs>
          <w:tab w:val="left" w:pos="993" w:leader="none"/>
          <w:tab w:val="left" w:pos="1418" w:leader="none"/>
        </w:tabs>
        <w:rPr>
          <w:rFonts w:eastAsia="Calibri"/>
          <w:b/>
          <w:strike/>
          <w:sz w:val="22"/>
          <w:szCs w:val="22"/>
          <w:lang w:eastAsia="en-US"/>
        </w:rPr>
      </w:pPr>
      <w:r>
        <w:rPr>
          <w:rFonts w:eastAsia="Calibri"/>
          <w:sz w:val="22"/>
          <w:szCs w:val="22"/>
        </w:rPr>
        <w:t xml:space="preserve">- </w:t>
      </w:r>
      <w:r>
        <w:rPr>
          <w:rFonts w:eastAsia="Calibri"/>
          <w:sz w:val="22"/>
          <w:szCs w:val="22"/>
        </w:rPr>
        <w:t xml:space="preserve">отступления в услуге от условий Контракта или иные недостатки услуги в установленный Заказчиком разумный срок не были устранены либо являются существенными и неустранимыми</w:t>
      </w:r>
      <w:r>
        <w:rPr>
          <w:rFonts w:eastAsia="Calibri"/>
          <w:b/>
          <w:sz w:val="22"/>
          <w:szCs w:val="22"/>
          <w:lang w:eastAsia="en-US"/>
        </w:rPr>
        <w:t xml:space="preserve">;</w:t>
      </w:r>
      <w:r>
        <w:rPr>
          <w:rFonts w:eastAsia="Calibri"/>
          <w:b/>
          <w:strike/>
          <w:sz w:val="22"/>
          <w:szCs w:val="22"/>
          <w:lang w:eastAsia="en-US"/>
        </w:rPr>
      </w:r>
      <w:r>
        <w:rPr>
          <w:rFonts w:eastAsia="Calibri"/>
          <w:b/>
          <w:strike/>
          <w:sz w:val="22"/>
          <w:szCs w:val="22"/>
          <w:lang w:eastAsia="en-US"/>
        </w:rPr>
      </w:r>
    </w:p>
    <w:p>
      <w:pPr>
        <w:contextualSpacing/>
        <w:ind w:firstLine="426"/>
        <w:jc w:val="both"/>
        <w:widowControl w:val="off"/>
        <w:tabs>
          <w:tab w:val="left" w:pos="993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sz w:val="22"/>
          <w:szCs w:val="22"/>
        </w:rPr>
        <w:t xml:space="preserve">по иным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40"/>
        <w:numPr>
          <w:ilvl w:val="1"/>
          <w:numId w:val="47"/>
        </w:numPr>
        <w:ind w:left="0" w:firstLine="426"/>
        <w:spacing w:line="240" w:lineRule="auto"/>
        <w:tabs>
          <w:tab w:val="left" w:pos="426" w:leader="none"/>
          <w:tab w:val="left" w:pos="993" w:leader="none"/>
          <w:tab w:val="left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Односторонний отказ от исполнения Контракта осуществляется в соответствии с положениями ст. 95 Федерального закона от 05.04.2013 44-ФЗ </w:t>
      </w:r>
      <w:r>
        <w:rPr>
          <w:sz w:val="22"/>
          <w:szCs w:val="22"/>
        </w:rPr>
        <w:t xml:space="preserve">«</w:t>
      </w:r>
      <w:r>
        <w:rPr>
          <w:sz w:val="22"/>
          <w:szCs w:val="22"/>
        </w:rPr>
        <w:t xml:space="preserve">О контрактной системе в сфере закупок товаров, работ, услуг для обеспечения государственных и муниципальных нужд».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numPr>
          <w:ilvl w:val="1"/>
          <w:numId w:val="47"/>
        </w:numPr>
        <w:ind w:left="0" w:firstLine="426"/>
        <w:jc w:val="both"/>
        <w:tabs>
          <w:tab w:val="left" w:pos="993" w:leader="none"/>
          <w:tab w:val="left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Заказчик обязан принять решение об одностороннем отказе от исполнения Контракта в соответствии с требованиями ч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 15 ст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numPr>
          <w:ilvl w:val="1"/>
          <w:numId w:val="47"/>
        </w:numPr>
        <w:ind w:left="0" w:firstLine="426"/>
        <w:jc w:val="both"/>
        <w:tabs>
          <w:tab w:val="left" w:pos="993" w:leader="none"/>
          <w:tab w:val="left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Расторжение Контракта </w:t>
      </w:r>
      <w:r>
        <w:rPr>
          <w:sz w:val="22"/>
          <w:szCs w:val="22"/>
        </w:rPr>
        <w:t xml:space="preserve">по соглашению Сторон совершается в письменной форме и возможно в случае наступления условий,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numPr>
          <w:ilvl w:val="1"/>
          <w:numId w:val="47"/>
        </w:numPr>
        <w:ind w:left="0" w:firstLine="426"/>
        <w:jc w:val="both"/>
        <w:tabs>
          <w:tab w:val="left" w:pos="993" w:leader="none"/>
          <w:tab w:val="left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В случае расто</w:t>
      </w:r>
      <w:r>
        <w:rPr>
          <w:sz w:val="22"/>
          <w:szCs w:val="22"/>
        </w:rPr>
        <w:t xml:space="preserve">ржения Контракта по соглашению Сторон Исполнитель возвращает Заказчику все денежные средства, перечисленные для исполнения обязательств по Контракту, а Заказчик оплачивает расходы (издержки) Исполнителя за фактически исполненные обязательства по Контракту.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numPr>
          <w:ilvl w:val="1"/>
          <w:numId w:val="47"/>
        </w:numPr>
        <w:ind w:left="0" w:firstLine="426"/>
        <w:jc w:val="both"/>
        <w:tabs>
          <w:tab w:val="left" w:pos="993" w:leader="none"/>
          <w:tab w:val="left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(десяти) дней </w:t>
      </w:r>
      <w:r>
        <w:rPr>
          <w:sz w:val="22"/>
          <w:szCs w:val="22"/>
        </w:rPr>
        <w:t xml:space="preserve">с даты получения</w:t>
      </w:r>
      <w:r>
        <w:rPr>
          <w:sz w:val="22"/>
          <w:szCs w:val="22"/>
        </w:rPr>
        <w:t xml:space="preserve"> предложения о расторжении Контракта.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numPr>
          <w:ilvl w:val="1"/>
          <w:numId w:val="47"/>
        </w:numPr>
        <w:ind w:left="0" w:firstLine="426"/>
        <w:jc w:val="both"/>
        <w:tabs>
          <w:tab w:val="left" w:pos="993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Расторжение Контракта влечет прекращение обязатель</w:t>
      </w:r>
      <w:r>
        <w:rPr>
          <w:sz w:val="22"/>
          <w:szCs w:val="22"/>
        </w:rPr>
        <w:t xml:space="preserve">ств Ст</w:t>
      </w:r>
      <w:r>
        <w:rPr>
          <w:sz w:val="22"/>
          <w:szCs w:val="22"/>
        </w:rPr>
        <w:t xml:space="preserve">орон по Контракту, за исключением</w:t>
      </w:r>
      <w:r>
        <w:rPr>
          <w:sz w:val="22"/>
          <w:szCs w:val="22"/>
        </w:rPr>
        <w:t xml:space="preserve"> обязательств по оплате оказанной услуги, связанных с недостатками услуги, неисполненных на дату расторжения Контракта, и не освобождает Стороны от ответственности за неисполнение обязательств по Контракту, которое имело место до дня расторжения Контракта.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426"/>
        <w:jc w:val="both"/>
        <w:tabs>
          <w:tab w:val="left" w:pos="993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</w:t>
      </w:r>
      <w:r>
        <w:rPr>
          <w:b/>
          <w:sz w:val="22"/>
          <w:szCs w:val="22"/>
        </w:rPr>
        <w:t xml:space="preserve">1</w:t>
      </w:r>
      <w:r>
        <w:rPr>
          <w:b/>
          <w:sz w:val="22"/>
          <w:szCs w:val="22"/>
        </w:rPr>
        <w:t xml:space="preserve">. Срок действия Контракта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967"/>
        <w:ind w:firstLine="426"/>
        <w:jc w:val="both"/>
        <w:widowControl/>
        <w:rPr>
          <w:rFonts w:ascii="Times New Roman" w:hAnsi="Times New Roman" w:cs="Times New Roman"/>
          <w:i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</w:t>
      </w:r>
      <w:r>
        <w:rPr>
          <w:rFonts w:ascii="Times New Roman" w:hAnsi="Times New Roman" w:cs="Times New Roman"/>
          <w:sz w:val="22"/>
          <w:szCs w:val="22"/>
        </w:rPr>
        <w:t xml:space="preserve">1.</w:t>
      </w:r>
      <w:r>
        <w:rPr>
          <w:rFonts w:ascii="Times New Roman" w:hAnsi="Times New Roman" w:cs="Times New Roman"/>
          <w:sz w:val="22"/>
          <w:szCs w:val="22"/>
        </w:rPr>
        <w:t xml:space="preserve">1. </w:t>
      </w:r>
      <w:r>
        <w:rPr>
          <w:rFonts w:ascii="Times New Roman" w:hAnsi="Times New Roman" w:cs="Times New Roman"/>
          <w:iCs/>
          <w:sz w:val="22"/>
          <w:szCs w:val="22"/>
        </w:rPr>
        <w:t xml:space="preserve">Контра</w:t>
      </w:r>
      <w:r>
        <w:rPr>
          <w:rFonts w:ascii="Times New Roman" w:hAnsi="Times New Roman" w:cs="Times New Roman"/>
          <w:iCs/>
          <w:sz w:val="22"/>
          <w:szCs w:val="22"/>
        </w:rPr>
        <w:t xml:space="preserve">кт вст</w:t>
      </w:r>
      <w:r>
        <w:rPr>
          <w:rFonts w:ascii="Times New Roman" w:hAnsi="Times New Roman" w:cs="Times New Roman"/>
          <w:iCs/>
          <w:sz w:val="22"/>
          <w:szCs w:val="22"/>
        </w:rPr>
        <w:t xml:space="preserve">упает в силу со дня подписания его Сторонами и действует </w:t>
      </w:r>
      <w:r>
        <w:rPr>
          <w:rFonts w:ascii="Times New Roman" w:hAnsi="Times New Roman" w:cs="Times New Roman"/>
          <w:iCs/>
          <w:sz w:val="22"/>
          <w:szCs w:val="22"/>
        </w:rPr>
        <w:t xml:space="preserve">до полного исполнения Сторонами своих обязательств по Контракту</w:t>
      </w:r>
      <w:r>
        <w:rPr>
          <w:rFonts w:ascii="Times New Roman" w:hAnsi="Times New Roman" w:cs="Times New Roman"/>
          <w:iCs/>
          <w:sz w:val="22"/>
          <w:szCs w:val="22"/>
        </w:rPr>
        <w:t xml:space="preserve">.</w:t>
      </w:r>
      <w:r>
        <w:rPr>
          <w:rFonts w:ascii="Times New Roman" w:hAnsi="Times New Roman" w:cs="Times New Roman"/>
          <w:iCs/>
          <w:sz w:val="22"/>
          <w:szCs w:val="22"/>
        </w:rPr>
      </w:r>
      <w:r>
        <w:rPr>
          <w:rFonts w:ascii="Times New Roman" w:hAnsi="Times New Roman" w:cs="Times New Roman"/>
          <w:iCs/>
          <w:sz w:val="22"/>
          <w:szCs w:val="22"/>
        </w:rPr>
      </w:r>
    </w:p>
    <w:p>
      <w:pPr>
        <w:pStyle w:val="967"/>
        <w:ind w:firstLine="426"/>
        <w:jc w:val="both"/>
        <w:widowControl/>
        <w:rPr>
          <w:rFonts w:ascii="Times New Roman" w:hAnsi="Times New Roman" w:cs="Times New Roman"/>
          <w:iCs/>
          <w:sz w:val="22"/>
          <w:szCs w:val="22"/>
        </w:rPr>
      </w:pPr>
      <w:r>
        <w:rPr>
          <w:rFonts w:ascii="Times New Roman" w:hAnsi="Times New Roman" w:cs="Times New Roman"/>
          <w:iCs/>
          <w:sz w:val="22"/>
          <w:szCs w:val="22"/>
        </w:rPr>
      </w:r>
      <w:r>
        <w:rPr>
          <w:rFonts w:ascii="Times New Roman" w:hAnsi="Times New Roman" w:cs="Times New Roman"/>
          <w:iCs/>
          <w:sz w:val="22"/>
          <w:szCs w:val="22"/>
        </w:rPr>
      </w:r>
      <w:r>
        <w:rPr>
          <w:rFonts w:ascii="Times New Roman" w:hAnsi="Times New Roman" w:cs="Times New Roman"/>
          <w:iCs/>
          <w:sz w:val="22"/>
          <w:szCs w:val="22"/>
        </w:rPr>
      </w:r>
    </w:p>
    <w:p>
      <w:pPr>
        <w:ind w:firstLine="426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</w:t>
      </w:r>
      <w:r>
        <w:rPr>
          <w:b/>
          <w:sz w:val="22"/>
          <w:szCs w:val="22"/>
        </w:rPr>
        <w:t xml:space="preserve">2</w:t>
      </w:r>
      <w:r>
        <w:rPr>
          <w:b/>
          <w:sz w:val="22"/>
          <w:szCs w:val="22"/>
        </w:rPr>
        <w:t xml:space="preserve">.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Прочие условия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ind w:firstLine="426"/>
        <w:jc w:val="both"/>
        <w:tabs>
          <w:tab w:val="left" w:pos="993" w:leader="none"/>
        </w:tabs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 xml:space="preserve">1</w:t>
      </w:r>
      <w:r>
        <w:rPr>
          <w:spacing w:val="-2"/>
          <w:sz w:val="22"/>
          <w:szCs w:val="22"/>
        </w:rPr>
        <w:t xml:space="preserve">2</w:t>
      </w:r>
      <w:r>
        <w:rPr>
          <w:spacing w:val="-2"/>
          <w:sz w:val="22"/>
          <w:szCs w:val="22"/>
        </w:rPr>
        <w:t xml:space="preserve">.1.</w:t>
      </w:r>
      <w:r>
        <w:rPr>
          <w:spacing w:val="-2"/>
          <w:sz w:val="22"/>
          <w:szCs w:val="22"/>
        </w:rPr>
        <w:tab/>
        <w:t xml:space="preserve">Любые уведомления, извещения, запросы и иная корреспонденция должны быть сделаны в письменной форме (далее – «корреспонденция»).</w:t>
      </w:r>
      <w:r>
        <w:rPr>
          <w:spacing w:val="-2"/>
          <w:sz w:val="22"/>
          <w:szCs w:val="22"/>
        </w:rPr>
      </w:r>
      <w:r>
        <w:rPr>
          <w:spacing w:val="-2"/>
          <w:sz w:val="22"/>
          <w:szCs w:val="22"/>
        </w:rPr>
      </w:r>
    </w:p>
    <w:p>
      <w:pPr>
        <w:pStyle w:val="947"/>
        <w:ind w:firstLine="426"/>
        <w:jc w:val="both"/>
        <w:tabs>
          <w:tab w:val="left" w:pos="993" w:leader="none"/>
        </w:tabs>
        <w:rPr>
          <w:spacing w:val="-2"/>
          <w:sz w:val="22"/>
          <w:szCs w:val="22"/>
        </w:rPr>
      </w:pPr>
      <w:r>
        <w:rPr>
          <w:sz w:val="22"/>
          <w:szCs w:val="22"/>
        </w:rPr>
        <w:t xml:space="preserve">Корреспонденция отправляется по почте заказным письмом с уведомлением/</w:t>
      </w:r>
      <w:r>
        <w:rPr>
          <w:sz w:val="22"/>
          <w:szCs w:val="22"/>
        </w:rPr>
        <w:t xml:space="preserve">извещением о вручении, курьерской службой, а также с использованием факсимильной связи, электронной почты по адресу Стороны, указанному в Контракте, либо с использованием единой информационной системы в случаях, установленных действующем законодательством.</w:t>
      </w:r>
      <w:r>
        <w:rPr>
          <w:spacing w:val="-2"/>
          <w:sz w:val="22"/>
          <w:szCs w:val="22"/>
        </w:rPr>
      </w:r>
      <w:r>
        <w:rPr>
          <w:spacing w:val="-2"/>
          <w:sz w:val="22"/>
          <w:szCs w:val="22"/>
        </w:rPr>
      </w:r>
    </w:p>
    <w:p>
      <w:pPr>
        <w:ind w:firstLine="426"/>
        <w:jc w:val="both"/>
        <w:tabs>
          <w:tab w:val="left" w:pos="993" w:leader="none"/>
        </w:tabs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 xml:space="preserve">Любая корреспонденция, связанная с Контрактом, будет считаться надлежащим образом доставленной другой Стороне и полученной ею, если она передана нарочно лично уполномоченному предст</w:t>
      </w:r>
      <w:r>
        <w:rPr>
          <w:spacing w:val="-2"/>
          <w:sz w:val="22"/>
          <w:szCs w:val="22"/>
        </w:rPr>
        <w:t xml:space="preserve">авителю другой Стороны под подпись, либо направлена другой Стороне письмом заказным с уведомлением о его вручении на адрес соответствующей Стороны (указанный в Контракте), или на другой адрес, который будет заблаговременно письменно сообщен другой Стороне.</w:t>
      </w:r>
      <w:r>
        <w:rPr>
          <w:spacing w:val="-2"/>
          <w:sz w:val="22"/>
          <w:szCs w:val="22"/>
        </w:rPr>
        <w:t xml:space="preserve"> В случае отправления уведомлений посредством факсимильной связи и электронной почты уведомления считаются полученными Стороной в первый рабочий день после отправки.</w:t>
      </w:r>
      <w:r>
        <w:rPr>
          <w:spacing w:val="-2"/>
          <w:sz w:val="22"/>
          <w:szCs w:val="22"/>
        </w:rPr>
      </w:r>
      <w:r>
        <w:rPr>
          <w:spacing w:val="-2"/>
          <w:sz w:val="22"/>
          <w:szCs w:val="22"/>
        </w:rPr>
      </w:r>
    </w:p>
    <w:p>
      <w:pPr>
        <w:ind w:firstLine="426"/>
        <w:jc w:val="both"/>
        <w:tabs>
          <w:tab w:val="left" w:pos="993" w:leader="none"/>
        </w:tabs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 xml:space="preserve">1</w:t>
      </w:r>
      <w:r>
        <w:rPr>
          <w:spacing w:val="-2"/>
          <w:sz w:val="22"/>
          <w:szCs w:val="22"/>
        </w:rPr>
        <w:t xml:space="preserve">2</w:t>
      </w:r>
      <w:r>
        <w:rPr>
          <w:spacing w:val="-2"/>
          <w:sz w:val="22"/>
          <w:szCs w:val="22"/>
        </w:rPr>
        <w:t xml:space="preserve">.2.</w:t>
      </w:r>
      <w:r>
        <w:rPr>
          <w:spacing w:val="-2"/>
          <w:sz w:val="22"/>
          <w:szCs w:val="22"/>
        </w:rPr>
        <w:tab/>
        <w:t xml:space="preserve">Корреспонденция считается доставленной Стороне также в случаях, если:</w:t>
      </w:r>
      <w:r>
        <w:rPr>
          <w:spacing w:val="-2"/>
          <w:sz w:val="22"/>
          <w:szCs w:val="22"/>
        </w:rPr>
      </w:r>
      <w:r>
        <w:rPr>
          <w:spacing w:val="-2"/>
          <w:sz w:val="22"/>
          <w:szCs w:val="22"/>
        </w:rPr>
      </w:r>
    </w:p>
    <w:p>
      <w:pPr>
        <w:ind w:firstLine="426"/>
        <w:jc w:val="both"/>
        <w:tabs>
          <w:tab w:val="left" w:pos="993" w:leader="none"/>
        </w:tabs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 xml:space="preserve">- </w:t>
      </w:r>
      <w:r>
        <w:rPr>
          <w:spacing w:val="-2"/>
          <w:sz w:val="22"/>
          <w:szCs w:val="22"/>
        </w:rPr>
        <w:t xml:space="preserve">Сторона отказалась от получения </w:t>
      </w:r>
      <w:r>
        <w:rPr>
          <w:spacing w:val="-2"/>
          <w:sz w:val="22"/>
          <w:szCs w:val="22"/>
        </w:rPr>
        <w:t xml:space="preserve">корреспонденции</w:t>
      </w:r>
      <w:r>
        <w:rPr>
          <w:spacing w:val="-2"/>
          <w:sz w:val="22"/>
          <w:szCs w:val="22"/>
        </w:rPr>
        <w:t xml:space="preserve"> и этот отказ зафиксирован организацией почтовой связи;</w:t>
      </w:r>
      <w:r>
        <w:rPr>
          <w:spacing w:val="-2"/>
          <w:sz w:val="22"/>
          <w:szCs w:val="22"/>
        </w:rPr>
      </w:r>
      <w:r>
        <w:rPr>
          <w:spacing w:val="-2"/>
          <w:sz w:val="22"/>
          <w:szCs w:val="22"/>
        </w:rPr>
      </w:r>
    </w:p>
    <w:p>
      <w:pPr>
        <w:ind w:firstLine="426"/>
        <w:jc w:val="both"/>
        <w:tabs>
          <w:tab w:val="left" w:pos="993" w:leader="none"/>
        </w:tabs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 xml:space="preserve">- </w:t>
      </w:r>
      <w:r>
        <w:rPr>
          <w:spacing w:val="-2"/>
          <w:sz w:val="22"/>
          <w:szCs w:val="22"/>
        </w:rPr>
        <w:t xml:space="preserve">несмотря на почтовое извещение, Сторона не явилась за получением направленной корреспонденции, о чем организация почтовой связи уведомила отправителя;</w:t>
      </w:r>
      <w:r>
        <w:rPr>
          <w:spacing w:val="-2"/>
          <w:sz w:val="22"/>
          <w:szCs w:val="22"/>
        </w:rPr>
      </w:r>
      <w:r>
        <w:rPr>
          <w:spacing w:val="-2"/>
          <w:sz w:val="22"/>
          <w:szCs w:val="22"/>
        </w:rPr>
      </w:r>
    </w:p>
    <w:p>
      <w:pPr>
        <w:ind w:firstLine="426"/>
        <w:jc w:val="both"/>
        <w:tabs>
          <w:tab w:val="left" w:pos="993" w:leader="none"/>
        </w:tabs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 xml:space="preserve">- </w:t>
      </w:r>
      <w:r>
        <w:rPr>
          <w:spacing w:val="-2"/>
          <w:sz w:val="22"/>
          <w:szCs w:val="22"/>
        </w:rPr>
        <w:t xml:space="preserve">корреспонденция не вручена в связи с отсутствием Стороны по указанному адресу, о чем организация почтовой связи уведомила отправителя.</w:t>
      </w:r>
      <w:r>
        <w:rPr>
          <w:spacing w:val="-2"/>
          <w:sz w:val="22"/>
          <w:szCs w:val="22"/>
        </w:rPr>
      </w:r>
      <w:r>
        <w:rPr>
          <w:spacing w:val="-2"/>
          <w:sz w:val="22"/>
          <w:szCs w:val="22"/>
        </w:rPr>
      </w:r>
    </w:p>
    <w:p>
      <w:pPr>
        <w:pStyle w:val="940"/>
        <w:contextualSpacing w:val="0"/>
        <w:ind w:left="0" w:firstLine="426"/>
        <w:spacing w:line="240" w:lineRule="auto"/>
        <w:tabs>
          <w:tab w:val="left" w:pos="993" w:leader="none"/>
        </w:tabs>
        <w:rPr>
          <w:rFonts w:eastAsia="Calibri"/>
          <w:iCs/>
          <w:sz w:val="22"/>
          <w:szCs w:val="22"/>
          <w:lang w:eastAsia="en-US"/>
        </w:rPr>
      </w:pPr>
      <w:r>
        <w:rPr>
          <w:rFonts w:eastAsia="Calibri"/>
          <w:iCs/>
          <w:sz w:val="22"/>
          <w:szCs w:val="22"/>
          <w:lang w:eastAsia="en-US"/>
        </w:rPr>
        <w:t xml:space="preserve">1</w:t>
      </w:r>
      <w:r>
        <w:rPr>
          <w:rFonts w:eastAsia="Calibri"/>
          <w:iCs/>
          <w:sz w:val="22"/>
          <w:szCs w:val="22"/>
          <w:lang w:eastAsia="en-US"/>
        </w:rPr>
        <w:t xml:space="preserve">2</w:t>
      </w:r>
      <w:r>
        <w:rPr>
          <w:rFonts w:eastAsia="Calibri"/>
          <w:iCs/>
          <w:sz w:val="22"/>
          <w:szCs w:val="22"/>
          <w:lang w:eastAsia="en-US"/>
        </w:rPr>
        <w:t xml:space="preserve">.3.</w:t>
      </w:r>
      <w:r>
        <w:rPr>
          <w:rFonts w:eastAsia="Calibri"/>
          <w:iCs/>
          <w:sz w:val="22"/>
          <w:szCs w:val="22"/>
          <w:lang w:eastAsia="en-US"/>
        </w:rPr>
        <w:t xml:space="preserve"> Контракт составлен в форме электронного документа. После заключения Контракта Стороны вправе изготовить Контракт на бумажном носителе в 2 (двух) экземплярах, имеющих одинаковую юридическую силу, по одному для Заказчика и </w:t>
      </w:r>
      <w:r>
        <w:rPr>
          <w:rFonts w:eastAsia="Calibri"/>
          <w:iCs/>
          <w:sz w:val="22"/>
          <w:szCs w:val="22"/>
          <w:lang w:eastAsia="en-US"/>
        </w:rPr>
        <w:t xml:space="preserve">Исполнителя</w:t>
      </w:r>
      <w:r>
        <w:rPr>
          <w:rFonts w:eastAsia="Calibri"/>
          <w:iCs/>
          <w:sz w:val="22"/>
          <w:szCs w:val="22"/>
          <w:lang w:eastAsia="en-US"/>
        </w:rPr>
        <w:t xml:space="preserve">.</w:t>
      </w:r>
      <w:r>
        <w:rPr>
          <w:rFonts w:eastAsia="Calibri"/>
          <w:iCs/>
          <w:sz w:val="22"/>
          <w:szCs w:val="22"/>
          <w:lang w:eastAsia="en-US"/>
        </w:rPr>
      </w:r>
      <w:r>
        <w:rPr>
          <w:rFonts w:eastAsia="Calibri"/>
          <w:iCs/>
          <w:sz w:val="22"/>
          <w:szCs w:val="22"/>
          <w:lang w:eastAsia="en-US"/>
        </w:rPr>
      </w:r>
    </w:p>
    <w:p>
      <w:pPr>
        <w:pStyle w:val="940"/>
        <w:contextualSpacing w:val="0"/>
        <w:ind w:left="0" w:firstLine="426"/>
        <w:spacing w:line="240" w:lineRule="auto"/>
        <w:rPr>
          <w:iCs/>
          <w:sz w:val="22"/>
          <w:szCs w:val="22"/>
        </w:rPr>
      </w:pPr>
      <w:r>
        <w:rPr>
          <w:sz w:val="22"/>
          <w:szCs w:val="22"/>
        </w:rPr>
        <w:t xml:space="preserve">1</w:t>
      </w:r>
      <w:r>
        <w:rPr>
          <w:sz w:val="22"/>
          <w:szCs w:val="22"/>
        </w:rPr>
        <w:t xml:space="preserve">2</w:t>
      </w:r>
      <w:r>
        <w:rPr>
          <w:sz w:val="22"/>
          <w:szCs w:val="22"/>
        </w:rPr>
        <w:t xml:space="preserve">.4.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Все приложения к Контракту являются его неотъемной частью.</w:t>
      </w:r>
      <w:r>
        <w:rPr>
          <w:iCs/>
          <w:sz w:val="22"/>
          <w:szCs w:val="22"/>
        </w:rPr>
      </w:r>
      <w:r>
        <w:rPr>
          <w:iCs/>
          <w:sz w:val="22"/>
          <w:szCs w:val="22"/>
        </w:rPr>
      </w:r>
    </w:p>
    <w:p>
      <w:pPr>
        <w:ind w:firstLine="426"/>
        <w:jc w:val="both"/>
        <w:rPr>
          <w:sz w:val="22"/>
          <w:szCs w:val="22"/>
        </w:rPr>
      </w:pPr>
      <w:r>
        <w:rPr>
          <w:iCs/>
          <w:sz w:val="22"/>
          <w:szCs w:val="22"/>
        </w:rPr>
        <w:t xml:space="preserve">1</w:t>
      </w:r>
      <w:r>
        <w:rPr>
          <w:iCs/>
          <w:sz w:val="22"/>
          <w:szCs w:val="22"/>
        </w:rPr>
        <w:t xml:space="preserve">2</w:t>
      </w:r>
      <w:r>
        <w:rPr>
          <w:iCs/>
          <w:sz w:val="22"/>
          <w:szCs w:val="22"/>
        </w:rPr>
        <w:t xml:space="preserve">.5. </w:t>
      </w:r>
      <w:r>
        <w:rPr>
          <w:sz w:val="22"/>
          <w:szCs w:val="22"/>
        </w:rPr>
        <w:t xml:space="preserve">К Контракту прилагаются: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sz w:val="22"/>
          <w:szCs w:val="22"/>
        </w:rPr>
        <w:t xml:space="preserve">Техническое задание </w:t>
      </w:r>
      <w:r>
        <w:rPr>
          <w:sz w:val="22"/>
          <w:szCs w:val="22"/>
        </w:rPr>
        <w:t xml:space="preserve">(Приложение </w:t>
      </w:r>
      <w:r>
        <w:rPr>
          <w:sz w:val="22"/>
          <w:szCs w:val="22"/>
        </w:rPr>
        <w:t xml:space="preserve">№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1 к Контракту)</w:t>
      </w:r>
      <w:r>
        <w:rPr>
          <w:sz w:val="22"/>
          <w:szCs w:val="22"/>
        </w:rPr>
        <w:t xml:space="preserve">;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sz w:val="22"/>
          <w:szCs w:val="22"/>
        </w:rPr>
        <w:t xml:space="preserve">Спецификация</w:t>
      </w:r>
      <w:r>
        <w:rPr>
          <w:sz w:val="22"/>
          <w:szCs w:val="22"/>
        </w:rPr>
        <w:t xml:space="preserve"> (Приложение </w:t>
      </w:r>
      <w:r>
        <w:rPr>
          <w:sz w:val="22"/>
          <w:szCs w:val="22"/>
        </w:rPr>
        <w:t xml:space="preserve">№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2 к Контракту)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1</w:t>
      </w:r>
      <w:r>
        <w:rPr>
          <w:sz w:val="22"/>
          <w:szCs w:val="22"/>
        </w:rPr>
        <w:t xml:space="preserve">2</w:t>
      </w:r>
      <w:r>
        <w:rPr>
          <w:sz w:val="22"/>
          <w:szCs w:val="22"/>
        </w:rPr>
        <w:t xml:space="preserve">.6.</w:t>
      </w:r>
      <w:r>
        <w:rPr>
          <w:sz w:val="22"/>
          <w:szCs w:val="22"/>
        </w:rPr>
        <w:t xml:space="preserve"> В</w:t>
      </w:r>
      <w:r>
        <w:rPr>
          <w:sz w:val="22"/>
          <w:szCs w:val="22"/>
        </w:rPr>
        <w:t xml:space="preserve"> случае изменения наименования, адреса места нахождения или банковских реквизитов Стороны, она письменно извещает об этом другую Сторону в течение 3 рабочих дней </w:t>
      </w:r>
      <w:r>
        <w:rPr>
          <w:sz w:val="22"/>
          <w:szCs w:val="22"/>
        </w:rPr>
        <w:t xml:space="preserve">с даты</w:t>
      </w:r>
      <w:r>
        <w:rPr>
          <w:sz w:val="22"/>
          <w:szCs w:val="22"/>
        </w:rPr>
        <w:t xml:space="preserve"> такого изменения.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</w:t>
      </w:r>
      <w:r>
        <w:rPr>
          <w:sz w:val="22"/>
          <w:szCs w:val="22"/>
        </w:rPr>
        <w:t xml:space="preserve">2</w:t>
      </w:r>
      <w:r>
        <w:rPr>
          <w:sz w:val="22"/>
          <w:szCs w:val="22"/>
        </w:rPr>
        <w:t xml:space="preserve">.7.</w:t>
      </w:r>
      <w:r>
        <w:rPr>
          <w:sz w:val="22"/>
          <w:szCs w:val="22"/>
        </w:rPr>
        <w:t xml:space="preserve">Изменение существенных условий контракта при его исполнении не допускается, за исключением случаев, предусмотренных Федеральным </w:t>
      </w:r>
      <w:hyperlink r:id="rId11" w:tooltip="consultantplus://offline/ref=010557D24782ADC2EC48F22A48832B91B140157499A6333570990155E9F057C977E71A38128E92C3917328A387Z170J" w:history="1">
        <w:r>
          <w:rPr>
            <w:sz w:val="22"/>
            <w:szCs w:val="22"/>
          </w:rPr>
          <w:t xml:space="preserve">законом</w:t>
        </w:r>
      </w:hyperlink>
      <w:r>
        <w:rPr>
          <w:sz w:val="22"/>
          <w:szCs w:val="22"/>
        </w:rPr>
        <w:t xml:space="preserve"> о контрактной системе.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</w:t>
      </w:r>
      <w:r>
        <w:rPr>
          <w:sz w:val="22"/>
          <w:szCs w:val="22"/>
        </w:rPr>
        <w:t xml:space="preserve">2</w:t>
      </w:r>
      <w:r>
        <w:rPr>
          <w:sz w:val="22"/>
          <w:szCs w:val="22"/>
        </w:rPr>
        <w:t xml:space="preserve">.8.</w:t>
      </w:r>
      <w:r>
        <w:rPr>
          <w:sz w:val="22"/>
          <w:szCs w:val="22"/>
        </w:rPr>
        <w:t xml:space="preserve"> По согласованию Сторон в ходе исполнения Контракта допускается снижение цены Контракта без изменения предусмотренных Контрактом объема </w:t>
      </w:r>
      <w:r>
        <w:rPr>
          <w:sz w:val="22"/>
          <w:szCs w:val="22"/>
        </w:rPr>
        <w:t xml:space="preserve">услуги</w:t>
      </w:r>
      <w:r>
        <w:rPr>
          <w:sz w:val="22"/>
          <w:szCs w:val="22"/>
        </w:rPr>
        <w:t xml:space="preserve">, качества выполняемой </w:t>
      </w:r>
      <w:r>
        <w:rPr>
          <w:sz w:val="22"/>
          <w:szCs w:val="22"/>
        </w:rPr>
        <w:t xml:space="preserve">услуги</w:t>
      </w:r>
      <w:r>
        <w:rPr>
          <w:sz w:val="22"/>
          <w:szCs w:val="22"/>
        </w:rPr>
        <w:t xml:space="preserve"> и иных условий Контракта.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both"/>
        <w:rPr>
          <w:sz w:val="22"/>
          <w:szCs w:val="22"/>
          <w:highlight w:val="none"/>
        </w:rPr>
      </w:pPr>
      <w:r>
        <w:rPr>
          <w:sz w:val="22"/>
          <w:szCs w:val="22"/>
        </w:rPr>
        <w:t xml:space="preserve">1</w:t>
      </w:r>
      <w:r>
        <w:rPr>
          <w:sz w:val="22"/>
          <w:szCs w:val="22"/>
        </w:rPr>
        <w:t xml:space="preserve">2</w:t>
      </w:r>
      <w:r>
        <w:rPr>
          <w:sz w:val="22"/>
          <w:szCs w:val="22"/>
        </w:rPr>
        <w:t xml:space="preserve">.9.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Заказчик по согласованию с </w:t>
      </w:r>
      <w:r>
        <w:rPr>
          <w:sz w:val="22"/>
          <w:szCs w:val="22"/>
        </w:rPr>
        <w:t xml:space="preserve">Исполнителем</w:t>
      </w:r>
      <w:r>
        <w:rPr>
          <w:sz w:val="22"/>
          <w:szCs w:val="22"/>
        </w:rPr>
        <w:t xml:space="preserve"> в ходе исполнения Контракта вправе изменить не более чем на десять процентов предусмотренный Контрактом объем </w:t>
      </w:r>
      <w:r>
        <w:rPr>
          <w:sz w:val="22"/>
          <w:szCs w:val="22"/>
        </w:rPr>
        <w:t xml:space="preserve">услуги</w:t>
      </w:r>
      <w:r>
        <w:rPr>
          <w:sz w:val="22"/>
          <w:szCs w:val="22"/>
        </w:rPr>
        <w:t xml:space="preserve"> при изменении потребности в </w:t>
      </w:r>
      <w:r>
        <w:rPr>
          <w:sz w:val="22"/>
          <w:szCs w:val="22"/>
        </w:rPr>
        <w:t xml:space="preserve">услуг</w:t>
      </w:r>
      <w:r>
        <w:rPr>
          <w:sz w:val="22"/>
          <w:szCs w:val="22"/>
        </w:rPr>
        <w:t xml:space="preserve">е, на выполнение которой заключен Контракт. При этом по соглашению Сторон допускается однократное изменение с учетом </w:t>
      </w:r>
      <w:r>
        <w:rPr>
          <w:sz w:val="22"/>
          <w:szCs w:val="22"/>
        </w:rPr>
        <w:t xml:space="preserve">положений бюджетного законодательства Российской Федерации цены Контракта</w:t>
      </w:r>
      <w:r>
        <w:rPr>
          <w:sz w:val="22"/>
          <w:szCs w:val="22"/>
        </w:rPr>
        <w:t xml:space="preserve"> пропорционально дополнительному объему </w:t>
      </w:r>
      <w:r>
        <w:rPr>
          <w:sz w:val="22"/>
          <w:szCs w:val="22"/>
        </w:rPr>
        <w:t xml:space="preserve">услуги</w:t>
      </w:r>
      <w:r>
        <w:rPr>
          <w:sz w:val="22"/>
          <w:szCs w:val="22"/>
        </w:rPr>
        <w:t xml:space="preserve"> исходя из установленной в Контракте цены единицы </w:t>
      </w:r>
      <w:r>
        <w:rPr>
          <w:sz w:val="22"/>
          <w:szCs w:val="22"/>
        </w:rPr>
        <w:t xml:space="preserve">услуги</w:t>
      </w:r>
      <w:r>
        <w:rPr>
          <w:sz w:val="22"/>
          <w:szCs w:val="22"/>
        </w:rPr>
        <w:t xml:space="preserve">, но не более чем на десять процентов цены Контракта. При уменьшении предусмотренного Контрактом объема </w:t>
      </w:r>
      <w:r>
        <w:rPr>
          <w:sz w:val="22"/>
          <w:szCs w:val="22"/>
        </w:rPr>
        <w:t xml:space="preserve">услуги</w:t>
      </w:r>
      <w:r>
        <w:rPr>
          <w:sz w:val="22"/>
          <w:szCs w:val="22"/>
        </w:rPr>
        <w:t xml:space="preserve"> Стороны обязаны уменьшить цену Контракта исходя из цены единицы </w:t>
      </w:r>
      <w:r>
        <w:rPr>
          <w:sz w:val="22"/>
          <w:szCs w:val="22"/>
        </w:rPr>
        <w:t xml:space="preserve">услуги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  <w:highlight w:val="none"/>
        </w:rPr>
      </w:r>
    </w:p>
    <w:p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  <w:t xml:space="preserve">При уменьшении предусмотренных контрактом количества объема услуги, стороны контракта обязаны уменьшить цену контракта исходя из цены единицы услуги. Цена единицы услуги определ</w:t>
      </w:r>
      <w:r>
        <w:rPr>
          <w:sz w:val="22"/>
          <w:szCs w:val="22"/>
          <w:highlight w:val="none"/>
        </w:rPr>
        <w:t xml:space="preserve">яется как частное от деления цены контракта на предусмотренные контрактом объем услуги. Если контрактом </w:t>
      </w:r>
      <w:r>
        <w:rPr>
          <w:sz w:val="22"/>
          <w:szCs w:val="22"/>
          <w:highlight w:val="none"/>
        </w:rPr>
        <w:t xml:space="preserve">предусмотрены оказание нескольких услуг, цена единицы услуги определяется путем уменьшения цены соотве</w:t>
      </w:r>
      <w:r>
        <w:rPr>
          <w:sz w:val="22"/>
          <w:szCs w:val="22"/>
          <w:highlight w:val="none"/>
        </w:rPr>
        <w:t xml:space="preserve">тствующей единицы, использовавшейся заказчиком при определении начальной (максимальной) цены контракта, пропорционально снижению начальной (максимальной) цены контракта, предложенному </w:t>
      </w:r>
      <w:r>
        <w:rPr>
          <w:sz w:val="22"/>
          <w:szCs w:val="22"/>
          <w:highlight w:val="none"/>
        </w:rPr>
        <w:t xml:space="preserve">исполнителем при определении исполнителя.</w:t>
      </w: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pStyle w:val="947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</w:t>
      </w:r>
      <w:r>
        <w:rPr>
          <w:sz w:val="22"/>
          <w:szCs w:val="22"/>
        </w:rPr>
        <w:t xml:space="preserve">2</w:t>
      </w:r>
      <w:r>
        <w:rPr>
          <w:sz w:val="22"/>
          <w:szCs w:val="22"/>
        </w:rPr>
        <w:t xml:space="preserve">.10.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При исполнении Контракта по согласованию Заказчика с Исполнителем допускается (за исключением случаев, которые предусмотрены нормативными правовыми актами, принятыми в соответствии с ч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 6 ст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 14 Федерального закона от 05.04.2013 № 44-ФЗ</w:t>
      </w:r>
      <w:r>
        <w:rPr>
          <w:sz w:val="22"/>
          <w:szCs w:val="22"/>
        </w:rPr>
        <w:t xml:space="preserve"> «О контрактной системе в сфере закупок товаров, работ, услуг для обеспечения государственных и муниципальных нужд») оказание услуги, качество, технические характеристики которой являются аналогичными или улучшенными по сравнению с качеством и соответствующими техническими</w:t>
      </w:r>
      <w:r>
        <w:rPr>
          <w:sz w:val="22"/>
          <w:szCs w:val="22"/>
        </w:rPr>
        <w:t xml:space="preserve"> характеристиками, указанными в Контракте.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69"/>
        <w:ind w:right="0" w:firstLine="426"/>
        <w:jc w:val="both"/>
        <w:widowControl/>
        <w:tabs>
          <w:tab w:val="left" w:pos="1418" w:leader="none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</w:t>
      </w:r>
      <w:r>
        <w:rPr>
          <w:rFonts w:ascii="Times New Roman" w:hAnsi="Times New Roman" w:cs="Times New Roman"/>
          <w:sz w:val="22"/>
          <w:szCs w:val="22"/>
        </w:rPr>
        <w:t xml:space="preserve">2</w:t>
      </w:r>
      <w:r>
        <w:rPr>
          <w:rFonts w:ascii="Times New Roman" w:hAnsi="Times New Roman" w:cs="Times New Roman"/>
          <w:sz w:val="22"/>
          <w:szCs w:val="22"/>
        </w:rPr>
        <w:t xml:space="preserve">.12.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В случае перемены Заказчика по Контракту права и обязанности Заказчика по Контракту переходят к новому заказчику в том же объеме и на тех же условиях.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</w:t>
      </w:r>
      <w:r>
        <w:rPr>
          <w:sz w:val="22"/>
          <w:szCs w:val="22"/>
        </w:rPr>
        <w:t xml:space="preserve">2</w:t>
      </w:r>
      <w:r>
        <w:rPr>
          <w:sz w:val="22"/>
          <w:szCs w:val="22"/>
        </w:rPr>
        <w:t xml:space="preserve">.13.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При исполнении своих обязательств по Контракту Стороны, их аффилированные лица, </w:t>
      </w:r>
      <w:r>
        <w:rPr>
          <w:sz w:val="22"/>
          <w:szCs w:val="22"/>
        </w:rPr>
        <w:t xml:space="preserve">соисполнители </w:t>
      </w:r>
      <w:r>
        <w:rPr>
          <w:sz w:val="22"/>
          <w:szCs w:val="22"/>
        </w:rPr>
        <w:t xml:space="preserve">или посредники не выплачивают, не предлагают выплачивать и не разрешают выплату каких-либо денежных средств или ценностей </w:t>
      </w:r>
      <w:r>
        <w:rPr>
          <w:sz w:val="22"/>
          <w:szCs w:val="22"/>
        </w:rPr>
        <w:t xml:space="preserve">прямо,</w:t>
      </w:r>
      <w:r>
        <w:rPr>
          <w:sz w:val="22"/>
          <w:szCs w:val="22"/>
        </w:rPr>
        <w:t xml:space="preserve"> или косвенно любым лицам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1</w:t>
      </w:r>
      <w:r>
        <w:rPr>
          <w:iCs/>
          <w:sz w:val="22"/>
          <w:szCs w:val="22"/>
        </w:rPr>
        <w:t xml:space="preserve">2</w:t>
      </w:r>
      <w:r>
        <w:rPr>
          <w:iCs/>
          <w:sz w:val="22"/>
          <w:szCs w:val="22"/>
        </w:rPr>
        <w:t xml:space="preserve">.14.</w:t>
      </w:r>
      <w:r>
        <w:rPr>
          <w:iCs/>
          <w:sz w:val="22"/>
          <w:szCs w:val="22"/>
        </w:rPr>
        <w:t xml:space="preserve"> </w:t>
      </w:r>
      <w:r>
        <w:rPr>
          <w:iCs/>
          <w:sz w:val="22"/>
          <w:szCs w:val="22"/>
        </w:rPr>
        <w:t xml:space="preserve">Изменения Контракта оформляются в электронном виде путем подписания Сторонами дополнит</w:t>
      </w:r>
      <w:r>
        <w:rPr>
          <w:iCs/>
          <w:sz w:val="22"/>
          <w:szCs w:val="22"/>
        </w:rPr>
        <w:t xml:space="preserve">ельного соглашения к Контракту.</w:t>
      </w:r>
      <w:r>
        <w:rPr>
          <w:sz w:val="22"/>
          <w:szCs w:val="22"/>
        </w:rPr>
        <w:t xml:space="preserve"> </w:t>
      </w:r>
      <w:r>
        <w:rPr>
          <w:iCs/>
          <w:sz w:val="22"/>
          <w:szCs w:val="22"/>
        </w:rPr>
      </w:r>
      <w:r>
        <w:rPr>
          <w:iCs/>
          <w:sz w:val="22"/>
          <w:szCs w:val="22"/>
        </w:rPr>
      </w:r>
    </w:p>
    <w:p>
      <w:pPr>
        <w:ind w:firstLine="426"/>
        <w:jc w:val="both"/>
        <w:rPr>
          <w:iCs/>
          <w:sz w:val="22"/>
          <w:szCs w:val="22"/>
          <w:highlight w:val="none"/>
        </w:rPr>
      </w:pPr>
      <w:r>
        <w:rPr>
          <w:iCs/>
          <w:sz w:val="22"/>
          <w:szCs w:val="22"/>
        </w:rPr>
        <w:t xml:space="preserve">1</w:t>
      </w:r>
      <w:r>
        <w:rPr>
          <w:iCs/>
          <w:sz w:val="22"/>
          <w:szCs w:val="22"/>
        </w:rPr>
        <w:t xml:space="preserve">2</w:t>
      </w:r>
      <w:r>
        <w:rPr>
          <w:iCs/>
          <w:sz w:val="22"/>
          <w:szCs w:val="22"/>
        </w:rPr>
        <w:t xml:space="preserve">.</w:t>
      </w:r>
      <w:r>
        <w:rPr>
          <w:iCs/>
          <w:sz w:val="22"/>
          <w:szCs w:val="22"/>
        </w:rPr>
        <w:t xml:space="preserve">15</w:t>
      </w:r>
      <w:r>
        <w:rPr>
          <w:iCs/>
          <w:sz w:val="22"/>
          <w:szCs w:val="22"/>
        </w:rPr>
        <w:t xml:space="preserve">.</w:t>
      </w:r>
      <w:r>
        <w:rPr>
          <w:iCs/>
          <w:sz w:val="22"/>
          <w:szCs w:val="22"/>
        </w:rPr>
        <w:t xml:space="preserve"> </w:t>
      </w:r>
      <w:r>
        <w:rPr>
          <w:iCs/>
          <w:sz w:val="22"/>
          <w:szCs w:val="22"/>
        </w:rPr>
        <w:t xml:space="preserve">Во всем остальном, что не предусмотрено Контрактом, Стороны руководствуются действующим законодательством Российской Федерации. </w:t>
      </w:r>
      <w:r>
        <w:rPr>
          <w:iCs/>
          <w:sz w:val="22"/>
          <w:szCs w:val="22"/>
        </w:rPr>
      </w:r>
      <w:r>
        <w:rPr>
          <w:iCs/>
          <w:sz w:val="22"/>
          <w:szCs w:val="22"/>
          <w:highlight w:val="none"/>
        </w:rPr>
      </w:r>
    </w:p>
    <w:p>
      <w:pPr>
        <w:ind w:firstLine="426"/>
        <w:jc w:val="both"/>
        <w:rPr>
          <w:sz w:val="22"/>
          <w:szCs w:val="22"/>
          <w:highlight w:val="none"/>
        </w:rPr>
      </w:pPr>
      <w:r>
        <w:rPr>
          <w:iCs/>
          <w:sz w:val="22"/>
          <w:szCs w:val="22"/>
          <w:highlight w:val="none"/>
        </w:rPr>
        <w:t xml:space="preserve">12.16. И</w:t>
      </w:r>
      <w:r>
        <w:rPr>
          <w:iCs/>
          <w:sz w:val="22"/>
          <w:szCs w:val="22"/>
          <w:highlight w:val="none"/>
        </w:rPr>
        <w:t xml:space="preserve">зменение реквизитов счёта поставщика оформляется соглашением об изменении контракта, без изменения иных существенных условий контракта.</w:t>
      </w:r>
      <w:r>
        <w:rPr>
          <w:iCs/>
          <w:sz w:val="22"/>
          <w:szCs w:val="22"/>
          <w:highlight w:val="none"/>
        </w:rPr>
      </w:r>
      <w:r>
        <w:rPr>
          <w:iCs/>
          <w:sz w:val="22"/>
          <w:szCs w:val="22"/>
          <w:highlight w:val="none"/>
        </w:rPr>
      </w:r>
    </w:p>
    <w:p>
      <w:pPr>
        <w:ind w:firstLine="426"/>
        <w:jc w:val="both"/>
        <w:rPr>
          <w:sz w:val="22"/>
          <w:szCs w:val="22"/>
        </w:rPr>
      </w:pPr>
      <w:r>
        <w:rPr>
          <w:iCs/>
          <w:sz w:val="22"/>
          <w:szCs w:val="22"/>
          <w:highlight w:val="none"/>
        </w:rPr>
        <w:t xml:space="preserve">12.17. По </w:t>
      </w:r>
      <w:r>
        <w:rPr>
          <w:iCs/>
          <w:sz w:val="22"/>
          <w:szCs w:val="22"/>
          <w:highlight w:val="none"/>
        </w:rPr>
        <w:t xml:space="preserve">соглашению сторон допускается изменение предусмотренной</w:t>
      </w:r>
      <w:r>
        <w:rPr>
          <w:iCs/>
          <w:sz w:val="22"/>
          <w:szCs w:val="22"/>
          <w:highlight w:val="none"/>
        </w:rPr>
        <w:t xml:space="preserve"> контрактом страны происхождения товара при условии соблюдения требований ст. 14 Закона № 44-ФЗ. Замена российского товара на иностранный не допускается, если это запрещено или ограничено защитными мерами.</w:t>
      </w:r>
      <w:r>
        <w:rPr>
          <w:iCs/>
          <w:sz w:val="22"/>
          <w:szCs w:val="22"/>
          <w:highlight w:val="none"/>
        </w:rPr>
      </w:r>
      <w:r>
        <w:rPr>
          <w:iCs/>
          <w:sz w:val="22"/>
          <w:szCs w:val="22"/>
          <w:highlight w:val="none"/>
        </w:rPr>
      </w:r>
    </w:p>
    <w:p>
      <w:pPr>
        <w:ind w:firstLine="426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</w:r>
      <w:r>
        <w:rPr>
          <w:iCs/>
          <w:sz w:val="22"/>
          <w:szCs w:val="22"/>
        </w:rPr>
      </w:r>
      <w:r>
        <w:rPr>
          <w:iCs/>
          <w:sz w:val="22"/>
          <w:szCs w:val="22"/>
        </w:rPr>
      </w:r>
    </w:p>
    <w:p>
      <w:pPr>
        <w:ind w:firstLine="426"/>
        <w:jc w:val="center"/>
        <w:shd w:val="clear" w:color="auto" w:fill="ffffff"/>
        <w:tabs>
          <w:tab w:val="left" w:pos="3914" w:leader="underscore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</w:t>
      </w:r>
      <w:r>
        <w:rPr>
          <w:b/>
          <w:bCs/>
          <w:sz w:val="22"/>
          <w:szCs w:val="22"/>
        </w:rPr>
        <w:t xml:space="preserve">3</w:t>
      </w:r>
      <w:r>
        <w:rPr>
          <w:b/>
          <w:bCs/>
          <w:sz w:val="22"/>
          <w:szCs w:val="22"/>
        </w:rPr>
        <w:t xml:space="preserve">. Реквизиты и подписи сторон.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tbl>
      <w:tblPr>
        <w:tblW w:w="10632" w:type="dxa"/>
        <w:tblInd w:w="-323" w:type="dxa"/>
        <w:tblLayout w:type="fixed"/>
        <w:tblLook w:val="04A0" w:firstRow="1" w:lastRow="0" w:firstColumn="1" w:lastColumn="0" w:noHBand="0" w:noVBand="1"/>
      </w:tblPr>
      <w:tblGrid>
        <w:gridCol w:w="34"/>
        <w:gridCol w:w="4355"/>
        <w:gridCol w:w="999"/>
        <w:gridCol w:w="4071"/>
        <w:gridCol w:w="1173"/>
      </w:tblGrid>
      <w:tr>
        <w:tblPrEx/>
        <w:trPr>
          <w:gridBefore w:val="1"/>
          <w:trHeight w:val="19"/>
        </w:trPr>
        <w:tc>
          <w:tcPr>
            <w:gridSpan w:val="2"/>
            <w:tcW w:w="5354" w:type="dxa"/>
            <w:textDirection w:val="lrTb"/>
            <w:noWrap w:val="false"/>
          </w:tcPr>
          <w:p>
            <w:pPr>
              <w:widowControl w:val="off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«Заказчик»</w:t>
            </w:r>
            <w:r>
              <w:rPr>
                <w:b/>
                <w:bCs/>
                <w:color w:val="000000"/>
                <w:sz w:val="22"/>
                <w:szCs w:val="22"/>
              </w:rPr>
            </w:r>
            <w:r>
              <w:rPr>
                <w:b/>
                <w:bCs/>
                <w:color w:val="000000"/>
                <w:sz w:val="22"/>
                <w:szCs w:val="22"/>
              </w:rPr>
            </w:r>
          </w:p>
          <w:p>
            <w:pPr>
              <w:widowControl w:val="off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Администрация города Новоалтайска Алтайского края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widowControl w:val="off"/>
            </w:pPr>
            <w:r>
              <w:rPr>
                <w:sz w:val="22"/>
                <w:szCs w:val="22"/>
              </w:rPr>
              <w:t xml:space="preserve">658080, Российская Федерация, Алтайский край, г. Новоалтайск, ул. Парковая, 1а</w:t>
            </w:r>
            <w:r>
              <w:rPr>
                <w:sz w:val="22"/>
                <w:szCs w:val="22"/>
              </w:rPr>
            </w:r>
            <w:r/>
          </w:p>
          <w:p>
            <w:pPr>
              <w:widowControl w:val="off"/>
            </w:pPr>
            <w:r>
              <w:rPr>
                <w:sz w:val="22"/>
                <w:szCs w:val="22"/>
              </w:rPr>
              <w:t xml:space="preserve">ИНН 2208003847</w:t>
            </w:r>
            <w:r>
              <w:rPr>
                <w:sz w:val="22"/>
                <w:szCs w:val="22"/>
              </w:rPr>
            </w:r>
            <w:r/>
          </w:p>
          <w:p>
            <w:pPr>
              <w:widowControl w:val="off"/>
            </w:pPr>
            <w:r>
              <w:rPr>
                <w:sz w:val="22"/>
                <w:szCs w:val="22"/>
              </w:rPr>
              <w:t xml:space="preserve">КПП 220801001</w:t>
            </w:r>
            <w:r>
              <w:rPr>
                <w:sz w:val="22"/>
                <w:szCs w:val="22"/>
              </w:rPr>
            </w:r>
            <w:r/>
          </w:p>
          <w:p>
            <w:pPr>
              <w:widowControl w:val="off"/>
            </w:pPr>
            <w:r>
              <w:rPr>
                <w:sz w:val="22"/>
                <w:szCs w:val="22"/>
              </w:rPr>
              <w:t xml:space="preserve">Банковские реквизиты:</w:t>
            </w:r>
            <w:r>
              <w:rPr>
                <w:sz w:val="22"/>
                <w:szCs w:val="22"/>
              </w:rPr>
            </w:r>
            <w:r/>
          </w:p>
          <w:p>
            <w:pPr>
              <w:widowControl w:val="off"/>
            </w:pPr>
            <w:r>
              <w:rPr>
                <w:sz w:val="22"/>
                <w:szCs w:val="22"/>
              </w:rPr>
              <w:t xml:space="preserve">Получатель: Комитет по финансам, налоговой и кредитной политике Администрации города Новоалтайска (Администрация города Новоалтайска, л/с 03173012030)</w:t>
            </w:r>
            <w:r>
              <w:rPr>
                <w:sz w:val="22"/>
                <w:szCs w:val="22"/>
              </w:rPr>
            </w:r>
            <w:r/>
          </w:p>
          <w:p>
            <w:pPr>
              <w:widowControl w:val="off"/>
            </w:pPr>
            <w:r>
              <w:rPr>
                <w:sz w:val="22"/>
                <w:szCs w:val="22"/>
              </w:rPr>
              <w:t xml:space="preserve">ОТДЕЛЕНИЕ БАРНАУЛ БАНКА РОССИИ // УФК по Алтайскому краю. г. Барнаул</w:t>
            </w:r>
            <w:r>
              <w:rPr>
                <w:sz w:val="22"/>
                <w:szCs w:val="22"/>
              </w:rPr>
            </w:r>
            <w:r/>
          </w:p>
          <w:p>
            <w:pPr>
              <w:widowControl w:val="off"/>
            </w:pPr>
            <w:r>
              <w:rPr>
                <w:sz w:val="22"/>
                <w:szCs w:val="22"/>
              </w:rPr>
              <w:t xml:space="preserve">казначейский счёт 03231643017130001700 банковский счёт    40102810045370000009</w:t>
            </w:r>
            <w:r>
              <w:rPr>
                <w:sz w:val="22"/>
                <w:szCs w:val="22"/>
              </w:rPr>
            </w:r>
            <w:r/>
          </w:p>
          <w:p>
            <w:pPr>
              <w:widowControl w:val="off"/>
            </w:pPr>
            <w:r>
              <w:rPr>
                <w:sz w:val="22"/>
                <w:szCs w:val="22"/>
              </w:rPr>
              <w:t xml:space="preserve">БИК 010173001 </w:t>
            </w:r>
            <w:r>
              <w:rPr>
                <w:sz w:val="22"/>
                <w:szCs w:val="22"/>
              </w:rPr>
            </w:r>
            <w:r/>
          </w:p>
          <w:p>
            <w:pPr>
              <w:widowControl w:val="off"/>
            </w:pPr>
            <w:r>
              <w:rPr>
                <w:sz w:val="22"/>
                <w:szCs w:val="22"/>
              </w:rPr>
              <w:t xml:space="preserve">тел: (38532) 2-13-48, 2-12-57</w:t>
            </w:r>
            <w:r>
              <w:rPr>
                <w:sz w:val="22"/>
                <w:szCs w:val="22"/>
              </w:rPr>
            </w:r>
            <w:r/>
          </w:p>
          <w:p>
            <w:pPr>
              <w:widowControl w:val="off"/>
            </w:pPr>
            <w:r>
              <w:rPr>
                <w:sz w:val="22"/>
                <w:szCs w:val="22"/>
              </w:rPr>
              <w:t xml:space="preserve">e-mail: mzakaz@novoalt.alregn.ru </w:t>
            </w:r>
            <w:r>
              <w:rPr>
                <w:sz w:val="22"/>
                <w:szCs w:val="22"/>
              </w:rPr>
            </w:r>
            <w:r/>
          </w:p>
          <w:p>
            <w:pPr>
              <w:widowControl w:val="off"/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/>
          </w:p>
          <w:p>
            <w:pPr>
              <w:widowControl w:val="off"/>
            </w:pPr>
            <w:r>
              <w:rPr>
                <w:sz w:val="22"/>
                <w:szCs w:val="22"/>
              </w:rPr>
              <w:t xml:space="preserve">Глава города</w:t>
            </w:r>
            <w:r>
              <w:rPr>
                <w:sz w:val="22"/>
                <w:szCs w:val="22"/>
              </w:rPr>
            </w:r>
            <w:r/>
          </w:p>
          <w:p>
            <w:pPr>
              <w:widowControl w:val="off"/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/>
          </w:p>
          <w:p>
            <w:pPr>
              <w:widowControl w:val="off"/>
            </w:pPr>
            <w:r>
              <w:rPr>
                <w:sz w:val="22"/>
                <w:szCs w:val="22"/>
              </w:rPr>
              <w:t xml:space="preserve">___________________ В.Г.Бодунов</w:t>
            </w:r>
            <w:r>
              <w:rPr>
                <w:sz w:val="22"/>
                <w:szCs w:val="22"/>
              </w:rPr>
            </w:r>
            <w:r/>
          </w:p>
          <w:p>
            <w:pPr>
              <w:widowControl w:val="off"/>
            </w:pPr>
            <w:r>
              <w:rPr>
                <w:sz w:val="22"/>
                <w:szCs w:val="22"/>
              </w:rPr>
              <w:t xml:space="preserve">"___" ______ 2026 г.</w:t>
            </w:r>
            <w:r>
              <w:rPr>
                <w:sz w:val="22"/>
                <w:szCs w:val="22"/>
              </w:rPr>
            </w:r>
            <w:r/>
          </w:p>
          <w:p>
            <w:pPr>
              <w:widowControl w:val="off"/>
              <w:rPr>
                <w:b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М.П.</w:t>
            </w:r>
            <w:r>
              <w:rPr>
                <w:b/>
                <w:color w:val="000000"/>
                <w:sz w:val="22"/>
                <w:szCs w:val="22"/>
              </w:rPr>
            </w:r>
            <w:r>
              <w:rPr>
                <w:b/>
                <w:color w:val="000000"/>
                <w:sz w:val="22"/>
                <w:szCs w:val="22"/>
              </w:rPr>
            </w:r>
          </w:p>
        </w:tc>
        <w:tc>
          <w:tcPr>
            <w:gridSpan w:val="2"/>
            <w:tcW w:w="5244" w:type="dxa"/>
            <w:textDirection w:val="lrTb"/>
            <w:noWrap w:val="false"/>
          </w:tcPr>
          <w:p>
            <w:pPr>
              <w:jc w:val="both"/>
              <w:widowControl w:val="off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«Исполнитель»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</w:r>
            <w:r>
              <w:rPr>
                <w:b/>
                <w:color w:val="000000"/>
                <w:sz w:val="22"/>
                <w:szCs w:val="22"/>
              </w:rPr>
            </w:r>
            <w:r>
              <w:rPr>
                <w:b/>
                <w:color w:val="000000"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________________/_____________/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widowControl w:val="off"/>
            </w:pPr>
            <w:r>
              <w:rPr>
                <w:sz w:val="22"/>
                <w:szCs w:val="22"/>
              </w:rPr>
              <w:t xml:space="preserve">"___" ______ 2026 г.</w:t>
            </w:r>
            <w:r/>
          </w:p>
          <w:p>
            <w:pPr>
              <w:widowControl w:val="off"/>
              <w:rPr>
                <w:b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М.П.</w:t>
            </w:r>
            <w:r>
              <w:rPr>
                <w:b/>
                <w:color w:val="000000"/>
                <w:sz w:val="22"/>
                <w:szCs w:val="22"/>
              </w:rPr>
            </w:r>
            <w:r>
              <w:rPr>
                <w:b/>
                <w:color w:val="000000"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</w:tbl>
    <w:p>
      <w:pPr>
        <w:ind w:right="-1" w:firstLine="426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 w:clear="all"/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right="-1" w:firstLine="426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right="-1" w:firstLine="426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Приложение №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1 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ind w:right="-1" w:firstLine="426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муниципальному Контракту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right="-1" w:firstLine="426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№</w:t>
      </w:r>
      <w:r>
        <w:rPr>
          <w:b/>
          <w:bCs/>
          <w:caps/>
          <w:sz w:val="22"/>
          <w:szCs w:val="22"/>
        </w:rPr>
        <w:t xml:space="preserve"> </w:t>
      </w:r>
      <w:r>
        <w:rPr>
          <w:bCs/>
          <w:caps/>
          <w:sz w:val="22"/>
          <w:szCs w:val="22"/>
        </w:rPr>
        <w:t xml:space="preserve">______________</w:t>
      </w:r>
      <w:r>
        <w:rPr>
          <w:bCs/>
          <w:caps/>
          <w:sz w:val="22"/>
          <w:szCs w:val="22"/>
        </w:rPr>
        <w:t xml:space="preserve"> </w:t>
      </w:r>
      <w:r>
        <w:rPr>
          <w:sz w:val="22"/>
          <w:szCs w:val="22"/>
        </w:rPr>
        <w:t xml:space="preserve">от</w:t>
      </w:r>
      <w:r>
        <w:rPr>
          <w:sz w:val="22"/>
          <w:szCs w:val="22"/>
        </w:rPr>
        <w:t xml:space="preserve"> «___» ________ 2026г.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right="-1" w:firstLine="426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ТЕХНИЧЕСКОЕ ЗАДАНИЕ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ind w:right="-1" w:firstLine="426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ind w:firstLine="567"/>
        <w:rPr>
          <w:b/>
          <w:sz w:val="22"/>
          <w:szCs w:val="22"/>
        </w:rPr>
      </w:pPr>
      <w:r>
        <w:rPr>
          <w:rFonts w:eastAsia="Calibri"/>
          <w:sz w:val="22"/>
          <w:szCs w:val="22"/>
          <w:highlight w:val="none"/>
          <w:lang w:eastAsia="en-US"/>
        </w:rPr>
        <w:t xml:space="preserve">О</w:t>
      </w:r>
      <w:r>
        <w:rPr>
          <w:rFonts w:eastAsia="Calibri"/>
          <w:sz w:val="22"/>
          <w:szCs w:val="22"/>
          <w:highlight w:val="none"/>
          <w:lang w:eastAsia="en-US"/>
        </w:rPr>
        <w:t xml:space="preserve">каза</w:t>
      </w:r>
      <w:r>
        <w:rPr>
          <w:rFonts w:eastAsia="Calibri"/>
          <w:sz w:val="22"/>
          <w:szCs w:val="22"/>
          <w:highlight w:val="none"/>
          <w:lang w:eastAsia="en-US"/>
        </w:rPr>
        <w:t xml:space="preserve">ние</w:t>
      </w:r>
      <w:r>
        <w:rPr>
          <w:rFonts w:eastAsia="Calibri"/>
          <w:sz w:val="22"/>
          <w:szCs w:val="22"/>
          <w:highlight w:val="none"/>
          <w:lang w:eastAsia="en-US"/>
        </w:rPr>
        <w:t xml:space="preserve"> услуг</w:t>
      </w:r>
      <w:r>
        <w:rPr>
          <w:sz w:val="22"/>
          <w:szCs w:val="22"/>
          <w:highlight w:val="none"/>
        </w:rPr>
        <w:t xml:space="preserve"> </w:t>
      </w:r>
      <w:r>
        <w:rPr>
          <w:color w:val="000000"/>
          <w:sz w:val="22"/>
          <w:szCs w:val="22"/>
          <w:highlight w:val="none"/>
          <w:lang w:eastAsia="ru-RU"/>
        </w:rPr>
        <w:t xml:space="preserve">по техниечкой поддержке информационных систем </w:t>
      </w:r>
      <w:r>
        <w:rPr>
          <w:color w:val="000000"/>
          <w:sz w:val="22"/>
          <w:szCs w:val="22"/>
          <w:highlight w:val="none"/>
          <w:lang w:eastAsia="ru-RU"/>
        </w:rPr>
        <w:t xml:space="preserve">VipNet </w:t>
      </w:r>
      <w:r>
        <w:rPr>
          <w:color w:val="000000"/>
          <w:sz w:val="22"/>
          <w:szCs w:val="22"/>
          <w:highlight w:val="none"/>
          <w:lang w:eastAsia="ru-RU"/>
        </w:rPr>
        <w:t xml:space="preserve">вк</w:t>
      </w:r>
      <w:r>
        <w:rPr>
          <w:color w:val="000000"/>
          <w:sz w:val="22"/>
          <w:szCs w:val="22"/>
          <w:lang w:eastAsia="ru-RU"/>
        </w:rPr>
        <w:t xml:space="preserve">лючает в себя: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ind w:firstLine="567"/>
        <w:rPr>
          <w:sz w:val="22"/>
          <w:szCs w:val="22"/>
        </w:rPr>
      </w:pPr>
      <w:r>
        <w:rPr>
          <w:sz w:val="22"/>
          <w:szCs w:val="22"/>
          <w:lang w:eastAsia="ru-RU"/>
        </w:rPr>
        <w:t xml:space="preserve">- Приём обращений и консультирование по электронной почте в рабочие дни с 9:00 до 18:00 (указано московское время) - Наличие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567"/>
        <w:rPr>
          <w:sz w:val="22"/>
          <w:szCs w:val="22"/>
        </w:rPr>
      </w:pPr>
      <w:r>
        <w:rPr>
          <w:sz w:val="22"/>
          <w:szCs w:val="22"/>
          <w:lang w:eastAsia="ru-RU"/>
        </w:rPr>
        <w:t xml:space="preserve">- Приём обращений и консультирование по телефону горячей линии в рабочие дни с 9:00 до 18:00 - Наличие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567"/>
        <w:rPr>
          <w:sz w:val="22"/>
          <w:szCs w:val="22"/>
        </w:rPr>
      </w:pPr>
      <w:r>
        <w:rPr>
          <w:sz w:val="22"/>
          <w:szCs w:val="22"/>
          <w:lang w:eastAsia="ru-RU"/>
        </w:rPr>
        <w:t xml:space="preserve">- Рекомендации по процессу установки и настройки продукта в объеме эксплуатационной документации - Наличие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567"/>
        <w:rPr>
          <w:sz w:val="22"/>
          <w:szCs w:val="22"/>
        </w:rPr>
      </w:pPr>
      <w:r>
        <w:rPr>
          <w:sz w:val="22"/>
          <w:szCs w:val="22"/>
          <w:lang w:eastAsia="ru-RU"/>
        </w:rPr>
        <w:t xml:space="preserve">- Исполнитель предоставляет обновление (hotfix), устраняющее дефекты, выявленные в продукте - Наличие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567"/>
        <w:rPr>
          <w:sz w:val="22"/>
          <w:szCs w:val="22"/>
        </w:rPr>
      </w:pPr>
      <w:r>
        <w:rPr>
          <w:sz w:val="22"/>
          <w:szCs w:val="22"/>
          <w:lang w:eastAsia="ru-RU"/>
        </w:rPr>
        <w:t xml:space="preserve">- Исполнитель предоставляет обновление (hotfix), а также все изменения, производимые в рамках минорной (MINOR) версии ПРОДУКТА (service pack) - Наличие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567"/>
        <w:rPr>
          <w:sz w:val="22"/>
          <w:szCs w:val="22"/>
        </w:rPr>
      </w:pPr>
      <w:r>
        <w:rPr>
          <w:sz w:val="22"/>
          <w:szCs w:val="22"/>
          <w:lang w:eastAsia="ru-RU"/>
        </w:rPr>
        <w:t xml:space="preserve">- Исполнитель предоставляет новые версии (изменение мажорной (MAJOR) версии, поколения) ПРОДУКТА без взимания дополнительной платы (для ПАК — только программные компоненты) - Наличие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567"/>
        <w:rPr>
          <w:sz w:val="22"/>
          <w:szCs w:val="22"/>
        </w:rPr>
      </w:pPr>
      <w:r>
        <w:rPr>
          <w:sz w:val="22"/>
          <w:szCs w:val="22"/>
          <w:lang w:eastAsia="ru-RU"/>
        </w:rPr>
        <w:t xml:space="preserve">- Восстановление работоспособности (ремонт) вышедшего из строя оборудования (аппаратной платформы ПАК) из состава Продуктов Пользователя в соответствии с гарантийными обязательствами АО «ИнфоТеКС» - Наличие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567"/>
        <w:rPr>
          <w:sz w:val="22"/>
          <w:szCs w:val="22"/>
        </w:rPr>
      </w:pPr>
      <w:r>
        <w:rPr>
          <w:sz w:val="22"/>
          <w:szCs w:val="22"/>
          <w:lang w:eastAsia="ru-RU"/>
        </w:rPr>
        <w:t xml:space="preserve">- Время реакции на обращения пользователя для Инцидента уровня «Критичный», не более 4 часов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567"/>
        <w:rPr>
          <w:sz w:val="22"/>
          <w:szCs w:val="22"/>
        </w:rPr>
      </w:pPr>
      <w:r>
        <w:rPr>
          <w:sz w:val="22"/>
          <w:szCs w:val="22"/>
          <w:lang w:eastAsia="ru-RU"/>
        </w:rPr>
        <w:t xml:space="preserve">- Время реакции на обращения пользователя для Инцидента уровня «Средний», не более 8 часов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567"/>
        <w:rPr>
          <w:sz w:val="22"/>
          <w:szCs w:val="22"/>
        </w:rPr>
      </w:pPr>
      <w:r>
        <w:rPr>
          <w:sz w:val="22"/>
          <w:szCs w:val="22"/>
          <w:lang w:eastAsia="ru-RU"/>
        </w:rPr>
        <w:t xml:space="preserve">- Время реакции на обращения пользователя для Инцидента уровня «Низкий», не более 12 часов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567"/>
        <w:rPr>
          <w:sz w:val="22"/>
          <w:szCs w:val="22"/>
        </w:rPr>
      </w:pPr>
      <w:r>
        <w:rPr>
          <w:sz w:val="22"/>
          <w:szCs w:val="22"/>
          <w:lang w:eastAsia="ru-RU"/>
        </w:rPr>
        <w:t xml:space="preserve">Совместимость с защищённой сетью передачи данных ViPNet №</w:t>
      </w:r>
      <w:r>
        <w:rPr>
          <w:sz w:val="22"/>
          <w:szCs w:val="22"/>
          <w:lang w:eastAsia="ru-RU"/>
        </w:rPr>
        <w:t xml:space="preserve">23232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567"/>
        <w:rPr>
          <w:sz w:val="22"/>
          <w:szCs w:val="22"/>
          <w:highlight w:val="none"/>
          <w:lang w:eastAsia="ru-RU"/>
        </w:rPr>
      </w:pPr>
      <w:r>
        <w:rPr>
          <w:sz w:val="22"/>
          <w:szCs w:val="22"/>
          <w:lang w:eastAsia="ru-RU"/>
        </w:rPr>
        <w:t xml:space="preserve">Срок действия сертификата, не менее </w:t>
      </w:r>
      <w:r>
        <w:rPr>
          <w:sz w:val="22"/>
          <w:szCs w:val="22"/>
          <w:lang w:eastAsia="ru-RU"/>
        </w:rPr>
        <w:t xml:space="preserve">чем до 31.12.2027.</w:t>
      </w:r>
      <w:r>
        <w:rPr>
          <w:sz w:val="22"/>
          <w:szCs w:val="22"/>
        </w:rPr>
      </w:r>
      <w:r>
        <w:rPr>
          <w:sz w:val="22"/>
          <w:szCs w:val="22"/>
          <w:highlight w:val="none"/>
          <w:lang w:eastAsia="ru-RU"/>
        </w:rPr>
      </w:r>
    </w:p>
    <w:p>
      <w:pPr>
        <w:ind w:firstLine="567"/>
        <w:rPr>
          <w:sz w:val="22"/>
          <w:szCs w:val="22"/>
        </w:rPr>
      </w:pPr>
      <w:r>
        <w:rPr>
          <w:sz w:val="22"/>
          <w:szCs w:val="22"/>
          <w:highlight w:val="none"/>
          <w:lang w:eastAsia="ru-RU"/>
        </w:rPr>
      </w:r>
      <w:r>
        <w:rPr>
          <w:sz w:val="22"/>
          <w:szCs w:val="22"/>
        </w:rPr>
        <w:t xml:space="preserve">Электронные версии документов и лицензионные ключи направляются на электронный адрес Заказчика </w:t>
      </w:r>
      <w:r>
        <w:rPr>
          <w:rFonts w:ascii="Times New Roman" w:hAnsi="Times New Roman"/>
          <w:sz w:val="22"/>
          <w:szCs w:val="22"/>
          <w:highlight w:val="none"/>
          <w:lang w:val="en-US"/>
        </w:rPr>
      </w:r>
      <w:hyperlink r:id="rId12" w:tooltip="http://admins@novoalt.alregn.ru" w:history="1">
        <w:r>
          <w:rPr>
            <w:rStyle w:val="936"/>
            <w:rFonts w:ascii="Times New Roman" w:hAnsi="Times New Roman"/>
            <w:sz w:val="22"/>
            <w:szCs w:val="22"/>
            <w:highlight w:val="none"/>
            <w:lang w:val="en-US"/>
          </w:rPr>
          <w:t xml:space="preserve">admins@novoalt.alregn.ru</w:t>
        </w:r>
        <w:r>
          <w:rPr>
            <w:rStyle w:val="936"/>
            <w:sz w:val="22"/>
            <w:szCs w:val="22"/>
          </w:rPr>
        </w:r>
        <w:r>
          <w:rPr>
            <w:rStyle w:val="936"/>
            <w:sz w:val="22"/>
            <w:szCs w:val="22"/>
          </w:rPr>
        </w:r>
      </w:hyperlink>
      <w:r>
        <w:rPr>
          <w:sz w:val="22"/>
          <w:szCs w:val="22"/>
        </w:rPr>
        <w:t xml:space="preserve">. </w:t>
      </w:r>
      <w:r>
        <w:rPr>
          <w:sz w:val="22"/>
          <w:szCs w:val="22"/>
          <w:highlight w:val="none"/>
          <w:lang w:eastAsia="ru-RU"/>
        </w:rPr>
      </w:r>
      <w:r>
        <w:rPr>
          <w:sz w:val="22"/>
          <w:szCs w:val="22"/>
        </w:rPr>
      </w:r>
    </w:p>
    <w:p>
      <w:pPr>
        <w:ind w:right="-1" w:firstLine="426"/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</w:r>
      <w:r>
        <w:rPr>
          <w:b/>
          <w:caps/>
          <w:sz w:val="22"/>
          <w:szCs w:val="22"/>
        </w:rPr>
      </w:r>
      <w:r>
        <w:rPr>
          <w:b/>
          <w:caps/>
          <w:sz w:val="22"/>
          <w:szCs w:val="22"/>
        </w:rPr>
      </w:r>
    </w:p>
    <w:tbl>
      <w:tblPr>
        <w:tblW w:w="10077" w:type="dxa"/>
        <w:tblLayout w:type="fixed"/>
        <w:tblLook w:val="04A0" w:firstRow="1" w:lastRow="0" w:firstColumn="1" w:lastColumn="0" w:noHBand="0" w:noVBand="1"/>
      </w:tblPr>
      <w:tblGrid>
        <w:gridCol w:w="921"/>
        <w:gridCol w:w="7296"/>
        <w:gridCol w:w="930"/>
        <w:gridCol w:w="930"/>
      </w:tblGrid>
      <w:tr>
        <w:tblPrEx/>
        <w:trPr>
          <w:trHeight w:val="60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№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96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Наименование товара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0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Ед. изм.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0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Кол-во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71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296" w:type="dxa"/>
            <w:textDirection w:val="lrTb"/>
            <w:noWrap w:val="false"/>
          </w:tcPr>
          <w:p>
            <w:pPr>
              <w:ind w:firstLine="0"/>
              <w:jc w:val="left"/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Сертификат активации сервиса совместной технической поддержки ПО ViPNet Administrator 4.x (КС2) </w:t>
            </w:r>
            <w:r>
              <w:rPr>
                <w:sz w:val="22"/>
                <w:szCs w:val="22"/>
              </w:rPr>
              <w:t xml:space="preserve">уровень - Расширенный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3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шт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3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74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296" w:type="dxa"/>
            <w:textDirection w:val="lrTb"/>
            <w:noWrap w:val="false"/>
          </w:tcPr>
          <w:p>
            <w:pPr>
              <w:ind w:firstLine="0"/>
              <w:jc w:val="left"/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Сертификат активации сервиса совместной технической поддержки ПО ViPNet Client for Windows 4.x (КС2) </w:t>
            </w:r>
            <w:r>
              <w:rPr>
                <w:sz w:val="22"/>
                <w:szCs w:val="22"/>
              </w:rPr>
              <w:t xml:space="preserve">уровень - Расширенный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3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шт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3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 w:eastAsia="ru-RU"/>
              </w:rPr>
              <w:t xml:space="preserve">2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982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296" w:type="dxa"/>
            <w:textDirection w:val="lrTb"/>
            <w:noWrap w:val="false"/>
          </w:tcPr>
          <w:p>
            <w:pPr>
              <w:ind w:firstLine="0"/>
              <w:jc w:val="left"/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Сертификат активации сервиса совместной технической поддержки ПО ViPNet Client 4U for Linux (KC2) </w:t>
            </w:r>
            <w:r>
              <w:rPr>
                <w:sz w:val="22"/>
                <w:szCs w:val="22"/>
              </w:rPr>
              <w:t xml:space="preserve">уровень - Расширенный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3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шт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3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 w:eastAsia="ru-RU"/>
              </w:rPr>
              <w:t xml:space="preserve">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853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4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296" w:type="dxa"/>
            <w:textDirection w:val="lrTb"/>
            <w:noWrap w:val="false"/>
          </w:tcPr>
          <w:p>
            <w:pPr>
              <w:ind w:firstLine="0"/>
              <w:jc w:val="left"/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Сертификат активации сервиса совместной технической поддержки ПАК ViPNet Coordinator HW100 C 4.x (+unlim) </w:t>
            </w:r>
            <w:r>
              <w:rPr>
                <w:sz w:val="22"/>
                <w:szCs w:val="22"/>
              </w:rPr>
              <w:t xml:space="preserve">уровень - Расширенный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3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шт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3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 w:eastAsia="ru-RU"/>
              </w:rPr>
              <w:t xml:space="preserve">7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553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5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296" w:type="dxa"/>
            <w:textDirection w:val="lrTb"/>
            <w:noWrap w:val="false"/>
          </w:tcPr>
          <w:p>
            <w:pPr>
              <w:ind w:firstLine="0"/>
              <w:jc w:val="left"/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Сертификат активации сервиса совместной технической поддержки ПАК ViPNet Coordinator HW1000 4.x </w:t>
            </w:r>
            <w:r>
              <w:rPr>
                <w:sz w:val="22"/>
                <w:szCs w:val="22"/>
              </w:rPr>
              <w:t xml:space="preserve"> уровень - Расширенный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3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шт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3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 w:eastAsia="ru-RU"/>
              </w:rPr>
              <w:t xml:space="preserve">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</w:tbl>
    <w:p>
      <w:pPr>
        <w:ind w:right="-1" w:firstLine="426"/>
        <w:jc w:val="center"/>
        <w:widowControl w:val="off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ind w:right="-1" w:firstLine="426"/>
        <w:jc w:val="both"/>
        <w:widowControl w:val="off"/>
        <w:tabs>
          <w:tab w:val="left" w:pos="0" w:leader="none"/>
          <w:tab w:val="left" w:pos="1276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right="-1" w:firstLine="426"/>
        <w:jc w:val="both"/>
        <w:widowControl w:val="off"/>
        <w:tabs>
          <w:tab w:val="left" w:pos="0" w:leader="none"/>
          <w:tab w:val="left" w:pos="1276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677"/>
      </w:tblGrid>
      <w:tr>
        <w:tblPrEx/>
        <w:trPr/>
        <w:tc>
          <w:tcPr>
            <w:tcW w:w="4962" w:type="dxa"/>
            <w:textDirection w:val="lrTb"/>
            <w:noWrap w:val="false"/>
          </w:tcPr>
          <w:p>
            <w:pPr>
              <w:tabs>
                <w:tab w:val="left" w:pos="1134" w:leader="none"/>
              </w:tabs>
              <w:rPr>
                <w:rFonts w:eastAsia="Times New Roman CYR"/>
                <w:sz w:val="22"/>
                <w:szCs w:val="22"/>
              </w:rPr>
            </w:pPr>
            <w:r>
              <w:rPr>
                <w:rFonts w:eastAsia="Times New Roman CYR"/>
                <w:sz w:val="22"/>
                <w:szCs w:val="22"/>
              </w:rPr>
              <w:t xml:space="preserve">_________________   </w:t>
            </w:r>
            <w:r>
              <w:rPr>
                <w:rFonts w:eastAsia="Times New Roman CYR"/>
                <w:sz w:val="22"/>
                <w:szCs w:val="22"/>
              </w:rPr>
            </w:r>
            <w:r>
              <w:rPr>
                <w:rFonts w:eastAsia="Times New Roman CYR"/>
                <w:sz w:val="22"/>
                <w:szCs w:val="22"/>
              </w:rPr>
            </w:r>
          </w:p>
          <w:p>
            <w:pPr>
              <w:tabs>
                <w:tab w:val="left" w:pos="1134" w:leader="none"/>
              </w:tabs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Times New Roman CYR"/>
                <w:sz w:val="22"/>
                <w:szCs w:val="22"/>
                <w:lang w:eastAsia="en-US"/>
              </w:rPr>
              <w:t xml:space="preserve">«__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» _______________ 2026 г.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tabs>
                <w:tab w:val="left" w:pos="1134" w:leader="none"/>
              </w:tabs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М.П.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left w:val="none" w:color="000000" w:sz="4" w:space="0"/>
            </w:tcBorders>
            <w:tcW w:w="4677" w:type="dxa"/>
            <w:textDirection w:val="lrTb"/>
            <w:noWrap w:val="false"/>
          </w:tcPr>
          <w:p>
            <w:pPr>
              <w:tabs>
                <w:tab w:val="left" w:pos="1134" w:leader="none"/>
              </w:tabs>
              <w:rPr>
                <w:rFonts w:eastAsia="Times New Roman CYR"/>
                <w:sz w:val="22"/>
                <w:szCs w:val="22"/>
              </w:rPr>
            </w:pPr>
            <w:r>
              <w:rPr>
                <w:rFonts w:eastAsia="Times New Roman CYR"/>
                <w:sz w:val="22"/>
                <w:szCs w:val="22"/>
              </w:rPr>
              <w:t xml:space="preserve">_________________   </w:t>
            </w:r>
            <w:r>
              <w:rPr>
                <w:rFonts w:eastAsia="Times New Roman CYR"/>
                <w:sz w:val="22"/>
                <w:szCs w:val="22"/>
              </w:rPr>
            </w:r>
            <w:r>
              <w:rPr>
                <w:rFonts w:eastAsia="Times New Roman CYR"/>
                <w:sz w:val="22"/>
                <w:szCs w:val="22"/>
              </w:rPr>
            </w:r>
          </w:p>
          <w:p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Times New Roman CYR"/>
                <w:sz w:val="22"/>
                <w:szCs w:val="22"/>
                <w:lang w:eastAsia="en-US"/>
              </w:rPr>
              <w:t xml:space="preserve">«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___» ___________________ 2026г.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М.П.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jc w:val="both"/>
        <w:widowControl w:val="off"/>
        <w:tabs>
          <w:tab w:val="left" w:pos="0" w:leader="none"/>
          <w:tab w:val="left" w:pos="1276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widowControl w:val="off"/>
        <w:tabs>
          <w:tab w:val="left" w:pos="0" w:leader="none"/>
          <w:tab w:val="left" w:pos="1276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 w:clear="all"/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right="-1" w:firstLine="426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Приложение № 2 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ind w:right="-1" w:firstLine="426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муниципальному Контракту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right"/>
        <w:widowControl w:val="off"/>
        <w:tabs>
          <w:tab w:val="left" w:pos="0" w:leader="none"/>
          <w:tab w:val="left" w:pos="1276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№</w:t>
      </w:r>
      <w:r>
        <w:rPr>
          <w:b/>
          <w:bCs/>
          <w:caps/>
          <w:sz w:val="22"/>
          <w:szCs w:val="22"/>
        </w:rPr>
        <w:t xml:space="preserve"> </w:t>
      </w:r>
      <w:r>
        <w:rPr>
          <w:bCs/>
          <w:caps/>
          <w:sz w:val="22"/>
          <w:szCs w:val="22"/>
        </w:rPr>
        <w:t xml:space="preserve">______________ </w:t>
      </w:r>
      <w:r>
        <w:rPr>
          <w:sz w:val="22"/>
          <w:szCs w:val="22"/>
        </w:rPr>
        <w:t xml:space="preserve">от «___» ________ 2026 г.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both"/>
        <w:tabs>
          <w:tab w:val="left" w:pos="1134" w:leader="none"/>
          <w:tab w:val="left" w:pos="7938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42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СПЕЦИФИКАЦИЯ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947"/>
        <w:ind w:firstLine="426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(заполняется по итогам электронного аукциона</w:t>
      </w:r>
      <w:r>
        <w:rPr>
          <w:i/>
          <w:sz w:val="22"/>
          <w:szCs w:val="22"/>
        </w:rPr>
        <w:t xml:space="preserve"> на основании извещения об осуществлении закупки и заявки </w:t>
      </w:r>
      <w:r>
        <w:rPr>
          <w:i/>
          <w:sz w:val="22"/>
          <w:szCs w:val="22"/>
        </w:rPr>
        <w:t xml:space="preserve">участника</w:t>
      </w:r>
      <w:r>
        <w:rPr>
          <w:i/>
          <w:sz w:val="22"/>
          <w:szCs w:val="22"/>
        </w:rPr>
        <w:t xml:space="preserve"> с которым осуществляется заключение контракта</w:t>
      </w:r>
      <w:r>
        <w:rPr>
          <w:i/>
          <w:sz w:val="22"/>
          <w:szCs w:val="22"/>
        </w:rPr>
        <w:t xml:space="preserve">)</w:t>
      </w:r>
      <w:r>
        <w:rPr>
          <w:i/>
          <w:sz w:val="22"/>
          <w:szCs w:val="22"/>
        </w:rPr>
      </w:r>
      <w:r>
        <w:rPr>
          <w:i/>
          <w:sz w:val="22"/>
          <w:szCs w:val="22"/>
        </w:rPr>
      </w:r>
    </w:p>
    <w:p>
      <w:pPr>
        <w:ind w:firstLine="426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tbl>
      <w:tblPr>
        <w:tblW w:w="1011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380"/>
        <w:gridCol w:w="2455"/>
        <w:gridCol w:w="851"/>
        <w:gridCol w:w="1134"/>
        <w:gridCol w:w="1701"/>
        <w:gridCol w:w="1559"/>
        <w:gridCol w:w="2032"/>
      </w:tblGrid>
      <w:tr>
        <w:tblPrEx/>
        <w:trPr>
          <w:trHeight w:val="2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0" w:type="dxa"/>
            <w:vAlign w:val="center"/>
            <w:textDirection w:val="lrTb"/>
            <w:noWrap w:val="false"/>
          </w:tcPr>
          <w:p>
            <w:pPr>
              <w:ind w:firstLine="709"/>
              <w:jc w:val="center"/>
              <w:tabs>
                <w:tab w:val="left" w:pos="1134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№№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55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134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услуги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134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Ед. изм.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134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Объем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134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Стоимость за ед., руб.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tabs>
                <w:tab w:val="left" w:pos="1134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том числе НДС/без НДС, руб.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32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134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Стоимость всего, руб.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0" w:type="dxa"/>
            <w:vAlign w:val="center"/>
            <w:textDirection w:val="lrTb"/>
            <w:noWrap w:val="false"/>
          </w:tcPr>
          <w:p>
            <w:pPr>
              <w:ind w:firstLine="709"/>
              <w:jc w:val="center"/>
              <w:tabs>
                <w:tab w:val="left" w:pos="1134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55" w:type="dxa"/>
            <w:textDirection w:val="lrTb"/>
            <w:noWrap w:val="false"/>
          </w:tcPr>
          <w:p>
            <w:pPr>
              <w:tabs>
                <w:tab w:val="left" w:pos="1134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1134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134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134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134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32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134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21"/>
        </w:trPr>
        <w:tc>
          <w:tcPr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80" w:type="dxa"/>
            <w:textDirection w:val="lrTb"/>
            <w:noWrap w:val="false"/>
          </w:tcPr>
          <w:p>
            <w:pPr>
              <w:ind w:firstLine="709"/>
              <w:tabs>
                <w:tab w:val="left" w:pos="1134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ИТОГО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32" w:type="dxa"/>
            <w:textDirection w:val="lrTb"/>
            <w:noWrap w:val="false"/>
          </w:tcPr>
          <w:p>
            <w:pPr>
              <w:tabs>
                <w:tab w:val="left" w:pos="1134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ind w:left="567" w:firstLine="709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tbl>
      <w:tblPr>
        <w:tblW w:w="9205" w:type="dxa"/>
        <w:tblInd w:w="194" w:type="dxa"/>
        <w:tblLook w:val="0000" w:firstRow="0" w:lastRow="0" w:firstColumn="0" w:lastColumn="0" w:noHBand="0" w:noVBand="0"/>
      </w:tblPr>
      <w:tblGrid>
        <w:gridCol w:w="4505"/>
        <w:gridCol w:w="4700"/>
      </w:tblGrid>
      <w:tr>
        <w:tblPrEx/>
        <w:trPr>
          <w:trHeight w:val="1436"/>
        </w:trPr>
        <w:tc>
          <w:tcPr>
            <w:tcW w:w="4505" w:type="dxa"/>
            <w:textDirection w:val="lrTb"/>
            <w:noWrap w:val="false"/>
          </w:tcPr>
          <w:p>
            <w:pPr>
              <w:tabs>
                <w:tab w:val="left" w:pos="1134" w:leader="none"/>
              </w:tabs>
              <w:rPr>
                <w:rFonts w:eastAsia="Times New Roman CYR"/>
                <w:sz w:val="22"/>
                <w:szCs w:val="22"/>
              </w:rPr>
            </w:pPr>
            <w:r>
              <w:rPr>
                <w:rFonts w:eastAsia="Times New Roman CYR"/>
                <w:sz w:val="22"/>
                <w:szCs w:val="22"/>
              </w:rPr>
              <w:t xml:space="preserve">________________   </w:t>
            </w:r>
            <w:r>
              <w:rPr>
                <w:rFonts w:eastAsia="Times New Roman CYR"/>
                <w:sz w:val="22"/>
                <w:szCs w:val="22"/>
              </w:rPr>
            </w:r>
            <w:r>
              <w:rPr>
                <w:rFonts w:eastAsia="Times New Roman CYR"/>
                <w:sz w:val="22"/>
                <w:szCs w:val="22"/>
              </w:rPr>
            </w:r>
          </w:p>
          <w:p>
            <w:pPr>
              <w:tabs>
                <w:tab w:val="left" w:pos="1134" w:leader="none"/>
              </w:tabs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Times New Roman CYR"/>
                <w:sz w:val="22"/>
                <w:szCs w:val="22"/>
                <w:lang w:eastAsia="en-US"/>
              </w:rPr>
              <w:t xml:space="preserve">«__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» _____________ 2026 г.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tabs>
                <w:tab w:val="left" w:pos="1134" w:leader="none"/>
              </w:tabs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М.П.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W w:w="4700" w:type="dxa"/>
            <w:textDirection w:val="lrTb"/>
            <w:noWrap w:val="false"/>
          </w:tcPr>
          <w:p>
            <w:pPr>
              <w:ind w:left="546"/>
              <w:tabs>
                <w:tab w:val="left" w:pos="1134" w:leader="none"/>
              </w:tabs>
              <w:rPr>
                <w:rFonts w:eastAsia="Times New Roman CYR"/>
                <w:sz w:val="22"/>
                <w:szCs w:val="22"/>
              </w:rPr>
            </w:pPr>
            <w:r>
              <w:rPr>
                <w:rFonts w:eastAsia="Times New Roman CYR"/>
                <w:sz w:val="22"/>
                <w:szCs w:val="22"/>
              </w:rPr>
              <w:t xml:space="preserve">_______________   </w:t>
            </w:r>
            <w:r>
              <w:rPr>
                <w:rFonts w:eastAsia="Times New Roman CYR"/>
                <w:sz w:val="22"/>
                <w:szCs w:val="22"/>
              </w:rPr>
            </w:r>
            <w:r>
              <w:rPr>
                <w:rFonts w:eastAsia="Times New Roman CYR"/>
                <w:sz w:val="22"/>
                <w:szCs w:val="22"/>
              </w:rPr>
            </w:r>
          </w:p>
          <w:p>
            <w:pPr>
              <w:ind w:left="546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Times New Roman CYR"/>
                <w:sz w:val="22"/>
                <w:szCs w:val="22"/>
                <w:lang w:eastAsia="en-US"/>
              </w:rPr>
              <w:t xml:space="preserve">«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___» ________________ 2026г.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  <w:p>
            <w:pPr>
              <w:ind w:left="546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М.П.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ind w:firstLine="426"/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sectPr>
      <w:footnotePr/>
      <w:endnotePr/>
      <w:type w:val="nextPage"/>
      <w:pgSz w:w="11906" w:h="16838" w:orient="portrait"/>
      <w:pgMar w:top="709" w:right="567" w:bottom="851" w:left="1134" w:header="454" w:footer="454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</w:font>
  <w:font w:name="Tahoma">
    <w:panose1 w:val="020B0604030504040204"/>
  </w:font>
  <w:font w:name="MS Mincho">
    <w:panose1 w:val="02020603050405090304"/>
  </w:font>
  <w:font w:name="Segoe UI">
    <w:panose1 w:val="020B0503020204020204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">
    <w:multiLevelType w:val="hybridMultilevel"/>
    <w:lvl w:ilvl="0">
      <w:start w:val="11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6.%1"/>
      <w:lvlJc w:val="left"/>
      <w:pPr>
        <w:ind w:left="1287" w:hanging="360"/>
      </w:pPr>
      <w:rPr>
        <w:rFonts w:hint="default"/>
        <w:strike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4">
    <w:multiLevelType w:val="hybridMultilevel"/>
    <w:lvl w:ilvl="0">
      <w:start w:val="1"/>
      <w:numFmt w:val="russianLower"/>
      <w:isLgl w:val="false"/>
      <w:suff w:val="tab"/>
      <w:lvlText w:val="%1."/>
      <w:lvlJc w:val="left"/>
      <w:pPr>
        <w:ind w:left="157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7.%1"/>
      <w:lvlJc w:val="left"/>
      <w:pPr>
        <w:ind w:left="19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6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1070" w:hanging="360"/>
      </w:pPr>
      <w:rPr>
        <w:rFonts w:hint="default"/>
        <w:i w:val="0"/>
        <w:color w:val="000000"/>
      </w:rPr>
    </w:lvl>
    <w:lvl w:ilvl="1">
      <w:start w:val="1"/>
      <w:numFmt w:val="decimal"/>
      <w:isLgl w:val="false"/>
      <w:suff w:val="tab"/>
      <w:lvlText w:val="5.%2."/>
      <w:lvlJc w:val="left"/>
      <w:pPr>
        <w:ind w:left="1070" w:hanging="360"/>
      </w:pPr>
      <w:rPr>
        <w:rFonts w:hint="default"/>
        <w:i w:val="0"/>
        <w:color w:val="000000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421" w:hanging="720"/>
      </w:pPr>
      <w:rPr>
        <w:rFonts w:hint="default"/>
        <w:color w:val="00000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915" w:hanging="1080"/>
      </w:pPr>
      <w:rPr>
        <w:rFonts w:hint="default"/>
        <w:color w:val="00000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409" w:hanging="1440"/>
      </w:pPr>
      <w:rPr>
        <w:rFonts w:hint="default"/>
        <w:color w:val="00000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8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432" w:hanging="432"/>
      </w:pPr>
      <w:rPr>
        <w:rFonts w:hint="default"/>
        <w:sz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1141" w:hanging="432"/>
      </w:pPr>
      <w:rPr>
        <w:rFonts w:hint="default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  <w:sz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</w:pPr>
      <w:rPr>
        <w:rFonts w:hint="default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  <w:sz w:val="28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</w:pPr>
      <w:rPr>
        <w:rFonts w:hint="default"/>
        <w:sz w:val="28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  <w:sz w:val="28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  <w:rPr>
        <w:rFonts w:hint="default"/>
        <w:sz w:val="28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  <w:rPr>
        <w:rFonts w:hint="default"/>
        <w:sz w:val="28"/>
      </w:rPr>
    </w:lvl>
  </w:abstractNum>
  <w:abstractNum w:abstractNumId="9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502" w:hanging="360"/>
      </w:pPr>
      <w:rPr>
        <w:rFonts w:hint="default"/>
        <w:i w:val="0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421" w:hanging="720"/>
      </w:pPr>
      <w:rPr>
        <w:rFonts w:hint="default"/>
        <w:i w:val="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3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862" w:hanging="720"/>
      </w:pPr>
      <w:rPr>
        <w:rFonts w:hint="default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isLgl w:val="false"/>
      <w:suff w:val="tab"/>
      <w:lvlText w:val="%1.%2."/>
      <w:lvlJc w:val="left"/>
      <w:pPr>
        <w:ind w:left="1142" w:hanging="432"/>
      </w:pPr>
      <w:rPr>
        <w:i w:val="0"/>
        <w:strike w:val="0"/>
        <w:color w:val="000000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773" w:hanging="504"/>
      </w:pPr>
      <w:rPr>
        <w:b w:val="0"/>
        <w:i w:val="0"/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06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5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6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isLgl w:val="false"/>
      <w:suff w:val="tab"/>
      <w:lvlText w:val="8.%2."/>
      <w:lvlJc w:val="left"/>
      <w:pPr>
        <w:ind w:left="1713" w:hanging="720"/>
      </w:pPr>
      <w:rPr>
        <w:rFonts w:hint="default"/>
        <w:i w:val="0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7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1070" w:hanging="360"/>
      </w:pPr>
      <w:rPr>
        <w:rFonts w:hint="default"/>
        <w:i w:val="0"/>
        <w:strike w:val="0"/>
        <w:sz w:val="22"/>
        <w:szCs w:val="28"/>
        <w:lang w:val="ru-RU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9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isLgl w:val="false"/>
      <w:suff w:val="tab"/>
      <w:lvlText w:val="%1.%2."/>
      <w:lvlJc w:val="left"/>
      <w:pPr>
        <w:ind w:left="540" w:hanging="540"/>
      </w:pPr>
      <w:rPr>
        <w:rFonts w:hint="default"/>
      </w:rPr>
    </w:lvl>
    <w:lvl w:ilvl="2">
      <w:start w:val="6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927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  <w:i w:val="0"/>
        <w:sz w:val="22"/>
        <w:szCs w:val="22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1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432" w:hanging="432"/>
      </w:pPr>
      <w:rPr>
        <w:rFonts w:hint="default"/>
        <w:sz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1141" w:hanging="432"/>
      </w:pPr>
      <w:rPr>
        <w:rFonts w:hint="default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  <w:sz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</w:pPr>
      <w:rPr>
        <w:rFonts w:hint="default"/>
        <w:sz w:val="28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  <w:sz w:val="28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</w:pPr>
      <w:rPr>
        <w:rFonts w:hint="default"/>
        <w:sz w:val="28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  <w:sz w:val="28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  <w:rPr>
        <w:rFonts w:hint="default"/>
        <w:sz w:val="28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  <w:rPr>
        <w:rFonts w:hint="default"/>
        <w:sz w:val="28"/>
      </w:rPr>
    </w:lvl>
  </w:abstractNum>
  <w:abstractNum w:abstractNumId="22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3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4">
    <w:multiLevelType w:val="hybridMultilevel"/>
    <w:lvl w:ilvl="0">
      <w:start w:val="11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189" w:hanging="480"/>
      </w:pPr>
      <w:rPr>
        <w:rFonts w:hint="default"/>
        <w:sz w:val="28"/>
        <w:szCs w:val="28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5">
    <w:multiLevelType w:val="hybridMultilevel"/>
    <w:lvl w:ilvl="0">
      <w:start w:val="1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suff w:val="tab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6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7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 w:val="false"/>
      <w:suff w:val="tab"/>
      <w:lvlText w:val="%1.%2."/>
      <w:lvlJc w:val="left"/>
      <w:pPr>
        <w:ind w:left="1069" w:hanging="360"/>
      </w:pPr>
      <w:rPr>
        <w:rFonts w:hint="default"/>
        <w:strike w:val="0"/>
        <w:color w:val="auto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</w:pPr>
      <w:rPr>
        <w:rFonts w:hint="default"/>
        <w:color w:val="auto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</w:pPr>
      <w:rPr>
        <w:rFonts w:hint="default"/>
        <w:color w:val="auto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  <w:rPr>
        <w:rFonts w:hint="default"/>
        <w:color w:val="auto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  <w:rPr>
        <w:rFonts w:hint="default"/>
        <w:color w:val="auto"/>
      </w:rPr>
    </w:lvl>
  </w:abstractNum>
  <w:abstractNum w:abstractNumId="28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9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isLgl w:val="false"/>
      <w:suff w:val="tab"/>
      <w:lvlText w:val="%1.%2."/>
      <w:lvlJc w:val="left"/>
      <w:pPr>
        <w:ind w:left="540" w:hanging="540"/>
      </w:pPr>
      <w:rPr>
        <w:rFonts w:hint="default"/>
        <w:color w:val="000000"/>
      </w:rPr>
    </w:lvl>
    <w:lvl w:ilvl="2">
      <w:start w:val="2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30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1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4280" w:hanging="1800"/>
      </w:pPr>
      <w:rPr>
        <w:rFonts w:hint="default"/>
      </w:rPr>
    </w:lvl>
  </w:abstractNum>
  <w:abstractNum w:abstractNumId="32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33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hint="default"/>
        <w:i w:val="0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639" w:hanging="504"/>
      </w:pPr>
      <w:rPr>
        <w:rFonts w:hint="default"/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7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isLgl w:val="false"/>
      <w:suff w:val="tab"/>
      <w:lvlText w:val="%1.%2."/>
      <w:lvlJc w:val="left"/>
      <w:pPr>
        <w:ind w:left="190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09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464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583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73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893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012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1672" w:hanging="2160"/>
      </w:pPr>
      <w:rPr>
        <w:rFonts w:hint="default"/>
      </w:rPr>
    </w:lvl>
  </w:abstractNum>
  <w:abstractNum w:abstractNumId="38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69" w:hanging="360"/>
      </w:pPr>
      <w:rPr>
        <w:rFonts w:hint="default"/>
        <w:strike w:val="0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0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1">
    <w:multiLevelType w:val="hybridMultilevel"/>
    <w:lvl w:ilvl="0">
      <w:start w:val="13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9835" w:hanging="48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943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785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-2703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-17681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-7966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389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1104" w:hanging="1800"/>
      </w:pPr>
      <w:rPr>
        <w:rFonts w:hint="default"/>
      </w:rPr>
    </w:lvl>
  </w:abstractNum>
  <w:abstractNum w:abstractNumId="42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isLgl w:val="false"/>
      <w:suff w:val="tab"/>
      <w:lvlText w:val="10.%2"/>
      <w:lvlJc w:val="left"/>
      <w:pPr>
        <w:ind w:left="862" w:hanging="720"/>
      </w:pPr>
      <w:rPr>
        <w:rFonts w:hint="default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3">
    <w:multiLevelType w:val="hybridMultilevel"/>
    <w:lvl w:ilvl="0">
      <w:start w:val="13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isLgl w:val="false"/>
      <w:suff w:val="tab"/>
      <w:lvlText w:val="12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5">
    <w:multiLevelType w:val="hybridMultilevel"/>
    <w:lvl w:ilvl="0">
      <w:start w:val="10"/>
      <w:numFmt w:val="decimal"/>
      <w:isLgl w:val="false"/>
      <w:suff w:val="tab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isLgl w:val="false"/>
      <w:suff w:val="tab"/>
      <w:lvlText w:val="%1.%2"/>
      <w:lvlJc w:val="left"/>
      <w:pPr>
        <w:ind w:left="954" w:hanging="600"/>
      </w:pPr>
      <w:rPr>
        <w:rFonts w:hint="default"/>
      </w:rPr>
    </w:lvl>
    <w:lvl w:ilvl="2">
      <w:start w:val="2"/>
      <w:numFmt w:val="decimal"/>
      <w:isLgl w:val="false"/>
      <w:suff w:val="tab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46">
    <w:multiLevelType w:val="hybridMultilevel"/>
    <w:lvl w:ilvl="0">
      <w:start w:val="10"/>
      <w:numFmt w:val="decimal"/>
      <w:isLgl w:val="false"/>
      <w:suff w:val="tab"/>
      <w:lvlText w:val="%1"/>
      <w:lvlJc w:val="left"/>
      <w:pPr>
        <w:ind w:left="504" w:hanging="504"/>
      </w:pPr>
      <w:rPr>
        <w:rFonts w:hint="default"/>
      </w:rPr>
    </w:lvl>
    <w:lvl w:ilvl="1">
      <w:start w:val="2"/>
      <w:numFmt w:val="decimal"/>
      <w:isLgl w:val="false"/>
      <w:suff w:val="tab"/>
      <w:lvlText w:val="%1.%2"/>
      <w:lvlJc w:val="left"/>
      <w:pPr>
        <w:ind w:left="1932" w:hanging="504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5364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858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0008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1796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3584" w:hanging="2160"/>
      </w:pPr>
      <w:rPr>
        <w:rFonts w:hint="default"/>
      </w:r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 w:val="false"/>
      <w:suff w:val="tab"/>
      <w:lvlText w:val="%1.%2."/>
      <w:lvlJc w:val="left"/>
      <w:pPr>
        <w:ind w:left="1425" w:hanging="432"/>
      </w:pPr>
      <w:rPr>
        <w:b w:val="0"/>
        <w:i w:val="0"/>
        <w:strike w:val="0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b w:val="0"/>
        <w:i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928" w:hanging="360"/>
      </w:pPr>
      <w:rPr>
        <w:rFonts w:hint="default"/>
        <w:i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4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 w:val="false"/>
      <w:suff w:val="tab"/>
      <w:lvlText w:val="%1.%2."/>
      <w:lvlJc w:val="left"/>
      <w:pPr>
        <w:ind w:left="1425" w:hanging="432"/>
      </w:pPr>
      <w:rPr>
        <w:b w:val="0"/>
        <w:i w:val="0"/>
        <w:strike w:val="0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ascii="Times New Roman" w:hAnsi="Times New Roman"/>
        <w:b w:val="0"/>
        <w:i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4"/>
  </w:num>
  <w:num w:numId="3">
    <w:abstractNumId w:val="35"/>
  </w:num>
  <w:num w:numId="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</w:num>
  <w:num w:numId="6">
    <w:abstractNumId w:val="7"/>
  </w:num>
  <w:num w:numId="7">
    <w:abstractNumId w:val="9"/>
  </w:num>
  <w:num w:numId="8">
    <w:abstractNumId w:val="16"/>
  </w:num>
  <w:num w:numId="9">
    <w:abstractNumId w:val="13"/>
  </w:num>
  <w:num w:numId="10">
    <w:abstractNumId w:val="1"/>
  </w:num>
  <w:num w:numId="11">
    <w:abstractNumId w:val="42"/>
  </w:num>
  <w:num w:numId="12">
    <w:abstractNumId w:val="43"/>
  </w:num>
  <w:num w:numId="13">
    <w:abstractNumId w:val="25"/>
  </w:num>
  <w:num w:numId="14">
    <w:abstractNumId w:val="5"/>
  </w:num>
  <w:num w:numId="15">
    <w:abstractNumId w:val="3"/>
  </w:num>
  <w:num w:numId="16">
    <w:abstractNumId w:val="47"/>
  </w:num>
  <w:num w:numId="17">
    <w:abstractNumId w:val="34"/>
  </w:num>
  <w:num w:numId="18">
    <w:abstractNumId w:val="31"/>
  </w:num>
  <w:num w:numId="19">
    <w:abstractNumId w:val="33"/>
  </w:num>
  <w:num w:numId="20">
    <w:abstractNumId w:val="17"/>
  </w:num>
  <w:num w:numId="21">
    <w:abstractNumId w:val="18"/>
  </w:num>
  <w:num w:numId="22">
    <w:abstractNumId w:val="27"/>
  </w:num>
  <w:num w:numId="23">
    <w:abstractNumId w:val="11"/>
  </w:num>
  <w:num w:numId="24">
    <w:abstractNumId w:val="32"/>
  </w:num>
  <w:num w:numId="25">
    <w:abstractNumId w:val="28"/>
  </w:num>
  <w:num w:numId="26">
    <w:abstractNumId w:val="29"/>
  </w:num>
  <w:num w:numId="27">
    <w:abstractNumId w:val="19"/>
  </w:num>
  <w:num w:numId="28">
    <w:abstractNumId w:val="38"/>
  </w:num>
  <w:num w:numId="29">
    <w:abstractNumId w:val="40"/>
  </w:num>
  <w:num w:numId="30">
    <w:abstractNumId w:val="23"/>
  </w:num>
  <w:num w:numId="31">
    <w:abstractNumId w:val="2"/>
  </w:num>
  <w:num w:numId="32">
    <w:abstractNumId w:val="21"/>
  </w:num>
  <w:num w:numId="33">
    <w:abstractNumId w:val="10"/>
  </w:num>
  <w:num w:numId="34">
    <w:abstractNumId w:val="44"/>
  </w:num>
  <w:num w:numId="35">
    <w:abstractNumId w:val="45"/>
  </w:num>
  <w:num w:numId="36">
    <w:abstractNumId w:val="46"/>
  </w:num>
  <w:num w:numId="37">
    <w:abstractNumId w:val="37"/>
  </w:num>
  <w:num w:numId="38">
    <w:abstractNumId w:val="36"/>
  </w:num>
  <w:num w:numId="39">
    <w:abstractNumId w:val="8"/>
  </w:num>
  <w:num w:numId="40">
    <w:abstractNumId w:val="22"/>
  </w:num>
  <w:num w:numId="41">
    <w:abstractNumId w:val="24"/>
  </w:num>
  <w:num w:numId="42">
    <w:abstractNumId w:val="6"/>
  </w:num>
  <w:num w:numId="43">
    <w:abstractNumId w:val="14"/>
  </w:num>
  <w:num w:numId="44">
    <w:abstractNumId w:val="30"/>
  </w:num>
  <w:num w:numId="45">
    <w:abstractNumId w:val="15"/>
  </w:num>
  <w:num w:numId="46">
    <w:abstractNumId w:val="26"/>
  </w:num>
  <w:num w:numId="47">
    <w:abstractNumId w:val="12"/>
  </w:num>
  <w:num w:numId="48">
    <w:abstractNumId w:val="41"/>
  </w:num>
  <w:num w:numId="49">
    <w:abstractNumId w:val="48"/>
  </w:num>
  <w:num w:numId="50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47">
    <w:name w:val="Caption Char"/>
    <w:basedOn w:val="933"/>
    <w:link w:val="913"/>
    <w:uiPriority w:val="35"/>
    <w:rPr>
      <w:b/>
      <w:bCs/>
      <w:color w:val="4f81bd" w:themeColor="accent1"/>
      <w:sz w:val="18"/>
      <w:szCs w:val="18"/>
    </w:rPr>
  </w:style>
  <w:style w:type="table" w:styleId="754">
    <w:name w:val="Table Grid Light"/>
    <w:basedOn w:val="9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5">
    <w:name w:val="Plain Table 1"/>
    <w:basedOn w:val="9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6">
    <w:name w:val="Plain Table 2"/>
    <w:basedOn w:val="9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7">
    <w:name w:val="Plain Table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8">
    <w:name w:val="Plain Table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Plain Table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0">
    <w:name w:val="Grid Table 1 Light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1 Light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1 Light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1 Light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1 Light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1 Light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Grid Table 1 Light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Grid Table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2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e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e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2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6d7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6d7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2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2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2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2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9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9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3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e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e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6d7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6d7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3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3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3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9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9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4"/>
    <w:basedOn w:val="9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2">
    <w:name w:val="Grid Table 4 - Accent 1"/>
    <w:basedOn w:val="9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7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7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3">
    <w:name w:val="Grid Table 4 - Accent 2"/>
    <w:basedOn w:val="9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6d7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6d7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4">
    <w:name w:val="Grid Table 4 - Accent 3"/>
    <w:basedOn w:val="9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5">
    <w:name w:val="Grid Table 4 - Accent 4"/>
    <w:basedOn w:val="9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6">
    <w:name w:val="Grid Table 4 - Accent 5"/>
    <w:basedOn w:val="9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7">
    <w:name w:val="Grid Table 4 - Accent 6"/>
    <w:basedOn w:val="9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9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9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8">
    <w:name w:val="Grid Table 5 Dark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9">
    <w:name w:val="Grid Table 5 Dark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blStylePr w:type="band1Horz">
      <w:tcPr>
        <w:shd w:val="clear" w:color="ffffff" w:themeColor="accent1" w:themeTint="75" w:fill="b4d1ec" w:themeFill="accent1" w:themeFillTint="75"/>
      </w:tcPr>
    </w:tblStylePr>
    <w:tblStylePr w:type="band1Vert">
      <w:tcPr>
        <w:shd w:val="clear" w:color="ffffff" w:themeColor="accent1" w:themeTint="75" w:fill="b4d1ec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90">
    <w:name w:val="Grid Table 5 Dark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blStylePr w:type="band1Horz">
      <w:tcPr>
        <w:shd w:val="clear" w:color="ffffff" w:themeColor="accent2" w:themeTint="75" w:fill="f7c3a0" w:themeFill="accent2" w:themeFillTint="75"/>
      </w:tcPr>
    </w:tblStylePr>
    <w:tblStylePr w:type="band1Vert">
      <w:tcPr>
        <w:shd w:val="clear" w:color="ffffff" w:themeColor="accent2" w:themeTint="75" w:fill="f7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91">
    <w:name w:val="Grid Table 5 Dark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92">
    <w:name w:val="Grid Table 5 Dark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blStylePr w:type="band1Horz">
      <w:tcPr>
        <w:shd w:val="clear" w:color="ffffff" w:themeColor="accent4" w:themeTint="75" w:fill="ffe28a" w:themeFill="accent4" w:themeFillTint="75"/>
      </w:tcPr>
    </w:tblStylePr>
    <w:tblStylePr w:type="band1Vert">
      <w:tcPr>
        <w:shd w:val="clear" w:color="ffffff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93">
    <w:name w:val="Grid Table 5 Dark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blStylePr w:type="band1Horz">
      <w:tcPr>
        <w:shd w:val="clear" w:color="ffffff" w:themeColor="accent5" w:themeTint="75" w:fill="a9bee4" w:themeFill="accent5" w:themeFillTint="75"/>
      </w:tcPr>
    </w:tblStylePr>
    <w:tblStylePr w:type="band1Vert">
      <w:tcPr>
        <w:shd w:val="clear" w:color="ffffff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94">
    <w:name w:val="Grid Table 5 Dark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blStylePr w:type="band1Horz">
      <w:tcPr>
        <w:shd w:val="clear" w:color="ffffff" w:themeColor="accent6" w:themeTint="75" w:fill="bddba8" w:themeFill="accent6" w:themeFillTint="75"/>
      </w:tcPr>
    </w:tblStylePr>
    <w:tblStylePr w:type="band1Vert">
      <w:tcPr>
        <w:shd w:val="clear" w:color="ffffff" w:themeColor="accent6" w:themeTint="75" w:fill="bd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95">
    <w:name w:val="Grid Table 6 Colorful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6">
    <w:name w:val="Grid Table 6 Colorful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eebf6" w:themeFill="accent1" w:themeFillTint="34"/>
      </w:tcPr>
    </w:tblStylePr>
    <w:tblStylePr w:type="band1Vert">
      <w:tcPr>
        <w:shd w:val="clear" w:color="ffffff" w:themeColor="accent1" w:themeTint="34" w:fill="de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07abd" w:themeColor="accent1" w:themeTint="80" w:themeShade="95"/>
      </w:rPr>
    </w:tblStylePr>
    <w:tblStylePr w:type="firstRow">
      <w:rPr>
        <w:b/>
        <w:color w:val="307abd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</w:tblStylePr>
    <w:tblStylePr w:type="lastRow">
      <w:rPr>
        <w:b/>
        <w:color w:val="307abd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7">
    <w:name w:val="Grid Table 6 Colorful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6d7" w:themeFill="accent2" w:themeFillTint="32"/>
      </w:tcPr>
    </w:tblStylePr>
    <w:tblStylePr w:type="band1Vert">
      <w:tcPr>
        <w:shd w:val="clear" w:color="ffffff" w:themeColor="accent2" w:themeTint="32" w:fill="fbe6d7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a5d12" w:themeColor="accent2" w:themeTint="97" w:themeShade="95"/>
      </w:rPr>
    </w:tblStylePr>
    <w:tblStylePr w:type="firstRow">
      <w:rPr>
        <w:b/>
        <w:color w:val="ca5d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</w:tblStylePr>
    <w:tblStylePr w:type="lastRow">
      <w:rPr>
        <w:b/>
        <w:color w:val="ca5d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8">
    <w:name w:val="Grid Table 6 Colorful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9">
    <w:name w:val="Grid Table 6 Colorful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ff2cb" w:themeFill="accent4" w:themeFillTint="34"/>
      </w:tcPr>
    </w:tblStylePr>
    <w:tblStylePr w:type="band1Vert">
      <w:tcPr>
        <w:shd w:val="clear" w:color="ffffff" w:themeColor="accent4" w:themeTint="34" w:fill="ff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d09d00" w:themeColor="accent4" w:themeTint="9A" w:themeShade="95"/>
      </w:rPr>
    </w:tblStylePr>
    <w:tblStylePr w:type="firstRow">
      <w:rPr>
        <w:b/>
        <w:color w:val="d09d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</w:tblStylePr>
    <w:tblStylePr w:type="lastRow">
      <w:rPr>
        <w:b/>
        <w:color w:val="d09d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00">
    <w:name w:val="Grid Table 6 Colorful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3" w:themeFill="accent5" w:themeFillTint="34"/>
      </w:tcPr>
    </w:tblStylePr>
    <w:tblStylePr w:type="band1Vert">
      <w:tcPr>
        <w:shd w:val="clear" w:color="ffffff" w:themeColor="accent5" w:themeTint="34" w:fill="d9e2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275" w:themeColor="accent5" w:themeShade="95"/>
      </w:rPr>
    </w:tblStylePr>
    <w:tblStylePr w:type="firstRow">
      <w:rPr>
        <w:b/>
        <w:color w:val="254275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</w:tblStylePr>
    <w:tblStylePr w:type="lastRow">
      <w:rPr>
        <w:b/>
        <w:color w:val="254275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1">
    <w:name w:val="Grid Table 6 Colorful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9" w:themeFill="accent6" w:themeFillTint="34"/>
      </w:tcPr>
    </w:tblStylePr>
    <w:tblStylePr w:type="band1Vert">
      <w:tcPr>
        <w:shd w:val="clear" w:color="ffffff" w:themeColor="accent6" w:themeTint="34" w:fill="e2efd9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275" w:themeColor="accent5" w:themeShade="95"/>
      </w:rPr>
    </w:tblStylePr>
    <w:tblStylePr w:type="firstRow">
      <w:rPr>
        <w:b/>
        <w:color w:val="254275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</w:tblStylePr>
    <w:tblStylePr w:type="lastRow">
      <w:rPr>
        <w:b/>
        <w:color w:val="254275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2">
    <w:name w:val="Grid Table 7 Colorful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7 Colorful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07abd" w:themeColor="accent1" w:themeTint="80" w:themeShade="95"/>
        <w:sz w:val="22"/>
      </w:rPr>
      <w:tcPr>
        <w:shd w:val="clear" w:color="ffffff" w:themeColor="accent1" w:themeTint="34" w:fill="deebf6" w:themeFill="accent1" w:themeFillTint="34"/>
      </w:tcPr>
    </w:tblStylePr>
    <w:tblStylePr w:type="band1Vert">
      <w:tcPr>
        <w:shd w:val="clear" w:color="ffffff" w:themeColor="accent1" w:themeTint="34" w:fill="deebf6" w:themeFill="accent1" w:themeFillTint="34"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7 Colorful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a5d12" w:themeColor="accent2" w:themeTint="97" w:themeShade="95"/>
        <w:sz w:val="22"/>
      </w:rPr>
      <w:tcPr>
        <w:shd w:val="clear" w:color="ffffff" w:themeColor="accent2" w:themeTint="32" w:fill="fbe6d7" w:themeFill="accent2" w:themeFillTint="32"/>
      </w:tcPr>
    </w:tblStylePr>
    <w:tblStylePr w:type="band1Vert">
      <w:tcPr>
        <w:shd w:val="clear" w:color="ffffff" w:themeColor="accent2" w:themeTint="32" w:fill="fbe6d7" w:themeFill="accent2" w:themeFillTint="32"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7 Colorful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7 Colorful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d09d00" w:themeColor="accent4" w:themeTint="9A" w:themeShade="95"/>
        <w:sz w:val="22"/>
      </w:rPr>
      <w:tcPr>
        <w:shd w:val="clear" w:color="ffffff" w:themeColor="accent4" w:themeTint="34" w:fill="fff2cb" w:themeFill="accent4" w:themeFillTint="34"/>
      </w:tcPr>
    </w:tblStylePr>
    <w:tblStylePr w:type="band1Vert">
      <w:tcPr>
        <w:shd w:val="clear" w:color="ffffff" w:themeColor="accent4" w:themeTint="34" w:fill="fff2cb" w:themeFill="accent4" w:themeFillTint="34"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7 Colorful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275" w:themeColor="accent5" w:themeShade="95"/>
        <w:sz w:val="22"/>
      </w:rPr>
      <w:tcPr>
        <w:shd w:val="clear" w:color="ffffff" w:themeColor="accent5" w:themeTint="34" w:fill="d9e2f3" w:themeFill="accent5" w:themeFillTint="34"/>
      </w:tcPr>
    </w:tblStylePr>
    <w:tblStylePr w:type="band1Vert">
      <w:tcPr>
        <w:shd w:val="clear" w:color="ffffff" w:themeColor="accent5" w:themeTint="34" w:fill="d9e2f3" w:themeFill="accent5" w:themeFillTint="34"/>
      </w:tcPr>
    </w:tblStylePr>
    <w:tblStylePr w:type="band2Horz">
      <w:rPr>
        <w:rFonts w:ascii="Arial" w:hAnsi="Arial"/>
        <w:color w:val="254275" w:themeColor="accent5" w:themeShade="95"/>
        <w:sz w:val="22"/>
      </w:r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7 Colorful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16529" w:themeColor="accent6" w:themeShade="95"/>
        <w:sz w:val="22"/>
      </w:rPr>
      <w:tcPr>
        <w:shd w:val="clear" w:color="ffffff" w:themeColor="accent6" w:themeTint="34" w:fill="e2efd9" w:themeFill="accent6" w:themeFillTint="34"/>
      </w:tcPr>
    </w:tblStylePr>
    <w:tblStylePr w:type="band1Vert">
      <w:tcPr>
        <w:shd w:val="clear" w:color="ffffff" w:themeColor="accent6" w:themeTint="34" w:fill="e2efd9" w:themeFill="accent6" w:themeFillTint="34"/>
      </w:tcPr>
    </w:tblStylePr>
    <w:tblStylePr w:type="band2Horz">
      <w:rPr>
        <w:rFonts w:ascii="Arial" w:hAnsi="Arial"/>
        <w:color w:val="416529" w:themeColor="accent6" w:themeShade="95"/>
        <w:sz w:val="22"/>
      </w:r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6e6f4" w:themeFill="accent1" w:themeFillTint="40"/>
      </w:tcPr>
    </w:tblStylePr>
    <w:tblStylePr w:type="band1Vert">
      <w:tcPr>
        <w:shd w:val="clear" w:color="ffffff" w:themeColor="accent1" w:themeTint="40" w:fill="d6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0dcf0" w:themeFill="accent5" w:themeFillTint="40"/>
      </w:tcPr>
    </w:tblStylePr>
    <w:tblStylePr w:type="band1Vert">
      <w:tcPr>
        <w:shd w:val="clear" w:color="ffffff" w:themeColor="accent5" w:themeTint="40" w:fill="d0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1 Light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cd0" w:themeFill="accent6" w:themeFillTint="40"/>
      </w:tcPr>
    </w:tblStylePr>
    <w:tblStylePr w:type="band1Vert">
      <w:tcPr>
        <w:shd w:val="clear" w:color="ffffff" w:themeColor="accent6" w:themeTint="40" w:fill="dbec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List Table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7">
    <w:name w:val="List Table 2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6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6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8">
    <w:name w:val="List Table 2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9">
    <w:name w:val="List Table 2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20">
    <w:name w:val="List Table 2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1">
    <w:name w:val="List Table 2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0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0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2">
    <w:name w:val="List Table 2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c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c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3">
    <w:name w:val="List Table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3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3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2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3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3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9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3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a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3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9d1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4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6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6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0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0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4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c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c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5 Dark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8">
    <w:name w:val="List Table 5 Dark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9">
    <w:name w:val="List Table 5 Dark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blStylePr w:type="band1Horz"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0">
    <w:name w:val="List Table 5 Dark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1">
    <w:name w:val="List Table 5 Dark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blStylePr w:type="band1Horz"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2">
    <w:name w:val="List Table 5 Dark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blStylePr w:type="band1Horz"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3">
    <w:name w:val="List Table 5 Dark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blStylePr w:type="band1Horz"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4">
    <w:name w:val="List Table 6 Colorful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5">
    <w:name w:val="List Table 6 Colorful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6e6f4" w:themeFill="accent1" w:themeFillTint="40"/>
      </w:tcPr>
    </w:tblStylePr>
    <w:tblStylePr w:type="band1Vert">
      <w:tcPr>
        <w:shd w:val="clear" w:color="ffffff" w:themeColor="accent1" w:themeTint="40" w:fill="d6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b8d" w:themeColor="accent1" w:themeShade="95"/>
      </w:rPr>
    </w:tblStylePr>
    <w:tblStylePr w:type="firstRow">
      <w:rPr>
        <w:b/>
        <w:color w:val="245b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</w:tblStylePr>
    <w:tblStylePr w:type="lastRow">
      <w:rPr>
        <w:b/>
        <w:color w:val="245b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6">
    <w:name w:val="List Table 6 Colorful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a5d12" w:themeColor="accent2" w:themeTint="97" w:themeShade="95"/>
      </w:rPr>
    </w:tblStylePr>
    <w:tblStylePr w:type="firstRow">
      <w:rPr>
        <w:b/>
        <w:color w:val="ca5d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</w:tblStylePr>
    <w:tblStylePr w:type="lastRow">
      <w:rPr>
        <w:b/>
        <w:color w:val="ca5d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7">
    <w:name w:val="List Table 6 Colorful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8">
    <w:name w:val="List Table 6 Colorful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d09d00" w:themeColor="accent4" w:themeTint="9A" w:themeShade="95"/>
      </w:rPr>
    </w:tblStylePr>
    <w:tblStylePr w:type="firstRow">
      <w:rPr>
        <w:b/>
        <w:color w:val="d09d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</w:tblStylePr>
    <w:tblStylePr w:type="lastRow">
      <w:rPr>
        <w:b/>
        <w:color w:val="d09d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9">
    <w:name w:val="List Table 6 Colorful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0dcf0" w:themeFill="accent5" w:themeFillTint="40"/>
      </w:tcPr>
    </w:tblStylePr>
    <w:tblStylePr w:type="band1Vert">
      <w:tcPr>
        <w:shd w:val="clear" w:color="ffffff" w:themeColor="accent5" w:themeTint="40" w:fill="d0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ba0" w:themeColor="accent5" w:themeTint="9A" w:themeShade="95"/>
      </w:rPr>
    </w:tblStylePr>
    <w:tblStylePr w:type="firstRow">
      <w:rPr>
        <w:b/>
        <w:color w:val="335b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</w:tblStylePr>
    <w:tblStylePr w:type="lastRow">
      <w:rPr>
        <w:b/>
        <w:color w:val="335b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50">
    <w:name w:val="List Table 6 Colorful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cd0" w:themeFill="accent6" w:themeFillTint="40"/>
      </w:tcPr>
    </w:tblStylePr>
    <w:tblStylePr w:type="band1Vert">
      <w:tcPr>
        <w:shd w:val="clear" w:color="ffffff" w:themeColor="accent6" w:themeTint="40" w:fill="dbec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e923c" w:themeColor="accent6" w:themeTint="98" w:themeShade="95"/>
      </w:rPr>
    </w:tblStylePr>
    <w:tblStylePr w:type="firstRow">
      <w:rPr>
        <w:b/>
        <w:color w:val="5e92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</w:tblStylePr>
    <w:tblStylePr w:type="lastRow">
      <w:rPr>
        <w:b/>
        <w:color w:val="5e92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1">
    <w:name w:val="List Table 7 Colorful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52">
    <w:name w:val="List Table 7 Colorful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b8d" w:themeColor="accent1" w:themeShade="95"/>
        <w:sz w:val="22"/>
      </w:rPr>
      <w:tcPr>
        <w:shd w:val="clear" w:color="ffffff" w:themeColor="accent1" w:themeTint="40" w:fill="d6e6f4" w:themeFill="accent1" w:themeFillTint="40"/>
      </w:tcPr>
    </w:tblStylePr>
    <w:tblStylePr w:type="band1Vert">
      <w:tcPr>
        <w:shd w:val="clear" w:color="ffffff" w:themeColor="accent1" w:themeTint="40" w:fill="d6e6f4" w:themeFill="accent1" w:themeFillTint="40"/>
      </w:tcPr>
    </w:tblStylePr>
    <w:tblStylePr w:type="band2Horz">
      <w:rPr>
        <w:rFonts w:ascii="Arial" w:hAnsi="Arial"/>
        <w:color w:val="245b8d" w:themeColor="accent1" w:themeShade="95"/>
        <w:sz w:val="22"/>
      </w:r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b8d" w:themeColor="accent1" w:themeShade="95"/>
        <w:sz w:val="22"/>
      </w:rPr>
    </w:tblStylePr>
  </w:style>
  <w:style w:type="table" w:styleId="853">
    <w:name w:val="List Table 7 Colorful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a5d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</w:tblStylePr>
  </w:style>
  <w:style w:type="table" w:styleId="854">
    <w:name w:val="List Table 7 Colorful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55">
    <w:name w:val="List Table 7 Colorful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d09d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</w:tblStylePr>
  </w:style>
  <w:style w:type="table" w:styleId="856">
    <w:name w:val="List Table 7 Colorful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ba0" w:themeColor="accent5" w:themeTint="9A" w:themeShade="95"/>
        <w:sz w:val="22"/>
      </w:rPr>
      <w:tcPr>
        <w:shd w:val="clear" w:color="ffffff" w:themeColor="accent5" w:themeTint="40" w:fill="d0dcf0" w:themeFill="accent5" w:themeFillTint="40"/>
      </w:tcPr>
    </w:tblStylePr>
    <w:tblStylePr w:type="band1Vert">
      <w:tcPr>
        <w:shd w:val="clear" w:color="ffffff" w:themeColor="accent5" w:themeTint="40" w:fill="d0dcf0" w:themeFill="accent5" w:themeFillTint="40"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</w:tblStylePr>
  </w:style>
  <w:style w:type="table" w:styleId="857">
    <w:name w:val="List Table 7 Colorful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e923c" w:themeColor="accent6" w:themeTint="98" w:themeShade="95"/>
        <w:sz w:val="22"/>
      </w:rPr>
      <w:tcPr>
        <w:shd w:val="clear" w:color="ffffff" w:themeColor="accent6" w:themeTint="40" w:fill="dbecd0" w:themeFill="accent6" w:themeFillTint="40"/>
      </w:tcPr>
    </w:tblStylePr>
    <w:tblStylePr w:type="band1Vert">
      <w:tcPr>
        <w:shd w:val="clear" w:color="ffffff" w:themeColor="accent6" w:themeTint="40" w:fill="dbecd0" w:themeFill="accent6" w:themeFillTint="40"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</w:tblStylePr>
  </w:style>
  <w:style w:type="table" w:styleId="858">
    <w:name w:val="Lined - Accent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9">
    <w:name w:val="Lined - Accent 1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2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2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9a3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9a3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9a3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9a3d8" w:themeFill="accent1" w:themeFillTint="EA"/>
      </w:tcPr>
    </w:tblStylePr>
  </w:style>
  <w:style w:type="table" w:styleId="860">
    <w:name w:val="Lined - Accent 2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6d7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6d7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2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285" w:themeFill="accent2" w:themeFillTint="97"/>
      </w:tcPr>
    </w:tblStylePr>
  </w:style>
  <w:style w:type="table" w:styleId="861">
    <w:name w:val="Lined - Accent 3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62">
    <w:name w:val="Lined - Accent 4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9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9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9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965" w:themeFill="accent4" w:themeFillTint="9A"/>
      </w:tcPr>
    </w:tblStylePr>
  </w:style>
  <w:style w:type="table" w:styleId="863">
    <w:name w:val="Lined - Accent 5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64">
    <w:name w:val="Lined - Accent 6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9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9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65">
    <w:name w:val="Bordered &amp; Lined - Accent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6">
    <w:name w:val="Bordered &amp; Lined - Accent 1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2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2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9a3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9a3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9a3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9a3d8" w:themeFill="accent1" w:themeFillTint="EA"/>
      </w:tcPr>
    </w:tblStylePr>
  </w:style>
  <w:style w:type="table" w:styleId="867">
    <w:name w:val="Bordered &amp; Lined - Accent 2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6d7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6d7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2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285" w:themeFill="accent2" w:themeFillTint="97"/>
      </w:tcPr>
    </w:tblStylePr>
  </w:style>
  <w:style w:type="table" w:styleId="868">
    <w:name w:val="Bordered &amp; Lined - Accent 3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69">
    <w:name w:val="Bordered &amp; Lined - Accent 4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9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9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9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965" w:themeFill="accent4" w:themeFillTint="9A"/>
      </w:tcPr>
    </w:tblStylePr>
  </w:style>
  <w:style w:type="table" w:styleId="870">
    <w:name w:val="Bordered &amp; Lined - Accent 5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71">
    <w:name w:val="Bordered &amp; Lined - Accent 6"/>
    <w:basedOn w:val="9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9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9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72">
    <w:name w:val="Bordered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3">
    <w:name w:val="Bordered - Accent 1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4">
    <w:name w:val="Bordered - Accent 2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5">
    <w:name w:val="Bordered - Accent 3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6">
    <w:name w:val="Bordered - Accent 4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7">
    <w:name w:val="Bordered - Accent 5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8">
    <w:name w:val="Bordered - Accent 6"/>
    <w:basedOn w:val="9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79">
    <w:name w:val="Heading 2"/>
    <w:basedOn w:val="930"/>
    <w:next w:val="930"/>
    <w:link w:val="887"/>
    <w:uiPriority w:val="9"/>
    <w:unhideWhenUsed/>
    <w:qFormat/>
    <w:pPr>
      <w:keepLines/>
      <w:keepNext/>
      <w:spacing w:before="160" w:after="80"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80">
    <w:name w:val="Heading 4"/>
    <w:basedOn w:val="930"/>
    <w:next w:val="930"/>
    <w:link w:val="889"/>
    <w:uiPriority w:val="9"/>
    <w:unhideWhenUsed/>
    <w:qFormat/>
    <w:pPr>
      <w:keepLines/>
      <w:keepNext/>
      <w:spacing w:before="80" w:after="40"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81">
    <w:name w:val="Heading 5"/>
    <w:basedOn w:val="930"/>
    <w:next w:val="930"/>
    <w:link w:val="890"/>
    <w:uiPriority w:val="9"/>
    <w:unhideWhenUsed/>
    <w:qFormat/>
    <w:pPr>
      <w:keepLines/>
      <w:keepNext/>
      <w:spacing w:before="80" w:after="40"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82">
    <w:name w:val="Heading 6"/>
    <w:basedOn w:val="930"/>
    <w:next w:val="930"/>
    <w:link w:val="891"/>
    <w:uiPriority w:val="9"/>
    <w:unhideWhenUsed/>
    <w:qFormat/>
    <w:pPr>
      <w:keepLines/>
      <w:keepNext/>
      <w:spacing w:before="40" w:after="0"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83">
    <w:name w:val="Heading 7"/>
    <w:basedOn w:val="930"/>
    <w:next w:val="930"/>
    <w:link w:val="892"/>
    <w:uiPriority w:val="9"/>
    <w:unhideWhenUsed/>
    <w:qFormat/>
    <w:pPr>
      <w:keepLines/>
      <w:keepNext/>
      <w:spacing w:before="40" w:after="0"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84">
    <w:name w:val="Heading 8"/>
    <w:basedOn w:val="930"/>
    <w:next w:val="930"/>
    <w:link w:val="893"/>
    <w:uiPriority w:val="9"/>
    <w:unhideWhenUsed/>
    <w:qFormat/>
    <w:pPr>
      <w:keepLines/>
      <w:keepNext/>
      <w:spacing w:after="0"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85">
    <w:name w:val="Heading 9"/>
    <w:basedOn w:val="930"/>
    <w:next w:val="930"/>
    <w:link w:val="894"/>
    <w:uiPriority w:val="9"/>
    <w:unhideWhenUsed/>
    <w:qFormat/>
    <w:pPr>
      <w:keepLines/>
      <w:keepNext/>
      <w:spacing w:after="0"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86">
    <w:name w:val="Heading 1 Char"/>
    <w:basedOn w:val="933"/>
    <w:link w:val="931"/>
    <w:uiPriority w:val="9"/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87">
    <w:name w:val="Heading 2 Char"/>
    <w:basedOn w:val="933"/>
    <w:link w:val="879"/>
    <w:uiPriority w:val="9"/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88">
    <w:name w:val="Heading 3 Char"/>
    <w:basedOn w:val="933"/>
    <w:link w:val="932"/>
    <w:uiPriority w:val="9"/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89">
    <w:name w:val="Heading 4 Char"/>
    <w:basedOn w:val="933"/>
    <w:link w:val="880"/>
    <w:uiPriority w:val="9"/>
    <w:rPr>
      <w:rFonts w:ascii="Arial" w:hAnsi="Arial" w:eastAsia="Arial" w:cs="Arial"/>
      <w:i/>
      <w:iCs/>
      <w:color w:val="0f4761" w:themeColor="accent1" w:themeShade="BF"/>
    </w:rPr>
  </w:style>
  <w:style w:type="character" w:styleId="890">
    <w:name w:val="Heading 5 Char"/>
    <w:basedOn w:val="933"/>
    <w:link w:val="881"/>
    <w:uiPriority w:val="9"/>
    <w:rPr>
      <w:rFonts w:ascii="Arial" w:hAnsi="Arial" w:eastAsia="Arial" w:cs="Arial"/>
      <w:color w:val="0f4761" w:themeColor="accent1" w:themeShade="BF"/>
    </w:rPr>
  </w:style>
  <w:style w:type="character" w:styleId="891">
    <w:name w:val="Heading 6 Char"/>
    <w:basedOn w:val="933"/>
    <w:link w:val="882"/>
    <w:uiPriority w:val="9"/>
    <w:rPr>
      <w:rFonts w:ascii="Arial" w:hAnsi="Arial" w:eastAsia="Arial" w:cs="Arial"/>
      <w:i/>
      <w:iCs/>
      <w:color w:val="595959" w:themeColor="text1" w:themeTint="A6"/>
    </w:rPr>
  </w:style>
  <w:style w:type="character" w:styleId="892">
    <w:name w:val="Heading 7 Char"/>
    <w:basedOn w:val="933"/>
    <w:link w:val="883"/>
    <w:uiPriority w:val="9"/>
    <w:rPr>
      <w:rFonts w:ascii="Arial" w:hAnsi="Arial" w:eastAsia="Arial" w:cs="Arial"/>
      <w:color w:val="595959" w:themeColor="text1" w:themeTint="A6"/>
    </w:rPr>
  </w:style>
  <w:style w:type="character" w:styleId="893">
    <w:name w:val="Heading 8 Char"/>
    <w:basedOn w:val="933"/>
    <w:link w:val="884"/>
    <w:uiPriority w:val="9"/>
    <w:rPr>
      <w:rFonts w:ascii="Arial" w:hAnsi="Arial" w:eastAsia="Arial" w:cs="Arial"/>
      <w:i/>
      <w:iCs/>
      <w:color w:val="272727" w:themeColor="text1" w:themeTint="D8"/>
    </w:rPr>
  </w:style>
  <w:style w:type="character" w:styleId="894">
    <w:name w:val="Heading 9 Char"/>
    <w:basedOn w:val="933"/>
    <w:link w:val="885"/>
    <w:uiPriority w:val="9"/>
    <w:rPr>
      <w:rFonts w:ascii="Arial" w:hAnsi="Arial" w:eastAsia="Arial" w:cs="Arial"/>
      <w:i/>
      <w:iCs/>
      <w:color w:val="272727" w:themeColor="text1" w:themeTint="D8"/>
    </w:rPr>
  </w:style>
  <w:style w:type="paragraph" w:styleId="895">
    <w:name w:val="Title"/>
    <w:basedOn w:val="930"/>
    <w:next w:val="930"/>
    <w:link w:val="896"/>
    <w:uiPriority w:val="10"/>
    <w:qFormat/>
    <w:pPr>
      <w:contextualSpacing/>
      <w:spacing w:after="80" w:line="240" w:lineRule="auto"/>
    </w:pPr>
    <w:rPr>
      <w:rFonts w:ascii="Arial" w:hAnsi="Arial" w:eastAsia="Arial" w:cs="Arial"/>
      <w:spacing w:val="-10"/>
      <w:sz w:val="56"/>
      <w:szCs w:val="56"/>
    </w:rPr>
  </w:style>
  <w:style w:type="character" w:styleId="896">
    <w:name w:val="Title Char"/>
    <w:basedOn w:val="933"/>
    <w:link w:val="895"/>
    <w:uiPriority w:val="10"/>
    <w:rPr>
      <w:rFonts w:ascii="Arial" w:hAnsi="Arial" w:eastAsia="Arial" w:cs="Arial"/>
      <w:spacing w:val="-10"/>
      <w:sz w:val="56"/>
      <w:szCs w:val="56"/>
    </w:rPr>
  </w:style>
  <w:style w:type="paragraph" w:styleId="897">
    <w:name w:val="Subtitle"/>
    <w:basedOn w:val="930"/>
    <w:next w:val="930"/>
    <w:link w:val="898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styleId="898">
    <w:name w:val="Subtitle Char"/>
    <w:basedOn w:val="933"/>
    <w:link w:val="897"/>
    <w:uiPriority w:val="11"/>
    <w:rPr>
      <w:color w:val="595959" w:themeColor="text1" w:themeTint="A6"/>
      <w:spacing w:val="15"/>
      <w:sz w:val="28"/>
      <w:szCs w:val="28"/>
    </w:rPr>
  </w:style>
  <w:style w:type="paragraph" w:styleId="899">
    <w:name w:val="Quote"/>
    <w:basedOn w:val="930"/>
    <w:next w:val="930"/>
    <w:link w:val="900"/>
    <w:uiPriority w:val="29"/>
    <w:qFormat/>
    <w:pPr>
      <w:jc w:val="center"/>
      <w:spacing w:before="160"/>
    </w:pPr>
    <w:rPr>
      <w:i/>
      <w:iCs/>
      <w:color w:val="404040" w:themeColor="text1" w:themeTint="BF"/>
    </w:rPr>
  </w:style>
  <w:style w:type="character" w:styleId="900">
    <w:name w:val="Quote Char"/>
    <w:basedOn w:val="933"/>
    <w:link w:val="899"/>
    <w:uiPriority w:val="29"/>
    <w:rPr>
      <w:i/>
      <w:iCs/>
      <w:color w:val="404040" w:themeColor="text1" w:themeTint="BF"/>
    </w:rPr>
  </w:style>
  <w:style w:type="character" w:styleId="901">
    <w:name w:val="Intense Emphasis"/>
    <w:basedOn w:val="933"/>
    <w:uiPriority w:val="21"/>
    <w:qFormat/>
    <w:rPr>
      <w:i/>
      <w:iCs/>
      <w:color w:val="0f4761" w:themeColor="accent1" w:themeShade="BF"/>
    </w:rPr>
  </w:style>
  <w:style w:type="paragraph" w:styleId="902">
    <w:name w:val="Intense Quote"/>
    <w:basedOn w:val="930"/>
    <w:next w:val="930"/>
    <w:link w:val="903"/>
    <w:uiPriority w:val="30"/>
    <w:qFormat/>
    <w:pPr>
      <w:ind w:left="864" w:right="864"/>
      <w:jc w:val="center"/>
      <w:spacing w:before="360" w:after="360"/>
      <w:pBdr>
        <w:top w:val="single" w:color="0F4761" w:themeColor="accent1" w:themeShade="BF" w:sz="4" w:space="10"/>
        <w:bottom w:val="single" w:color="0F4761" w:themeColor="accent1" w:themeShade="BF" w:sz="4" w:space="10"/>
      </w:pBdr>
    </w:pPr>
    <w:rPr>
      <w:i/>
      <w:iCs/>
      <w:color w:val="0f4761" w:themeColor="accent1" w:themeShade="BF"/>
    </w:rPr>
  </w:style>
  <w:style w:type="character" w:styleId="903">
    <w:name w:val="Intense Quote Char"/>
    <w:basedOn w:val="933"/>
    <w:link w:val="902"/>
    <w:uiPriority w:val="30"/>
    <w:rPr>
      <w:i/>
      <w:iCs/>
      <w:color w:val="0f4761" w:themeColor="accent1" w:themeShade="BF"/>
    </w:rPr>
  </w:style>
  <w:style w:type="character" w:styleId="904">
    <w:name w:val="Intense Reference"/>
    <w:basedOn w:val="933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905">
    <w:name w:val="No Spacing"/>
    <w:basedOn w:val="930"/>
    <w:uiPriority w:val="1"/>
    <w:qFormat/>
    <w:pPr>
      <w:spacing w:after="0" w:line="240" w:lineRule="auto"/>
    </w:pPr>
  </w:style>
  <w:style w:type="character" w:styleId="906">
    <w:name w:val="Subtle Emphasis"/>
    <w:basedOn w:val="933"/>
    <w:uiPriority w:val="19"/>
    <w:qFormat/>
    <w:rPr>
      <w:i/>
      <w:iCs/>
      <w:color w:val="404040" w:themeColor="text1" w:themeTint="BF"/>
    </w:rPr>
  </w:style>
  <w:style w:type="character" w:styleId="907">
    <w:name w:val="Emphasis"/>
    <w:basedOn w:val="933"/>
    <w:uiPriority w:val="20"/>
    <w:qFormat/>
    <w:rPr>
      <w:i/>
      <w:iCs/>
    </w:rPr>
  </w:style>
  <w:style w:type="character" w:styleId="908">
    <w:name w:val="Strong"/>
    <w:basedOn w:val="933"/>
    <w:uiPriority w:val="22"/>
    <w:qFormat/>
    <w:rPr>
      <w:b/>
      <w:bCs/>
    </w:rPr>
  </w:style>
  <w:style w:type="character" w:styleId="909">
    <w:name w:val="Subtle Reference"/>
    <w:basedOn w:val="933"/>
    <w:uiPriority w:val="31"/>
    <w:qFormat/>
    <w:rPr>
      <w:smallCaps/>
      <w:color w:val="5a5a5a" w:themeColor="text1" w:themeTint="A5"/>
    </w:rPr>
  </w:style>
  <w:style w:type="character" w:styleId="910">
    <w:name w:val="Book Title"/>
    <w:basedOn w:val="933"/>
    <w:uiPriority w:val="33"/>
    <w:qFormat/>
    <w:rPr>
      <w:b/>
      <w:bCs/>
      <w:i/>
      <w:iCs/>
      <w:spacing w:val="5"/>
    </w:rPr>
  </w:style>
  <w:style w:type="character" w:styleId="911">
    <w:name w:val="Header Char"/>
    <w:basedOn w:val="933"/>
    <w:link w:val="961"/>
    <w:uiPriority w:val="99"/>
  </w:style>
  <w:style w:type="character" w:styleId="912">
    <w:name w:val="Footer Char"/>
    <w:basedOn w:val="933"/>
    <w:link w:val="963"/>
    <w:uiPriority w:val="99"/>
  </w:style>
  <w:style w:type="paragraph" w:styleId="913">
    <w:name w:val="Caption"/>
    <w:basedOn w:val="930"/>
    <w:next w:val="930"/>
    <w:uiPriority w:val="35"/>
    <w:unhideWhenUsed/>
    <w:qFormat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914">
    <w:name w:val="Footnote Text Char"/>
    <w:basedOn w:val="933"/>
    <w:link w:val="957"/>
    <w:uiPriority w:val="99"/>
    <w:semiHidden/>
    <w:rPr>
      <w:sz w:val="20"/>
      <w:szCs w:val="20"/>
    </w:rPr>
  </w:style>
  <w:style w:type="paragraph" w:styleId="915">
    <w:name w:val="endnote text"/>
    <w:basedOn w:val="930"/>
    <w:link w:val="91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916">
    <w:name w:val="Endnote Text Char"/>
    <w:basedOn w:val="933"/>
    <w:link w:val="915"/>
    <w:uiPriority w:val="99"/>
    <w:semiHidden/>
    <w:rPr>
      <w:sz w:val="20"/>
      <w:szCs w:val="20"/>
    </w:rPr>
  </w:style>
  <w:style w:type="character" w:styleId="917">
    <w:name w:val="endnote reference"/>
    <w:basedOn w:val="933"/>
    <w:uiPriority w:val="99"/>
    <w:semiHidden/>
    <w:unhideWhenUsed/>
    <w:rPr>
      <w:vertAlign w:val="superscript"/>
    </w:rPr>
  </w:style>
  <w:style w:type="character" w:styleId="918">
    <w:name w:val="FollowedHyperlink"/>
    <w:basedOn w:val="933"/>
    <w:uiPriority w:val="99"/>
    <w:semiHidden/>
    <w:unhideWhenUsed/>
    <w:rPr>
      <w:color w:val="954f72" w:themeColor="followedHyperlink"/>
      <w:u w:val="single"/>
    </w:rPr>
  </w:style>
  <w:style w:type="paragraph" w:styleId="919">
    <w:name w:val="toc 1"/>
    <w:basedOn w:val="930"/>
    <w:next w:val="930"/>
    <w:uiPriority w:val="39"/>
    <w:unhideWhenUsed/>
    <w:pPr>
      <w:spacing w:after="100"/>
    </w:pPr>
  </w:style>
  <w:style w:type="paragraph" w:styleId="920">
    <w:name w:val="toc 2"/>
    <w:basedOn w:val="930"/>
    <w:next w:val="930"/>
    <w:uiPriority w:val="39"/>
    <w:unhideWhenUsed/>
    <w:pPr>
      <w:ind w:left="220"/>
      <w:spacing w:after="100"/>
    </w:pPr>
  </w:style>
  <w:style w:type="paragraph" w:styleId="921">
    <w:name w:val="toc 3"/>
    <w:basedOn w:val="930"/>
    <w:next w:val="930"/>
    <w:uiPriority w:val="39"/>
    <w:unhideWhenUsed/>
    <w:pPr>
      <w:ind w:left="440"/>
      <w:spacing w:after="100"/>
    </w:pPr>
  </w:style>
  <w:style w:type="paragraph" w:styleId="922">
    <w:name w:val="toc 4"/>
    <w:basedOn w:val="930"/>
    <w:next w:val="930"/>
    <w:uiPriority w:val="39"/>
    <w:unhideWhenUsed/>
    <w:pPr>
      <w:ind w:left="660"/>
      <w:spacing w:after="100"/>
    </w:pPr>
  </w:style>
  <w:style w:type="paragraph" w:styleId="923">
    <w:name w:val="toc 5"/>
    <w:basedOn w:val="930"/>
    <w:next w:val="930"/>
    <w:uiPriority w:val="39"/>
    <w:unhideWhenUsed/>
    <w:pPr>
      <w:ind w:left="880"/>
      <w:spacing w:after="100"/>
    </w:pPr>
  </w:style>
  <w:style w:type="paragraph" w:styleId="924">
    <w:name w:val="toc 6"/>
    <w:basedOn w:val="930"/>
    <w:next w:val="930"/>
    <w:uiPriority w:val="39"/>
    <w:unhideWhenUsed/>
    <w:pPr>
      <w:ind w:left="1100"/>
      <w:spacing w:after="100"/>
    </w:pPr>
  </w:style>
  <w:style w:type="paragraph" w:styleId="925">
    <w:name w:val="toc 7"/>
    <w:basedOn w:val="930"/>
    <w:next w:val="930"/>
    <w:uiPriority w:val="39"/>
    <w:unhideWhenUsed/>
    <w:pPr>
      <w:ind w:left="1320"/>
      <w:spacing w:after="100"/>
    </w:pPr>
  </w:style>
  <w:style w:type="paragraph" w:styleId="926">
    <w:name w:val="toc 8"/>
    <w:basedOn w:val="930"/>
    <w:next w:val="930"/>
    <w:uiPriority w:val="39"/>
    <w:unhideWhenUsed/>
    <w:pPr>
      <w:ind w:left="1540"/>
      <w:spacing w:after="100"/>
    </w:pPr>
  </w:style>
  <w:style w:type="paragraph" w:styleId="927">
    <w:name w:val="toc 9"/>
    <w:basedOn w:val="930"/>
    <w:next w:val="930"/>
    <w:uiPriority w:val="39"/>
    <w:unhideWhenUsed/>
    <w:pPr>
      <w:ind w:left="1760"/>
      <w:spacing w:after="100"/>
    </w:pPr>
  </w:style>
  <w:style w:type="paragraph" w:styleId="928">
    <w:name w:val="TOC Heading"/>
    <w:uiPriority w:val="39"/>
    <w:unhideWhenUsed/>
  </w:style>
  <w:style w:type="paragraph" w:styleId="929">
    <w:name w:val="table of figures"/>
    <w:basedOn w:val="930"/>
    <w:next w:val="930"/>
    <w:uiPriority w:val="99"/>
    <w:unhideWhenUsed/>
    <w:pPr>
      <w:spacing w:after="0" w:afterAutospacing="0"/>
    </w:pPr>
  </w:style>
  <w:style w:type="paragraph" w:styleId="930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31">
    <w:name w:val="Heading 1"/>
    <w:basedOn w:val="930"/>
    <w:link w:val="942"/>
    <w:uiPriority w:val="9"/>
    <w:qFormat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paragraph" w:styleId="932">
    <w:name w:val="Heading 3"/>
    <w:basedOn w:val="930"/>
    <w:next w:val="930"/>
    <w:link w:val="951"/>
    <w:uiPriority w:val="9"/>
    <w:semiHidden/>
    <w:unhideWhenUsed/>
    <w:qFormat/>
    <w:pPr>
      <w:keepLines/>
      <w:keepNext/>
      <w:spacing w:before="40"/>
      <w:outlineLvl w:val="2"/>
    </w:pPr>
    <w:rPr>
      <w:rFonts w:asciiTheme="majorHAnsi" w:hAnsiTheme="majorHAnsi" w:eastAsiaTheme="majorEastAsia" w:cstheme="majorBidi"/>
      <w:color w:val="1f4d78" w:themeColor="accent1" w:themeShade="7F"/>
    </w:rPr>
  </w:style>
  <w:style w:type="character" w:styleId="933" w:default="1">
    <w:name w:val="Default Paragraph Font"/>
    <w:uiPriority w:val="1"/>
    <w:semiHidden/>
    <w:unhideWhenUsed/>
  </w:style>
  <w:style w:type="table" w:styleId="9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35" w:default="1">
    <w:name w:val="No List"/>
    <w:uiPriority w:val="99"/>
    <w:semiHidden/>
    <w:unhideWhenUsed/>
  </w:style>
  <w:style w:type="character" w:styleId="936">
    <w:name w:val="Hyperlink"/>
    <w:rPr>
      <w:color w:val="0000ff"/>
      <w:u w:val="single"/>
    </w:rPr>
  </w:style>
  <w:style w:type="paragraph" w:styleId="937">
    <w:name w:val="Body Text"/>
    <w:basedOn w:val="930"/>
    <w:link w:val="938"/>
    <w:semiHidden/>
    <w:pPr>
      <w:jc w:val="center"/>
    </w:pPr>
    <w:rPr>
      <w:rFonts w:ascii="Arial" w:hAnsi="Arial"/>
      <w:b/>
      <w:bCs/>
    </w:rPr>
  </w:style>
  <w:style w:type="character" w:styleId="938" w:customStyle="1">
    <w:name w:val="Основной текст Знак"/>
    <w:basedOn w:val="933"/>
    <w:link w:val="937"/>
    <w:semiHidden/>
    <w:rPr>
      <w:rFonts w:ascii="Arial" w:hAnsi="Arial" w:eastAsia="Times New Roman" w:cs="Times New Roman"/>
      <w:b/>
      <w:bCs/>
      <w:sz w:val="24"/>
      <w:szCs w:val="24"/>
    </w:rPr>
  </w:style>
  <w:style w:type="paragraph" w:styleId="939" w:customStyle="1">
    <w:name w:val="Default"/>
    <w:pPr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eastAsia="ru-RU"/>
    </w:rPr>
  </w:style>
  <w:style w:type="paragraph" w:styleId="940">
    <w:name w:val="List Paragraph"/>
    <w:basedOn w:val="930"/>
    <w:link w:val="941"/>
    <w:uiPriority w:val="34"/>
    <w:qFormat/>
    <w:pPr>
      <w:contextualSpacing/>
      <w:ind w:left="720" w:firstLine="567"/>
      <w:jc w:val="both"/>
      <w:spacing w:line="288" w:lineRule="auto"/>
    </w:pPr>
    <w:rPr>
      <w:sz w:val="28"/>
      <w:szCs w:val="28"/>
    </w:rPr>
  </w:style>
  <w:style w:type="character" w:styleId="941" w:customStyle="1">
    <w:name w:val="Абзац списка Знак"/>
    <w:link w:val="940"/>
    <w:uiPriority w:val="34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942" w:customStyle="1">
    <w:name w:val="Заголовок 1 Знак"/>
    <w:basedOn w:val="933"/>
    <w:link w:val="931"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paragraph" w:styleId="943">
    <w:name w:val="Balloon Text"/>
    <w:basedOn w:val="930"/>
    <w:link w:val="944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944" w:customStyle="1">
    <w:name w:val="Текст выноски Знак"/>
    <w:basedOn w:val="933"/>
    <w:link w:val="943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table" w:styleId="945">
    <w:name w:val="Table Grid"/>
    <w:basedOn w:val="934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46">
    <w:name w:val="annotation reference"/>
    <w:uiPriority w:val="99"/>
    <w:semiHidden/>
    <w:unhideWhenUsed/>
    <w:rPr>
      <w:sz w:val="16"/>
      <w:szCs w:val="16"/>
    </w:rPr>
  </w:style>
  <w:style w:type="paragraph" w:styleId="947">
    <w:name w:val="annotation text"/>
    <w:basedOn w:val="930"/>
    <w:link w:val="948"/>
    <w:uiPriority w:val="99"/>
    <w:unhideWhenUsed/>
    <w:qFormat/>
    <w:rPr>
      <w:sz w:val="20"/>
      <w:szCs w:val="20"/>
    </w:rPr>
  </w:style>
  <w:style w:type="character" w:styleId="948" w:customStyle="1">
    <w:name w:val="Текст примечания Знак"/>
    <w:basedOn w:val="933"/>
    <w:link w:val="947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949">
    <w:name w:val="annotation subject"/>
    <w:basedOn w:val="947"/>
    <w:next w:val="947"/>
    <w:link w:val="950"/>
    <w:uiPriority w:val="99"/>
    <w:semiHidden/>
    <w:unhideWhenUsed/>
    <w:rPr>
      <w:b/>
      <w:bCs/>
    </w:rPr>
  </w:style>
  <w:style w:type="character" w:styleId="950" w:customStyle="1">
    <w:name w:val="Тема примечания Знак"/>
    <w:basedOn w:val="948"/>
    <w:link w:val="949"/>
    <w:uiPriority w:val="99"/>
    <w:semiHidden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951" w:customStyle="1">
    <w:name w:val="Заголовок 3 Знак"/>
    <w:basedOn w:val="933"/>
    <w:link w:val="932"/>
    <w:uiPriority w:val="9"/>
    <w:semiHidden/>
    <w:rPr>
      <w:rFonts w:asciiTheme="majorHAnsi" w:hAnsiTheme="majorHAnsi" w:eastAsiaTheme="majorEastAsia" w:cstheme="majorBidi"/>
      <w:color w:val="1f4d78" w:themeColor="accent1" w:themeShade="7F"/>
      <w:sz w:val="24"/>
      <w:szCs w:val="24"/>
      <w:lang w:eastAsia="ru-RU"/>
    </w:rPr>
  </w:style>
  <w:style w:type="paragraph" w:styleId="952" w:customStyle="1">
    <w:name w:val="Обычный + по ширине"/>
    <w:basedOn w:val="930"/>
    <w:pPr>
      <w:jc w:val="both"/>
    </w:pPr>
  </w:style>
  <w:style w:type="character" w:styleId="953">
    <w:name w:val="footnote reference"/>
    <w:uiPriority w:val="99"/>
    <w:rPr>
      <w:rFonts w:ascii="Times New Roman" w:hAnsi="Times New Roman" w:cs="Times New Roman"/>
      <w:vertAlign w:val="superscript"/>
    </w:rPr>
  </w:style>
  <w:style w:type="paragraph" w:styleId="954" w:customStyle="1">
    <w:name w:val="s_1"/>
    <w:basedOn w:val="930"/>
    <w:pPr>
      <w:spacing w:before="100" w:beforeAutospacing="1" w:after="100" w:afterAutospacing="1"/>
    </w:pPr>
  </w:style>
  <w:style w:type="paragraph" w:styleId="955">
    <w:name w:val="Revision"/>
    <w:hidden/>
    <w:uiPriority w:val="99"/>
    <w:semiHidden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56" w:customStyle="1">
    <w:name w:val="Гипертекстовая ссылка"/>
    <w:uiPriority w:val="99"/>
    <w:rPr>
      <w:b/>
      <w:color w:val="008000"/>
      <w:sz w:val="20"/>
      <w:u w:val="single"/>
    </w:rPr>
  </w:style>
  <w:style w:type="paragraph" w:styleId="957">
    <w:name w:val="footnote text"/>
    <w:basedOn w:val="930"/>
    <w:link w:val="958"/>
    <w:uiPriority w:val="99"/>
    <w:unhideWhenUsed/>
    <w:rPr>
      <w:sz w:val="20"/>
      <w:szCs w:val="20"/>
    </w:rPr>
  </w:style>
  <w:style w:type="character" w:styleId="958" w:customStyle="1">
    <w:name w:val="Текст сноски Знак"/>
    <w:basedOn w:val="933"/>
    <w:link w:val="957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959" w:customStyle="1">
    <w:name w:val="VL_Основной текст"/>
    <w:basedOn w:val="930"/>
    <w:link w:val="960"/>
    <w:qFormat/>
    <w:pPr>
      <w:jc w:val="both"/>
      <w:spacing w:before="240"/>
    </w:pPr>
    <w:rPr>
      <w:rFonts w:eastAsia="Calibri" w:asciiTheme="minorHAnsi" w:hAnsiTheme="minorHAnsi"/>
      <w:color w:val="0b1107" w:themeColor="accent6" w:themeShade="1A"/>
      <w:sz w:val="22"/>
      <w:szCs w:val="22"/>
      <w:lang w:eastAsia="en-US"/>
    </w:rPr>
  </w:style>
  <w:style w:type="character" w:styleId="960" w:customStyle="1">
    <w:name w:val="VL_Основной текст Знак"/>
    <w:link w:val="959"/>
    <w:rPr>
      <w:rFonts w:eastAsia="Calibri" w:cs="Times New Roman"/>
      <w:color w:val="0b1107" w:themeColor="accent6" w:themeShade="1A"/>
    </w:rPr>
  </w:style>
  <w:style w:type="paragraph" w:styleId="961">
    <w:name w:val="Header"/>
    <w:basedOn w:val="930"/>
    <w:link w:val="962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62" w:customStyle="1">
    <w:name w:val="Верхний колонтитул Знак"/>
    <w:basedOn w:val="933"/>
    <w:link w:val="961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63">
    <w:name w:val="Footer"/>
    <w:basedOn w:val="930"/>
    <w:link w:val="964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64" w:customStyle="1">
    <w:name w:val="Нижний колонтитул Знак"/>
    <w:basedOn w:val="933"/>
    <w:link w:val="963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65" w:customStyle="1">
    <w:name w:val="cf01"/>
    <w:basedOn w:val="933"/>
    <w:rPr>
      <w:rFonts w:hint="default" w:ascii="Segoe UI" w:hAnsi="Segoe UI" w:cs="Segoe UI"/>
      <w:sz w:val="18"/>
      <w:szCs w:val="18"/>
    </w:rPr>
  </w:style>
  <w:style w:type="character" w:styleId="966" w:customStyle="1">
    <w:name w:val="Неразрешенное упоминание1"/>
    <w:basedOn w:val="933"/>
    <w:uiPriority w:val="99"/>
    <w:semiHidden/>
    <w:unhideWhenUsed/>
    <w:rPr>
      <w:color w:val="605e5c"/>
      <w:shd w:val="clear" w:color="auto" w:fill="e1dfdd"/>
    </w:rPr>
  </w:style>
  <w:style w:type="paragraph" w:styleId="967" w:customStyle="1">
    <w:name w:val="ConsPlu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character" w:styleId="968" w:customStyle="1">
    <w:name w:val="Текст сноски Знак1"/>
    <w:basedOn w:val="933"/>
    <w:uiPriority w:val="99"/>
    <w:rPr>
      <w:rFonts w:ascii="Calibri" w:hAnsi="Calibri" w:eastAsia="MS Mincho" w:cs="Calibri"/>
      <w:color w:val="5a5a5a"/>
      <w:sz w:val="20"/>
      <w:szCs w:val="20"/>
      <w:lang w:eastAsia="ar-SA"/>
    </w:rPr>
  </w:style>
  <w:style w:type="paragraph" w:styleId="969" w:customStyle="1">
    <w:name w:val="ConsNormal"/>
    <w:semiHidden/>
    <w:pPr>
      <w:ind w:right="19772"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970" w:customStyle="1">
    <w:name w:val="Обычный"/>
    <w:next w:val="950"/>
    <w:link w:val="950"/>
    <w:pPr>
      <w:contextualSpacing w:val="0"/>
      <w:ind w:left="0" w:right="0" w:firstLine="567"/>
      <w:jc w:val="both"/>
      <w:keepLines w:val="0"/>
      <w:keepNext w:val="0"/>
      <w:pageBreakBefore w:val="0"/>
      <w:spacing w:before="0" w:beforeAutospacing="0" w:after="0" w:afterAutospacing="0" w:line="288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admins@novoalt.alregn.ru" TargetMode="External"/><Relationship Id="rId11" Type="http://schemas.openxmlformats.org/officeDocument/2006/relationships/hyperlink" Target="consultantplus://offline/ref=010557D24782ADC2EC48F22A48832B91B140157499A6333570990155E9F057C977E71A38128E92C3917328A387Z170J" TargetMode="External"/><Relationship Id="rId12" Type="http://schemas.openxmlformats.org/officeDocument/2006/relationships/hyperlink" Target="http://admins@novoalt.alregn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5ED303-6B51-4E96-A8E6-1C008AA86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SPecialiST RePack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 Н. Решетняк</dc:creator>
  <cp:lastModifiedBy>ngorbunova</cp:lastModifiedBy>
  <cp:revision>9</cp:revision>
  <dcterms:created xsi:type="dcterms:W3CDTF">2024-08-02T03:16:00Z</dcterms:created>
  <dcterms:modified xsi:type="dcterms:W3CDTF">2026-10-09T04:22:07Z</dcterms:modified>
</cp:coreProperties>
</file>