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ListParagraph"/>
        <w:spacing w:lineRule="exact" w:line="240"/>
        <w:ind w:left="0"/>
        <w:jc w:val="center"/>
        <w:rPr>
          <w:b/>
        </w:rPr>
      </w:pPr>
      <w:r>
        <w:rPr>
          <w:b/>
        </w:rPr>
      </w:r>
    </w:p>
    <w:p>
      <w:pPr>
        <w:pStyle w:val="Normal"/>
        <w:tabs>
          <w:tab w:val="clear" w:pos="708"/>
          <w:tab w:val="left" w:pos="0" w:leader="none"/>
        </w:tabs>
        <w:spacing w:lineRule="exact" w:line="240"/>
        <w:jc w:val="right"/>
        <w:rPr>
          <w:rFonts w:eastAsia="Calibri"/>
        </w:rPr>
      </w:pPr>
      <w:r>
        <w:rPr>
          <w:rFonts w:eastAsia="Calibri"/>
        </w:rPr>
      </w:r>
    </w:p>
    <w:p>
      <w:pPr>
        <w:pStyle w:val="Normal"/>
        <w:spacing w:before="0" w:after="120"/>
        <w:jc w:val="right"/>
        <w:rPr>
          <w:b/>
          <w:bCs/>
        </w:rPr>
      </w:pPr>
      <w:r>
        <w:rPr>
          <w:iCs/>
          <w:spacing w:val="-4"/>
        </w:rPr>
        <w:t>Приложение к Технической части</w:t>
      </w:r>
    </w:p>
    <w:p>
      <w:pPr>
        <w:pStyle w:val="Normal"/>
        <w:spacing w:before="0" w:after="120"/>
        <w:jc w:val="right"/>
        <w:rPr>
          <w:b/>
          <w:bCs/>
        </w:rPr>
      </w:pPr>
      <w:r>
        <w:rPr>
          <w:b/>
          <w:bCs/>
        </w:rPr>
      </w:r>
    </w:p>
    <w:p>
      <w:pPr>
        <w:pStyle w:val="Normal"/>
        <w:jc w:val="right"/>
        <w:rPr>
          <w:b/>
          <w:bCs/>
        </w:rPr>
      </w:pPr>
      <w:r>
        <w:rPr>
          <w:b/>
          <w:bCs/>
        </w:rPr>
        <w:t>Таблица № 1 Термины, определения</w:t>
      </w:r>
    </w:p>
    <w:tbl>
      <w:tblPr>
        <w:tblW w:w="10348" w:type="dxa"/>
        <w:jc w:val="left"/>
        <w:tblInd w:w="212" w:type="dxa"/>
        <w:tblLayout w:type="fixed"/>
        <w:tblCellMar>
          <w:top w:w="0" w:type="dxa"/>
          <w:left w:w="70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849"/>
        <w:gridCol w:w="7498"/>
      </w:tblGrid>
      <w:tr>
        <w:trPr/>
        <w:tc>
          <w:tcPr>
            <w:tcW w:w="284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Liberation Serif"/>
                <w:color w:val="00000A"/>
              </w:rPr>
              <w:t>Термин/сокращение</w:t>
            </w:r>
          </w:p>
        </w:tc>
        <w:tc>
          <w:tcPr>
            <w:tcW w:w="749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Liberation Serif"/>
                <w:color w:val="00000A"/>
              </w:rPr>
              <w:t>Расшифровка</w:t>
            </w:r>
          </w:p>
        </w:tc>
      </w:tr>
      <w:tr>
        <w:trPr/>
        <w:tc>
          <w:tcPr>
            <w:tcW w:w="284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>
            <w:pPr>
              <w:pStyle w:val="Normal"/>
              <w:widowControl w:val="false"/>
              <w:spacing w:before="0" w:after="120"/>
              <w:ind w:left="-72"/>
              <w:rPr/>
            </w:pPr>
            <w:r>
              <w:rPr>
                <w:color w:val="00000A"/>
              </w:rPr>
              <w:t xml:space="preserve"> </w:t>
            </w:r>
            <w:r>
              <w:rPr>
                <w:rFonts w:eastAsia="Liberation Serif"/>
                <w:color w:val="00000A"/>
              </w:rPr>
              <w:t>МФЦ</w:t>
            </w:r>
          </w:p>
        </w:tc>
        <w:tc>
          <w:tcPr>
            <w:tcW w:w="749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Liberation Serif"/>
                <w:color w:val="00000A"/>
              </w:rPr>
              <w:t>Краевое государственное казенное учреждение "Оператор систем электронного правительства Хабаровского края, многофункциональный центр предоставления государственных и муниципальных услуг", КГКУ "ОСЭП Хабаровского края, МФЦ"</w:t>
            </w:r>
          </w:p>
        </w:tc>
      </w:tr>
      <w:tr>
        <w:trPr/>
        <w:tc>
          <w:tcPr>
            <w:tcW w:w="284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>
            <w:pPr>
              <w:pStyle w:val="Normal"/>
              <w:widowControl w:val="false"/>
              <w:spacing w:before="0" w:after="120"/>
              <w:rPr/>
            </w:pPr>
            <w:r>
              <w:rPr>
                <w:rFonts w:eastAsia="Liberation Serif"/>
              </w:rPr>
              <w:t>АИС МФЦ</w:t>
            </w:r>
          </w:p>
        </w:tc>
        <w:tc>
          <w:tcPr>
            <w:tcW w:w="749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>
            <w:pPr>
              <w:pStyle w:val="Normal"/>
              <w:spacing w:lineRule="auto" w:line="252"/>
              <w:rPr/>
            </w:pPr>
            <w:r>
              <w:rPr>
                <w:rFonts w:eastAsia="Arial"/>
                <w:color w:val="00000A"/>
              </w:rPr>
              <w:t>Автоматизированная информационная система многофункционального центра предоставления государственных и муниципальных услуг Хабаровского края, технологической основой которой является «Программа автоматизации деятельности центров предоставления государственных и муниципальных услуг «Мои документы» - программное обеспечение, неисключительные права на использование которого представлены Заказчику на основании лицензионного договора Заказчика с правообладателем АИС МФЦ (Общество с ограниченной ответственностью «Научно-производственная фирма «КОМЭКС» (ООО НПФ «КОМЭКС» ).</w:t>
            </w:r>
          </w:p>
        </w:tc>
      </w:tr>
      <w:tr>
        <w:trPr/>
        <w:tc>
          <w:tcPr>
            <w:tcW w:w="284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>
            <w:pPr>
              <w:pStyle w:val="Normal"/>
              <w:widowControl w:val="false"/>
              <w:spacing w:before="0" w:after="120"/>
              <w:rPr/>
            </w:pPr>
            <w:r>
              <w:rPr>
                <w:rFonts w:eastAsia="Liberation Serif"/>
                <w:color w:val="00000A"/>
              </w:rPr>
              <w:t>АИС ДНС</w:t>
            </w:r>
          </w:p>
        </w:tc>
        <w:tc>
          <w:tcPr>
            <w:tcW w:w="749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Liberation Serif"/>
                <w:color w:val="00000A"/>
              </w:rPr>
              <w:t>Автоматизированная диалоговая нейросетевая система, предназначенная для автоматизированного информирования об условиях и порядке предоставления государственных и муниципальных услуг в КГКУ "ОСЭП Хабаровского края, МФЦ": Диалоговая система «OCAS Assistant»</w:t>
            </w:r>
          </w:p>
        </w:tc>
      </w:tr>
      <w:tr>
        <w:trPr/>
        <w:tc>
          <w:tcPr>
            <w:tcW w:w="284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Liberation Serif"/>
                <w:color w:val="00000A"/>
              </w:rPr>
              <w:t>ЦТО</w:t>
            </w:r>
          </w:p>
        </w:tc>
        <w:tc>
          <w:tcPr>
            <w:tcW w:w="749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Liberation Serif"/>
                <w:color w:val="00000A"/>
              </w:rPr>
              <w:t>Центр телефонного обслуживания МФЦ</w:t>
            </w:r>
          </w:p>
        </w:tc>
      </w:tr>
      <w:tr>
        <w:trPr/>
        <w:tc>
          <w:tcPr>
            <w:tcW w:w="284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>
            <w:pPr>
              <w:pStyle w:val="Normal"/>
              <w:widowControl w:val="false"/>
              <w:spacing w:before="0" w:after="120"/>
              <w:rPr/>
            </w:pPr>
            <w:r>
              <w:rPr>
                <w:rFonts w:eastAsia="Liberation Serif"/>
                <w:color w:val="00000A"/>
              </w:rPr>
              <w:t>Сотрудник ЦТО</w:t>
            </w:r>
          </w:p>
        </w:tc>
        <w:tc>
          <w:tcPr>
            <w:tcW w:w="749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Liberation Serif"/>
                <w:color w:val="00000A"/>
              </w:rPr>
              <w:t>Сотрудник ЦТО МФЦ, уполномоченный на прием и обработку вызовов по вопросам предоставления государственных и муниципальных услуг в МФЦ Хабаровского края</w:t>
            </w:r>
          </w:p>
        </w:tc>
      </w:tr>
      <w:tr>
        <w:trPr/>
        <w:tc>
          <w:tcPr>
            <w:tcW w:w="284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>
            <w:pPr>
              <w:pStyle w:val="Normal"/>
              <w:widowControl w:val="false"/>
              <w:spacing w:before="0" w:after="120"/>
              <w:rPr/>
            </w:pPr>
            <w:bookmarkStart w:id="0" w:name="_30j0zll"/>
            <w:bookmarkEnd w:id="0"/>
            <w:r>
              <w:rPr>
                <w:rFonts w:eastAsia="Liberation Serif"/>
              </w:rPr>
              <w:t>Абонент</w:t>
            </w:r>
          </w:p>
        </w:tc>
        <w:tc>
          <w:tcPr>
            <w:tcW w:w="749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Liberation Serif"/>
              </w:rPr>
              <w:t>Лицо, обращающееся к АИС ДНС с использованием голосовых (звонок на линию ЦТО) или текстовых (чат, мессенджер, социальные сети) каналов связи</w:t>
            </w:r>
          </w:p>
        </w:tc>
      </w:tr>
      <w:tr>
        <w:trPr/>
        <w:tc>
          <w:tcPr>
            <w:tcW w:w="284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>
            <w:pPr>
              <w:pStyle w:val="Normal"/>
              <w:widowControl w:val="false"/>
              <w:spacing w:before="0" w:after="120"/>
              <w:rPr/>
            </w:pPr>
            <w:r>
              <w:rPr>
                <w:rFonts w:eastAsia="Liberation Serif"/>
                <w:color w:val="00000A"/>
              </w:rPr>
              <w:t>Вызов</w:t>
            </w:r>
          </w:p>
        </w:tc>
        <w:tc>
          <w:tcPr>
            <w:tcW w:w="749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Liberation Serif"/>
                <w:color w:val="00000A"/>
              </w:rPr>
              <w:t>Поступающее в ЦТО обращение от Абонента по голосовым или текстовым каналам.</w:t>
            </w:r>
          </w:p>
        </w:tc>
      </w:tr>
      <w:tr>
        <w:trPr/>
        <w:tc>
          <w:tcPr>
            <w:tcW w:w="284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>
            <w:pPr>
              <w:pStyle w:val="Normal"/>
              <w:widowControl w:val="false"/>
              <w:spacing w:before="0" w:after="120"/>
              <w:rPr/>
            </w:pPr>
            <w:r>
              <w:rPr>
                <w:rFonts w:eastAsia="Liberation Serif"/>
                <w:color w:val="00000A"/>
              </w:rPr>
              <w:t>Вопрос</w:t>
            </w:r>
          </w:p>
        </w:tc>
        <w:tc>
          <w:tcPr>
            <w:tcW w:w="749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Liberation Serif"/>
                <w:color w:val="00000A"/>
              </w:rPr>
              <w:t>Высказывание Абонента, содержащее прямую или подразумеваемую просьбу (требование) предоставить ему какую-либо информацию</w:t>
            </w:r>
          </w:p>
        </w:tc>
      </w:tr>
      <w:tr>
        <w:trPr/>
        <w:tc>
          <w:tcPr>
            <w:tcW w:w="284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>
            <w:pPr>
              <w:pStyle w:val="Normal"/>
              <w:widowControl w:val="false"/>
              <w:spacing w:before="0" w:after="120"/>
              <w:rPr/>
            </w:pPr>
            <w:r>
              <w:rPr>
                <w:rFonts w:eastAsia="Liberation Serif"/>
                <w:color w:val="00000A"/>
              </w:rPr>
              <w:t>Действие</w:t>
            </w:r>
          </w:p>
        </w:tc>
        <w:tc>
          <w:tcPr>
            <w:tcW w:w="749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Liberation Serif"/>
                <w:color w:val="00000A"/>
              </w:rPr>
              <w:t>Высказывание Абонента, содержащее намерение провести действие с использованием АИС ДНС, в т. ч. с целью запроса информации из системы АИС МФЦ</w:t>
            </w:r>
          </w:p>
        </w:tc>
      </w:tr>
      <w:tr>
        <w:trPr/>
        <w:tc>
          <w:tcPr>
            <w:tcW w:w="284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>
            <w:pPr>
              <w:pStyle w:val="Normal"/>
              <w:widowControl w:val="false"/>
              <w:spacing w:before="0" w:after="120"/>
              <w:rPr/>
            </w:pPr>
            <w:r>
              <w:rPr>
                <w:rFonts w:eastAsia="Liberation Serif"/>
                <w:color w:val="00000A"/>
              </w:rPr>
              <w:t>Модель нейронной сети / Модель АИС ДНС / Модель</w:t>
            </w:r>
          </w:p>
        </w:tc>
        <w:tc>
          <w:tcPr>
            <w:tcW w:w="749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Liberation Serif"/>
                <w:color w:val="00000A"/>
              </w:rPr>
              <w:t>Управляющая совокупность коэффициентов, данные для обеспечения работоспособности нейронной сети, получаемые в процессе обучения нейронной сети на примерах вопросно-ответных пар</w:t>
            </w:r>
          </w:p>
        </w:tc>
      </w:tr>
      <w:tr>
        <w:trPr/>
        <w:tc>
          <w:tcPr>
            <w:tcW w:w="284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>
            <w:pPr>
              <w:pStyle w:val="Normal"/>
              <w:widowControl w:val="false"/>
              <w:spacing w:before="0" w:after="120"/>
              <w:rPr/>
            </w:pPr>
            <w:r>
              <w:rPr>
                <w:rFonts w:eastAsia="Liberation Serif"/>
                <w:color w:val="00000A"/>
              </w:rPr>
              <w:t>Вопросно-ответная пара, ВОП</w:t>
            </w:r>
          </w:p>
        </w:tc>
        <w:tc>
          <w:tcPr>
            <w:tcW w:w="749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Liberation Serif"/>
                <w:color w:val="00000A"/>
              </w:rPr>
              <w:t>Шаблонный, либо форматируемый текстовый ответ с собственным идентификатором, которым можно ответить на соответствующую группу вопросов Абонентов, объединенных по определенным признакам, соответствующим описанию в п. 1.12 Технического задания</w:t>
            </w:r>
          </w:p>
        </w:tc>
      </w:tr>
      <w:tr>
        <w:trPr/>
        <w:tc>
          <w:tcPr>
            <w:tcW w:w="284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>
            <w:pPr>
              <w:pStyle w:val="Normal"/>
              <w:widowControl w:val="false"/>
              <w:spacing w:before="0" w:after="120"/>
              <w:rPr/>
            </w:pPr>
            <w:r>
              <w:rPr>
                <w:rFonts w:eastAsia="Liberation Serif"/>
                <w:color w:val="00000A"/>
              </w:rPr>
              <w:t>База знаний</w:t>
            </w:r>
          </w:p>
        </w:tc>
        <w:tc>
          <w:tcPr>
            <w:tcW w:w="749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Liberation Serif"/>
                <w:color w:val="00000A"/>
              </w:rPr>
              <w:t>Перечень вопросно-ответных пар для обучения моделей АИС ДНС</w:t>
            </w:r>
          </w:p>
        </w:tc>
      </w:tr>
      <w:tr>
        <w:trPr/>
        <w:tc>
          <w:tcPr>
            <w:tcW w:w="284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>
            <w:pPr>
              <w:pStyle w:val="Normal"/>
              <w:widowControl w:val="false"/>
              <w:spacing w:before="0" w:after="120"/>
              <w:rPr/>
            </w:pPr>
            <w:r>
              <w:rPr>
                <w:rFonts w:eastAsia="Liberation Serif"/>
                <w:color w:val="00000A"/>
              </w:rPr>
              <w:t>Тематический вопрос</w:t>
            </w:r>
          </w:p>
        </w:tc>
        <w:tc>
          <w:tcPr>
            <w:tcW w:w="749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Liberation Serif"/>
                <w:color w:val="00000A"/>
              </w:rPr>
              <w:t>Вопрос абонента, для которого существует вопросно-ответная пара в базе знаний</w:t>
            </w:r>
          </w:p>
        </w:tc>
      </w:tr>
      <w:tr>
        <w:trPr/>
        <w:tc>
          <w:tcPr>
            <w:tcW w:w="284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>
            <w:pPr>
              <w:pStyle w:val="Normal"/>
              <w:widowControl w:val="false"/>
              <w:spacing w:before="0" w:after="120"/>
              <w:rPr/>
            </w:pPr>
            <w:r>
              <w:rPr>
                <w:rFonts w:eastAsia="Liberation Serif"/>
                <w:color w:val="00000A"/>
              </w:rPr>
              <w:t>Нетематический вопрос</w:t>
            </w:r>
          </w:p>
        </w:tc>
        <w:tc>
          <w:tcPr>
            <w:tcW w:w="749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Liberation Serif"/>
                <w:color w:val="00000A"/>
              </w:rPr>
              <w:t>Вопрос абонента, для которого не существует вопросно-ответной пары в базе знаний</w:t>
            </w:r>
          </w:p>
        </w:tc>
      </w:tr>
      <w:tr>
        <w:trPr/>
        <w:tc>
          <w:tcPr>
            <w:tcW w:w="284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>
            <w:pPr>
              <w:pStyle w:val="Normal"/>
              <w:widowControl w:val="false"/>
              <w:spacing w:before="0" w:after="120"/>
              <w:rPr/>
            </w:pPr>
            <w:r>
              <w:rPr>
                <w:rFonts w:eastAsia="Liberation Serif"/>
                <w:color w:val="00000A"/>
              </w:rPr>
              <w:t>Сервис / модуль</w:t>
            </w:r>
          </w:p>
        </w:tc>
        <w:tc>
          <w:tcPr>
            <w:tcW w:w="749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Liberation Serif"/>
                <w:color w:val="00000A"/>
              </w:rPr>
              <w:t>Компонент АИС ДНС, решающий отдельно представленную задачу, согласно своему назначению, алгоритмически. Термин сервис употребляется в качестве понятия SOA-архитектуры</w:t>
            </w:r>
          </w:p>
        </w:tc>
      </w:tr>
      <w:tr>
        <w:trPr/>
        <w:tc>
          <w:tcPr>
            <w:tcW w:w="284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>
            <w:pPr>
              <w:pStyle w:val="Normal"/>
              <w:widowControl w:val="false"/>
              <w:spacing w:before="0" w:after="120"/>
              <w:rPr/>
            </w:pPr>
            <w:r>
              <w:rPr>
                <w:rFonts w:eastAsia="Liberation Serif"/>
                <w:color w:val="00000A"/>
              </w:rPr>
              <w:t>Нейросетевой сервис / нейросетевой ансамбль / нейронная сеть / сеть</w:t>
            </w:r>
          </w:p>
        </w:tc>
        <w:tc>
          <w:tcPr>
            <w:tcW w:w="749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Liberation Serif"/>
                <w:color w:val="00000A"/>
              </w:rPr>
              <w:t>Компонент АИС ДНС, решающий отдельно представленную задачу, согласно своему назначению, на основе нейронных сетей, подлежащий обучению. Отличие от обычного сервиса заключается в использовании нейронных сетей</w:t>
            </w:r>
          </w:p>
        </w:tc>
      </w:tr>
      <w:tr>
        <w:trPr/>
        <w:tc>
          <w:tcPr>
            <w:tcW w:w="284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Liberation Serif"/>
                <w:color w:val="00000A"/>
              </w:rPr>
              <w:t>Обучение нейросетевого сервиса</w:t>
            </w:r>
          </w:p>
        </w:tc>
        <w:tc>
          <w:tcPr>
            <w:tcW w:w="749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>
            <w:pPr>
              <w:pStyle w:val="Normal"/>
              <w:widowControl w:val="false"/>
              <w:spacing w:before="0" w:after="120"/>
              <w:rPr/>
            </w:pPr>
            <w:r>
              <w:rPr>
                <w:rFonts w:eastAsia="Liberation Serif"/>
                <w:color w:val="00000A"/>
              </w:rPr>
              <w:t>Процесс формирования модели нейронной сети</w:t>
            </w:r>
          </w:p>
        </w:tc>
      </w:tr>
      <w:tr>
        <w:trPr/>
        <w:tc>
          <w:tcPr>
            <w:tcW w:w="284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>
            <w:pPr>
              <w:pStyle w:val="Normal"/>
              <w:widowControl w:val="false"/>
              <w:spacing w:before="0" w:after="120"/>
              <w:rPr/>
            </w:pPr>
            <w:r>
              <w:rPr>
                <w:rFonts w:eastAsia="Liberation Serif"/>
                <w:color w:val="00000A"/>
              </w:rPr>
              <w:t>Обучение АИС ДНС</w:t>
            </w:r>
          </w:p>
        </w:tc>
        <w:tc>
          <w:tcPr>
            <w:tcW w:w="749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Liberation Serif"/>
                <w:color w:val="00000A"/>
              </w:rPr>
              <w:t>Комплекс мероприятий по формированию моделей нейронных сетей для использующихся в составе АИС ДНС нейросетевых сервисов</w:t>
            </w:r>
          </w:p>
        </w:tc>
      </w:tr>
      <w:tr>
        <w:trPr/>
        <w:tc>
          <w:tcPr>
            <w:tcW w:w="284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>
            <w:pPr>
              <w:pStyle w:val="Normal"/>
              <w:widowControl w:val="false"/>
              <w:spacing w:before="0" w:after="120"/>
              <w:rPr/>
            </w:pPr>
            <w:r>
              <w:rPr>
                <w:rFonts w:eastAsia="Liberation Serif"/>
                <w:color w:val="00000A"/>
              </w:rPr>
              <w:t>Уверенность АИС ДНС</w:t>
            </w:r>
          </w:p>
        </w:tc>
        <w:tc>
          <w:tcPr>
            <w:tcW w:w="749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Liberation Serif"/>
                <w:color w:val="00000A"/>
              </w:rPr>
              <w:t>Процентный показатель в определении принадлежности вопроса Абонента к классу ВОП из базы знаний системы, которая заложена в АИС в процессе обучения датасетами</w:t>
            </w:r>
          </w:p>
        </w:tc>
      </w:tr>
      <w:tr>
        <w:trPr/>
        <w:tc>
          <w:tcPr>
            <w:tcW w:w="284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>
            <w:pPr>
              <w:pStyle w:val="Normal"/>
              <w:widowControl w:val="false"/>
              <w:spacing w:before="0" w:after="120"/>
              <w:rPr/>
            </w:pPr>
            <w:r>
              <w:rPr>
                <w:rFonts w:eastAsia="Liberation Serif"/>
                <w:color w:val="00000A"/>
              </w:rPr>
              <w:t>Датасет</w:t>
            </w:r>
          </w:p>
        </w:tc>
        <w:tc>
          <w:tcPr>
            <w:tcW w:w="749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Liberation Serif"/>
                <w:color w:val="00000A"/>
              </w:rPr>
              <w:t>Специально подготовленный набор данных, предназначенный для обработки информационной системой.</w:t>
            </w:r>
          </w:p>
        </w:tc>
      </w:tr>
      <w:tr>
        <w:trPr/>
        <w:tc>
          <w:tcPr>
            <w:tcW w:w="284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>
            <w:pPr>
              <w:pStyle w:val="Normal"/>
              <w:widowControl w:val="false"/>
              <w:spacing w:before="0" w:after="120"/>
              <w:rPr/>
            </w:pPr>
            <w:r>
              <w:rPr>
                <w:rFonts w:eastAsia="Liberation Serif"/>
              </w:rPr>
              <w:t>Бизнес-логика</w:t>
            </w:r>
          </w:p>
        </w:tc>
        <w:tc>
          <w:tcPr>
            <w:tcW w:w="749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>
            <w:pPr>
              <w:pStyle w:val="Normal"/>
              <w:widowControl w:val="false"/>
              <w:rPr/>
            </w:pPr>
            <w:r>
              <w:rPr/>
              <w:t>Реализованный в Системе набор алгоритмов поведения Системы, требующий отдельного программирования.</w:t>
            </w:r>
          </w:p>
        </w:tc>
      </w:tr>
    </w:tbl>
    <w:p>
      <w:pPr>
        <w:pStyle w:val="Normal"/>
        <w:widowControl w:val="false"/>
        <w:tabs>
          <w:tab w:val="clear" w:pos="708"/>
          <w:tab w:val="left" w:pos="709" w:leader="none"/>
        </w:tabs>
        <w:spacing w:lineRule="atLeast" w:line="100"/>
        <w:ind w:left="709"/>
        <w:jc w:val="both"/>
        <w:rPr>
          <w:caps/>
        </w:rPr>
      </w:pPr>
      <w:r>
        <w:rPr>
          <w:caps/>
        </w:rPr>
      </w:r>
    </w:p>
    <w:p>
      <w:pPr>
        <w:pStyle w:val="Normal"/>
        <w:tabs>
          <w:tab w:val="clear" w:pos="708"/>
          <w:tab w:val="left" w:pos="0" w:leader="none"/>
        </w:tabs>
        <w:spacing w:lineRule="exact" w:line="240"/>
        <w:jc w:val="center"/>
        <w:rPr>
          <w:rFonts w:eastAsia="Calibri"/>
          <w:b/>
        </w:rPr>
      </w:pPr>
      <w:r>
        <w:rPr>
          <w:rFonts w:eastAsia="Calibri"/>
          <w:b/>
        </w:rPr>
        <w:t>ОБЩИЕ ТРЕБОВАНИЯ К УСЛУГАМ</w:t>
      </w:r>
    </w:p>
    <w:p>
      <w:pPr>
        <w:pStyle w:val="Normal"/>
        <w:spacing w:before="0" w:after="0"/>
        <w:ind w:left="720"/>
        <w:contextualSpacing/>
        <w:jc w:val="center"/>
        <w:rPr>
          <w:rFonts w:eastAsia="Calibri"/>
          <w:b/>
          <w:bCs/>
          <w:lang w:eastAsia="en-US"/>
        </w:rPr>
      </w:pPr>
      <w:r>
        <w:rPr>
          <w:rFonts w:eastAsia="Calibri"/>
          <w:b/>
          <w:bCs/>
          <w:lang w:eastAsia="en-US"/>
        </w:rPr>
      </w:r>
    </w:p>
    <w:p>
      <w:pPr>
        <w:pStyle w:val="Normal"/>
        <w:ind w:firstLine="708" w:right="-142"/>
        <w:jc w:val="both"/>
        <w:rPr>
          <w:rFonts w:eastAsia="Liberation Serif"/>
          <w:color w:val="00000A"/>
        </w:rPr>
      </w:pPr>
      <w:r>
        <w:rPr>
          <w:bCs/>
        </w:rPr>
        <w:t xml:space="preserve">Сертификат технической поддержки (далее — Сертификат) предоставляется на имеющуюся у Заказчика автоматизированной информационной системы «Диалоговая нейросетевая система» (далее АИС ДНС), технологической основой которой является </w:t>
      </w:r>
      <w:r>
        <w:rPr>
          <w:spacing w:val="-4"/>
        </w:rPr>
        <w:t>программное обеспечение "Диалоговая система "</w:t>
      </w:r>
      <w:r>
        <w:rPr>
          <w:spacing w:val="-4"/>
          <w:lang w:val="en-US"/>
        </w:rPr>
        <w:t>OCAS</w:t>
      </w:r>
      <w:r>
        <w:rPr>
          <w:spacing w:val="-4"/>
        </w:rPr>
        <w:t xml:space="preserve"> </w:t>
      </w:r>
      <w:r>
        <w:rPr>
          <w:spacing w:val="-4"/>
          <w:lang w:val="en-US"/>
        </w:rPr>
        <w:t>Assistent</w:t>
      </w:r>
      <w:r>
        <w:rPr>
          <w:spacing w:val="-4"/>
        </w:rPr>
        <w:t>" (</w:t>
      </w:r>
      <w:r>
        <w:rPr>
          <w:rFonts w:eastAsia="Liberation Serif"/>
          <w:color w:val="00000A"/>
        </w:rPr>
        <w:t>свидетельство о государственной регистрации программы для ЭВМ №2018662807 от 16.10.2018 г., реестровый номер российского программного обеспечения - 7511 https://reestr.digital.gov.ru/reestr/308861/?sphrase_id=26912181)</w:t>
      </w:r>
    </w:p>
    <w:p>
      <w:pPr>
        <w:pStyle w:val="Normal"/>
        <w:ind w:firstLine="708" w:right="-142"/>
        <w:jc w:val="both"/>
        <w:rPr/>
      </w:pPr>
      <w:r>
        <w:rPr/>
        <w:t>Оказание услуг по предоставлению сертификата технической поддержки АИС ДНС (далее - Услуги) осуществляется с целью продления технической поддержки используемой Заказчиком автоматизированной информационной системы «Диалоговая нейросетевая система».</w:t>
      </w:r>
    </w:p>
    <w:p>
      <w:pPr>
        <w:pStyle w:val="Normal"/>
        <w:spacing w:before="0" w:after="0"/>
        <w:ind w:firstLine="709" w:right="-142"/>
        <w:contextualSpacing/>
        <w:jc w:val="both"/>
        <w:rPr/>
      </w:pPr>
      <w:r>
        <w:rPr/>
        <w:t>Действие технической поддержки должно наступать с 01.01.2027 (дата окончания текущей технической поддержки – 31.12.2026) и действовать 12 месяцев.</w:t>
      </w:r>
    </w:p>
    <w:p>
      <w:pPr>
        <w:pStyle w:val="Normal"/>
        <w:spacing w:before="0" w:after="0"/>
        <w:ind w:firstLine="709" w:right="-142"/>
        <w:contextualSpacing/>
        <w:jc w:val="both"/>
        <w:rPr>
          <w:b/>
          <w:bCs/>
          <w:caps/>
          <w:spacing w:val="-4"/>
        </w:rPr>
      </w:pPr>
      <w:r>
        <w:rPr/>
        <w:t>Разработчиком АИС ДНС является общество с ограниченной ответственностью "ОБЪЕДИНЕНИЕ КОГНИТИВНЫХ АССОЦИАТИВНЫХ СИСТЕМ" на основании контракта от 17.10.2025 № 187, разработчиком программного обеспечения "Диалоговая система "OCAS Assistent" является общество с ограниченной ответственностью "ОБЪЕДИНЕНИЕ КОГНИТИВНЫХ АССОЦИАТИВНЫХ СИСТЕМ".</w:t>
      </w:r>
    </w:p>
    <w:p>
      <w:pPr>
        <w:pStyle w:val="Normal"/>
        <w:spacing w:lineRule="auto" w:line="252"/>
        <w:ind w:firstLine="709"/>
        <w:jc w:val="both"/>
        <w:rPr>
          <w:b/>
          <w:bCs/>
        </w:rPr>
      </w:pPr>
      <w:r>
        <w:rPr>
          <w:b/>
          <w:bCs/>
        </w:rPr>
      </w:r>
    </w:p>
    <w:p>
      <w:pPr>
        <w:pStyle w:val="Normal"/>
        <w:tabs>
          <w:tab w:val="clear" w:pos="708"/>
          <w:tab w:val="left" w:pos="993" w:leader="none"/>
        </w:tabs>
        <w:spacing w:before="120" w:after="0"/>
        <w:contextualSpacing/>
        <w:jc w:val="center"/>
        <w:rPr>
          <w:rFonts w:eastAsia="Calibri"/>
          <w:b/>
          <w:bCs/>
        </w:rPr>
      </w:pPr>
      <w:r>
        <w:rPr>
          <w:rFonts w:eastAsia="Calibri"/>
          <w:b/>
          <w:bCs/>
        </w:rPr>
        <w:t>СВЕДЕНИЯ ОБ ИСХОДНЫХ УСЛОВИЯХ ОКАЗАНИЯ УСЛУГ</w:t>
      </w:r>
    </w:p>
    <w:p>
      <w:pPr>
        <w:pStyle w:val="Normal"/>
        <w:tabs>
          <w:tab w:val="clear" w:pos="708"/>
          <w:tab w:val="left" w:pos="993" w:leader="none"/>
        </w:tabs>
        <w:spacing w:before="120" w:after="0"/>
        <w:contextualSpacing/>
        <w:jc w:val="center"/>
        <w:rPr>
          <w:rFonts w:eastAsia="Calibri"/>
          <w:b/>
          <w:bCs/>
        </w:rPr>
      </w:pPr>
      <w:r>
        <w:rPr>
          <w:rFonts w:eastAsia="Calibri"/>
          <w:b/>
          <w:bCs/>
        </w:rPr>
        <w:t>Требования к объему и качеству технической поддержки по предоставляемому сертификату</w:t>
      </w:r>
    </w:p>
    <w:p>
      <w:pPr>
        <w:pStyle w:val="Normal"/>
        <w:tabs>
          <w:tab w:val="clear" w:pos="708"/>
          <w:tab w:val="left" w:pos="993" w:leader="none"/>
        </w:tabs>
        <w:spacing w:before="120" w:after="0"/>
        <w:contextualSpacing/>
        <w:jc w:val="center"/>
        <w:rPr>
          <w:rFonts w:eastAsia="Calibri"/>
          <w:b/>
          <w:bCs/>
        </w:rPr>
      </w:pPr>
      <w:r>
        <w:rPr>
          <w:rFonts w:eastAsia="Calibri"/>
          <w:b/>
          <w:bCs/>
        </w:rPr>
      </w:r>
    </w:p>
    <w:p>
      <w:pPr>
        <w:pStyle w:val="Normal"/>
        <w:tabs>
          <w:tab w:val="clear" w:pos="708"/>
          <w:tab w:val="left" w:pos="993" w:leader="none"/>
        </w:tabs>
        <w:spacing w:before="120" w:after="0"/>
        <w:ind w:firstLine="709"/>
        <w:contextualSpacing/>
        <w:jc w:val="both"/>
        <w:rPr>
          <w:rFonts w:eastAsia="Calibri"/>
          <w:bCs/>
        </w:rPr>
      </w:pPr>
      <w:r>
        <w:rPr>
          <w:rFonts w:eastAsia="Calibri"/>
          <w:bCs/>
        </w:rPr>
        <w:t>Техническая поддержка разработчиком и его авторизированным партнёром по предоставляемому сертификату должна включать в себя:</w:t>
      </w:r>
    </w:p>
    <w:p>
      <w:pPr>
        <w:pStyle w:val="Normal"/>
        <w:numPr>
          <w:ilvl w:val="1"/>
          <w:numId w:val="3"/>
        </w:numPr>
        <w:tabs>
          <w:tab w:val="clear" w:pos="708"/>
          <w:tab w:val="left" w:pos="993" w:leader="none"/>
          <w:tab w:val="left" w:pos="1134" w:leader="none"/>
        </w:tabs>
        <w:suppressAutoHyphens w:val="true"/>
        <w:spacing w:before="0" w:after="0"/>
        <w:ind w:firstLine="709" w:left="0"/>
        <w:contextualSpacing/>
        <w:jc w:val="both"/>
        <w:rPr>
          <w:rFonts w:eastAsia="Calibri"/>
          <w:bCs/>
        </w:rPr>
      </w:pPr>
      <w:r>
        <w:rPr>
          <w:rFonts w:eastAsia="Calibri"/>
          <w:bCs/>
        </w:rPr>
        <w:t>Круглосуточную доступность системы АИС ДНС, программного обеспечения на виртуальных серверах Заказчика, адаптированная для нужд КГКУ "ОСЭП Хабаровского края, МФЦ".</w:t>
      </w:r>
      <w:r>
        <w:rPr>
          <w:rFonts w:eastAsia="Calibri"/>
        </w:rPr>
        <w:t xml:space="preserve"> </w:t>
      </w:r>
    </w:p>
    <w:p>
      <w:pPr>
        <w:pStyle w:val="Normal"/>
        <w:numPr>
          <w:ilvl w:val="1"/>
          <w:numId w:val="2"/>
        </w:numPr>
        <w:tabs>
          <w:tab w:val="clear" w:pos="708"/>
          <w:tab w:val="left" w:pos="993" w:leader="none"/>
          <w:tab w:val="left" w:pos="1134" w:leader="none"/>
        </w:tabs>
        <w:suppressAutoHyphens w:val="true"/>
        <w:spacing w:before="120" w:after="0"/>
        <w:ind w:firstLine="709" w:left="0"/>
        <w:contextualSpacing/>
        <w:jc w:val="both"/>
        <w:rPr>
          <w:rFonts w:eastAsia="Calibri"/>
          <w:bCs/>
        </w:rPr>
      </w:pPr>
      <w:r>
        <w:rPr>
          <w:rFonts w:eastAsia="Calibri"/>
          <w:bCs/>
        </w:rPr>
        <w:t>Безотказное функционирование АИС ДНС в режиме 24/7, за исключением времени, требуемого на обслуживание системы. Обслуживание системы должно осуществляться вне периода рабочего времени по согласованному с Заказчиком по расписанию. В рамках обеспечения безотказного функционирования, неполадки, вызванные вследствие некорректных действий Абонента при взаимодействии с АИС ДНС должны быть незамедлительно устранены.</w:t>
      </w:r>
    </w:p>
    <w:p>
      <w:pPr>
        <w:pStyle w:val="Normal"/>
        <w:numPr>
          <w:ilvl w:val="1"/>
          <w:numId w:val="2"/>
        </w:numPr>
        <w:tabs>
          <w:tab w:val="clear" w:pos="708"/>
          <w:tab w:val="left" w:pos="993" w:leader="none"/>
          <w:tab w:val="left" w:pos="1134" w:leader="none"/>
        </w:tabs>
        <w:suppressAutoHyphens w:val="true"/>
        <w:spacing w:before="120" w:after="0"/>
        <w:ind w:firstLine="709" w:left="0"/>
        <w:contextualSpacing/>
        <w:jc w:val="both"/>
        <w:rPr>
          <w:rFonts w:eastAsia="Calibri"/>
          <w:bCs/>
        </w:rPr>
      </w:pPr>
      <w:r>
        <w:rPr>
          <w:rFonts w:eastAsia="Calibri"/>
          <w:bCs/>
        </w:rPr>
        <w:t>Преемственность интерфейса и функционала АИС ДНС, не требующее переобучения пользователей, за исключением функций, изменяемых или добавляемых в соответствии с требованиями настоящей технической части. При оказании услуг в рамках технической поддержки не допускается полная или частичная замена АИС ДНС.</w:t>
      </w:r>
    </w:p>
    <w:p>
      <w:pPr>
        <w:pStyle w:val="Normal"/>
        <w:numPr>
          <w:ilvl w:val="1"/>
          <w:numId w:val="2"/>
        </w:numPr>
        <w:tabs>
          <w:tab w:val="clear" w:pos="708"/>
          <w:tab w:val="left" w:pos="993" w:leader="none"/>
          <w:tab w:val="left" w:pos="1134" w:leader="none"/>
        </w:tabs>
        <w:suppressAutoHyphens w:val="true"/>
        <w:spacing w:before="120" w:after="0"/>
        <w:ind w:firstLine="709" w:left="0"/>
        <w:contextualSpacing/>
        <w:jc w:val="both"/>
        <w:rPr>
          <w:rFonts w:eastAsia="Calibri"/>
          <w:bCs/>
        </w:rPr>
      </w:pPr>
      <w:r>
        <w:rPr>
          <w:rFonts w:eastAsia="Calibri"/>
          <w:bCs/>
        </w:rPr>
        <w:t>Оказание услуг технической поддержки с использованием средств защиты информации. Эксплуатация Системы Заказчиком производится с использованием защищенных каналов связи ViPNet. Предоставление услуг в рамках передаваемого сертификата должно осуществляться с использованием средств защиты информации ViPNet для подключения к защищенной сети Заказчика.</w:t>
      </w:r>
    </w:p>
    <w:p>
      <w:pPr>
        <w:pStyle w:val="Normal"/>
        <w:numPr>
          <w:ilvl w:val="1"/>
          <w:numId w:val="2"/>
        </w:numPr>
        <w:tabs>
          <w:tab w:val="clear" w:pos="708"/>
          <w:tab w:val="left" w:pos="1134" w:leader="none"/>
        </w:tabs>
        <w:suppressAutoHyphens w:val="true"/>
        <w:spacing w:before="120" w:after="0"/>
        <w:ind w:firstLine="709" w:left="0"/>
        <w:contextualSpacing/>
        <w:jc w:val="both"/>
        <w:rPr>
          <w:rFonts w:eastAsia="Calibri"/>
          <w:bCs/>
        </w:rPr>
      </w:pPr>
      <w:r>
        <w:rPr>
          <w:rFonts w:eastAsia="Calibri"/>
          <w:bCs/>
        </w:rPr>
        <w:t>Прием обращений Заказчика за технической поддержкой в формате 24/7 в течение всего периода оказания услуг через личный кабинет.</w:t>
      </w:r>
    </w:p>
    <w:p>
      <w:pPr>
        <w:pStyle w:val="Normal"/>
        <w:tabs>
          <w:tab w:val="clear" w:pos="708"/>
          <w:tab w:val="left" w:pos="567" w:leader="none"/>
        </w:tabs>
        <w:spacing w:before="120" w:after="0"/>
        <w:ind w:firstLine="142" w:left="567"/>
        <w:contextualSpacing/>
        <w:jc w:val="both"/>
        <w:rPr>
          <w:rFonts w:eastAsia="Calibri"/>
        </w:rPr>
      </w:pPr>
      <w:r>
        <w:rPr>
          <w:rFonts w:eastAsia="Calibri"/>
          <w:bCs/>
        </w:rPr>
        <w:t xml:space="preserve">Время реакции на события устанавливается в Таблице № 2. </w:t>
      </w:r>
    </w:p>
    <w:p>
      <w:pPr>
        <w:pStyle w:val="Normal"/>
        <w:tabs>
          <w:tab w:val="clear" w:pos="708"/>
          <w:tab w:val="left" w:pos="567" w:leader="none"/>
        </w:tabs>
        <w:spacing w:before="120" w:after="0"/>
        <w:ind w:left="567"/>
        <w:contextualSpacing/>
        <w:jc w:val="right"/>
        <w:rPr>
          <w:rFonts w:eastAsia="Calibri"/>
        </w:rPr>
      </w:pPr>
      <w:r>
        <w:rPr>
          <w:rFonts w:eastAsia="Calibri"/>
        </w:rPr>
      </w:r>
    </w:p>
    <w:p>
      <w:pPr>
        <w:pStyle w:val="Normal"/>
        <w:tabs>
          <w:tab w:val="clear" w:pos="708"/>
          <w:tab w:val="left" w:pos="567" w:leader="none"/>
        </w:tabs>
        <w:spacing w:before="120" w:after="0"/>
        <w:ind w:left="567"/>
        <w:contextualSpacing/>
        <w:jc w:val="right"/>
        <w:rPr>
          <w:rFonts w:eastAsia="Calibri"/>
          <w:b/>
          <w:bCs/>
        </w:rPr>
      </w:pPr>
      <w:r>
        <w:rPr>
          <w:rFonts w:eastAsia="Calibri"/>
        </w:rPr>
        <w:t xml:space="preserve">Таблица № 2 - </w:t>
      </w:r>
      <w:r>
        <w:rPr>
          <w:rFonts w:eastAsia="Calibri"/>
          <w:bCs/>
        </w:rPr>
        <w:t>время реакции на события</w:t>
      </w:r>
    </w:p>
    <w:tbl>
      <w:tblPr>
        <w:tblW w:w="4850" w:type="pct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935"/>
        <w:gridCol w:w="5216"/>
      </w:tblGrid>
      <w:tr>
        <w:trPr>
          <w:trHeight w:val="435" w:hRule="atLeast"/>
        </w:trPr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360"/>
              <w:jc w:val="center"/>
              <w:rPr/>
            </w:pPr>
            <w:r>
              <w:rPr>
                <w:b/>
                <w:bCs/>
              </w:rPr>
              <w:t>Категория обращения</w:t>
            </w:r>
          </w:p>
        </w:tc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360"/>
              <w:jc w:val="center"/>
              <w:rPr/>
            </w:pPr>
            <w:r>
              <w:rPr>
                <w:b/>
                <w:bCs/>
              </w:rPr>
              <w:t>Время решения</w:t>
            </w:r>
          </w:p>
        </w:tc>
      </w:tr>
      <w:tr>
        <w:trPr>
          <w:trHeight w:val="281" w:hRule="atLeast"/>
        </w:trPr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rPr/>
            </w:pPr>
            <w:r>
              <w:rPr>
                <w:bCs/>
                <w:color w:val="000000"/>
              </w:rPr>
              <w:t>Критический инцидент (полный отказ системы/всех каналов связи/отказ основного функционала/отказ голосового канала связи)</w:t>
            </w:r>
          </w:p>
        </w:tc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jc w:val="both"/>
              <w:rPr/>
            </w:pPr>
            <w:r>
              <w:rPr>
                <w:color w:val="000000"/>
              </w:rPr>
              <w:t>Восстановление работоспособности – до 8 часов</w:t>
            </w:r>
          </w:p>
        </w:tc>
      </w:tr>
      <w:tr>
        <w:trPr>
          <w:trHeight w:val="281" w:hRule="atLeast"/>
        </w:trPr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rPr/>
            </w:pPr>
            <w:r>
              <w:rPr>
                <w:bCs/>
                <w:color w:val="000000"/>
              </w:rPr>
              <w:t>Инцидент (частичный отказ системы, не препятствующий работоспособности системы/отказ одного из каналов связи, за исключением голосового)</w:t>
            </w:r>
          </w:p>
        </w:tc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jc w:val="both"/>
              <w:rPr/>
            </w:pPr>
            <w:r>
              <w:rPr>
                <w:color w:val="000000"/>
              </w:rPr>
              <w:t>24 часа</w:t>
            </w:r>
          </w:p>
        </w:tc>
      </w:tr>
      <w:tr>
        <w:trPr>
          <w:trHeight w:val="281" w:hRule="atLeast"/>
        </w:trPr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rPr/>
            </w:pPr>
            <w:r>
              <w:rPr>
                <w:bCs/>
                <w:color w:val="000000"/>
              </w:rPr>
              <w:t>Запрос на обслуживание</w:t>
            </w:r>
          </w:p>
        </w:tc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jc w:val="both"/>
              <w:rPr/>
            </w:pPr>
            <w:r>
              <w:rPr>
                <w:color w:val="000000"/>
              </w:rPr>
              <w:t>По согласованию с инициатором в период времени с 09:00 до 18:00 (</w:t>
            </w:r>
            <w:r>
              <w:rPr>
                <w:color w:val="000000"/>
                <w:lang w:val="en-US"/>
              </w:rPr>
              <w:t>GMT</w:t>
            </w:r>
            <w:r>
              <w:rPr>
                <w:color w:val="000000"/>
              </w:rPr>
              <w:t>+7)</w:t>
            </w:r>
          </w:p>
        </w:tc>
      </w:tr>
    </w:tbl>
    <w:p>
      <w:pPr>
        <w:pStyle w:val="Normal"/>
        <w:numPr>
          <w:ilvl w:val="1"/>
          <w:numId w:val="2"/>
        </w:numPr>
        <w:tabs>
          <w:tab w:val="clear" w:pos="708"/>
          <w:tab w:val="left" w:pos="993" w:leader="none"/>
          <w:tab w:val="left" w:pos="1276" w:leader="none"/>
        </w:tabs>
        <w:suppressAutoHyphens w:val="true"/>
        <w:spacing w:before="120" w:after="0"/>
        <w:ind w:firstLine="709" w:left="0"/>
        <w:contextualSpacing/>
        <w:jc w:val="both"/>
        <w:rPr>
          <w:rFonts w:eastAsia="Calibri"/>
          <w:bCs/>
        </w:rPr>
      </w:pPr>
      <w:r>
        <w:rPr>
          <w:rFonts w:eastAsia="Calibri"/>
          <w:bCs/>
        </w:rPr>
        <w:t>Корректное функционирование каналов связи и работоспособность интеграции:</w:t>
      </w:r>
    </w:p>
    <w:p>
      <w:pPr>
        <w:pStyle w:val="Normal"/>
        <w:numPr>
          <w:ilvl w:val="2"/>
          <w:numId w:val="2"/>
        </w:numPr>
        <w:tabs>
          <w:tab w:val="clear" w:pos="708"/>
          <w:tab w:val="left" w:pos="993" w:leader="none"/>
          <w:tab w:val="left" w:pos="1276" w:leader="none"/>
        </w:tabs>
        <w:suppressAutoHyphens w:val="true"/>
        <w:spacing w:before="120" w:after="0"/>
        <w:ind w:firstLine="709" w:left="0"/>
        <w:contextualSpacing/>
        <w:jc w:val="both"/>
        <w:rPr>
          <w:rFonts w:eastAsia="Calibri"/>
          <w:bCs/>
        </w:rPr>
      </w:pPr>
      <w:r>
        <w:rPr>
          <w:rFonts w:eastAsia="Calibri"/>
          <w:bCs/>
        </w:rPr>
        <w:t>Текстовые каналы связи, включая:</w:t>
      </w:r>
    </w:p>
    <w:p>
      <w:pPr>
        <w:pStyle w:val="Normal"/>
        <w:numPr>
          <w:ilvl w:val="3"/>
          <w:numId w:val="2"/>
        </w:numPr>
        <w:tabs>
          <w:tab w:val="clear" w:pos="708"/>
          <w:tab w:val="left" w:pos="993" w:leader="none"/>
        </w:tabs>
        <w:suppressAutoHyphens w:val="true"/>
        <w:spacing w:before="120" w:after="0"/>
        <w:ind w:firstLine="709" w:left="0"/>
        <w:contextualSpacing/>
        <w:jc w:val="both"/>
        <w:rPr>
          <w:rFonts w:eastAsia="Calibri"/>
          <w:bCs/>
        </w:rPr>
      </w:pPr>
      <w:r>
        <w:rPr>
          <w:rFonts w:eastAsia="Calibri"/>
          <w:bCs/>
        </w:rPr>
        <w:t>Текстовый чат на сайте АИС ДНС;</w:t>
      </w:r>
    </w:p>
    <w:p>
      <w:pPr>
        <w:pStyle w:val="Normal"/>
        <w:numPr>
          <w:ilvl w:val="3"/>
          <w:numId w:val="2"/>
        </w:numPr>
        <w:tabs>
          <w:tab w:val="clear" w:pos="708"/>
          <w:tab w:val="left" w:pos="993" w:leader="none"/>
        </w:tabs>
        <w:suppressAutoHyphens w:val="true"/>
        <w:spacing w:before="120" w:after="0"/>
        <w:ind w:firstLine="709" w:left="0"/>
        <w:contextualSpacing/>
        <w:jc w:val="both"/>
        <w:rPr>
          <w:rFonts w:eastAsia="Calibri"/>
          <w:bCs/>
        </w:rPr>
      </w:pPr>
      <w:r>
        <w:rPr>
          <w:rFonts w:eastAsia="Calibri"/>
          <w:bCs/>
        </w:rPr>
        <w:t xml:space="preserve">Веб-виджет, доступный для встраивания на сторонних сайтах, содержащий текстовый чат; </w:t>
      </w:r>
    </w:p>
    <w:p>
      <w:pPr>
        <w:pStyle w:val="Normal"/>
        <w:numPr>
          <w:ilvl w:val="3"/>
          <w:numId w:val="2"/>
        </w:numPr>
        <w:tabs>
          <w:tab w:val="clear" w:pos="708"/>
          <w:tab w:val="left" w:pos="993" w:leader="none"/>
        </w:tabs>
        <w:suppressAutoHyphens w:val="true"/>
        <w:spacing w:before="120" w:after="0"/>
        <w:ind w:firstLine="709" w:left="0"/>
        <w:contextualSpacing/>
        <w:jc w:val="both"/>
        <w:rPr>
          <w:rFonts w:eastAsia="Calibri"/>
          <w:bCs/>
        </w:rPr>
      </w:pPr>
      <w:r>
        <w:rPr>
          <w:rFonts w:eastAsia="Calibri"/>
          <w:bCs/>
        </w:rPr>
        <w:t xml:space="preserve">Текстовый чат в социальных сетях и мессенджерах: Telegram, ВКонтакте, </w:t>
      </w:r>
      <w:r>
        <w:rPr>
          <w:rFonts w:eastAsia="Calibri"/>
          <w:bCs/>
          <w:lang w:val="en-US"/>
        </w:rPr>
        <w:t>MAX</w:t>
      </w:r>
      <w:r>
        <w:rPr>
          <w:rFonts w:eastAsia="Calibri"/>
          <w:bCs/>
        </w:rPr>
        <w:t xml:space="preserve"> (далее – Соцсети и мессенджеры). </w:t>
      </w:r>
    </w:p>
    <w:p>
      <w:pPr>
        <w:pStyle w:val="Normal"/>
        <w:numPr>
          <w:ilvl w:val="2"/>
          <w:numId w:val="2"/>
        </w:numPr>
        <w:tabs>
          <w:tab w:val="clear" w:pos="708"/>
          <w:tab w:val="left" w:pos="993" w:leader="none"/>
        </w:tabs>
        <w:suppressAutoHyphens w:val="true"/>
        <w:spacing w:before="120" w:after="0"/>
        <w:ind w:firstLine="709" w:left="0"/>
        <w:contextualSpacing/>
        <w:jc w:val="both"/>
        <w:rPr>
          <w:rFonts w:eastAsia="Calibri"/>
          <w:bCs/>
        </w:rPr>
      </w:pPr>
      <w:r>
        <w:rPr>
          <w:rFonts w:eastAsia="Calibri"/>
          <w:bCs/>
        </w:rPr>
        <w:t>Голосовые каналы связи, включая:</w:t>
      </w:r>
    </w:p>
    <w:p>
      <w:pPr>
        <w:pStyle w:val="Normal"/>
        <w:numPr>
          <w:ilvl w:val="3"/>
          <w:numId w:val="2"/>
        </w:numPr>
        <w:tabs>
          <w:tab w:val="clear" w:pos="708"/>
          <w:tab w:val="left" w:pos="993" w:leader="none"/>
        </w:tabs>
        <w:suppressAutoHyphens w:val="true"/>
        <w:spacing w:before="120" w:after="0"/>
        <w:ind w:firstLine="709" w:left="0"/>
        <w:contextualSpacing/>
        <w:jc w:val="both"/>
        <w:rPr>
          <w:rFonts w:eastAsia="Calibri"/>
          <w:bCs/>
        </w:rPr>
      </w:pPr>
      <w:r>
        <w:rPr>
          <w:rFonts w:eastAsia="Calibri"/>
          <w:bCs/>
        </w:rPr>
        <w:t>Канал телефонной связи, реализуемый посредством подключения специального модуля АИС ДНС к сторонней АТС посредством технологии SIP-Trunk;</w:t>
      </w:r>
    </w:p>
    <w:p>
      <w:pPr>
        <w:pStyle w:val="Normal"/>
        <w:numPr>
          <w:ilvl w:val="3"/>
          <w:numId w:val="2"/>
        </w:numPr>
        <w:tabs>
          <w:tab w:val="clear" w:pos="708"/>
          <w:tab w:val="left" w:pos="993" w:leader="none"/>
        </w:tabs>
        <w:suppressAutoHyphens w:val="true"/>
        <w:spacing w:before="120" w:after="0"/>
        <w:ind w:firstLine="709" w:left="0"/>
        <w:contextualSpacing/>
        <w:jc w:val="both"/>
        <w:rPr>
          <w:rFonts w:eastAsia="Calibri"/>
          <w:b/>
          <w:bCs/>
        </w:rPr>
      </w:pPr>
      <w:r>
        <w:rPr>
          <w:rFonts w:eastAsia="Calibri"/>
          <w:bCs/>
        </w:rPr>
        <w:t>Голосовой ввод на сайте АИС ДНС, в веб-виджете.</w:t>
      </w:r>
    </w:p>
    <w:p>
      <w:pPr>
        <w:pStyle w:val="Normal"/>
        <w:numPr>
          <w:ilvl w:val="1"/>
          <w:numId w:val="2"/>
        </w:numPr>
        <w:tabs>
          <w:tab w:val="clear" w:pos="708"/>
          <w:tab w:val="left" w:pos="993" w:leader="none"/>
        </w:tabs>
        <w:suppressAutoHyphens w:val="true"/>
        <w:spacing w:before="120" w:after="0"/>
        <w:ind w:firstLine="709" w:left="0"/>
        <w:contextualSpacing/>
        <w:jc w:val="both"/>
        <w:rPr>
          <w:rFonts w:eastAsia="Calibri"/>
          <w:bCs/>
        </w:rPr>
      </w:pPr>
      <w:r>
        <w:rPr>
          <w:rFonts w:eastAsia="Calibri"/>
          <w:bCs/>
        </w:rPr>
        <w:t>Поддержание работоспособности функционала:</w:t>
      </w:r>
    </w:p>
    <w:p>
      <w:pPr>
        <w:pStyle w:val="Normal"/>
        <w:numPr>
          <w:ilvl w:val="2"/>
          <w:numId w:val="2"/>
        </w:numPr>
        <w:tabs>
          <w:tab w:val="clear" w:pos="708"/>
          <w:tab w:val="left" w:pos="993" w:leader="none"/>
        </w:tabs>
        <w:suppressAutoHyphens w:val="true"/>
        <w:spacing w:before="120" w:after="0"/>
        <w:ind w:firstLine="709" w:left="0"/>
        <w:contextualSpacing/>
        <w:jc w:val="both"/>
        <w:rPr>
          <w:rFonts w:eastAsia="Liberation Serif"/>
          <w:color w:val="00000A"/>
        </w:rPr>
      </w:pPr>
      <w:r>
        <w:rPr>
          <w:rFonts w:eastAsia="Calibri"/>
          <w:bCs/>
        </w:rPr>
        <w:t>Доля ошибочно данных ответов на известные типы вопросов не должны превышать 10 % от общего количества заданных в письменной форме тематических вопросов или 15 % от общего количества заданных в устной форме тематических вопросов. Исключение составляют случаи, когда вызов поступает по каналам с низким качеством связи (шумы, помехи, мешающие распознаванию речи, пропадающий звук и т.д.).</w:t>
      </w:r>
    </w:p>
    <w:p>
      <w:pPr>
        <w:pStyle w:val="Normal"/>
        <w:numPr>
          <w:ilvl w:val="2"/>
          <w:numId w:val="2"/>
        </w:numPr>
        <w:tabs>
          <w:tab w:val="clear" w:pos="708"/>
          <w:tab w:val="left" w:pos="993" w:leader="none"/>
        </w:tabs>
        <w:suppressAutoHyphens w:val="true"/>
        <w:spacing w:before="120" w:after="0"/>
        <w:ind w:firstLine="709" w:left="0"/>
        <w:contextualSpacing/>
        <w:jc w:val="both"/>
        <w:rPr>
          <w:rFonts w:eastAsia="Calibri"/>
          <w:bCs/>
        </w:rPr>
      </w:pPr>
      <w:r>
        <w:rPr>
          <w:rFonts w:eastAsia="Liberation Serif"/>
          <w:color w:val="00000A"/>
        </w:rPr>
        <w:t>При вводе вопроса через голосовые каналы связи устный вопрос должен преобразовываться в текстовый посредством транскрибации голосового сообщения</w:t>
      </w:r>
    </w:p>
    <w:p>
      <w:pPr>
        <w:pStyle w:val="Normal"/>
        <w:numPr>
          <w:ilvl w:val="2"/>
          <w:numId w:val="2"/>
        </w:numPr>
        <w:tabs>
          <w:tab w:val="clear" w:pos="708"/>
          <w:tab w:val="left" w:pos="993" w:leader="none"/>
        </w:tabs>
        <w:suppressAutoHyphens w:val="true"/>
        <w:spacing w:before="120" w:after="0"/>
        <w:ind w:firstLine="709" w:left="0"/>
        <w:contextualSpacing/>
        <w:jc w:val="both"/>
        <w:rPr>
          <w:rFonts w:eastAsia="Calibri"/>
          <w:bCs/>
        </w:rPr>
      </w:pPr>
      <w:r>
        <w:rPr>
          <w:rFonts w:eastAsia="Calibri"/>
          <w:bCs/>
        </w:rPr>
        <w:t>Распознавание в высказываниях Абонента:</w:t>
      </w:r>
    </w:p>
    <w:p>
      <w:pPr>
        <w:pStyle w:val="Normal"/>
        <w:numPr>
          <w:ilvl w:val="3"/>
          <w:numId w:val="2"/>
        </w:numPr>
        <w:tabs>
          <w:tab w:val="clear" w:pos="708"/>
          <w:tab w:val="left" w:pos="993" w:leader="none"/>
        </w:tabs>
        <w:suppressAutoHyphens w:val="true"/>
        <w:spacing w:before="120" w:after="0"/>
        <w:ind w:firstLine="709" w:left="0"/>
        <w:contextualSpacing/>
        <w:jc w:val="both"/>
        <w:rPr>
          <w:rFonts w:eastAsia="Calibri"/>
          <w:bCs/>
        </w:rPr>
      </w:pPr>
      <w:r>
        <w:rPr>
          <w:rFonts w:eastAsia="Calibri"/>
          <w:bCs/>
        </w:rPr>
        <w:t>различных контекстуальных синонимов;</w:t>
      </w:r>
    </w:p>
    <w:p>
      <w:pPr>
        <w:pStyle w:val="Normal"/>
        <w:numPr>
          <w:ilvl w:val="3"/>
          <w:numId w:val="2"/>
        </w:numPr>
        <w:tabs>
          <w:tab w:val="clear" w:pos="708"/>
          <w:tab w:val="left" w:pos="993" w:leader="none"/>
        </w:tabs>
        <w:suppressAutoHyphens w:val="true"/>
        <w:spacing w:before="120" w:after="0"/>
        <w:ind w:firstLine="709" w:left="0"/>
        <w:contextualSpacing/>
        <w:jc w:val="both"/>
        <w:rPr>
          <w:rFonts w:eastAsia="Calibri"/>
          <w:bCs/>
        </w:rPr>
      </w:pPr>
      <w:r>
        <w:rPr>
          <w:rFonts w:eastAsia="Calibri"/>
          <w:bCs/>
        </w:rPr>
        <w:t>различных типов вопросов и вопросительных конструкций предложений.</w:t>
      </w:r>
    </w:p>
    <w:p>
      <w:pPr>
        <w:pStyle w:val="Normal"/>
        <w:numPr>
          <w:ilvl w:val="2"/>
          <w:numId w:val="2"/>
        </w:numPr>
        <w:tabs>
          <w:tab w:val="clear" w:pos="708"/>
          <w:tab w:val="left" w:pos="993" w:leader="none"/>
        </w:tabs>
        <w:suppressAutoHyphens w:val="true"/>
        <w:spacing w:before="120" w:after="0"/>
        <w:ind w:firstLine="709" w:left="0"/>
        <w:contextualSpacing/>
        <w:jc w:val="both"/>
        <w:rPr>
          <w:rFonts w:eastAsia="Calibri"/>
          <w:bCs/>
        </w:rPr>
      </w:pPr>
      <w:r>
        <w:rPr>
          <w:rFonts w:eastAsia="Calibri"/>
          <w:bCs/>
        </w:rPr>
        <w:t>Распознавание общих классов высказываний Абонентов и формировать соответствующие реакции на них:</w:t>
      </w:r>
    </w:p>
    <w:p>
      <w:pPr>
        <w:pStyle w:val="Normal"/>
        <w:numPr>
          <w:ilvl w:val="3"/>
          <w:numId w:val="2"/>
        </w:numPr>
        <w:tabs>
          <w:tab w:val="clear" w:pos="708"/>
          <w:tab w:val="left" w:pos="993" w:leader="none"/>
        </w:tabs>
        <w:suppressAutoHyphens w:val="true"/>
        <w:spacing w:before="120" w:after="0"/>
        <w:ind w:firstLine="709" w:left="0"/>
        <w:contextualSpacing/>
        <w:jc w:val="both"/>
        <w:rPr>
          <w:rFonts w:eastAsia="Calibri"/>
          <w:bCs/>
        </w:rPr>
      </w:pPr>
      <w:r>
        <w:rPr>
          <w:rFonts w:eastAsia="Calibri"/>
          <w:bCs/>
        </w:rPr>
        <w:t>Распознавать и формировать реакцию на приветственные высказывания;</w:t>
      </w:r>
    </w:p>
    <w:p>
      <w:pPr>
        <w:pStyle w:val="Normal"/>
        <w:numPr>
          <w:ilvl w:val="3"/>
          <w:numId w:val="2"/>
        </w:numPr>
        <w:tabs>
          <w:tab w:val="clear" w:pos="708"/>
          <w:tab w:val="left" w:pos="993" w:leader="none"/>
        </w:tabs>
        <w:suppressAutoHyphens w:val="true"/>
        <w:spacing w:before="120" w:after="0"/>
        <w:ind w:firstLine="709" w:left="0"/>
        <w:contextualSpacing/>
        <w:jc w:val="both"/>
        <w:rPr>
          <w:rFonts w:eastAsia="Calibri"/>
          <w:bCs/>
        </w:rPr>
      </w:pPr>
      <w:r>
        <w:rPr>
          <w:rFonts w:eastAsia="Calibri"/>
          <w:bCs/>
        </w:rPr>
        <w:t>Распознавать и формировать реакцию (как текстовую, так и системную, в виде закрытия диалога) на прощания;</w:t>
      </w:r>
    </w:p>
    <w:p>
      <w:pPr>
        <w:pStyle w:val="Normal"/>
        <w:numPr>
          <w:ilvl w:val="3"/>
          <w:numId w:val="2"/>
        </w:numPr>
        <w:tabs>
          <w:tab w:val="clear" w:pos="708"/>
          <w:tab w:val="left" w:pos="993" w:leader="none"/>
        </w:tabs>
        <w:suppressAutoHyphens w:val="true"/>
        <w:spacing w:before="120" w:after="0"/>
        <w:ind w:firstLine="709" w:left="0"/>
        <w:contextualSpacing/>
        <w:jc w:val="both"/>
        <w:rPr>
          <w:rFonts w:eastAsia="Calibri"/>
          <w:bCs/>
        </w:rPr>
      </w:pPr>
      <w:r>
        <w:rPr>
          <w:rFonts w:eastAsia="Calibri"/>
          <w:bCs/>
        </w:rPr>
        <w:t>Распознавать и формировать реакцию на выражения благодарности, жалобы;</w:t>
      </w:r>
    </w:p>
    <w:p>
      <w:pPr>
        <w:pStyle w:val="Normal"/>
        <w:numPr>
          <w:ilvl w:val="4"/>
          <w:numId w:val="2"/>
        </w:numPr>
        <w:tabs>
          <w:tab w:val="clear" w:pos="708"/>
          <w:tab w:val="left" w:pos="993" w:leader="none"/>
          <w:tab w:val="left" w:pos="1701" w:leader="none"/>
        </w:tabs>
        <w:suppressAutoHyphens w:val="true"/>
        <w:spacing w:before="120" w:after="0"/>
        <w:ind w:firstLine="709" w:left="0"/>
        <w:contextualSpacing/>
        <w:jc w:val="both"/>
        <w:rPr>
          <w:rFonts w:eastAsia="Calibri"/>
          <w:bCs/>
        </w:rPr>
      </w:pPr>
      <w:r>
        <w:rPr>
          <w:rFonts w:eastAsia="Calibri"/>
          <w:bCs/>
        </w:rPr>
        <w:t>Распознавать согласие или несогласие Абонентов в ответ на уточняющие вопросы АИС ДНС;</w:t>
      </w:r>
    </w:p>
    <w:p>
      <w:pPr>
        <w:pStyle w:val="Normal"/>
        <w:numPr>
          <w:ilvl w:val="3"/>
          <w:numId w:val="2"/>
        </w:numPr>
        <w:tabs>
          <w:tab w:val="clear" w:pos="708"/>
          <w:tab w:val="left" w:pos="993" w:leader="none"/>
        </w:tabs>
        <w:suppressAutoHyphens w:val="true"/>
        <w:spacing w:before="120" w:after="0"/>
        <w:ind w:firstLine="709" w:left="0"/>
        <w:contextualSpacing/>
        <w:jc w:val="both"/>
        <w:rPr>
          <w:rFonts w:eastAsia="Calibri"/>
          <w:bCs/>
        </w:rPr>
      </w:pPr>
      <w:r>
        <w:rPr>
          <w:rFonts w:eastAsia="Calibri"/>
          <w:bCs/>
        </w:rPr>
        <w:t>Распознавать и осуществлять просьбы о переводе звонка на сотрудника ЦТО;</w:t>
      </w:r>
    </w:p>
    <w:p>
      <w:pPr>
        <w:pStyle w:val="Normal"/>
        <w:numPr>
          <w:ilvl w:val="3"/>
          <w:numId w:val="2"/>
        </w:numPr>
        <w:tabs>
          <w:tab w:val="clear" w:pos="708"/>
          <w:tab w:val="left" w:pos="993" w:leader="none"/>
        </w:tabs>
        <w:suppressAutoHyphens w:val="true"/>
        <w:spacing w:before="120" w:after="0"/>
        <w:ind w:firstLine="709" w:left="0"/>
        <w:contextualSpacing/>
        <w:jc w:val="both"/>
        <w:rPr>
          <w:rFonts w:eastAsia="Calibri"/>
          <w:bCs/>
        </w:rPr>
      </w:pPr>
      <w:r>
        <w:rPr>
          <w:rFonts w:eastAsia="Calibri"/>
          <w:bCs/>
        </w:rPr>
        <w:t>Распознавать и сохранять оценки работы АИС ДНС;</w:t>
      </w:r>
    </w:p>
    <w:p>
      <w:pPr>
        <w:pStyle w:val="Normal"/>
        <w:numPr>
          <w:ilvl w:val="3"/>
          <w:numId w:val="2"/>
        </w:numPr>
        <w:tabs>
          <w:tab w:val="clear" w:pos="708"/>
          <w:tab w:val="left" w:pos="993" w:leader="none"/>
        </w:tabs>
        <w:suppressAutoHyphens w:val="true"/>
        <w:spacing w:before="120" w:after="0"/>
        <w:ind w:firstLine="709" w:left="0"/>
        <w:contextualSpacing/>
        <w:jc w:val="both"/>
        <w:rPr>
          <w:rFonts w:eastAsia="Calibri"/>
          <w:bCs/>
        </w:rPr>
      </w:pPr>
      <w:r>
        <w:rPr>
          <w:rFonts w:eastAsia="Calibri"/>
          <w:bCs/>
        </w:rPr>
        <w:t>Распознавать и осуществлять запись Абонента на личный прием в МФЦ;</w:t>
      </w:r>
    </w:p>
    <w:p>
      <w:pPr>
        <w:pStyle w:val="Normal"/>
        <w:numPr>
          <w:ilvl w:val="3"/>
          <w:numId w:val="2"/>
        </w:numPr>
        <w:tabs>
          <w:tab w:val="clear" w:pos="708"/>
          <w:tab w:val="left" w:pos="993" w:leader="none"/>
        </w:tabs>
        <w:suppressAutoHyphens w:val="true"/>
        <w:spacing w:before="120" w:after="0"/>
        <w:ind w:firstLine="709" w:left="0"/>
        <w:contextualSpacing/>
        <w:jc w:val="both"/>
        <w:rPr>
          <w:rFonts w:eastAsia="Calibri"/>
          <w:bCs/>
        </w:rPr>
      </w:pPr>
      <w:r>
        <w:rPr>
          <w:rFonts w:eastAsia="Calibri"/>
          <w:bCs/>
        </w:rPr>
        <w:t>Распознавать и обеспечивать возможность проверки статусов дел в АИС МФЦ.</w:t>
      </w:r>
    </w:p>
    <w:p>
      <w:pPr>
        <w:pStyle w:val="Normal"/>
        <w:numPr>
          <w:ilvl w:val="2"/>
          <w:numId w:val="2"/>
        </w:numPr>
        <w:tabs>
          <w:tab w:val="clear" w:pos="708"/>
          <w:tab w:val="left" w:pos="993" w:leader="none"/>
        </w:tabs>
        <w:suppressAutoHyphens w:val="true"/>
        <w:spacing w:before="120" w:after="0"/>
        <w:ind w:firstLine="709" w:left="0"/>
        <w:contextualSpacing/>
        <w:jc w:val="both"/>
        <w:rPr>
          <w:rFonts w:eastAsia="Calibri"/>
          <w:bCs/>
        </w:rPr>
      </w:pPr>
      <w:r>
        <w:rPr>
          <w:rFonts w:eastAsia="Calibri"/>
          <w:bCs/>
        </w:rPr>
        <w:t xml:space="preserve">Перевод вопроса на сотрудника ЦТО (в случае поступления запроса по каналу связи – телефония), при </w:t>
      </w:r>
      <w:r>
        <w:rPr>
          <w:rFonts w:eastAsia="Liberation Serif"/>
        </w:rPr>
        <w:t>показателе уверенности АИС ДНС в корректности даваемого ответа находится ниже порогового значения, задаваемого в системе отдельным параметром.</w:t>
      </w:r>
      <w:r>
        <w:rPr>
          <w:rFonts w:eastAsia="Calibri"/>
          <w:bCs/>
        </w:rPr>
        <w:t xml:space="preserve"> Базовое значение показателя уверенности не может составлять менее 85%.</w:t>
      </w:r>
    </w:p>
    <w:p>
      <w:pPr>
        <w:pStyle w:val="Normal"/>
        <w:numPr>
          <w:ilvl w:val="2"/>
          <w:numId w:val="2"/>
        </w:numPr>
        <w:tabs>
          <w:tab w:val="clear" w:pos="708"/>
          <w:tab w:val="left" w:pos="993" w:leader="none"/>
        </w:tabs>
        <w:suppressAutoHyphens w:val="true"/>
        <w:spacing w:before="120" w:after="0"/>
        <w:ind w:firstLine="709" w:left="0"/>
        <w:contextualSpacing/>
        <w:jc w:val="both"/>
        <w:rPr>
          <w:rFonts w:eastAsia="Calibri"/>
          <w:bCs/>
        </w:rPr>
      </w:pPr>
      <w:r>
        <w:rPr>
          <w:rFonts w:eastAsia="Calibri"/>
          <w:bCs/>
        </w:rPr>
        <w:t>Возможность приема не менее 1 000 000 голосовых сообщений из любых каналов связи в год.</w:t>
      </w:r>
    </w:p>
    <w:p>
      <w:pPr>
        <w:pStyle w:val="Normal"/>
        <w:numPr>
          <w:ilvl w:val="2"/>
          <w:numId w:val="2"/>
        </w:numPr>
        <w:tabs>
          <w:tab w:val="clear" w:pos="708"/>
          <w:tab w:val="left" w:pos="993" w:leader="none"/>
        </w:tabs>
        <w:suppressAutoHyphens w:val="true"/>
        <w:spacing w:before="120" w:after="0"/>
        <w:ind w:firstLine="709" w:left="0"/>
        <w:contextualSpacing/>
        <w:jc w:val="both"/>
        <w:rPr>
          <w:rFonts w:eastAsia="Calibri"/>
          <w:bCs/>
        </w:rPr>
      </w:pPr>
      <w:r>
        <w:rPr>
          <w:rFonts w:eastAsia="Calibri"/>
          <w:bCs/>
        </w:rPr>
        <w:t>Поддержку работоспособности инструментария оператора АИС ДНС</w:t>
      </w:r>
    </w:p>
    <w:p>
      <w:pPr>
        <w:pStyle w:val="Normal"/>
        <w:numPr>
          <w:ilvl w:val="2"/>
          <w:numId w:val="2"/>
        </w:numPr>
        <w:tabs>
          <w:tab w:val="clear" w:pos="708"/>
          <w:tab w:val="left" w:pos="993" w:leader="none"/>
        </w:tabs>
        <w:suppressAutoHyphens w:val="true"/>
        <w:spacing w:before="120" w:after="0"/>
        <w:ind w:firstLine="709" w:left="0"/>
        <w:contextualSpacing/>
        <w:jc w:val="both"/>
        <w:rPr>
          <w:rFonts w:eastAsia="Calibri"/>
          <w:bCs/>
        </w:rPr>
      </w:pPr>
      <w:r>
        <w:rPr>
          <w:rFonts w:eastAsia="Calibri"/>
          <w:bCs/>
        </w:rPr>
        <w:t>Поддержку работоспособности существующего функционала:</w:t>
      </w:r>
    </w:p>
    <w:p>
      <w:pPr>
        <w:pStyle w:val="Normal"/>
        <w:numPr>
          <w:ilvl w:val="3"/>
          <w:numId w:val="2"/>
        </w:numPr>
        <w:tabs>
          <w:tab w:val="clear" w:pos="708"/>
          <w:tab w:val="left" w:pos="993" w:leader="none"/>
        </w:tabs>
        <w:suppressAutoHyphens w:val="true"/>
        <w:spacing w:before="120" w:after="0"/>
        <w:ind w:firstLine="709" w:left="0"/>
        <w:contextualSpacing/>
        <w:jc w:val="both"/>
        <w:rPr>
          <w:rFonts w:eastAsia="Calibri"/>
          <w:bCs/>
        </w:rPr>
      </w:pPr>
      <w:r>
        <w:rPr>
          <w:rFonts w:eastAsia="Calibri"/>
          <w:bCs/>
        </w:rPr>
        <w:t>Нейросетевая обработка высказываний;</w:t>
      </w:r>
    </w:p>
    <w:p>
      <w:pPr>
        <w:pStyle w:val="Normal"/>
        <w:numPr>
          <w:ilvl w:val="3"/>
          <w:numId w:val="2"/>
        </w:numPr>
        <w:tabs>
          <w:tab w:val="clear" w:pos="708"/>
          <w:tab w:val="left" w:pos="993" w:leader="none"/>
        </w:tabs>
        <w:suppressAutoHyphens w:val="true"/>
        <w:spacing w:before="120" w:after="0"/>
        <w:ind w:firstLine="709" w:left="0"/>
        <w:contextualSpacing/>
        <w:jc w:val="both"/>
        <w:rPr>
          <w:rFonts w:eastAsia="Calibri"/>
          <w:bCs/>
        </w:rPr>
      </w:pPr>
      <w:r>
        <w:rPr>
          <w:rFonts w:eastAsia="Calibri"/>
          <w:bCs/>
        </w:rPr>
        <w:t>Диалоговый модуль;</w:t>
      </w:r>
    </w:p>
    <w:p>
      <w:pPr>
        <w:pStyle w:val="Normal"/>
        <w:numPr>
          <w:ilvl w:val="3"/>
          <w:numId w:val="2"/>
        </w:numPr>
        <w:tabs>
          <w:tab w:val="clear" w:pos="708"/>
          <w:tab w:val="left" w:pos="993" w:leader="none"/>
        </w:tabs>
        <w:suppressAutoHyphens w:val="true"/>
        <w:spacing w:before="120" w:after="0"/>
        <w:ind w:firstLine="709" w:left="0"/>
        <w:contextualSpacing/>
        <w:jc w:val="both"/>
        <w:rPr>
          <w:rFonts w:eastAsia="Calibri"/>
          <w:bCs/>
        </w:rPr>
      </w:pPr>
      <w:r>
        <w:rPr>
          <w:rFonts w:eastAsia="Calibri"/>
          <w:bCs/>
        </w:rPr>
        <w:t>Распознавание голоса;</w:t>
      </w:r>
    </w:p>
    <w:p>
      <w:pPr>
        <w:pStyle w:val="Normal"/>
        <w:numPr>
          <w:ilvl w:val="3"/>
          <w:numId w:val="2"/>
        </w:numPr>
        <w:tabs>
          <w:tab w:val="clear" w:pos="708"/>
          <w:tab w:val="left" w:pos="993" w:leader="none"/>
        </w:tabs>
        <w:suppressAutoHyphens w:val="true"/>
        <w:spacing w:before="120" w:after="0"/>
        <w:ind w:firstLine="709" w:left="0"/>
        <w:contextualSpacing/>
        <w:jc w:val="both"/>
        <w:rPr>
          <w:rFonts w:eastAsia="Calibri"/>
          <w:bCs/>
        </w:rPr>
      </w:pPr>
      <w:r>
        <w:rPr>
          <w:rFonts w:eastAsia="Calibri"/>
          <w:bCs/>
        </w:rPr>
        <w:t>Генерация голоса;</w:t>
      </w:r>
    </w:p>
    <w:p>
      <w:pPr>
        <w:pStyle w:val="Normal"/>
        <w:numPr>
          <w:ilvl w:val="3"/>
          <w:numId w:val="2"/>
        </w:numPr>
        <w:tabs>
          <w:tab w:val="clear" w:pos="708"/>
          <w:tab w:val="left" w:pos="993" w:leader="none"/>
        </w:tabs>
        <w:suppressAutoHyphens w:val="true"/>
        <w:spacing w:before="120" w:after="0"/>
        <w:ind w:firstLine="709" w:left="0"/>
        <w:contextualSpacing/>
        <w:jc w:val="both"/>
        <w:rPr>
          <w:rFonts w:eastAsia="Calibri"/>
          <w:bCs/>
        </w:rPr>
      </w:pPr>
      <w:r>
        <w:rPr>
          <w:rFonts w:eastAsia="Calibri"/>
          <w:bCs/>
        </w:rPr>
        <w:t>Текстовый интерфейс;</w:t>
      </w:r>
    </w:p>
    <w:p>
      <w:pPr>
        <w:pStyle w:val="Normal"/>
        <w:numPr>
          <w:ilvl w:val="3"/>
          <w:numId w:val="2"/>
        </w:numPr>
        <w:tabs>
          <w:tab w:val="clear" w:pos="708"/>
          <w:tab w:val="left" w:pos="993" w:leader="none"/>
        </w:tabs>
        <w:suppressAutoHyphens w:val="true"/>
        <w:spacing w:before="120" w:after="0"/>
        <w:ind w:firstLine="709" w:left="0"/>
        <w:contextualSpacing/>
        <w:jc w:val="both"/>
        <w:rPr>
          <w:rFonts w:eastAsia="Calibri"/>
          <w:bCs/>
        </w:rPr>
      </w:pPr>
      <w:r>
        <w:rPr>
          <w:rFonts w:eastAsia="Calibri"/>
          <w:bCs/>
        </w:rPr>
        <w:t>Интеграция с мессенджерами (</w:t>
      </w:r>
      <w:r>
        <w:rPr>
          <w:rFonts w:eastAsia="Calibri"/>
          <w:bCs/>
          <w:lang w:val="en-US"/>
        </w:rPr>
        <w:t>Telegram</w:t>
      </w:r>
      <w:r>
        <w:rPr>
          <w:rFonts w:eastAsia="Calibri"/>
          <w:bCs/>
        </w:rPr>
        <w:t xml:space="preserve">, ВКонтакте, </w:t>
      </w:r>
      <w:r>
        <w:rPr>
          <w:rFonts w:eastAsia="Calibri"/>
          <w:bCs/>
          <w:lang w:val="en-US"/>
        </w:rPr>
        <w:t>MAX</w:t>
      </w:r>
      <w:r>
        <w:rPr>
          <w:rFonts w:eastAsia="Calibri"/>
          <w:bCs/>
        </w:rPr>
        <w:t>);</w:t>
      </w:r>
    </w:p>
    <w:p>
      <w:pPr>
        <w:pStyle w:val="Normal"/>
        <w:numPr>
          <w:ilvl w:val="3"/>
          <w:numId w:val="2"/>
        </w:numPr>
        <w:tabs>
          <w:tab w:val="clear" w:pos="708"/>
          <w:tab w:val="left" w:pos="993" w:leader="none"/>
        </w:tabs>
        <w:suppressAutoHyphens w:val="true"/>
        <w:spacing w:before="120" w:after="0"/>
        <w:ind w:firstLine="709" w:left="0"/>
        <w:contextualSpacing/>
        <w:jc w:val="both"/>
        <w:rPr>
          <w:rFonts w:eastAsia="Calibri"/>
          <w:bCs/>
        </w:rPr>
      </w:pPr>
      <w:r>
        <w:rPr>
          <w:rFonts w:eastAsia="Calibri"/>
          <w:bCs/>
        </w:rPr>
        <w:t>Обработка входящего звонка;</w:t>
      </w:r>
    </w:p>
    <w:p>
      <w:pPr>
        <w:pStyle w:val="Normal"/>
        <w:numPr>
          <w:ilvl w:val="3"/>
          <w:numId w:val="2"/>
        </w:numPr>
        <w:tabs>
          <w:tab w:val="clear" w:pos="708"/>
          <w:tab w:val="left" w:pos="993" w:leader="none"/>
        </w:tabs>
        <w:suppressAutoHyphens w:val="true"/>
        <w:spacing w:before="120" w:after="0"/>
        <w:ind w:firstLine="709" w:left="0"/>
        <w:contextualSpacing/>
        <w:jc w:val="both"/>
        <w:rPr>
          <w:rFonts w:eastAsia="Calibri"/>
          <w:bCs/>
        </w:rPr>
      </w:pPr>
      <w:r>
        <w:rPr>
          <w:rFonts w:eastAsia="Calibri"/>
          <w:bCs/>
        </w:rPr>
        <w:t>Формирование датасетов и управления обучением;</w:t>
      </w:r>
    </w:p>
    <w:p>
      <w:pPr>
        <w:pStyle w:val="Normal"/>
        <w:numPr>
          <w:ilvl w:val="3"/>
          <w:numId w:val="2"/>
        </w:numPr>
        <w:tabs>
          <w:tab w:val="clear" w:pos="708"/>
          <w:tab w:val="left" w:pos="993" w:leader="none"/>
        </w:tabs>
        <w:suppressAutoHyphens w:val="true"/>
        <w:spacing w:before="120" w:after="0"/>
        <w:ind w:firstLine="709" w:left="0"/>
        <w:contextualSpacing/>
        <w:jc w:val="both"/>
        <w:rPr>
          <w:rFonts w:eastAsia="Calibri"/>
          <w:bCs/>
        </w:rPr>
      </w:pPr>
      <w:r>
        <w:rPr>
          <w:rFonts w:eastAsia="Calibri"/>
          <w:bCs/>
        </w:rPr>
        <w:t>Авторизация;</w:t>
      </w:r>
    </w:p>
    <w:p>
      <w:pPr>
        <w:pStyle w:val="Normal"/>
        <w:numPr>
          <w:ilvl w:val="3"/>
          <w:numId w:val="2"/>
        </w:numPr>
        <w:tabs>
          <w:tab w:val="clear" w:pos="708"/>
          <w:tab w:val="left" w:pos="993" w:leader="none"/>
          <w:tab w:val="left" w:pos="1560" w:leader="none"/>
        </w:tabs>
        <w:suppressAutoHyphens w:val="true"/>
        <w:spacing w:before="120" w:after="0"/>
        <w:ind w:firstLine="709" w:left="0"/>
        <w:contextualSpacing/>
        <w:jc w:val="both"/>
        <w:rPr>
          <w:rFonts w:eastAsia="Calibri"/>
          <w:bCs/>
        </w:rPr>
      </w:pPr>
      <w:r>
        <w:rPr>
          <w:rFonts w:eastAsia="Calibri"/>
          <w:bCs/>
        </w:rPr>
        <w:t xml:space="preserve"> </w:t>
      </w:r>
      <w:r>
        <w:rPr>
          <w:rFonts w:eastAsia="Calibri"/>
          <w:bCs/>
        </w:rPr>
        <w:t>Проверка статуса дела, интегрируемая с АИС МФЦ;</w:t>
      </w:r>
    </w:p>
    <w:p>
      <w:pPr>
        <w:pStyle w:val="Normal"/>
        <w:numPr>
          <w:ilvl w:val="3"/>
          <w:numId w:val="2"/>
        </w:numPr>
        <w:tabs>
          <w:tab w:val="clear" w:pos="708"/>
          <w:tab w:val="left" w:pos="993" w:leader="none"/>
          <w:tab w:val="left" w:pos="1560" w:leader="none"/>
        </w:tabs>
        <w:suppressAutoHyphens w:val="true"/>
        <w:spacing w:before="120" w:after="0"/>
        <w:ind w:firstLine="709" w:left="0"/>
        <w:contextualSpacing/>
        <w:jc w:val="both"/>
        <w:rPr>
          <w:rFonts w:eastAsia="Calibri"/>
          <w:bCs/>
        </w:rPr>
      </w:pPr>
      <w:r>
        <w:rPr>
          <w:rFonts w:eastAsia="Calibri"/>
          <w:bCs/>
        </w:rPr>
        <w:t xml:space="preserve"> </w:t>
      </w:r>
      <w:r>
        <w:rPr>
          <w:rFonts w:eastAsia="Calibri"/>
          <w:bCs/>
        </w:rPr>
        <w:t>Предварительная запись на прием, интегрируемая с АИС МФЦ;</w:t>
      </w:r>
    </w:p>
    <w:p>
      <w:pPr>
        <w:pStyle w:val="Normal"/>
        <w:numPr>
          <w:ilvl w:val="3"/>
          <w:numId w:val="2"/>
        </w:numPr>
        <w:tabs>
          <w:tab w:val="clear" w:pos="708"/>
          <w:tab w:val="left" w:pos="993" w:leader="none"/>
          <w:tab w:val="left" w:pos="1560" w:leader="none"/>
          <w:tab w:val="left" w:pos="1701" w:leader="none"/>
        </w:tabs>
        <w:suppressAutoHyphens w:val="true"/>
        <w:spacing w:before="120" w:after="0"/>
        <w:ind w:firstLine="709" w:left="0"/>
        <w:contextualSpacing/>
        <w:jc w:val="both"/>
        <w:rPr>
          <w:rFonts w:eastAsia="Calibri"/>
          <w:bCs/>
        </w:rPr>
      </w:pPr>
      <w:r>
        <w:rPr>
          <w:rFonts w:eastAsia="Calibri"/>
          <w:bCs/>
        </w:rPr>
        <w:t xml:space="preserve"> </w:t>
      </w:r>
      <w:r>
        <w:rPr>
          <w:rFonts w:eastAsia="Calibri"/>
          <w:bCs/>
        </w:rPr>
        <w:t>Обработка исходящего вызова</w:t>
      </w:r>
    </w:p>
    <w:p>
      <w:pPr>
        <w:pStyle w:val="Normal"/>
        <w:numPr>
          <w:ilvl w:val="3"/>
          <w:numId w:val="2"/>
        </w:numPr>
        <w:tabs>
          <w:tab w:val="clear" w:pos="708"/>
          <w:tab w:val="left" w:pos="993" w:leader="none"/>
          <w:tab w:val="left" w:pos="1560" w:leader="none"/>
        </w:tabs>
        <w:suppressAutoHyphens w:val="true"/>
        <w:spacing w:before="120" w:after="0"/>
        <w:ind w:firstLine="709" w:left="0"/>
        <w:contextualSpacing/>
        <w:jc w:val="both"/>
        <w:rPr>
          <w:rFonts w:eastAsia="Calibri"/>
          <w:bCs/>
        </w:rPr>
      </w:pPr>
      <w:r>
        <w:rPr>
          <w:rFonts w:eastAsia="Calibri"/>
          <w:bCs/>
        </w:rPr>
        <w:t xml:space="preserve"> </w:t>
      </w:r>
      <w:r>
        <w:rPr>
          <w:rFonts w:eastAsia="Calibri"/>
          <w:bCs/>
        </w:rPr>
        <w:t>Отчетность.</w:t>
      </w:r>
    </w:p>
    <w:p>
      <w:pPr>
        <w:pStyle w:val="Normal"/>
        <w:numPr>
          <w:ilvl w:val="2"/>
          <w:numId w:val="2"/>
        </w:numPr>
        <w:tabs>
          <w:tab w:val="clear" w:pos="708"/>
          <w:tab w:val="left" w:pos="993" w:leader="none"/>
        </w:tabs>
        <w:suppressAutoHyphens w:val="true"/>
        <w:spacing w:before="120" w:after="0"/>
        <w:ind w:firstLine="709" w:left="0"/>
        <w:contextualSpacing/>
        <w:jc w:val="both"/>
        <w:rPr>
          <w:rFonts w:eastAsia="Calibri"/>
          <w:b/>
          <w:bCs/>
        </w:rPr>
      </w:pPr>
      <w:r>
        <w:rPr>
          <w:rFonts w:eastAsia="Calibri"/>
          <w:bCs/>
        </w:rPr>
        <w:t>Работоспособность иного встроенного функционала АИС ДНС.</w:t>
      </w:r>
    </w:p>
    <w:p>
      <w:pPr>
        <w:pStyle w:val="Normal"/>
        <w:numPr>
          <w:ilvl w:val="1"/>
          <w:numId w:val="2"/>
        </w:numPr>
        <w:tabs>
          <w:tab w:val="clear" w:pos="708"/>
          <w:tab w:val="left" w:pos="993" w:leader="none"/>
        </w:tabs>
        <w:suppressAutoHyphens w:val="true"/>
        <w:spacing w:before="120" w:after="0"/>
        <w:ind w:firstLine="709" w:left="0"/>
        <w:contextualSpacing/>
        <w:jc w:val="both"/>
        <w:rPr>
          <w:rFonts w:eastAsia="Calibri"/>
          <w:bCs/>
        </w:rPr>
      </w:pPr>
      <w:r>
        <w:rPr>
          <w:rFonts w:eastAsia="Calibri"/>
          <w:bCs/>
        </w:rPr>
        <w:t>Поддержание корректной работы понятия «Вопросно-Ответной пары»</w:t>
      </w:r>
    </w:p>
    <w:p>
      <w:pPr>
        <w:pStyle w:val="Normal"/>
        <w:numPr>
          <w:ilvl w:val="2"/>
          <w:numId w:val="2"/>
        </w:numPr>
        <w:tabs>
          <w:tab w:val="clear" w:pos="708"/>
          <w:tab w:val="left" w:pos="993" w:leader="none"/>
        </w:tabs>
        <w:suppressAutoHyphens w:val="true"/>
        <w:spacing w:before="120" w:after="0"/>
        <w:ind w:firstLine="709" w:left="0"/>
        <w:contextualSpacing/>
        <w:jc w:val="both"/>
        <w:rPr>
          <w:rFonts w:eastAsia="Calibri"/>
          <w:bCs/>
        </w:rPr>
      </w:pPr>
      <w:r>
        <w:rPr>
          <w:rFonts w:eastAsia="Calibri"/>
          <w:bCs/>
        </w:rPr>
        <w:t>Под вопросно-ответной парой понимается:</w:t>
      </w:r>
    </w:p>
    <w:p>
      <w:pPr>
        <w:pStyle w:val="Normal"/>
        <w:numPr>
          <w:ilvl w:val="3"/>
          <w:numId w:val="2"/>
        </w:numPr>
        <w:tabs>
          <w:tab w:val="clear" w:pos="708"/>
          <w:tab w:val="left" w:pos="993" w:leader="none"/>
        </w:tabs>
        <w:suppressAutoHyphens w:val="true"/>
        <w:spacing w:before="120" w:after="0"/>
        <w:ind w:firstLine="709" w:left="0"/>
        <w:contextualSpacing/>
        <w:jc w:val="both"/>
        <w:rPr>
          <w:rFonts w:eastAsia="Calibri"/>
          <w:bCs/>
        </w:rPr>
      </w:pPr>
      <w:r>
        <w:rPr>
          <w:rFonts w:eastAsia="Calibri"/>
          <w:bCs/>
        </w:rPr>
        <w:t>Вопрос Абонента, заданный по любому каналу связи АИС ДНС, подразумевающий один краткий или развернутый ответ, не имеющий уточнений, не являющимся вопросом по услугам МФЦ или уточнением к ней, таких как, но не ограничиваясь: возможность или способы оплаты государственной пошлины, вопросы по специфике работы отделений МФЦ и иные общие вопросы;</w:t>
      </w:r>
    </w:p>
    <w:p>
      <w:pPr>
        <w:pStyle w:val="Normal"/>
        <w:numPr>
          <w:ilvl w:val="3"/>
          <w:numId w:val="2"/>
        </w:numPr>
        <w:tabs>
          <w:tab w:val="clear" w:pos="708"/>
          <w:tab w:val="left" w:pos="993" w:leader="none"/>
        </w:tabs>
        <w:suppressAutoHyphens w:val="true"/>
        <w:spacing w:before="120" w:after="0"/>
        <w:ind w:firstLine="709" w:left="0"/>
        <w:contextualSpacing/>
        <w:jc w:val="both"/>
        <w:rPr>
          <w:rFonts w:eastAsia="Calibri"/>
          <w:bCs/>
        </w:rPr>
      </w:pPr>
      <w:r>
        <w:rPr>
          <w:rFonts w:eastAsia="Calibri"/>
          <w:bCs/>
        </w:rPr>
        <w:t>Совокупность вопросов в отношении одной услуги МФЦ разного типа (таких как вопросы о наборе документов, перечне лиц, сроки и место оказания, размер госпошлины за оказание услуги), которые в рамках диалога могут образовать одну логическую форму;</w:t>
      </w:r>
    </w:p>
    <w:p>
      <w:pPr>
        <w:pStyle w:val="Normal"/>
        <w:numPr>
          <w:ilvl w:val="3"/>
          <w:numId w:val="2"/>
        </w:numPr>
        <w:tabs>
          <w:tab w:val="clear" w:pos="708"/>
          <w:tab w:val="left" w:pos="993" w:leader="none"/>
        </w:tabs>
        <w:suppressAutoHyphens w:val="true"/>
        <w:spacing w:before="120" w:after="0"/>
        <w:ind w:firstLine="709" w:left="0"/>
        <w:contextualSpacing/>
        <w:jc w:val="both"/>
        <w:rPr>
          <w:rFonts w:eastAsia="Calibri"/>
          <w:b/>
          <w:bCs/>
        </w:rPr>
      </w:pPr>
      <w:r>
        <w:rPr>
          <w:rFonts w:eastAsia="Calibri"/>
          <w:bCs/>
        </w:rPr>
        <w:t>Уточняющий вопрос АИС ДНС в отношении одной услуги МФЦ, который может существенно изменить порядок оказания услуги (таких, как вопросы о наборе документов, перечне лиц, сроки и место оказания, размер госпошлины за оказание услуги), которые в рамках диалога не могут образовать одну логическую форму.</w:t>
      </w:r>
    </w:p>
    <w:p>
      <w:pPr>
        <w:pStyle w:val="Normal"/>
        <w:numPr>
          <w:ilvl w:val="1"/>
          <w:numId w:val="2"/>
        </w:numPr>
        <w:tabs>
          <w:tab w:val="clear" w:pos="708"/>
          <w:tab w:val="left" w:pos="993" w:leader="none"/>
        </w:tabs>
        <w:suppressAutoHyphens w:val="true"/>
        <w:spacing w:before="120" w:after="0"/>
        <w:ind w:firstLine="709" w:left="0"/>
        <w:contextualSpacing/>
        <w:jc w:val="both"/>
        <w:rPr>
          <w:rFonts w:eastAsia="Calibri"/>
          <w:bCs/>
        </w:rPr>
      </w:pPr>
      <w:r>
        <w:rPr>
          <w:rFonts w:eastAsia="Calibri"/>
          <w:bCs/>
        </w:rPr>
        <w:t>Поддержку мониторинга и отчетов, балансировки, изменения, корректировки правил и сценариев, настройки интерфейсов, дообучения, анализа ошибок, настройки логики, изменение настроек: системы, модулей, программного обеспечения, а именно:</w:t>
      </w:r>
    </w:p>
    <w:p>
      <w:pPr>
        <w:pStyle w:val="Normal"/>
        <w:numPr>
          <w:ilvl w:val="2"/>
          <w:numId w:val="2"/>
        </w:numPr>
        <w:tabs>
          <w:tab w:val="clear" w:pos="708"/>
          <w:tab w:val="left" w:pos="993" w:leader="none"/>
        </w:tabs>
        <w:suppressAutoHyphens w:val="true"/>
        <w:spacing w:before="120" w:after="0"/>
        <w:ind w:firstLine="709" w:left="0"/>
        <w:contextualSpacing/>
        <w:jc w:val="both"/>
        <w:rPr>
          <w:rFonts w:eastAsia="Calibri"/>
          <w:bCs/>
        </w:rPr>
      </w:pPr>
      <w:r>
        <w:rPr>
          <w:rFonts w:eastAsia="Calibri"/>
          <w:bCs/>
        </w:rPr>
        <w:t>Мониторинг работы и результатов работы АИС ДНС;</w:t>
      </w:r>
    </w:p>
    <w:p>
      <w:pPr>
        <w:pStyle w:val="Normal"/>
        <w:numPr>
          <w:ilvl w:val="2"/>
          <w:numId w:val="2"/>
        </w:numPr>
        <w:tabs>
          <w:tab w:val="clear" w:pos="708"/>
          <w:tab w:val="left" w:pos="993" w:leader="none"/>
        </w:tabs>
        <w:suppressAutoHyphens w:val="true"/>
        <w:spacing w:before="120" w:after="0"/>
        <w:ind w:firstLine="709" w:left="0"/>
        <w:contextualSpacing/>
        <w:jc w:val="both"/>
        <w:rPr>
          <w:rFonts w:eastAsia="Calibri"/>
          <w:bCs/>
        </w:rPr>
      </w:pPr>
      <w:r>
        <w:rPr>
          <w:rFonts w:eastAsia="Calibri"/>
          <w:bCs/>
        </w:rPr>
        <w:t>Контроль формирования АИС ДНС отчетов;</w:t>
      </w:r>
    </w:p>
    <w:p>
      <w:pPr>
        <w:pStyle w:val="Normal"/>
        <w:numPr>
          <w:ilvl w:val="2"/>
          <w:numId w:val="2"/>
        </w:numPr>
        <w:tabs>
          <w:tab w:val="clear" w:pos="708"/>
          <w:tab w:val="left" w:pos="993" w:leader="none"/>
        </w:tabs>
        <w:suppressAutoHyphens w:val="true"/>
        <w:spacing w:before="120" w:after="0"/>
        <w:ind w:firstLine="709" w:left="0"/>
        <w:contextualSpacing/>
        <w:jc w:val="both"/>
        <w:rPr>
          <w:rFonts w:eastAsia="Calibri"/>
          <w:bCs/>
        </w:rPr>
      </w:pPr>
      <w:r>
        <w:rPr>
          <w:rFonts w:eastAsia="Calibri"/>
          <w:bCs/>
        </w:rPr>
        <w:t>Мониторинг и контроль функционирования модуля предварительной записи на прием;</w:t>
      </w:r>
    </w:p>
    <w:p>
      <w:pPr>
        <w:pStyle w:val="Normal"/>
        <w:numPr>
          <w:ilvl w:val="2"/>
          <w:numId w:val="2"/>
        </w:numPr>
        <w:tabs>
          <w:tab w:val="clear" w:pos="708"/>
          <w:tab w:val="left" w:pos="993" w:leader="none"/>
        </w:tabs>
        <w:suppressAutoHyphens w:val="true"/>
        <w:spacing w:before="120" w:after="0"/>
        <w:contextualSpacing/>
        <w:jc w:val="both"/>
        <w:rPr>
          <w:rFonts w:eastAsia="Calibri"/>
          <w:bCs/>
        </w:rPr>
      </w:pPr>
      <w:r>
        <w:rPr>
          <w:rFonts w:eastAsia="Calibri"/>
          <w:bCs/>
        </w:rPr>
        <w:t>Мониторинг и контроль функционирования модуля проверки статуса дела.</w:t>
      </w:r>
    </w:p>
    <w:p>
      <w:pPr>
        <w:pStyle w:val="Normal"/>
        <w:numPr>
          <w:ilvl w:val="2"/>
          <w:numId w:val="2"/>
        </w:numPr>
        <w:tabs>
          <w:tab w:val="clear" w:pos="708"/>
          <w:tab w:val="left" w:pos="720" w:leader="none"/>
        </w:tabs>
        <w:suppressAutoHyphens w:val="true"/>
        <w:spacing w:before="120" w:after="0"/>
        <w:ind w:firstLine="709" w:left="0"/>
        <w:contextualSpacing/>
        <w:jc w:val="both"/>
        <w:rPr>
          <w:rFonts w:eastAsia="Calibri"/>
          <w:bCs/>
        </w:rPr>
      </w:pPr>
      <w:r>
        <w:rPr>
          <w:rFonts w:eastAsia="Calibri"/>
          <w:bCs/>
        </w:rPr>
        <w:t>Балансировку датасета АИС ДНС и переобучение нейросетевых ансамблей. Программы в целях повышения точности ее ответов не реже 1 раза в неделю;</w:t>
      </w:r>
    </w:p>
    <w:p>
      <w:pPr>
        <w:pStyle w:val="Normal"/>
        <w:numPr>
          <w:ilvl w:val="2"/>
          <w:numId w:val="2"/>
        </w:numPr>
        <w:tabs>
          <w:tab w:val="clear" w:pos="708"/>
          <w:tab w:val="left" w:pos="993" w:leader="none"/>
        </w:tabs>
        <w:suppressAutoHyphens w:val="true"/>
        <w:spacing w:before="120" w:after="0"/>
        <w:contextualSpacing/>
        <w:jc w:val="both"/>
        <w:rPr>
          <w:rFonts w:eastAsia="Calibri"/>
        </w:rPr>
      </w:pPr>
      <w:r>
        <w:rPr>
          <w:rFonts w:eastAsia="Calibri"/>
          <w:bCs/>
        </w:rPr>
        <w:t>Устранение текстов ошибочных реакций АИС ДНС;</w:t>
      </w:r>
    </w:p>
    <w:p>
      <w:pPr>
        <w:pStyle w:val="Normal"/>
        <w:numPr>
          <w:ilvl w:val="2"/>
          <w:numId w:val="2"/>
        </w:numPr>
        <w:tabs>
          <w:tab w:val="clear" w:pos="708"/>
          <w:tab w:val="left" w:pos="993" w:leader="none"/>
        </w:tabs>
        <w:suppressAutoHyphens w:val="true"/>
        <w:spacing w:before="120" w:after="0"/>
        <w:ind w:firstLine="709" w:left="0"/>
        <w:contextualSpacing/>
        <w:jc w:val="both"/>
        <w:rPr>
          <w:rFonts w:eastAsia="Calibri"/>
        </w:rPr>
      </w:pPr>
      <w:r>
        <w:rPr>
          <w:rFonts w:eastAsia="Calibri"/>
        </w:rPr>
        <w:t xml:space="preserve">По запросу Заказчика производить изменение существующих вопросно-ответных пар в АИС ДНС. </w:t>
      </w:r>
    </w:p>
    <w:p>
      <w:pPr>
        <w:pStyle w:val="Normal"/>
        <w:numPr>
          <w:ilvl w:val="2"/>
          <w:numId w:val="2"/>
        </w:numPr>
        <w:tabs>
          <w:tab w:val="clear" w:pos="708"/>
          <w:tab w:val="left" w:pos="993" w:leader="none"/>
        </w:tabs>
        <w:suppressAutoHyphens w:val="true"/>
        <w:spacing w:before="120" w:after="0"/>
        <w:ind w:firstLine="709" w:left="0"/>
        <w:contextualSpacing/>
        <w:jc w:val="both"/>
        <w:rPr>
          <w:rFonts w:eastAsia="Calibri"/>
        </w:rPr>
      </w:pPr>
      <w:r>
        <w:rPr>
          <w:rFonts w:eastAsia="Calibri"/>
        </w:rPr>
        <w:t xml:space="preserve">По запросу Заказчика производить добавление новых вопросно-ответных пар в АИС ДНС, в объеме до 3 вопросно-ответных пар ежемесячно.  </w:t>
      </w:r>
    </w:p>
    <w:p>
      <w:pPr>
        <w:pStyle w:val="Normal"/>
        <w:numPr>
          <w:ilvl w:val="2"/>
          <w:numId w:val="2"/>
        </w:numPr>
        <w:tabs>
          <w:tab w:val="clear" w:pos="708"/>
          <w:tab w:val="left" w:pos="993" w:leader="none"/>
          <w:tab w:val="left" w:pos="1560" w:leader="none"/>
        </w:tabs>
        <w:suppressAutoHyphens w:val="true"/>
        <w:spacing w:before="120" w:after="0"/>
        <w:ind w:firstLine="709" w:left="0"/>
        <w:contextualSpacing/>
        <w:jc w:val="both"/>
        <w:rPr>
          <w:rFonts w:eastAsia="Calibri"/>
        </w:rPr>
      </w:pPr>
      <w:r>
        <w:rPr>
          <w:rFonts w:eastAsia="Calibri"/>
        </w:rPr>
        <w:t>Устранение из АИС ДНС вопросно-ответных пар, потерявших свою актуальность;</w:t>
      </w:r>
    </w:p>
    <w:p>
      <w:pPr>
        <w:pStyle w:val="Normal"/>
        <w:numPr>
          <w:ilvl w:val="2"/>
          <w:numId w:val="2"/>
        </w:numPr>
        <w:tabs>
          <w:tab w:val="clear" w:pos="708"/>
          <w:tab w:val="left" w:pos="993" w:leader="none"/>
          <w:tab w:val="left" w:pos="1560" w:leader="none"/>
        </w:tabs>
        <w:suppressAutoHyphens w:val="true"/>
        <w:spacing w:before="120" w:after="0"/>
        <w:ind w:firstLine="709" w:left="0"/>
        <w:contextualSpacing/>
        <w:jc w:val="both"/>
        <w:rPr>
          <w:rFonts w:eastAsia="Calibri"/>
        </w:rPr>
      </w:pPr>
      <w:r>
        <w:rPr>
          <w:rFonts w:eastAsia="Calibri"/>
        </w:rPr>
        <w:t>Коррекцию текстов ответов АИС ДНС.</w:t>
      </w:r>
    </w:p>
    <w:p>
      <w:pPr>
        <w:pStyle w:val="Normal"/>
        <w:numPr>
          <w:ilvl w:val="2"/>
          <w:numId w:val="2"/>
        </w:numPr>
        <w:tabs>
          <w:tab w:val="clear" w:pos="708"/>
          <w:tab w:val="left" w:pos="993" w:leader="none"/>
          <w:tab w:val="left" w:pos="1560" w:leader="none"/>
        </w:tabs>
        <w:suppressAutoHyphens w:val="true"/>
        <w:spacing w:before="120" w:after="0"/>
        <w:ind w:firstLine="709" w:left="0"/>
        <w:contextualSpacing/>
        <w:jc w:val="both"/>
        <w:rPr>
          <w:rFonts w:eastAsia="Calibri"/>
          <w:bCs/>
        </w:rPr>
      </w:pPr>
      <w:r>
        <w:rPr>
          <w:rFonts w:eastAsia="Calibri"/>
        </w:rPr>
        <w:t>Новые разработки в бизнес-логике не входят в перечень работ по сопровождению. Корректировка поведения бота может быть произведена по предварительному согласованию с Заказчиком взамен введения ВОП из расчета, что работа над одним ВОП составляет 12 рабочих часов. Определение трудозатрат на корректировку бизнес-логики производится по каждой задаче индивидуально.</w:t>
      </w:r>
    </w:p>
    <w:p>
      <w:pPr>
        <w:pStyle w:val="Normal"/>
        <w:numPr>
          <w:ilvl w:val="2"/>
          <w:numId w:val="2"/>
        </w:numPr>
        <w:tabs>
          <w:tab w:val="clear" w:pos="708"/>
          <w:tab w:val="left" w:pos="993" w:leader="none"/>
          <w:tab w:val="left" w:pos="1560" w:leader="none"/>
        </w:tabs>
        <w:suppressAutoHyphens w:val="true"/>
        <w:spacing w:before="120" w:after="0"/>
        <w:ind w:firstLine="709" w:left="0"/>
        <w:contextualSpacing/>
        <w:jc w:val="both"/>
        <w:rPr>
          <w:rFonts w:eastAsia="Calibri"/>
          <w:bCs/>
        </w:rPr>
      </w:pPr>
      <w:r>
        <w:rPr>
          <w:rFonts w:eastAsia="Calibri"/>
          <w:bCs/>
        </w:rPr>
        <w:t>Настройка сценариев исходящего вызовов - таких, как "подтверждение записи на прием", "оповещение о готовности статуса дел".</w:t>
      </w:r>
    </w:p>
    <w:p>
      <w:pPr>
        <w:pStyle w:val="Normal"/>
        <w:numPr>
          <w:ilvl w:val="2"/>
          <w:numId w:val="2"/>
        </w:numPr>
        <w:tabs>
          <w:tab w:val="clear" w:pos="708"/>
          <w:tab w:val="left" w:pos="993" w:leader="none"/>
          <w:tab w:val="left" w:pos="1560" w:leader="none"/>
        </w:tabs>
        <w:suppressAutoHyphens w:val="true"/>
        <w:spacing w:before="120" w:after="0"/>
        <w:contextualSpacing/>
        <w:jc w:val="both"/>
        <w:rPr>
          <w:rFonts w:eastAsia="Calibri"/>
          <w:bCs/>
        </w:rPr>
      </w:pPr>
      <w:r>
        <w:rPr>
          <w:rFonts w:eastAsia="Calibri"/>
          <w:bCs/>
        </w:rPr>
        <w:t>Настройка интерфейсов в мессенджере МАКС, адаптация бизнес-логики</w:t>
      </w:r>
    </w:p>
    <w:p>
      <w:pPr>
        <w:pStyle w:val="Normal"/>
        <w:numPr>
          <w:ilvl w:val="2"/>
          <w:numId w:val="2"/>
        </w:numPr>
        <w:tabs>
          <w:tab w:val="clear" w:pos="708"/>
          <w:tab w:val="left" w:pos="993" w:leader="none"/>
          <w:tab w:val="left" w:pos="1560" w:leader="none"/>
        </w:tabs>
        <w:suppressAutoHyphens w:val="true"/>
        <w:spacing w:before="120" w:after="0"/>
        <w:contextualSpacing/>
        <w:jc w:val="both"/>
        <w:rPr>
          <w:rFonts w:eastAsia="Calibri"/>
          <w:bCs/>
        </w:rPr>
      </w:pPr>
      <w:r>
        <w:rPr>
          <w:rFonts w:eastAsia="Calibri"/>
          <w:bCs/>
        </w:rPr>
        <w:t>Разработка и внедрение новых высокоскоростных нейросетевых моделей.</w:t>
      </w:r>
    </w:p>
    <w:p>
      <w:pPr>
        <w:pStyle w:val="Normal"/>
        <w:numPr>
          <w:ilvl w:val="2"/>
          <w:numId w:val="2"/>
        </w:numPr>
        <w:tabs>
          <w:tab w:val="clear" w:pos="708"/>
          <w:tab w:val="left" w:pos="993" w:leader="none"/>
          <w:tab w:val="left" w:pos="1560" w:leader="none"/>
        </w:tabs>
        <w:suppressAutoHyphens w:val="true"/>
        <w:spacing w:before="120" w:after="0"/>
        <w:ind w:firstLine="709" w:left="0"/>
        <w:contextualSpacing/>
        <w:jc w:val="both"/>
        <w:rPr>
          <w:rFonts w:eastAsia="Calibri"/>
          <w:bCs/>
        </w:rPr>
      </w:pPr>
      <w:r>
        <w:rPr>
          <w:rFonts w:eastAsia="Calibri"/>
          <w:bCs/>
        </w:rPr>
        <w:t>Создание и адаптация статистических отчетов под нужды Заказчика.</w:t>
      </w:r>
    </w:p>
    <w:p>
      <w:pPr>
        <w:pStyle w:val="Normal"/>
        <w:numPr>
          <w:ilvl w:val="2"/>
          <w:numId w:val="2"/>
        </w:numPr>
        <w:tabs>
          <w:tab w:val="clear" w:pos="708"/>
          <w:tab w:val="left" w:pos="993" w:leader="none"/>
          <w:tab w:val="left" w:pos="1560" w:leader="none"/>
        </w:tabs>
        <w:suppressAutoHyphens w:val="true"/>
        <w:spacing w:before="120" w:after="0"/>
        <w:ind w:firstLine="709" w:left="0"/>
        <w:contextualSpacing/>
        <w:jc w:val="both"/>
        <w:rPr>
          <w:rFonts w:eastAsia="Calibri"/>
          <w:bCs/>
        </w:rPr>
      </w:pPr>
      <w:r>
        <w:rPr>
          <w:rFonts w:eastAsia="Calibri"/>
          <w:bCs/>
        </w:rPr>
        <w:t>Дообучение моделей распознавания голоса с учетом наличия региональных топонимов, особенностей ФИО.</w:t>
      </w:r>
    </w:p>
    <w:p>
      <w:pPr>
        <w:pStyle w:val="Normal"/>
        <w:numPr>
          <w:ilvl w:val="2"/>
          <w:numId w:val="2"/>
        </w:numPr>
        <w:tabs>
          <w:tab w:val="clear" w:pos="708"/>
          <w:tab w:val="left" w:pos="993" w:leader="none"/>
          <w:tab w:val="left" w:pos="1560" w:leader="none"/>
        </w:tabs>
        <w:suppressAutoHyphens w:val="true"/>
        <w:spacing w:before="120" w:after="0"/>
        <w:ind w:firstLine="709" w:left="0"/>
        <w:contextualSpacing/>
        <w:jc w:val="both"/>
        <w:rPr>
          <w:rFonts w:eastAsia="Calibri"/>
          <w:bCs/>
        </w:rPr>
      </w:pPr>
      <w:r>
        <w:rPr>
          <w:rFonts w:eastAsia="Calibri"/>
          <w:bCs/>
        </w:rPr>
        <w:t>Анализ ошибок интеграционных сценариев.</w:t>
      </w:r>
    </w:p>
    <w:p>
      <w:pPr>
        <w:pStyle w:val="Normal"/>
        <w:numPr>
          <w:ilvl w:val="2"/>
          <w:numId w:val="2"/>
        </w:numPr>
        <w:tabs>
          <w:tab w:val="clear" w:pos="708"/>
          <w:tab w:val="left" w:pos="993" w:leader="none"/>
          <w:tab w:val="left" w:pos="1560" w:leader="none"/>
        </w:tabs>
        <w:suppressAutoHyphens w:val="true"/>
        <w:spacing w:before="120" w:after="0"/>
        <w:ind w:firstLine="709" w:left="0"/>
        <w:contextualSpacing/>
        <w:jc w:val="both"/>
        <w:rPr>
          <w:rFonts w:eastAsia="Calibri"/>
          <w:bCs/>
        </w:rPr>
      </w:pPr>
      <w:r>
        <w:rPr>
          <w:rFonts w:eastAsia="Calibri"/>
          <w:bCs/>
        </w:rPr>
        <w:t>Регулярные обновления (не чаще 1 раза в месяц) сервисов (сип-сервис) и сетей Системы.</w:t>
      </w:r>
    </w:p>
    <w:p>
      <w:pPr>
        <w:pStyle w:val="Normal"/>
        <w:numPr>
          <w:ilvl w:val="2"/>
          <w:numId w:val="2"/>
        </w:numPr>
        <w:tabs>
          <w:tab w:val="clear" w:pos="708"/>
          <w:tab w:val="left" w:pos="993" w:leader="none"/>
          <w:tab w:val="left" w:pos="1560" w:leader="none"/>
        </w:tabs>
        <w:suppressAutoHyphens w:val="true"/>
        <w:spacing w:before="120" w:after="0"/>
        <w:ind w:firstLine="709" w:left="0"/>
        <w:contextualSpacing/>
        <w:jc w:val="both"/>
        <w:rPr>
          <w:rFonts w:eastAsia="Calibri"/>
          <w:bCs/>
        </w:rPr>
      </w:pPr>
      <w:r>
        <w:rPr>
          <w:rFonts w:eastAsia="Calibri"/>
          <w:bCs/>
        </w:rPr>
        <w:t>Корректировка произношения текстов ответов.</w:t>
      </w:r>
    </w:p>
    <w:p>
      <w:pPr>
        <w:pStyle w:val="Normal"/>
        <w:numPr>
          <w:ilvl w:val="2"/>
          <w:numId w:val="2"/>
        </w:numPr>
        <w:tabs>
          <w:tab w:val="clear" w:pos="708"/>
          <w:tab w:val="left" w:pos="993" w:leader="none"/>
          <w:tab w:val="left" w:pos="1560" w:leader="none"/>
        </w:tabs>
        <w:suppressAutoHyphens w:val="true"/>
        <w:spacing w:before="120" w:after="0"/>
        <w:ind w:firstLine="709" w:left="0"/>
        <w:contextualSpacing/>
        <w:jc w:val="both"/>
        <w:rPr>
          <w:rFonts w:eastAsia="Calibri"/>
          <w:bCs/>
        </w:rPr>
      </w:pPr>
      <w:r>
        <w:rPr>
          <w:rFonts w:eastAsia="Calibri"/>
          <w:bCs/>
        </w:rPr>
        <w:t>Мониторинг работоспособности всех сервисов.</w:t>
      </w:r>
    </w:p>
    <w:p>
      <w:pPr>
        <w:pStyle w:val="Normal"/>
        <w:numPr>
          <w:ilvl w:val="2"/>
          <w:numId w:val="2"/>
        </w:numPr>
        <w:tabs>
          <w:tab w:val="clear" w:pos="708"/>
          <w:tab w:val="left" w:pos="993" w:leader="none"/>
          <w:tab w:val="left" w:pos="1560" w:leader="none"/>
        </w:tabs>
        <w:suppressAutoHyphens w:val="true"/>
        <w:spacing w:before="120" w:after="0"/>
        <w:ind w:firstLine="709" w:left="0"/>
        <w:contextualSpacing/>
        <w:jc w:val="both"/>
        <w:rPr>
          <w:rFonts w:eastAsia="Calibri"/>
          <w:bCs/>
        </w:rPr>
      </w:pPr>
      <w:r>
        <w:rPr>
          <w:rFonts w:eastAsia="Calibri"/>
          <w:bCs/>
        </w:rPr>
        <w:t>Настройка логики переводов на оператора в зависимости от расписания работы операторов (логика основана на сип-хеддерах, поступающих в Систему телефонных вызовов от Заказчика).</w:t>
      </w:r>
    </w:p>
    <w:p>
      <w:pPr>
        <w:pStyle w:val="Normal"/>
        <w:numPr>
          <w:ilvl w:val="2"/>
          <w:numId w:val="2"/>
        </w:numPr>
        <w:tabs>
          <w:tab w:val="clear" w:pos="708"/>
          <w:tab w:val="left" w:pos="993" w:leader="none"/>
          <w:tab w:val="left" w:pos="1560" w:leader="none"/>
        </w:tabs>
        <w:suppressAutoHyphens w:val="true"/>
        <w:spacing w:before="120" w:after="0"/>
        <w:ind w:firstLine="709" w:left="0"/>
        <w:contextualSpacing/>
        <w:jc w:val="both"/>
        <w:rPr>
          <w:rFonts w:eastAsia="Calibri"/>
          <w:bCs/>
        </w:rPr>
      </w:pPr>
      <w:r>
        <w:rPr>
          <w:rFonts w:eastAsia="Calibri"/>
          <w:bCs/>
        </w:rPr>
        <w:t>Настройка передачи контекста диалога для просмотра оператором после перевода звонка на него.</w:t>
      </w:r>
    </w:p>
    <w:p>
      <w:pPr>
        <w:pStyle w:val="Normal"/>
        <w:numPr>
          <w:ilvl w:val="1"/>
          <w:numId w:val="2"/>
        </w:numPr>
        <w:suppressAutoHyphens w:val="true"/>
        <w:spacing w:before="120" w:after="0"/>
        <w:ind w:firstLine="709" w:left="0"/>
        <w:contextualSpacing/>
        <w:rPr>
          <w:rFonts w:eastAsia="Calibri"/>
          <w:bCs/>
        </w:rPr>
      </w:pPr>
      <w:r>
        <w:rPr>
          <w:rFonts w:eastAsia="Calibri"/>
          <w:bCs/>
        </w:rPr>
        <w:t>Обеспечение каналов коммуникации с Заказчиком при предоставлении технической поддержки: электронная почта, телефон.</w:t>
      </w:r>
    </w:p>
    <w:p>
      <w:pPr>
        <w:pStyle w:val="Normal"/>
        <w:tabs>
          <w:tab w:val="clear" w:pos="708"/>
          <w:tab w:val="left" w:pos="993" w:leader="none"/>
        </w:tabs>
        <w:spacing w:before="120" w:after="0"/>
        <w:ind w:left="567"/>
        <w:contextualSpacing/>
        <w:rPr>
          <w:rFonts w:eastAsia="Calibri"/>
          <w:bCs/>
        </w:rPr>
      </w:pPr>
      <w:r>
        <w:rPr>
          <w:rFonts w:eastAsia="Calibri"/>
          <w:bCs/>
        </w:rPr>
      </w:r>
    </w:p>
    <w:p>
      <w:pPr>
        <w:pStyle w:val="Normal"/>
        <w:spacing w:lineRule="auto" w:line="252"/>
        <w:jc w:val="right"/>
        <w:rPr/>
      </w:pPr>
      <w:r>
        <w:rPr/>
        <w:t>Таблица № 3 - Правила определения категории обращений</w:t>
      </w:r>
    </w:p>
    <w:tbl>
      <w:tblPr>
        <w:tblW w:w="10490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904"/>
        <w:gridCol w:w="8585"/>
      </w:tblGrid>
      <w:tr>
        <w:trPr>
          <w:trHeight w:val="84" w:hRule="atLeast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</w:rPr>
              <w:t>Категория обращения</w:t>
            </w:r>
          </w:p>
        </w:tc>
        <w:tc>
          <w:tcPr>
            <w:tcW w:w="8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</w:rPr>
              <w:t>Критерии</w:t>
            </w:r>
          </w:p>
        </w:tc>
      </w:tr>
      <w:tr>
        <w:trPr>
          <w:trHeight w:val="84" w:hRule="atLeast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/>
            </w:pPr>
            <w:r>
              <w:rPr>
                <w:color w:val="000000"/>
              </w:rPr>
              <w:t>Инцидент</w:t>
            </w:r>
          </w:p>
        </w:tc>
        <w:tc>
          <w:tcPr>
            <w:tcW w:w="8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/>
            </w:pPr>
            <w:r>
              <w:rPr>
                <w:color w:val="000000"/>
              </w:rPr>
              <w:t>Система не выполняет свои функции, описанные в документации</w:t>
            </w:r>
          </w:p>
        </w:tc>
      </w:tr>
      <w:tr>
        <w:trPr>
          <w:trHeight w:val="498" w:hRule="atLeast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/>
            </w:pPr>
            <w:r>
              <w:rPr>
                <w:color w:val="000000"/>
              </w:rPr>
              <w:t>Критический инцидент</w:t>
            </w:r>
          </w:p>
        </w:tc>
        <w:tc>
          <w:tcPr>
            <w:tcW w:w="8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• </w:t>
            </w:r>
            <w:r>
              <w:rPr>
                <w:color w:val="000000"/>
              </w:rPr>
              <w:t>Проблемы, угрожающие полным прекращением оказания ИТ-услуги</w:t>
            </w:r>
          </w:p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• </w:t>
            </w:r>
            <w:r>
              <w:rPr>
                <w:color w:val="000000"/>
              </w:rPr>
              <w:t>Проблемы, связанные с нарушением в критичной бизнес-функции (определяется Заказчиком);</w:t>
            </w:r>
          </w:p>
          <w:p>
            <w:pPr>
              <w:pStyle w:val="Normal"/>
              <w:jc w:val="both"/>
              <w:rPr/>
            </w:pPr>
            <w:r>
              <w:rPr>
                <w:color w:val="000000"/>
              </w:rPr>
              <w:t>• </w:t>
            </w:r>
            <w:r>
              <w:rPr>
                <w:color w:val="000000"/>
              </w:rPr>
              <w:t>Проблемы, не разрешение которых влияет на вышестоящую группу пользователей (от Дирекции и более)</w:t>
            </w:r>
          </w:p>
        </w:tc>
      </w:tr>
      <w:tr>
        <w:trPr>
          <w:trHeight w:val="187" w:hRule="atLeast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/>
            </w:pPr>
            <w:r>
              <w:rPr>
                <w:color w:val="000000"/>
              </w:rPr>
              <w:t>Запрос на обслуживание</w:t>
            </w:r>
          </w:p>
        </w:tc>
        <w:tc>
          <w:tcPr>
            <w:tcW w:w="8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/>
            </w:pPr>
            <w:r>
              <w:rPr>
                <w:color w:val="000000"/>
              </w:rPr>
              <w:t>Консультации специалистов Заказчика.</w:t>
            </w:r>
          </w:p>
        </w:tc>
      </w:tr>
    </w:tbl>
    <w:p>
      <w:pPr>
        <w:pStyle w:val="Normal"/>
        <w:tabs>
          <w:tab w:val="clear" w:pos="708"/>
          <w:tab w:val="left" w:pos="993" w:leader="none"/>
        </w:tabs>
        <w:ind w:firstLine="567"/>
        <w:rPr/>
      </w:pPr>
      <w:r>
        <w:rPr/>
        <w:t>1.11 Обеспечение сохранения результатов аналитических, проектных и макетных работ, результатом которых является действующий функционал АИС ДНС.</w:t>
      </w:r>
    </w:p>
    <w:p>
      <w:pPr>
        <w:pStyle w:val="Normal"/>
        <w:tabs>
          <w:tab w:val="clear" w:pos="708"/>
          <w:tab w:val="left" w:pos="993" w:leader="none"/>
        </w:tabs>
        <w:ind w:firstLine="567"/>
        <w:rPr/>
      </w:pPr>
      <w:r>
        <w:rPr/>
        <w:t>1.12 Обеспечение обновления (изменений) модулей (компонентов) АИС ДНС.</w:t>
      </w:r>
    </w:p>
    <w:p>
      <w:pPr>
        <w:pStyle w:val="Normal"/>
        <w:widowControl w:val="false"/>
        <w:ind w:firstLine="709"/>
        <w:jc w:val="both"/>
        <w:rPr>
          <w:spacing w:val="-4"/>
        </w:rPr>
      </w:pPr>
      <w:r>
        <w:rPr>
          <w:spacing w:val="-4"/>
        </w:rPr>
        <w:t xml:space="preserve">Для обеспечения стабильной работы АИС ДНС разработчиком и его авторизированным партнёром должна осуществляться (при необходимости) обновление </w:t>
      </w:r>
      <w:r>
        <w:rPr/>
        <w:t>модулей (компонентов) АИС ДНС, а именно модулей: нейросетевой обработки высказываний; диалоговый модуль; распознавания голоса; генерации голоса; текстового интерфейса; интеграции с мессенджерами (Telegram, Вконтакте); обработки входящего звонка; формирования датасетов и управления обучением; авторизации; проверки статуса дела; предварительной записи на прием; обработки исходящего вызова; отчетности.</w:t>
      </w:r>
    </w:p>
    <w:p>
      <w:pPr>
        <w:pStyle w:val="Normal"/>
        <w:widowControl w:val="false"/>
        <w:ind w:firstLine="709"/>
        <w:jc w:val="both"/>
        <w:rPr>
          <w:spacing w:val="-4"/>
        </w:rPr>
      </w:pPr>
      <w:r>
        <w:rPr>
          <w:spacing w:val="-4"/>
        </w:rPr>
        <w:t>Обновленные (измененные) модули (компоненты) АИС ДНС не должны содержать в себе элементов вредоносных программ, создающих угрозу безопасности данных и не должны наносить вреда программному обеспечению АИС ДНС и содержащейся в ней информации, и должны быть направлены на обеспечение бесперебойного функционирования АИС ДНС, не допускать выхода из строя или иных сбоев в работе АИС ДНС. Обновленные (измененные) модули (компоненты) АИС ДНС должны соответствовать требованиям нормативных правовых актов, принятых и действующих в Российской Федерации.</w:t>
      </w:r>
    </w:p>
    <w:p>
      <w:pPr>
        <w:pStyle w:val="Normal"/>
        <w:tabs>
          <w:tab w:val="clear" w:pos="708"/>
          <w:tab w:val="left" w:pos="993" w:leader="none"/>
        </w:tabs>
        <w:ind w:firstLine="567"/>
        <w:rPr/>
      </w:pPr>
      <w:r>
        <w:rPr/>
        <w:t>1.13 Обеспечение доступа к актуальной версии документации программного обеспечения "Диалоговая система "OCAS Assistent".</w:t>
      </w:r>
    </w:p>
    <w:p>
      <w:pPr>
        <w:pStyle w:val="Normal"/>
        <w:widowControl w:val="false"/>
        <w:ind w:firstLine="709"/>
        <w:jc w:val="both"/>
        <w:rPr>
          <w:spacing w:val="-4"/>
        </w:rPr>
      </w:pPr>
      <w:r>
        <w:rPr>
          <w:spacing w:val="-4"/>
        </w:rPr>
        <w:t>В ходе оказания услуг по технической поддержке Заказчику должен предоставляться доступ к актуальной версии документации программного обеспечения "Диалоговая система "</w:t>
      </w:r>
      <w:r>
        <w:rPr>
          <w:spacing w:val="-4"/>
          <w:lang w:val="en-US"/>
        </w:rPr>
        <w:t>OCAS</w:t>
      </w:r>
      <w:r>
        <w:rPr>
          <w:spacing w:val="-4"/>
        </w:rPr>
        <w:t xml:space="preserve"> </w:t>
      </w:r>
      <w:r>
        <w:rPr>
          <w:spacing w:val="-4"/>
          <w:lang w:val="en-US"/>
        </w:rPr>
        <w:t>Assistent</w:t>
      </w:r>
      <w:r>
        <w:rPr>
          <w:spacing w:val="-4"/>
        </w:rPr>
        <w:t>" в режиме 24/7 на сайте технической поддержки.</w:t>
      </w:r>
    </w:p>
    <w:p>
      <w:pPr>
        <w:pStyle w:val="Normal"/>
        <w:tabs>
          <w:tab w:val="clear" w:pos="708"/>
          <w:tab w:val="left" w:pos="993" w:leader="none"/>
        </w:tabs>
        <w:ind w:firstLine="567"/>
        <w:rPr/>
      </w:pPr>
      <w:r>
        <w:rPr/>
      </w:r>
    </w:p>
    <w:p>
      <w:pPr>
        <w:pStyle w:val="Normal"/>
        <w:widowControl w:val="false"/>
        <w:spacing w:lineRule="auto" w:line="252"/>
        <w:ind w:firstLine="709"/>
        <w:jc w:val="center"/>
        <w:rPr/>
      </w:pPr>
      <w:r>
        <w:rPr>
          <w:rFonts w:eastAsia="Calibri"/>
          <w:b/>
          <w:bCs/>
          <w:caps/>
          <w:spacing w:val="-4"/>
        </w:rPr>
        <w:t xml:space="preserve">Порядок и сроки оказания услуг </w:t>
      </w:r>
    </w:p>
    <w:p>
      <w:pPr>
        <w:pStyle w:val="Normal"/>
        <w:ind w:firstLine="709"/>
        <w:jc w:val="both"/>
        <w:rPr/>
      </w:pPr>
      <w:r>
        <w:rPr/>
        <w:t>Для взаимодействия ответственных лиц со стороны Заказчика и Исполнителя стороны обмениваются контактными данными (номер телефона, электронный почтовый ящик) не позднее рабочего дня, следующего за днем заключения контракта.</w:t>
      </w:r>
    </w:p>
    <w:p>
      <w:pPr>
        <w:pStyle w:val="Normal"/>
        <w:ind w:firstLine="709"/>
        <w:jc w:val="both"/>
        <w:rPr/>
      </w:pPr>
      <w:bookmarkStart w:id="1" w:name="_GoBack"/>
      <w:bookmarkEnd w:id="1"/>
      <w:r>
        <w:rPr/>
        <w:t xml:space="preserve">Сертификат предоставляется </w:t>
      </w:r>
      <w:r>
        <w:rPr/>
        <w:t xml:space="preserve">Исполнителем </w:t>
      </w:r>
      <w:r>
        <w:rPr/>
        <w:t>Заказчику в течение 20 дней путем направления  в виде электронн</w:t>
      </w:r>
      <w:r>
        <w:rPr/>
        <w:t>ой</w:t>
      </w:r>
      <w:r>
        <w:rPr/>
        <w:t xml:space="preserve"> верси</w:t>
      </w:r>
      <w:r>
        <w:rPr/>
        <w:t>и</w:t>
      </w:r>
      <w:r>
        <w:rPr/>
        <w:t xml:space="preserve"> на электронный почтовый ящик Заказчика: </w:t>
      </w:r>
      <w:hyperlink r:id="rId2">
        <w:r>
          <w:rPr>
            <w:rStyle w:val="Hyperlink"/>
          </w:rPr>
          <w:t>tskharchenko@khv.gov.ru</w:t>
        </w:r>
      </w:hyperlink>
      <w:r>
        <w:rPr/>
        <w:t xml:space="preserve"> с последующей досылкой оригинала по адресу: г. Хабаровск, ул. Некрасова, 51 (Краевое государственное казенное учреждение "Оператор систем электронного правительства Хабаровского края, многофункциональный центр предоставления государственных и муниципальных услуг"), и </w:t>
      </w:r>
      <w:r>
        <w:rPr/>
        <w:t xml:space="preserve">с </w:t>
      </w:r>
      <w:r>
        <w:rPr/>
        <w:t>единовременн</w:t>
      </w:r>
      <w:r>
        <w:rPr/>
        <w:t>ым</w:t>
      </w:r>
      <w:r>
        <w:rPr/>
        <w:t xml:space="preserve"> предоставл</w:t>
      </w:r>
      <w:r>
        <w:rPr/>
        <w:t>ением</w:t>
      </w:r>
      <w:r>
        <w:rPr/>
        <w:t xml:space="preserve"> учетн</w:t>
      </w:r>
      <w:r>
        <w:rPr/>
        <w:t>ой</w:t>
      </w:r>
      <w:r>
        <w:rPr/>
        <w:t xml:space="preserve"> запис</w:t>
      </w:r>
      <w:r>
        <w:rPr/>
        <w:t>и</w:t>
      </w:r>
      <w:r>
        <w:rPr/>
        <w:t xml:space="preserve"> (в дальнейшем – учетных записей в количестве, необходимом Заказчику) доступа к порталу службы технической поддержки </w:t>
      </w:r>
      <w:r>
        <w:rPr/>
        <w:t>разработчика</w:t>
      </w:r>
      <w:r>
        <w:rPr/>
        <w:t xml:space="preserve"> программного обеспечения "Диалоговая система "OCAS Assistent".</w:t>
      </w:r>
    </w:p>
    <w:p>
      <w:pPr>
        <w:pStyle w:val="Normal"/>
        <w:jc w:val="both"/>
        <w:rPr/>
      </w:pPr>
      <w:r>
        <w:rPr/>
      </w:r>
    </w:p>
    <w:p>
      <w:pPr>
        <w:pStyle w:val="Normal"/>
        <w:numPr>
          <w:ilvl w:val="0"/>
          <w:numId w:val="0"/>
        </w:numPr>
        <w:spacing w:before="0" w:after="0"/>
        <w:ind w:firstLine="709"/>
        <w:contextualSpacing/>
        <w:jc w:val="center"/>
        <w:outlineLvl w:val="0"/>
        <w:rPr>
          <w:b/>
          <w:bCs/>
        </w:rPr>
      </w:pPr>
      <w:r>
        <w:rPr>
          <w:b/>
          <w:bCs/>
        </w:rPr>
        <w:t>Требования к результатам закупки</w:t>
      </w:r>
    </w:p>
    <w:p>
      <w:pPr>
        <w:pStyle w:val="Normal"/>
        <w:numPr>
          <w:ilvl w:val="0"/>
          <w:numId w:val="0"/>
        </w:numPr>
        <w:spacing w:before="0" w:after="0"/>
        <w:ind w:firstLine="709"/>
        <w:contextualSpacing/>
        <w:jc w:val="both"/>
        <w:outlineLvl w:val="0"/>
        <w:rPr/>
      </w:pPr>
      <w:r>
        <w:rPr/>
        <w:t>Результатом закупки является оказание услуг по предоставлению сертификата технической поддержки автоматизированной информационной системы "Диалоговая нейросетевая система" в соответствии с Технической частью.</w:t>
      </w:r>
    </w:p>
    <w:p>
      <w:pPr>
        <w:pStyle w:val="Normal"/>
        <w:tabs>
          <w:tab w:val="clear" w:pos="708"/>
          <w:tab w:val="left" w:pos="993" w:leader="none"/>
        </w:tabs>
        <w:ind w:firstLine="567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tabs>
          <w:tab w:val="clear" w:pos="708"/>
          <w:tab w:val="left" w:pos="0" w:leader="none"/>
        </w:tabs>
        <w:spacing w:lineRule="exact" w:line="240"/>
        <w:jc w:val="right"/>
        <w:rPr/>
      </w:pPr>
      <w:r>
        <w:rPr/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720" w:right="720" w:gutter="0" w:header="709" w:top="766" w:footer="0" w:bottom="72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Tahoma">
    <w:charset w:val="01"/>
    <w:family w:val="swiss"/>
    <w:pitch w:val="variable"/>
  </w:font>
  <w:font w:name="Open Sans">
    <w:charset w:val="01"/>
    <w:family w:val="swiss"/>
    <w:pitch w:val="variable"/>
  </w:font>
  <w:font w:name="Courier New">
    <w:charset w:val="01"/>
    <w:family w:val="auto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37001600"/>
    </w:sdtPr>
    <w:sdtContent>
      <w:p>
        <w:pPr>
          <w:pStyle w:val="Header"/>
          <w:jc w:val="center"/>
          <w:rPr/>
        </w:pPr>
        <w:r>
          <w:rPr>
            <w:sz w:val="16"/>
            <w:szCs w:val="16"/>
          </w:rPr>
          <w:fldChar w:fldCharType="begin"/>
        </w:r>
        <w:r>
          <w:rPr>
            <w:sz w:val="16"/>
            <w:szCs w:val="16"/>
          </w:rPr>
          <w:instrText xml:space="preserve"> PAGE </w:instrText>
        </w:r>
        <w:r>
          <w:rPr>
            <w:sz w:val="16"/>
            <w:szCs w:val="16"/>
          </w:rPr>
          <w:fldChar w:fldCharType="separate"/>
        </w:r>
        <w:r>
          <w:rPr>
            <w:sz w:val="16"/>
            <w:szCs w:val="16"/>
          </w:rPr>
          <w:t>6</w:t>
        </w:r>
        <w:r>
          <w:rPr>
            <w:sz w:val="16"/>
            <w:szCs w:val="16"/>
          </w:rPr>
          <w:fldChar w:fldCharType="end"/>
        </w:r>
      </w:p>
    </w:sdtContent>
  </w:sdt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decimal"/>
      <w:lvlText w:val="%1."/>
      <w:lvlJc w:val="left"/>
      <w:pPr>
        <w:tabs>
          <w:tab w:val="num" w:pos="432"/>
        </w:tabs>
        <w:ind w:left="432" w:hanging="432"/>
      </w:pPr>
      <w:rPr>
        <w:sz w:val="26"/>
        <w:szCs w:val="26"/>
        <w:rFonts w:ascii="Times New Roman" w:hAnsi="Times New Roman" w:cs="Times New Roman"/>
      </w:rPr>
    </w:lvl>
    <w:lvl w:ilvl="1">
      <w:start w:val="1"/>
      <w:pStyle w:val="Heading2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sz w:val="26"/>
        <w:b w:val="false"/>
        <w:szCs w:val="26"/>
        <w:rFonts w:cs="Times New Roman"/>
      </w:rPr>
    </w:lvl>
    <w:lvl w:ilvl="2">
      <w:start w:val="1"/>
      <w:numFmt w:val="decimal"/>
      <w:lvlText w:val="8.%3."/>
      <w:lvlJc w:val="left"/>
      <w:pPr>
        <w:tabs>
          <w:tab w:val="num" w:pos="1260"/>
        </w:tabs>
        <w:ind w:left="1260" w:hanging="360"/>
      </w:pPr>
      <w:rPr>
        <w:sz w:val="26"/>
        <w:szCs w:val="26"/>
        <w:rFonts w:cs="Times New Roman"/>
      </w:rPr>
    </w:lvl>
    <w:lvl w:ilvl="3">
      <w:start w:val="1"/>
      <w:pStyle w:val="Heading4"/>
      <w:numFmt w:val="decimal"/>
      <w:lvlText w:val="%1.%2.%3.%4."/>
      <w:lvlJc w:val="left"/>
      <w:pPr>
        <w:tabs>
          <w:tab w:val="num" w:pos="1224"/>
        </w:tabs>
        <w:ind w:left="1224" w:hanging="864"/>
      </w:pPr>
      <w:rPr>
        <w:sz w:val="26"/>
        <w:i w:val="false"/>
        <w:szCs w:val="26"/>
        <w:rFonts w:ascii="Times New Roman" w:hAnsi="Times New Roman" w:cs="Times New Roman"/>
      </w:rPr>
    </w:lvl>
    <w:lvl w:ilvl="4">
      <w:start w:val="1"/>
      <w:numFmt w:val="russianLower"/>
      <w:lvlText w:val="%5)"/>
      <w:lvlJc w:val="left"/>
      <w:pPr>
        <w:tabs>
          <w:tab w:val="num" w:pos="1800"/>
        </w:tabs>
        <w:ind w:left="1800" w:hanging="360"/>
      </w:pPr>
      <w:rPr>
        <w:sz w:val="26"/>
        <w:szCs w:val="26"/>
        <w:rFonts w:cs="Times New Roman"/>
      </w:rPr>
    </w:lvl>
    <w:lvl w:ilvl="5">
      <w:start w:val="1"/>
      <w:pStyle w:val="Heading6"/>
      <w:numFmt w:val="decimal"/>
      <w:lvlText w:val="%5.%6.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pStyle w:val="Heading7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pStyle w:val="Heading8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pStyle w:val="Heading9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false"/>
        <w:rFonts w:ascii="Times New Roman" w:hAnsi="Times New Roman" w:cs="Times New Roman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b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b w:val="false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num w:numId="1">
    <w:abstractNumId w:val="1"/>
  </w:num>
  <w:num w:numId="2">
    <w:abstractNumId w:val="2"/>
  </w:num>
  <w:num w:numId="3">
    <w:abstractNumId w:val="2"/>
    <w:lvlOverride w:ilvl="0">
      <w:startOverride w:val="1"/>
    </w:lvlOverride>
    <w:lvlOverride w:ilvl="1">
      <w:startOverride w:val="1"/>
    </w:lvlOverride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0" w:semiHidden="1" w:unhideWhenUsed="1" w:qFormat="1"/>
    <w:lsdException w:name="heading 7" w:uiPriority="0" w:semiHidden="1" w:unhideWhenUsed="1" w:qFormat="1"/>
    <w:lsdException w:name="heading 8" w:uiPriority="0" w:semiHidden="1" w:unhideWhenUsed="1" w:qFormat="1"/>
    <w:lsdException w:name="heading 9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f915f7"/>
    <w:pPr>
      <w:widowControl/>
      <w:bidi w:val="0"/>
      <w:spacing w:before="0" w:after="0"/>
      <w:jc w:val="left"/>
    </w:pPr>
    <w:rPr>
      <w:rFonts w:eastAsia="Times New Roman" w:ascii="Times New Roman" w:hAnsi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basedOn w:val="Normal"/>
    <w:next w:val="Normal"/>
    <w:link w:val="1"/>
    <w:qFormat/>
    <w:rsid w:val="00863002"/>
    <w:pPr>
      <w:keepNext w:val="true"/>
      <w:numPr>
        <w:ilvl w:val="0"/>
        <w:numId w:val="1"/>
      </w:numPr>
      <w:spacing w:before="240" w:after="60"/>
      <w:jc w:val="center"/>
      <w:outlineLvl w:val="0"/>
    </w:pPr>
    <w:rPr>
      <w:b/>
      <w:kern w:val="2"/>
      <w:sz w:val="36"/>
      <w:szCs w:val="20"/>
    </w:rPr>
  </w:style>
  <w:style w:type="paragraph" w:styleId="Heading2">
    <w:name w:val="heading 2"/>
    <w:basedOn w:val="Normal"/>
    <w:next w:val="Normal"/>
    <w:link w:val="2"/>
    <w:uiPriority w:val="99"/>
    <w:qFormat/>
    <w:rsid w:val="00863002"/>
    <w:pPr>
      <w:keepNext w:val="true"/>
      <w:numPr>
        <w:ilvl w:val="1"/>
        <w:numId w:val="1"/>
      </w:numPr>
      <w:spacing w:before="0" w:after="60"/>
      <w:jc w:val="center"/>
      <w:outlineLvl w:val="1"/>
    </w:pPr>
    <w:rPr>
      <w:b/>
      <w:sz w:val="30"/>
      <w:szCs w:val="20"/>
    </w:rPr>
  </w:style>
  <w:style w:type="paragraph" w:styleId="Heading4">
    <w:name w:val="heading 4"/>
    <w:basedOn w:val="Normal"/>
    <w:next w:val="Normal"/>
    <w:link w:val="4"/>
    <w:uiPriority w:val="9"/>
    <w:qFormat/>
    <w:rsid w:val="00863002"/>
    <w:pPr>
      <w:keepNext w:val="true"/>
      <w:numPr>
        <w:ilvl w:val="3"/>
        <w:numId w:val="1"/>
      </w:numPr>
      <w:spacing w:before="240" w:after="60"/>
      <w:jc w:val="both"/>
      <w:outlineLvl w:val="3"/>
    </w:pPr>
    <w:rPr>
      <w:rFonts w:ascii="Arial" w:hAnsi="Arial"/>
      <w:szCs w:val="20"/>
    </w:rPr>
  </w:style>
  <w:style w:type="paragraph" w:styleId="Heading6">
    <w:name w:val="heading 6"/>
    <w:basedOn w:val="Normal"/>
    <w:next w:val="Normal"/>
    <w:link w:val="6"/>
    <w:qFormat/>
    <w:rsid w:val="00863002"/>
    <w:pPr>
      <w:numPr>
        <w:ilvl w:val="5"/>
        <w:numId w:val="1"/>
      </w:numPr>
      <w:spacing w:before="240" w:after="60"/>
      <w:jc w:val="both"/>
      <w:outlineLvl w:val="5"/>
    </w:pPr>
    <w:rPr>
      <w:i/>
      <w:sz w:val="22"/>
      <w:szCs w:val="20"/>
    </w:rPr>
  </w:style>
  <w:style w:type="paragraph" w:styleId="Heading7">
    <w:name w:val="heading 7"/>
    <w:basedOn w:val="Normal"/>
    <w:next w:val="Normal"/>
    <w:link w:val="7"/>
    <w:qFormat/>
    <w:rsid w:val="00863002"/>
    <w:pPr>
      <w:numPr>
        <w:ilvl w:val="6"/>
        <w:numId w:val="1"/>
      </w:numPr>
      <w:spacing w:before="240" w:after="60"/>
      <w:jc w:val="both"/>
      <w:outlineLvl w:val="6"/>
    </w:pPr>
    <w:rPr>
      <w:rFonts w:ascii="Arial" w:hAnsi="Arial"/>
      <w:sz w:val="20"/>
      <w:szCs w:val="20"/>
    </w:rPr>
  </w:style>
  <w:style w:type="paragraph" w:styleId="Heading8">
    <w:name w:val="heading 8"/>
    <w:basedOn w:val="Normal"/>
    <w:next w:val="Normal"/>
    <w:link w:val="8"/>
    <w:qFormat/>
    <w:rsid w:val="00863002"/>
    <w:pPr>
      <w:numPr>
        <w:ilvl w:val="7"/>
        <w:numId w:val="1"/>
      </w:numPr>
      <w:spacing w:before="240" w:after="60"/>
      <w:jc w:val="both"/>
      <w:outlineLvl w:val="7"/>
    </w:pPr>
    <w:rPr>
      <w:rFonts w:ascii="Arial" w:hAnsi="Arial"/>
      <w:i/>
      <w:sz w:val="20"/>
      <w:szCs w:val="20"/>
    </w:rPr>
  </w:style>
  <w:style w:type="paragraph" w:styleId="Heading9">
    <w:name w:val="heading 9"/>
    <w:basedOn w:val="Normal"/>
    <w:next w:val="Normal"/>
    <w:link w:val="9"/>
    <w:qFormat/>
    <w:rsid w:val="00863002"/>
    <w:pPr>
      <w:numPr>
        <w:ilvl w:val="8"/>
        <w:numId w:val="1"/>
      </w:numPr>
      <w:spacing w:before="240" w:after="60"/>
      <w:jc w:val="both"/>
      <w:outlineLvl w:val="8"/>
    </w:pPr>
    <w:rPr>
      <w:rFonts w:ascii="Arial" w:hAnsi="Arial"/>
      <w:b/>
      <w:i/>
      <w:sz w:val="18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nsPlusNormal" w:customStyle="1">
    <w:name w:val="ConsPlusNormal Знак"/>
    <w:link w:val="ConsPlusNormal1"/>
    <w:uiPriority w:val="99"/>
    <w:qFormat/>
    <w:rsid w:val="000502e3"/>
    <w:rPr>
      <w:rFonts w:ascii="Arial" w:hAnsi="Arial" w:eastAsia="Times New Roman" w:cs="Arial"/>
      <w:lang w:val="ru-RU" w:eastAsia="ru-RU" w:bidi="ar-SA"/>
    </w:rPr>
  </w:style>
  <w:style w:type="character" w:styleId="Strong">
    <w:name w:val="Strong"/>
    <w:uiPriority w:val="22"/>
    <w:qFormat/>
    <w:rsid w:val="00dc4e67"/>
    <w:rPr>
      <w:b/>
      <w:bCs/>
    </w:rPr>
  </w:style>
  <w:style w:type="character" w:styleId="Style7" w:customStyle="1">
    <w:name w:val="Верхний колонтитул Знак"/>
    <w:uiPriority w:val="99"/>
    <w:qFormat/>
    <w:rsid w:val="009171c9"/>
    <w:rPr>
      <w:rFonts w:eastAsia="Times New Roman"/>
      <w:sz w:val="24"/>
      <w:szCs w:val="24"/>
    </w:rPr>
  </w:style>
  <w:style w:type="character" w:styleId="1" w:customStyle="1">
    <w:name w:val="Заголовок 1 Знак"/>
    <w:qFormat/>
    <w:rsid w:val="00863002"/>
    <w:rPr>
      <w:rFonts w:eastAsia="Times New Roman"/>
      <w:b/>
      <w:kern w:val="2"/>
      <w:sz w:val="36"/>
    </w:rPr>
  </w:style>
  <w:style w:type="character" w:styleId="2" w:customStyle="1">
    <w:name w:val="Заголовок 2 Знак"/>
    <w:uiPriority w:val="99"/>
    <w:qFormat/>
    <w:rsid w:val="00863002"/>
    <w:rPr>
      <w:rFonts w:eastAsia="Times New Roman"/>
      <w:b/>
      <w:sz w:val="30"/>
    </w:rPr>
  </w:style>
  <w:style w:type="character" w:styleId="4" w:customStyle="1">
    <w:name w:val="Заголовок 4 Знак"/>
    <w:uiPriority w:val="9"/>
    <w:qFormat/>
    <w:rsid w:val="00863002"/>
    <w:rPr>
      <w:rFonts w:ascii="Arial" w:hAnsi="Arial" w:eastAsia="Times New Roman"/>
      <w:sz w:val="24"/>
    </w:rPr>
  </w:style>
  <w:style w:type="character" w:styleId="6" w:customStyle="1">
    <w:name w:val="Заголовок 6 Знак"/>
    <w:qFormat/>
    <w:rsid w:val="00863002"/>
    <w:rPr>
      <w:rFonts w:eastAsia="Times New Roman"/>
      <w:i/>
      <w:sz w:val="22"/>
    </w:rPr>
  </w:style>
  <w:style w:type="character" w:styleId="7" w:customStyle="1">
    <w:name w:val="Заголовок 7 Знак"/>
    <w:qFormat/>
    <w:rsid w:val="00863002"/>
    <w:rPr>
      <w:rFonts w:ascii="Arial" w:hAnsi="Arial" w:eastAsia="Times New Roman"/>
    </w:rPr>
  </w:style>
  <w:style w:type="character" w:styleId="8" w:customStyle="1">
    <w:name w:val="Заголовок 8 Знак"/>
    <w:qFormat/>
    <w:rsid w:val="00863002"/>
    <w:rPr>
      <w:rFonts w:ascii="Arial" w:hAnsi="Arial" w:eastAsia="Times New Roman"/>
      <w:i/>
    </w:rPr>
  </w:style>
  <w:style w:type="character" w:styleId="9" w:customStyle="1">
    <w:name w:val="Заголовок 9 Знак"/>
    <w:qFormat/>
    <w:rsid w:val="00863002"/>
    <w:rPr>
      <w:rFonts w:ascii="Arial" w:hAnsi="Arial" w:eastAsia="Times New Roman"/>
      <w:b/>
      <w:i/>
      <w:sz w:val="18"/>
    </w:rPr>
  </w:style>
  <w:style w:type="character" w:styleId="basic1" w:customStyle="1">
    <w:name w:val="basic1"/>
    <w:qFormat/>
    <w:rsid w:val="000258fb"/>
    <w:rPr>
      <w:rFonts w:ascii="Arial" w:hAnsi="Arial" w:cs="Arial"/>
      <w:sz w:val="16"/>
      <w:szCs w:val="16"/>
    </w:rPr>
  </w:style>
  <w:style w:type="character" w:styleId="Style8" w:customStyle="1">
    <w:name w:val="Основной текст с отступом Знак"/>
    <w:qFormat/>
    <w:rsid w:val="00463261"/>
    <w:rPr>
      <w:rFonts w:ascii="Arial" w:hAnsi="Arial" w:eastAsia="Times New Roman"/>
      <w:sz w:val="18"/>
      <w:szCs w:val="18"/>
      <w:lang w:eastAsia="ar-SA"/>
    </w:rPr>
  </w:style>
  <w:style w:type="character" w:styleId="Style9" w:customStyle="1">
    <w:name w:val="Текст сноски Знак"/>
    <w:qFormat/>
    <w:rsid w:val="00463261"/>
    <w:rPr>
      <w:rFonts w:eastAsia="Times New Roman"/>
      <w:lang w:eastAsia="ar-SA"/>
    </w:rPr>
  </w:style>
  <w:style w:type="character" w:styleId="Style10" w:customStyle="1">
    <w:name w:val="Текст выноски Знак"/>
    <w:link w:val="BalloonText"/>
    <w:uiPriority w:val="99"/>
    <w:semiHidden/>
    <w:qFormat/>
    <w:rsid w:val="00463261"/>
    <w:rPr>
      <w:rFonts w:ascii="Tahoma" w:hAnsi="Tahoma" w:eastAsia="Times New Roman"/>
      <w:sz w:val="16"/>
      <w:szCs w:val="16"/>
    </w:rPr>
  </w:style>
  <w:style w:type="character" w:styleId="Style11" w:customStyle="1">
    <w:name w:val="Основной текст Знак"/>
    <w:uiPriority w:val="99"/>
    <w:semiHidden/>
    <w:qFormat/>
    <w:rsid w:val="00463261"/>
    <w:rPr>
      <w:rFonts w:eastAsia="Times New Roman"/>
      <w:sz w:val="24"/>
      <w:szCs w:val="24"/>
    </w:rPr>
  </w:style>
  <w:style w:type="character" w:styleId="21" w:customStyle="1">
    <w:name w:val="Основной текст 2 Знак"/>
    <w:link w:val="BodyText2"/>
    <w:uiPriority w:val="99"/>
    <w:qFormat/>
    <w:rsid w:val="00463261"/>
    <w:rPr>
      <w:rFonts w:eastAsia="Times New Roman"/>
      <w:sz w:val="24"/>
      <w:szCs w:val="24"/>
    </w:rPr>
  </w:style>
  <w:style w:type="character" w:styleId="iceouttxt4" w:customStyle="1">
    <w:name w:val="iceouttxt4"/>
    <w:qFormat/>
    <w:rsid w:val="00463261"/>
    <w:rPr>
      <w:rFonts w:cs="Times New Roman"/>
    </w:rPr>
  </w:style>
  <w:style w:type="character" w:styleId="Style12" w:customStyle="1">
    <w:name w:val="Нижний колонтитул Знак"/>
    <w:uiPriority w:val="99"/>
    <w:qFormat/>
    <w:rsid w:val="00463261"/>
    <w:rPr>
      <w:rFonts w:eastAsia="Times New Roman"/>
      <w:sz w:val="24"/>
      <w:szCs w:val="24"/>
    </w:rPr>
  </w:style>
  <w:style w:type="character" w:styleId="apple-converted-space" w:customStyle="1">
    <w:name w:val="apple-converted-space"/>
    <w:basedOn w:val="DefaultParagraphFont"/>
    <w:qFormat/>
    <w:rsid w:val="00f828fe"/>
    <w:rPr/>
  </w:style>
  <w:style w:type="character" w:styleId="Hyperlink">
    <w:name w:val="Hyperlink"/>
    <w:basedOn w:val="DefaultParagraphFont"/>
    <w:uiPriority w:val="99"/>
    <w:unhideWhenUsed/>
    <w:rsid w:val="004968e3"/>
    <w:rPr>
      <w:color w:themeColor="hyperlink" w:val="0563C1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8f60fd"/>
    <w:rPr/>
  </w:style>
  <w:style w:type="character" w:styleId="FollowedHyperlink">
    <w:name w:val="FollowedHyperlink"/>
    <w:basedOn w:val="DefaultParagraphFont"/>
    <w:uiPriority w:val="99"/>
    <w:semiHidden/>
    <w:unhideWhenUsed/>
    <w:rsid w:val="00987112"/>
    <w:rPr>
      <w:color w:themeColor="followedHyperlink" w:val="954F72"/>
      <w:u w:val="single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Tahoma" w:cs="Droid Sans"/>
      <w:sz w:val="28"/>
      <w:szCs w:val="28"/>
    </w:rPr>
  </w:style>
  <w:style w:type="paragraph" w:styleId="BodyText">
    <w:name w:val="Body Text"/>
    <w:basedOn w:val="Normal"/>
    <w:link w:val="Style11"/>
    <w:uiPriority w:val="99"/>
    <w:semiHidden/>
    <w:unhideWhenUsed/>
    <w:rsid w:val="00463261"/>
    <w:pPr>
      <w:spacing w:before="0" w:after="120"/>
    </w:pPr>
    <w:rPr/>
  </w:style>
  <w:style w:type="paragraph" w:styleId="List">
    <w:name w:val="List"/>
    <w:basedOn w:val="BodyText"/>
    <w:pPr/>
    <w:rPr>
      <w:rFonts w:cs="Droid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Droid Sans"/>
    </w:rPr>
  </w:style>
  <w:style w:type="paragraph" w:styleId="ConsPlusNormal1" w:customStyle="1">
    <w:name w:val="ConsPlusNormal"/>
    <w:link w:val="ConsPlusNormal"/>
    <w:uiPriority w:val="99"/>
    <w:qFormat/>
    <w:rsid w:val="00f915f7"/>
    <w:pPr>
      <w:widowControl w:val="fals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ListParagraph">
    <w:name w:val="List Paragraph"/>
    <w:basedOn w:val="Normal"/>
    <w:uiPriority w:val="99"/>
    <w:qFormat/>
    <w:rsid w:val="00f915f7"/>
    <w:pPr>
      <w:spacing w:before="0" w:after="0"/>
      <w:ind w:left="720"/>
      <w:contextualSpacing/>
    </w:pPr>
    <w:rPr/>
  </w:style>
  <w:style w:type="paragraph" w:styleId="NormalWeb">
    <w:name w:val="Normal (Web)"/>
    <w:basedOn w:val="Normal"/>
    <w:qFormat/>
    <w:rsid w:val="00dc4e67"/>
    <w:pPr>
      <w:spacing w:beforeAutospacing="1" w:afterAutospacing="1"/>
    </w:pPr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7"/>
    <w:uiPriority w:val="99"/>
    <w:unhideWhenUsed/>
    <w:rsid w:val="009171c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211" w:customStyle="1">
    <w:name w:val="Основной текст 21"/>
    <w:basedOn w:val="Normal"/>
    <w:qFormat/>
    <w:rsid w:val="00c017cc"/>
    <w:pPr>
      <w:suppressAutoHyphens w:val="true"/>
    </w:pPr>
    <w:rPr>
      <w:b/>
      <w:bCs/>
      <w:sz w:val="28"/>
      <w:szCs w:val="20"/>
      <w:lang w:eastAsia="ar-SA"/>
    </w:rPr>
  </w:style>
  <w:style w:type="paragraph" w:styleId="BodyTextIndent">
    <w:name w:val="Body Text Indent"/>
    <w:basedOn w:val="Normal"/>
    <w:link w:val="Style8"/>
    <w:rsid w:val="00463261"/>
    <w:pPr>
      <w:widowControl w:val="false"/>
      <w:suppressAutoHyphens w:val="true"/>
      <w:spacing w:before="0" w:after="120"/>
      <w:ind w:left="283"/>
    </w:pPr>
    <w:rPr>
      <w:rFonts w:ascii="Arial" w:hAnsi="Arial"/>
      <w:sz w:val="18"/>
      <w:szCs w:val="18"/>
      <w:lang w:eastAsia="ar-SA"/>
    </w:rPr>
  </w:style>
  <w:style w:type="paragraph" w:styleId="FootnoteText">
    <w:name w:val="footnote text"/>
    <w:basedOn w:val="Normal"/>
    <w:link w:val="Style9"/>
    <w:rsid w:val="00463261"/>
    <w:pPr>
      <w:suppressAutoHyphens w:val="true"/>
    </w:pPr>
    <w:rPr>
      <w:sz w:val="20"/>
      <w:szCs w:val="20"/>
      <w:lang w:eastAsia="ar-SA"/>
    </w:rPr>
  </w:style>
  <w:style w:type="paragraph" w:styleId="BalloonText">
    <w:name w:val="Balloon Text"/>
    <w:basedOn w:val="Normal"/>
    <w:link w:val="Style10"/>
    <w:uiPriority w:val="99"/>
    <w:semiHidden/>
    <w:unhideWhenUsed/>
    <w:qFormat/>
    <w:rsid w:val="00463261"/>
    <w:pPr/>
    <w:rPr>
      <w:rFonts w:ascii="Tahoma" w:hAnsi="Tahoma"/>
      <w:sz w:val="16"/>
      <w:szCs w:val="16"/>
    </w:rPr>
  </w:style>
  <w:style w:type="paragraph" w:styleId="BodyText2">
    <w:name w:val="Body Text 2"/>
    <w:basedOn w:val="Normal"/>
    <w:link w:val="21"/>
    <w:uiPriority w:val="99"/>
    <w:unhideWhenUsed/>
    <w:qFormat/>
    <w:rsid w:val="00463261"/>
    <w:pPr>
      <w:spacing w:lineRule="auto" w:line="480" w:before="0" w:after="120"/>
    </w:pPr>
    <w:rPr/>
  </w:style>
  <w:style w:type="paragraph" w:styleId="Style15" w:customStyle="1">
    <w:name w:val="Îáû÷íûé"/>
    <w:qFormat/>
    <w:rsid w:val="00463261"/>
    <w:pPr>
      <w:widowControl/>
      <w:bidi w:val="0"/>
      <w:spacing w:before="0" w:after="0"/>
      <w:jc w:val="left"/>
    </w:pPr>
    <w:rPr>
      <w:rFonts w:eastAsia="Times New Roman" w:ascii="Times New Roman" w:hAnsi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Style16" w:customStyle="1">
    <w:name w:val="Знак Знак Знак Знак"/>
    <w:basedOn w:val="Normal"/>
    <w:qFormat/>
    <w:rsid w:val="00463261"/>
    <w:pPr>
      <w:spacing w:beforeAutospacing="1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ConsPlusNonformat" w:customStyle="1">
    <w:name w:val="ConsPlusNonformat"/>
    <w:qFormat/>
    <w:rsid w:val="00463261"/>
    <w:pPr>
      <w:widowControl w:val="fals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11" w:customStyle="1">
    <w:name w:val="Абзац списка1"/>
    <w:basedOn w:val="Normal"/>
    <w:qFormat/>
    <w:rsid w:val="00463261"/>
    <w:pPr>
      <w:ind w:left="720"/>
    </w:pPr>
    <w:rPr>
      <w:rFonts w:eastAsia="Calibri"/>
    </w:rPr>
  </w:style>
  <w:style w:type="paragraph" w:styleId="Footer">
    <w:name w:val="footer"/>
    <w:basedOn w:val="Normal"/>
    <w:link w:val="Style12"/>
    <w:uiPriority w:val="99"/>
    <w:unhideWhenUsed/>
    <w:rsid w:val="00463261"/>
    <w:pPr>
      <w:tabs>
        <w:tab w:val="clear" w:pos="708"/>
        <w:tab w:val="center" w:pos="4677" w:leader="none"/>
        <w:tab w:val="right" w:pos="9355" w:leader="none"/>
      </w:tabs>
    </w:pPr>
    <w:rPr/>
  </w:style>
  <w:style w:type="numbering" w:styleId="Style17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uiPriority w:val="59"/>
    <w:rsid w:val="00d14715"/>
    <w:rPr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tskharchenko@khv.gov.ru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98A3FE-38FB-43D5-8888-95E7DA1EE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Application>LibreOffice/24.8.4.1$Linux_X86_64 LibreOffice_project/480$Build-1</Application>
  <AppVersion>15.0000</AppVersion>
  <Pages>6</Pages>
  <Words>2084</Words>
  <Characters>15249</Characters>
  <CharactersWithSpaces>17116</CharactersWithSpaces>
  <Paragraphs>162</Paragraphs>
  <Company>gzakaz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2018-03-01T01:59:00Z</dcterms:created>
  <dc:creator>gz24</dc:creator>
  <dc:description/>
  <dc:language>ru-RU</dc:language>
  <cp:lastModifiedBy/>
  <cp:lastPrinted>2015-01-13T07:06:00Z</cp:lastPrinted>
  <dcterms:modified xsi:type="dcterms:W3CDTF">2026-10-08T11:19:12Z</dcterms:modified>
  <cp:revision>66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