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Оказание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услуг</w:t>
                  </w:r>
                  <w:r w:rsidRPr="00D766FE">
                    <w:rPr>
                      <w:b/>
                    </w:rPr>
                    <w:t xml:space="preserve"> по объединению баз данных муниципальных образований информационной системы исполнения бюджета ''Бюджет-Смарт'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Установка 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настройка СУБД, веб-серверов для объединенной базы данных муниципальных образований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Перевод прикладного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программного обеспечения, применяемого в муниципальных образованиях Хабаровского края на системное программное обеспечение, включенное в РРПО либо свободно распространяемое системное программное обеспечение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Миграция баз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данных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