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 xml:space="preserve">IV</w:t>
      </w:r>
      <w:r>
        <w:rPr>
          <w:rFonts w:ascii="Times New Roman" w:hAnsi="Times New Roman" w:cs="Times New Roman"/>
          <w:b/>
        </w:rPr>
        <w:t xml:space="preserve">. ОБОСНОВАНИЕ НАЧАЛЬНОЙ (МАКСИМАЛЬНОЙ) ЦЕНЫ КОНТРАКТА</w:t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Расчет НМЦК методом сопоставимых рыночных цен (анализа рынка), являющимся приоритетным для определения и обоснования НМЦК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contextualSpacing/>
        <w:ind w:firstLine="771"/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единственными поставщиком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(подрядчиком, исполнителем), утвержденными приказом Минэкономразвития России от 02.10.2013 № 567.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получения ценовой информации в отношении объекта закупки для определения начальной (максимальной) цены контракта Заказчиком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Осуществлен анализ общедоступной ценовой информации (реклама, каталоги, описание цен и другие предложения, обращенные к неопределенному кругу лиц). Найдена и проанализирована следующая информация из открытых источников: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pPr w:horzAnchor="text" w:tblpX="108" w:vertAnchor="text" w:tblpY="1" w:leftFromText="180" w:topFromText="0" w:rightFromText="180" w:bottomFromText="0"/>
        <w:tblW w:w="153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688"/>
        <w:gridCol w:w="5054"/>
      </w:tblGrid>
      <w:tr>
        <w:tblPrEx/>
        <w:trPr/>
        <w:tc>
          <w:tcPr>
            <w:shd w:val="clear" w:color="auto" w:fill="auto"/>
            <w:tcBorders>
              <w:right w:val="single" w:color="auto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  <w:t xml:space="preserve">№ п/п</w:t>
            </w: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96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  <w:t xml:space="preserve">Ссылка на источник</w:t>
            </w: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</w:r>
          </w:p>
        </w:tc>
        <w:tc>
          <w:tcPr>
            <w:tcBorders>
              <w:right w:val="single" w:color="auto" w:sz="4" w:space="0"/>
            </w:tcBorders>
            <w:tcW w:w="50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  <w:t xml:space="preserve">Причины невозможности использования</w:t>
            </w: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right w:val="single" w:color="auto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  <w:t xml:space="preserve">1.</w:t>
            </w: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47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  <w:t xml:space="preserve">Выполнение работ по развитию Государственной информационной системы обеспечения градостроительной деятельности Хабаровского края</w:t>
            </w:r>
            <w:r>
              <w:rPr>
                <w:rFonts w:ascii="Times New Roman" w:hAnsi="Times New Roman" w:eastAsia="Times New Roman"/>
                <w:b/>
                <w:sz w:val="18"/>
                <w:szCs w:val="18"/>
                <w:highlight w:val="yellow"/>
              </w:rPr>
            </w:r>
          </w:p>
        </w:tc>
      </w:tr>
      <w:tr>
        <w:tblPrEx/>
        <w:trPr/>
        <w:tc>
          <w:tcPr>
            <w:shd w:val="clear" w:color="auto" w:fill="auto"/>
            <w:tcW w:w="5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 xml:space="preserve">1.1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W w:w="96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20"/>
              </w:rPr>
            </w:pPr>
            <w:r/>
            <w:hyperlink r:id="rId10" w:tooltip="https://geometa.ru/module/gisogd-starter-pack/" w:history="1">
              <w:r>
                <w:rPr>
                  <w:rStyle w:val="696"/>
                  <w:rFonts w:ascii="Times New Roman" w:hAnsi="Times New Roman" w:eastAsia="Times New Roman"/>
                  <w:sz w:val="18"/>
                  <w:szCs w:val="20"/>
                </w:rPr>
                <w:t xml:space="preserve">https://geometa.ru/module/gisogd-starter-pack/</w:t>
              </w:r>
            </w:hyperlink>
            <w:r>
              <w:rPr>
                <w:rFonts w:ascii="Times New Roman" w:hAnsi="Times New Roman" w:eastAsia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eastAsia="Times New Roman"/>
                <w:sz w:val="18"/>
                <w:szCs w:val="20"/>
              </w:rPr>
            </w:r>
          </w:p>
        </w:tc>
        <w:tc>
          <w:tcPr>
            <w:tcW w:w="50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 xml:space="preserve">Ценовая информация 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  <w:t xml:space="preserve">отсутствует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</w:tr>
    </w:tbl>
    <w:p>
      <w:pPr>
        <w:ind w:firstLine="284"/>
        <w:jc w:val="both"/>
        <w:spacing w:before="6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</w:r>
    </w:p>
    <w:p>
      <w:pPr>
        <w:ind w:firstLine="284"/>
        <w:jc w:val="both"/>
        <w:spacing w:befor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Осуществлен поиск в реестре контрактов, заключенных Заказчиками, размещенном на официальном сайте Российской Ф</w:t>
      </w:r>
      <w:r>
        <w:rPr>
          <w:rFonts w:ascii="Times New Roman" w:hAnsi="Times New Roman" w:cs="Times New Roman"/>
          <w:sz w:val="24"/>
          <w:szCs w:val="24"/>
        </w:rPr>
        <w:t xml:space="preserve">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www.zakupki.gov.ru (далее – реестр контрактов), ценовой информации об исполненных контрактах </w:t>
      </w:r>
      <w:r>
        <w:rPr>
          <w:rFonts w:ascii="Times New Roman" w:hAnsi="Times New Roman" w:cs="Times New Roman"/>
          <w:sz w:val="24"/>
          <w:szCs w:val="24"/>
        </w:rPr>
        <w:t xml:space="preserve">с условиями, схожими с потребностями Заказчика</w:t>
      </w:r>
      <w:r>
        <w:rPr>
          <w:rFonts w:ascii="Times New Roman" w:hAnsi="Times New Roman" w:cs="Times New Roman"/>
          <w:sz w:val="24"/>
          <w:szCs w:val="24"/>
        </w:rPr>
        <w:t xml:space="preserve">, по которым не взыскивались неустойки (штрафы, пени).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before="60" w:after="60"/>
        <w:rPr>
          <w:rFonts w:ascii="Times New Roman" w:hAnsi="Times New Roman" w:eastAsia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eastAsia="Times New Roman"/>
          <w:b/>
          <w:bCs/>
          <w:color w:val="000000"/>
          <w:sz w:val="20"/>
          <w:szCs w:val="20"/>
        </w:rPr>
        <w:t xml:space="preserve">Информация о результатах поиска ценовой информации в реестре контрактов, заключенных Заказчиками</w:t>
      </w:r>
      <w:r>
        <w:rPr>
          <w:rFonts w:ascii="Times New Roman" w:hAnsi="Times New Roman" w:eastAsia="Times New Roman"/>
          <w:b/>
          <w:bCs/>
          <w:color w:val="000000"/>
          <w:sz w:val="20"/>
          <w:szCs w:val="20"/>
        </w:rPr>
      </w:r>
    </w:p>
    <w:tbl>
      <w:tblPr>
        <w:tblStyle w:val="690"/>
        <w:tblW w:w="16018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6018"/>
      </w:tblGrid>
      <w:tr>
        <w:tblPrEx/>
        <w:trPr>
          <w:trHeight w:val="993"/>
        </w:trPr>
        <w:tc>
          <w:tcPr>
            <w:tcW w:w="16018" w:type="dxa"/>
            <w:textDirection w:val="lrTb"/>
            <w:noWrap w:val="false"/>
          </w:tcPr>
          <w:p>
            <w:pPr>
              <w:ind w:right="34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tbl>
            <w:tblPr>
              <w:tblW w:w="15655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30"/>
              <w:gridCol w:w="2161"/>
              <w:gridCol w:w="709"/>
              <w:gridCol w:w="708"/>
              <w:gridCol w:w="2125"/>
              <w:gridCol w:w="2126"/>
              <w:gridCol w:w="1275"/>
              <w:gridCol w:w="1134"/>
              <w:gridCol w:w="1134"/>
              <w:gridCol w:w="1344"/>
              <w:gridCol w:w="141"/>
              <w:gridCol w:w="783"/>
              <w:gridCol w:w="142"/>
              <w:gridCol w:w="1343"/>
            </w:tblGrid>
            <w:tr>
              <w:tblPrEx/>
              <w:trPr>
                <w:trHeight w:val="297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30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№ п/п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61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Реестровая запись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417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Объем поставки товара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5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Условия оплаты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6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Условия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выполнения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работ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75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Обеспечение исполнения контракта (договора)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Дата заключения контракта (договора)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Дата исполнения контракта (договора)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44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Цена за единицу без НДС, руб.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066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Корректирующие коэффициенты (индексы)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(при наличии)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43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ind w:right="248"/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Цена за единицу с применением корректирующих коэффициентов (индексов), руб.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trHeight w:val="415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3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61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709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ед. изм.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708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кол-во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5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6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75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44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066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43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trHeight w:val="273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3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gridSpan w:val="1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5" w:type="dxa"/>
                  <w:textDirection w:val="lrTb"/>
                  <w:noWrap w:val="false"/>
                </w:tcPr>
                <w:p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Выполнение работ по развитию Государственной информационной системы обеспечения градостроительной деятельности Хабаровского края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trHeight w:val="228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30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61" w:type="dxa"/>
                  <w:textDirection w:val="lrTb"/>
                  <w:noWrap w:val="false"/>
                </w:tcPr>
                <w:p>
                  <w:pPr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/>
                  <w:hyperlink r:id="rId11" w:tooltip="https://zakupki.gov.ru/epz/contract/contractCard/common-info.html?reestrNumber=2091701864024000120" w:history="1">
                    <w:r>
                      <w:rPr>
                        <w:rStyle w:val="696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2091701864024000120</w:t>
                    </w:r>
                  </w:hyperlink>
                  <w:r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r>
                </w:p>
                <w:p>
                  <w:pPr>
                    <w:contextualSpacing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/>
                  <w:hyperlink r:id="rId12" w:tooltip="https://zakupki.gov.ru/epz/contract/contractCard/common-info.html?reestrNumber=2091701864024000120" w:history="1">
                    <w:r>
                      <w:rPr>
                        <w:rStyle w:val="696"/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 xml:space="preserve">https://zakupki.gov.ru/epz/contract/contractCard/common-info.html?reestrNumber=2091701864024000120</w:t>
                    </w:r>
                  </w:hyperlink>
                  <w:r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r>
                </w:p>
                <w:p>
                  <w:pPr>
                    <w:contextualSpacing/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bCs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705"/>
                    <w:jc w:val="center"/>
                    <w:spacing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Усл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ед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8" w:type="dxa"/>
                  <w:textDirection w:val="lrTb"/>
                  <w:noWrap w:val="false"/>
                </w:tcPr>
                <w:p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5" w:type="dxa"/>
                  <w:textDirection w:val="lrTb"/>
                  <w:noWrap w:val="false"/>
                </w:tcPr>
                <w:p>
                  <w:pPr>
                    <w:jc w:val="both"/>
                    <w:keepLines/>
                    <w:keepNext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Заказчик в течение 7 (семи) рабочих дней с даты подписания документа о приемке (универсального передаточного документа (далее – УПД)) перечисляет на расчетный счет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Подрядчика (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Исполнителя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)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оплату по Контракту, согласно Спецификации, на основании счета, выставленного Исполнителем.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6" w:type="dxa"/>
                  <w:textDirection w:val="lrTb"/>
                  <w:noWrap w:val="false"/>
                </w:tcPr>
                <w:p>
                  <w:pPr>
                    <w:jc w:val="both"/>
                    <w:spacing w:after="0" w:line="264" w:lineRule="auto"/>
                    <w:tabs>
                      <w:tab w:val="left" w:pos="0" w:leader="none"/>
                      <w:tab w:val="left" w:pos="7320" w:leader="none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Подрядчик (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Исполнитель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)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приступает к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выполнению работ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 даты заключения Контракта, с датой окончания исполнения Контракта 31.12.2024.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ind w:firstLine="709"/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75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10% от цены Контракта 802 600,00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31.07.2024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31.12.2024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485" w:type="dxa"/>
                  <w:textDirection w:val="lrTb"/>
                  <w:noWrap w:val="false"/>
                </w:tcPr>
                <w:p>
                  <w:pPr>
                    <w:contextualSpacing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8 026 000,00 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83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485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Не применяется при обосновании НМЦК, т.к. требования к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 выполняемым работам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, указанным в Технической части, не соответствуют потребности Заказчика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 (отсутствуют модули закупаемые Заказчиком)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trHeight w:val="56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30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61" w:type="dxa"/>
                  <w:textDirection w:val="lrTb"/>
                  <w:noWrap w:val="false"/>
                </w:tcPr>
                <w:p>
                  <w:pPr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/>
                  <w:hyperlink r:id="rId13" w:tooltip="https://zakupki.gov.ru/epz/contract/contractCard/common-info.html?reestrNumber=2056206789224000012" w:history="1">
                    <w:r>
                      <w:rPr>
                        <w:rStyle w:val="696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2056206789224000012</w:t>
                    </w:r>
                  </w:hyperlink>
                  <w:r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pStyle w:val="686"/>
                    <w:spacing w:before="0" w:beforeAutospacing="0" w:after="0" w:afterAutospacing="0" w:line="240" w:lineRule="exact"/>
                    <w:rPr>
                      <w:sz w:val="20"/>
                      <w:szCs w:val="20"/>
                    </w:rPr>
                  </w:pPr>
                  <w:r/>
                  <w:hyperlink r:id="rId14" w:tooltip="https://zakupki.gov.ru/epz/contract/contractCard/document-info.html?reestrNumber=2056206789224000012&amp;contractInfoId=90331314" w:history="1">
                    <w:r>
                      <w:rPr>
                        <w:rStyle w:val="696"/>
                        <w:sz w:val="20"/>
                        <w:szCs w:val="20"/>
                      </w:rPr>
                      <w:t xml:space="preserve">https://zakupki.gov.ru/epz/contract/contractCard/document-info.html?reestrNumber=2056206789224000012&amp;contractInfoId=90331314</w:t>
                    </w:r>
                  </w:hyperlink>
                  <w: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86"/>
                    <w:spacing w:before="0" w:beforeAutospacing="0" w:after="0" w:afterAutospacing="0" w:line="240" w:lineRule="exact"/>
                    <w:rPr>
                      <w:b w:val="0"/>
                      <w:sz w:val="20"/>
                      <w:szCs w:val="20"/>
                    </w:rPr>
                  </w:pPr>
                  <w:r>
                    <w:rPr>
                      <w:b w:val="0"/>
                      <w:sz w:val="20"/>
                      <w:szCs w:val="20"/>
                    </w:rPr>
                  </w:r>
                  <w:r>
                    <w:rPr>
                      <w:b w:val="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705"/>
                    <w:jc w:val="center"/>
                    <w:spacing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Усл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ед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8" w:type="dxa"/>
                  <w:textDirection w:val="lrTb"/>
                  <w:noWrap w:val="false"/>
                </w:tcPr>
                <w:p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5" w:type="dxa"/>
                  <w:textDirection w:val="lrTb"/>
                  <w:noWrap w:val="false"/>
                </w:tcPr>
                <w:p>
                  <w:pPr>
                    <w:jc w:val="both"/>
                    <w:keepLines/>
                    <w:keepNext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highlight w:val="white"/>
                    </w:rPr>
                    <w:t xml:space="preserve">Оплата за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highlight w:val="white"/>
                    </w:rPr>
                    <w:t xml:space="preserve">выполненные работы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highlight w:val="white"/>
                    </w:rPr>
                    <w:t xml:space="preserve">осуществляется Заказчиком по факту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highlight w:val="white"/>
                    </w:rPr>
                    <w:t xml:space="preserve">выполнения работ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highlight w:val="white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highlight w:val="white"/>
                    </w:rPr>
                    <w:br/>
                    <w:t xml:space="preserve">в срок не более 15 (пятнадцати) рабочих дней с даты подписания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Заказчиком документа о приемке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выполнения работ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6" w:type="dxa"/>
                  <w:textDirection w:val="lrTb"/>
                  <w:noWrap w:val="false"/>
                </w:tcPr>
                <w:p>
                  <w:pPr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Подрядчик (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Исполнитель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)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приступает к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выполнению работ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 даты заключения Контракта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, с датой исполнения окончания Контракта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 01.12.2024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75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5% от цены Контракта 361 000,00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05.04.2024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01.12.2024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485" w:type="dxa"/>
                  <w:textDirection w:val="lrTb"/>
                  <w:noWrap w:val="false"/>
                </w:tcPr>
                <w:p>
                  <w:pPr>
                    <w:contextualSpacing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7 220 000,00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83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485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Не применяется при обосновании НМЦК, т.к. требования к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 выполняемым работам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, указанным в Технической части, не соответствуют потребности Заказчика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 (отсутствуют модули закупаемые Заказчиком)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trHeight w:val="228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30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61" w:type="dxa"/>
                  <w:textDirection w:val="lrTb"/>
                  <w:noWrap w:val="false"/>
                </w:tcPr>
                <w:p>
                  <w:pPr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/>
                  <w:hyperlink r:id="rId15" w:tooltip="https://zakupki.gov.ru/epz/contract/contractCard/common-info.html?reestrNumber=2650128173024000007" w:history="1">
                    <w:r>
                      <w:rPr>
                        <w:rStyle w:val="696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2650128173024000007</w:t>
                    </w:r>
                  </w:hyperlink>
                  <w:r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pStyle w:val="686"/>
                    <w:spacing w:before="0" w:beforeAutospacing="0" w:after="0" w:afterAutospacing="0" w:line="240" w:lineRule="exact"/>
                    <w:rPr>
                      <w:sz w:val="20"/>
                      <w:szCs w:val="20"/>
                    </w:rPr>
                  </w:pPr>
                  <w:r/>
                  <w:hyperlink r:id="rId16" w:tooltip="https://zakupki.gov.ru/epz/contract/contractCard/common-info.html?reestrNumber=2650128173024000007" w:history="1">
                    <w:r>
                      <w:rPr>
                        <w:rStyle w:val="696"/>
                        <w:sz w:val="20"/>
                        <w:szCs w:val="20"/>
                      </w:rPr>
                      <w:t xml:space="preserve">https://zakupki.gov.ru/epz/contract/contractCard/common-info.html?reestrNumber=2650128173024000007</w:t>
                    </w:r>
                  </w:hyperlink>
                  <w: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86"/>
                    <w:spacing w:before="0" w:beforeAutospacing="0" w:after="0" w:afterAutospacing="0" w:line="240" w:lineRule="exact"/>
                    <w:rPr>
                      <w:b w:val="0"/>
                      <w:sz w:val="20"/>
                      <w:szCs w:val="20"/>
                    </w:rPr>
                  </w:pPr>
                  <w:r>
                    <w:rPr>
                      <w:b w:val="0"/>
                      <w:sz w:val="20"/>
                      <w:szCs w:val="20"/>
                    </w:rPr>
                  </w:r>
                  <w:r>
                    <w:rPr>
                      <w:b w:val="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705"/>
                    <w:jc w:val="center"/>
                    <w:spacing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Усл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ед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8" w:type="dxa"/>
                  <w:textDirection w:val="lrTb"/>
                  <w:noWrap w:val="false"/>
                </w:tcPr>
                <w:p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5" w:type="dxa"/>
                  <w:textDirection w:val="lrTb"/>
                  <w:noWrap w:val="false"/>
                </w:tcPr>
                <w:p>
                  <w:pPr>
                    <w:jc w:val="both"/>
                    <w:keepLines/>
                    <w:keepNext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Заказчик производит оплату за оказанные услуги на банковский счет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Подрядчика (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Исполнителя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)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, в течение 7 (семи) рабочих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ar-SA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дней с даты подписания Заказчиком документа о приемке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выполненных работ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, на основании выставленного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Подрядчиком (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Исполнителем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)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 счета и (или) счета-фактуры.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6" w:type="dxa"/>
                  <w:textDirection w:val="lrTb"/>
                  <w:noWrap w:val="false"/>
                </w:tcPr>
                <w:p>
                  <w:pPr>
                    <w:jc w:val="both"/>
                    <w:spacing w:after="0" w:line="264" w:lineRule="auto"/>
                    <w:tabs>
                      <w:tab w:val="left" w:pos="0" w:leader="none"/>
                      <w:tab w:val="left" w:pos="7320" w:leader="none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Подрядчик (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Исполнитель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)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приступает к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выполнению работ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 даты заключения Контракта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с датой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окончания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исполнения Контракта 31.12.2024.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ind w:firstLine="709"/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75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10% от цены Контракта, 921 700,00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01.07.2024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31.12.2024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485" w:type="dxa"/>
                  <w:textDirection w:val="lrTb"/>
                  <w:noWrap w:val="false"/>
                </w:tcPr>
                <w:p>
                  <w:pPr>
                    <w:contextualSpacing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9 217 000,00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83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485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Не применяется при обосновании НМЦК, т.к. требования к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 выполняемым работам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, указанным в Технической части, не соответствуют потребности Заказчика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 (отсутствуют модули закупаемые Заказчиком)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trHeight w:val="228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30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61" w:type="dxa"/>
                  <w:textDirection w:val="lrTb"/>
                  <w:noWrap w:val="false"/>
                </w:tcPr>
                <w:p>
                  <w:pPr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 xml:space="preserve">2272109307625000103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</w:r>
                </w:p>
                <w:p>
                  <w:pPr>
                    <w:jc w:val="both"/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</w:rPr>
                  </w:r>
                </w:p>
                <w:p>
                  <w:pPr>
                    <w:jc w:val="both"/>
                    <w:spacing w:after="0" w:line="240" w:lineRule="auto"/>
                  </w:pPr>
                  <w:r/>
                  <w:hyperlink r:id="rId17" w:tooltip="https://zakupki.gov.ru/epz/contract/contractCard/common-info.html?reestrNumber=2272109307625000103&amp;contractInfoId=99538286" w:history="1">
                    <w:r>
                      <w:rPr>
                        <w:rStyle w:val="696"/>
                        <w:rFonts w:ascii="Times New Roman" w:hAnsi="Times New Roman" w:cs="Times New Roman"/>
                        <w:sz w:val="20"/>
                      </w:rPr>
                      <w:t xml:space="preserve">https://zakupki.gov.ru/epz/contract/contractCard/common-info.html?reestrNumber=2272109307625000103&amp;contractInfoId=99538286</w:t>
                    </w:r>
                  </w:hyperlink>
                  <w:r>
                    <w:rPr>
                      <w:rFonts w:ascii="Times New Roman" w:hAnsi="Times New Roman" w:cs="Times New Roman"/>
                      <w:sz w:val="20"/>
                    </w:rPr>
                    <w:t xml:space="preserve"> </w:t>
                  </w:r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705"/>
                    <w:jc w:val="center"/>
                    <w:spacing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Усл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ед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8" w:type="dxa"/>
                  <w:textDirection w:val="lrTb"/>
                  <w:noWrap w:val="false"/>
                </w:tcPr>
                <w:p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5" w:type="dxa"/>
                  <w:textDirection w:val="lrTb"/>
                  <w:noWrap w:val="false"/>
                </w:tcPr>
                <w:p>
                  <w:pPr>
                    <w:jc w:val="both"/>
                    <w:keepLines/>
                    <w:keepNext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Оплата Работ осуществляется по безналичному расчету путем перечисления Заказчиком денежных средств на расчетный счет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Подрядчика (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Исполнителя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)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, указанный в контракте, на основании выставленного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Подрядчиком (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Исполнителем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)</w:t>
                  </w:r>
                  <w:bookmarkStart w:id="0" w:name="_GoBack"/>
                  <w:r/>
                  <w:bookmarkEnd w:id="0"/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 счета, счета-фактуры (при наличии) в течение 7 рабочих дней с даты подписания Заказчиком документа о приемке в единой информационной системе в сфере закупок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.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126" w:type="dxa"/>
                  <w:textDirection w:val="lrTb"/>
                  <w:noWrap w:val="false"/>
                </w:tcPr>
                <w:p>
                  <w:pPr>
                    <w:jc w:val="both"/>
                    <w:spacing w:after="0" w:line="264" w:lineRule="auto"/>
                    <w:tabs>
                      <w:tab w:val="left" w:pos="0" w:leader="none"/>
                      <w:tab w:val="left" w:pos="7320" w:leader="none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Подрядчик (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Исполнитель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)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приступает к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выполнению работ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 даты заключения Контракта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с датой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окончания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исполнения Контракта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10.07.2025.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after="0" w:line="264" w:lineRule="auto"/>
                    <w:tabs>
                      <w:tab w:val="left" w:pos="0" w:leader="none"/>
                      <w:tab w:val="left" w:pos="7320" w:leader="none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75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5,00% от  цены контракта на сумму 320 583,33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08.04.2025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10.07.2025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485" w:type="dxa"/>
                  <w:textDirection w:val="lrTb"/>
                  <w:noWrap w:val="false"/>
                </w:tcPr>
                <w:p>
                  <w:pPr>
                    <w:contextualSpacing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6 411 666,67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83" w:type="dxa"/>
                  <w:textDirection w:val="lrTb"/>
                  <w:noWrap w:val="false"/>
                </w:tcPr>
                <w:p>
                  <w:pPr>
                    <w:contextualSpacing/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485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Не применяется при обосновании НМЦК, т.к. требования к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 выполняемым работам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, указанным в Технической части, не соответствуют потребности Заказчика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 (отсутствуют модули закупаемые Заказчиком)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</w:p>
              </w:tc>
            </w:tr>
          </w:tbl>
          <w:p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 запрос о представлении ценовой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0322500000626000058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сайте единой информационной системы в сфере закупок.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предложени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получены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91"/>
              <w:ind w:left="709" w:right="851"/>
              <w:jc w:val="both"/>
              <w:tabs>
                <w:tab w:val="left" w:pos="993" w:leader="none"/>
                <w:tab w:val="left" w:pos="14951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pStyle w:val="691"/>
              <w:numPr>
                <w:ilvl w:val="0"/>
                <w:numId w:val="4"/>
              </w:numPr>
              <w:ind w:left="0" w:right="851" w:firstLine="179"/>
              <w:jc w:val="both"/>
              <w:tabs>
                <w:tab w:val="left" w:pos="993" w:leader="none"/>
                <w:tab w:val="left" w:pos="14951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аправлены запросы о предоставлении ценовой информации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пяти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Подрядчикам (и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сполнителям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, обладающим опытом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выполнения работ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, информация о которых имеется в свободном доступе, и получены ответы от трех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Подрядчиков (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Исполнителей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с ценовой информацией, на основании которых осуществлен расчет начальной (максимальной) цены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ind w:right="851"/>
              <w:jc w:val="both"/>
              <w:tabs>
                <w:tab w:val="left" w:pos="993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tbl>
            <w:tblPr>
              <w:tblStyle w:val="690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071"/>
            </w:tblGrid>
            <w:tr>
              <w:tblPrEx/>
              <w:trPr/>
              <w:tc>
                <w:tcPr>
                  <w:tcW w:w="16071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993" w:leader="none"/>
                    </w:tabs>
                    <w:rPr>
                      <w:rFonts w:ascii="Times New Roman" w:hAnsi="Times New Roman" w:eastAsia="Times New Roman"/>
                      <w:sz w:val="24"/>
                      <w:szCs w:val="24"/>
                    </w:rPr>
                  </w:pPr>
                  <w:r/>
                  <w:bookmarkStart w:id="1" w:name="_MON_1627368448"/>
                  <w:r/>
                  <w:bookmarkEnd w:id="1"/>
                  <w:r>
                    <w:rPr>
                      <w:rFonts w:ascii="Times New Roman" w:hAnsi="Times New Roman" w:eastAsia="Times New Roman"/>
                      <w:sz w:val="24"/>
                      <w:szCs w:val="24"/>
                      <w:lang w:val="en-US"/>
                    </w:rPr>
                    <w:object w:dxaOrig="15601" w:dyaOrig="4162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0" o:spid="_x0000_s0" type="#_x0000_t75" style="width:780.00pt;height:207.75pt;mso-wrap-distance-left:0.00pt;mso-wrap-distance-top:0.00pt;mso-wrap-distance-right:0.00pt;mso-wrap-distance-bottom:0.00pt;" filled="f" stroked="f">
                        <v:path textboxrect="0,0,0,0"/>
                        <v:imagedata r:id="rId18" o:title=""/>
                      </v:shape>
                      <o:OLEObject DrawAspect="Content" r:id="rId19" ObjectID="_1525040" ProgID="Excel.Sheet.12" ShapeID="_x0000_i0" Type="Embed"/>
                    </w:object>
                  </w:r>
                  <w:r>
                    <w:rPr>
                      <w:rFonts w:ascii="Times New Roman" w:hAnsi="Times New Roman" w:eastAsia="Times New Roman"/>
                      <w:sz w:val="24"/>
                      <w:szCs w:val="24"/>
                    </w:rPr>
                  </w:r>
                </w:p>
              </w:tc>
            </w:tr>
          </w:tbl>
          <w:p>
            <w:pPr>
              <w:ind w:right="851"/>
              <w:jc w:val="both"/>
              <w:tabs>
                <w:tab w:val="left" w:pos="993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jc w:val="right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/>
      <w:bookmarkStart w:id="2" w:name="_MON_1539077081"/>
      <w:r/>
      <w:bookmarkStart w:id="3" w:name="_MON_1539077090"/>
      <w:r/>
      <w:bookmarkStart w:id="4" w:name="_MON_1539077108"/>
      <w:r/>
      <w:bookmarkStart w:id="5" w:name="_MON_1539072402"/>
      <w:r/>
      <w:bookmarkStart w:id="6" w:name="_MON_1539077508"/>
      <w:r/>
      <w:bookmarkStart w:id="7" w:name="_MON_1536472708"/>
      <w:r/>
      <w:bookmarkStart w:id="8" w:name="_MON_1539096244"/>
      <w:r/>
      <w:bookmarkStart w:id="9" w:name="_MON_1452692368"/>
      <w:r/>
      <w:bookmarkEnd w:id="2"/>
      <w:r/>
      <w:bookmarkEnd w:id="3"/>
      <w:r/>
      <w:bookmarkEnd w:id="4"/>
      <w:r/>
      <w:bookmarkEnd w:id="5"/>
      <w:r/>
      <w:bookmarkEnd w:id="6"/>
      <w:r/>
      <w:bookmarkEnd w:id="7"/>
      <w:r/>
      <w:bookmarkEnd w:id="8"/>
      <w:r/>
      <w:bookmarkEnd w:id="9"/>
      <w:r/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Реквизиты документов, на основании которых произведен расчет начальной (максимальной) цены контракта: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1: </w:t>
      </w:r>
      <w:r>
        <w:rPr>
          <w:rFonts w:ascii="Times New Roman" w:hAnsi="Times New Roman" w:cs="Times New Roman"/>
          <w:sz w:val="24"/>
          <w:szCs w:val="24"/>
        </w:rPr>
        <w:t xml:space="preserve">исх. от </w:t>
      </w:r>
      <w:r>
        <w:rPr>
          <w:rFonts w:ascii="Times New Roman" w:hAnsi="Times New Roman" w:cs="Times New Roman"/>
          <w:sz w:val="24"/>
          <w:szCs w:val="24"/>
        </w:rPr>
        <w:t xml:space="preserve">02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 № ИСХ-</w:t>
      </w:r>
      <w:r>
        <w:rPr>
          <w:rFonts w:ascii="Times New Roman" w:hAnsi="Times New Roman" w:cs="Times New Roman"/>
          <w:sz w:val="24"/>
          <w:szCs w:val="24"/>
        </w:rPr>
        <w:t xml:space="preserve">0810</w:t>
      </w:r>
      <w:r>
        <w:rPr>
          <w:rFonts w:ascii="Times New Roman" w:hAnsi="Times New Roman" w:cs="Times New Roman"/>
          <w:sz w:val="24"/>
          <w:szCs w:val="24"/>
        </w:rPr>
        <w:t xml:space="preserve">-26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2: исх. от </w:t>
      </w:r>
      <w:r>
        <w:rPr>
          <w:rFonts w:ascii="Times New Roman" w:hAnsi="Times New Roman" w:cs="Times New Roman"/>
          <w:sz w:val="24"/>
          <w:szCs w:val="24"/>
        </w:rPr>
        <w:t xml:space="preserve">02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КП</w:t>
      </w:r>
      <w:r>
        <w:rPr>
          <w:rFonts w:ascii="Times New Roman" w:hAnsi="Times New Roman" w:cs="Times New Roman"/>
          <w:sz w:val="24"/>
          <w:szCs w:val="24"/>
        </w:rPr>
        <w:t xml:space="preserve">176</w:t>
      </w:r>
      <w:r>
        <w:rPr>
          <w:rFonts w:ascii="Times New Roman" w:hAnsi="Times New Roman" w:cs="Times New Roman"/>
          <w:sz w:val="24"/>
          <w:szCs w:val="24"/>
        </w:rPr>
        <w:t xml:space="preserve">-ДС/26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3: исх. от </w:t>
      </w:r>
      <w:r>
        <w:rPr>
          <w:rFonts w:ascii="Times New Roman" w:hAnsi="Times New Roman" w:cs="Times New Roman"/>
          <w:sz w:val="24"/>
          <w:szCs w:val="24"/>
        </w:rPr>
        <w:t xml:space="preserve">02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ИСХ-</w:t>
      </w:r>
      <w:r>
        <w:rPr>
          <w:rFonts w:ascii="Times New Roman" w:hAnsi="Times New Roman" w:cs="Times New Roman"/>
          <w:sz w:val="24"/>
          <w:szCs w:val="24"/>
        </w:rPr>
        <w:t xml:space="preserve">4102026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Дата подготовки обоснования начальной (максимальной) цены контракта: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08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10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.202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Ф.И.О. контрактного управляющего (сотрудника контрактной службы):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Теренина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Н.В.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sectPr>
      <w:headerReference w:type="default" r:id="rId9"/>
      <w:footnotePr/>
      <w:endnotePr/>
      <w:type w:val="nextPage"/>
      <w:pgSz w:w="16838" w:h="11906" w:orient="landscape"/>
      <w:pgMar w:top="993" w:right="567" w:bottom="567" w:left="567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Segoe U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9990360"/>
      <w:docPartObj>
        <w:docPartGallery w:val="Page Numbers (Top of Page)"/>
        <w:docPartUnique w:val="true"/>
      </w:docPartObj>
      <w:rPr/>
    </w:sdtPr>
    <w:sdtContent>
      <w:p>
        <w:pPr>
          <w:pStyle w:val="701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4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</w:p>
    </w:sdtContent>
  </w:sdt>
  <w:p>
    <w:pPr>
      <w:pStyle w:val="7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7"/>
    <w:link w:val="68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5"/>
    <w:next w:val="68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5"/>
    <w:next w:val="68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5"/>
    <w:next w:val="68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5"/>
    <w:next w:val="68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5"/>
    <w:next w:val="68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5"/>
    <w:next w:val="68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5"/>
    <w:next w:val="68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5"/>
    <w:next w:val="68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5"/>
    <w:next w:val="68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7"/>
    <w:link w:val="34"/>
    <w:uiPriority w:val="10"/>
    <w:rPr>
      <w:sz w:val="48"/>
      <w:szCs w:val="48"/>
    </w:rPr>
  </w:style>
  <w:style w:type="paragraph" w:styleId="36">
    <w:name w:val="Subtitle"/>
    <w:basedOn w:val="685"/>
    <w:next w:val="68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7"/>
    <w:link w:val="36"/>
    <w:uiPriority w:val="11"/>
    <w:rPr>
      <w:sz w:val="24"/>
      <w:szCs w:val="24"/>
    </w:rPr>
  </w:style>
  <w:style w:type="paragraph" w:styleId="38">
    <w:name w:val="Quote"/>
    <w:basedOn w:val="685"/>
    <w:next w:val="68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5"/>
    <w:next w:val="68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7"/>
    <w:link w:val="701"/>
    <w:uiPriority w:val="99"/>
  </w:style>
  <w:style w:type="character" w:styleId="45">
    <w:name w:val="Footer Char"/>
    <w:basedOn w:val="687"/>
    <w:link w:val="703"/>
    <w:uiPriority w:val="99"/>
  </w:style>
  <w:style w:type="paragraph" w:styleId="46">
    <w:name w:val="Caption"/>
    <w:basedOn w:val="685"/>
    <w:next w:val="68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8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8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7"/>
    <w:uiPriority w:val="99"/>
    <w:unhideWhenUsed/>
    <w:rPr>
      <w:vertAlign w:val="superscript"/>
    </w:rPr>
  </w:style>
  <w:style w:type="paragraph" w:styleId="178">
    <w:name w:val="endnote text"/>
    <w:basedOn w:val="68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7"/>
    <w:uiPriority w:val="99"/>
    <w:semiHidden/>
    <w:unhideWhenUsed/>
    <w:rPr>
      <w:vertAlign w:val="superscript"/>
    </w:rPr>
  </w:style>
  <w:style w:type="paragraph" w:styleId="181">
    <w:name w:val="toc 1"/>
    <w:basedOn w:val="685"/>
    <w:next w:val="68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5"/>
    <w:next w:val="68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5"/>
    <w:next w:val="68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5"/>
    <w:next w:val="68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5"/>
    <w:next w:val="68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5"/>
    <w:next w:val="68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5"/>
    <w:next w:val="68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5"/>
    <w:next w:val="68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5"/>
    <w:next w:val="68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5"/>
    <w:next w:val="685"/>
    <w:uiPriority w:val="99"/>
    <w:unhideWhenUsed/>
    <w:pPr>
      <w:spacing w:after="0" w:afterAutospacing="0"/>
    </w:pPr>
  </w:style>
  <w:style w:type="paragraph" w:styleId="685" w:default="1">
    <w:name w:val="Normal"/>
    <w:qFormat/>
  </w:style>
  <w:style w:type="paragraph" w:styleId="686">
    <w:name w:val="Heading 1"/>
    <w:basedOn w:val="685"/>
    <w:link w:val="697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table" w:styleId="690">
    <w:name w:val="Table Grid"/>
    <w:basedOn w:val="688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691">
    <w:name w:val="List Paragraph"/>
    <w:basedOn w:val="685"/>
    <w:uiPriority w:val="99"/>
    <w:qFormat/>
    <w:pPr>
      <w:contextualSpacing/>
      <w:ind w:left="720"/>
    </w:pPr>
  </w:style>
  <w:style w:type="paragraph" w:styleId="692">
    <w:name w:val="Balloon Text"/>
    <w:basedOn w:val="685"/>
    <w:link w:val="69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93" w:customStyle="1">
    <w:name w:val="Текст выноски Знак"/>
    <w:basedOn w:val="687"/>
    <w:link w:val="692"/>
    <w:uiPriority w:val="99"/>
    <w:semiHidden/>
    <w:rPr>
      <w:rFonts w:ascii="Segoe UI" w:hAnsi="Segoe UI" w:cs="Segoe UI"/>
      <w:sz w:val="18"/>
      <w:szCs w:val="18"/>
    </w:rPr>
  </w:style>
  <w:style w:type="paragraph" w:styleId="694">
    <w:name w:val="Body Text Indent"/>
    <w:basedOn w:val="685"/>
    <w:link w:val="695"/>
    <w:unhideWhenUsed/>
    <w:pPr>
      <w:ind w:left="5400"/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4"/>
    </w:rPr>
  </w:style>
  <w:style w:type="character" w:styleId="695" w:customStyle="1">
    <w:name w:val="Основной текст с отступом Знак"/>
    <w:basedOn w:val="687"/>
    <w:link w:val="694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696">
    <w:name w:val="Hyperlink"/>
    <w:basedOn w:val="687"/>
    <w:uiPriority w:val="99"/>
    <w:unhideWhenUsed/>
    <w:rPr>
      <w:color w:val="0000ff"/>
      <w:u w:val="single"/>
    </w:rPr>
  </w:style>
  <w:style w:type="character" w:styleId="697" w:customStyle="1">
    <w:name w:val="Заголовок 1 Знак"/>
    <w:basedOn w:val="687"/>
    <w:link w:val="686"/>
    <w:uiPriority w:val="9"/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698">
    <w:name w:val="FollowedHyperlink"/>
    <w:basedOn w:val="687"/>
    <w:uiPriority w:val="99"/>
    <w:semiHidden/>
    <w:unhideWhenUsed/>
    <w:rPr>
      <w:color w:val="800080" w:themeColor="followedHyperlink"/>
      <w:u w:val="single"/>
    </w:rPr>
  </w:style>
  <w:style w:type="character" w:styleId="699" w:customStyle="1">
    <w:name w:val="cardmaininfo__purchaselink"/>
    <w:basedOn w:val="687"/>
  </w:style>
  <w:style w:type="paragraph" w:styleId="700" w:customStyle="1">
    <w:name w:val="Default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701">
    <w:name w:val="Header"/>
    <w:basedOn w:val="685"/>
    <w:link w:val="70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2" w:customStyle="1">
    <w:name w:val="Верхний колонтитул Знак"/>
    <w:basedOn w:val="687"/>
    <w:link w:val="701"/>
    <w:uiPriority w:val="99"/>
  </w:style>
  <w:style w:type="paragraph" w:styleId="703">
    <w:name w:val="Footer"/>
    <w:basedOn w:val="685"/>
    <w:link w:val="70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4" w:customStyle="1">
    <w:name w:val="Нижний колонтитул Знак"/>
    <w:basedOn w:val="687"/>
    <w:link w:val="703"/>
    <w:uiPriority w:val="99"/>
  </w:style>
  <w:style w:type="paragraph" w:styleId="705" w:customStyle="1">
    <w:name w:val="Без интервала12"/>
    <w:qFormat/>
    <w:pPr>
      <w:spacing w:after="0" w:line="240" w:lineRule="auto"/>
    </w:pPr>
    <w:rPr>
      <w:rFonts w:ascii="Calibri" w:hAnsi="Calibri" w:eastAsia="Times New Roman" w:cs="Calibri"/>
    </w:rPr>
  </w:style>
  <w:style w:type="paragraph" w:styleId="706" w:customStyle="1">
    <w:name w:val="Цветной список - Акцент 11"/>
    <w:basedOn w:val="685"/>
    <w:qFormat/>
    <w:pPr>
      <w:ind w:left="720"/>
    </w:pPr>
    <w:rPr>
      <w:rFonts w:ascii="Calibri" w:hAnsi="Calibri" w:eastAsia="Times New Roman" w:cs="Calibri"/>
      <w:lang w:eastAsia="ar-SA"/>
    </w:rPr>
  </w:style>
  <w:style w:type="character" w:styleId="707">
    <w:name w:val="Strong"/>
    <w:basedOn w:val="687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geometa.ru/module/gisogd-starter-pack/" TargetMode="External"/><Relationship Id="rId11" Type="http://schemas.openxmlformats.org/officeDocument/2006/relationships/hyperlink" Target="https://zakupki.gov.ru/epz/contract/contractCard/common-info.html?reestrNumber=2091701864024000120" TargetMode="External"/><Relationship Id="rId12" Type="http://schemas.openxmlformats.org/officeDocument/2006/relationships/hyperlink" Target="https://zakupki.gov.ru/epz/contract/contractCard/common-info.html?reestrNumber=2091701864024000120" TargetMode="External"/><Relationship Id="rId13" Type="http://schemas.openxmlformats.org/officeDocument/2006/relationships/hyperlink" Target="https://zakupki.gov.ru/epz/contract/contractCard/common-info.html?reestrNumber=2056206789224000012" TargetMode="External"/><Relationship Id="rId14" Type="http://schemas.openxmlformats.org/officeDocument/2006/relationships/hyperlink" Target="https://zakupki.gov.ru/epz/contract/contractCard/document-info.html?reestrNumber=2056206789224000012&amp;contractInfoId=90331314" TargetMode="External"/><Relationship Id="rId15" Type="http://schemas.openxmlformats.org/officeDocument/2006/relationships/hyperlink" Target="https://zakupki.gov.ru/epz/contract/contractCard/common-info.html?reestrNumber=2650128173024000007" TargetMode="External"/><Relationship Id="rId16" Type="http://schemas.openxmlformats.org/officeDocument/2006/relationships/hyperlink" Target="https://zakupki.gov.ru/epz/contract/contractCard/common-info.html?reestrNumber=2650128173024000007" TargetMode="External"/><Relationship Id="rId17" Type="http://schemas.openxmlformats.org/officeDocument/2006/relationships/hyperlink" Target="https://zakupki.gov.ru/epz/contract/contractCard/common-info.html?reestrNumber=2272109307625000103&amp;contractInfoId=99538286" TargetMode="External"/><Relationship Id="rId18" Type="http://schemas.openxmlformats.org/officeDocument/2006/relationships/image" Target="media/image1.emf"/><Relationship Id="rId19" Type="http://schemas.openxmlformats.org/officeDocument/2006/relationships/package" Target="embeddings/Microsoft_Excel_Worksheet1.xlsx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Управление лесами Правительства Хабаровского края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makukurenchuk</cp:lastModifiedBy>
  <cp:revision>5</cp:revision>
  <dcterms:created xsi:type="dcterms:W3CDTF">2026-10-08T12:49:00Z</dcterms:created>
  <dcterms:modified xsi:type="dcterms:W3CDTF">2026-10-15T04:55:32Z</dcterms:modified>
</cp:coreProperties>
</file>