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ntTable.xml" ContentType="application/vnd.openxmlformats-officedocument.wordprocessingml.fontTable+xml"/>
  <Override PartName="/word/footnotes.xml" ContentType="application/vnd.openxmlformats-officedocument.wordprocessingml.footnotes+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b/>
          <w:bCs/>
          <w:kern w:val="2"/>
          <w:lang w:val="en-US"/>
        </w:rPr>
        <w:t>V</w:t>
      </w:r>
      <w:r>
        <w:rPr>
          <w:b/>
          <w:bCs/>
          <w:kern w:val="2"/>
        </w:rPr>
        <w:t xml:space="preserve">. </w:t>
      </w:r>
      <w:r>
        <w:rPr>
          <w:b/>
        </w:rPr>
        <w:t xml:space="preserve">ПРОЕКТ КОНТРАКТА </w:t>
      </w:r>
    </w:p>
    <w:p>
      <w:pPr>
        <w:pStyle w:val="Normal"/>
        <w:jc w:val="center"/>
        <w:rPr>
          <w:b/>
          <w:bCs/>
        </w:rPr>
      </w:pPr>
      <w:r>
        <w:rPr>
          <w:b/>
          <w:bCs/>
        </w:rPr>
        <w:t xml:space="preserve">          </w:t>
      </w:r>
    </w:p>
    <w:p>
      <w:pPr>
        <w:pStyle w:val="Normal"/>
        <w:jc w:val="center"/>
        <w:rPr/>
      </w:pPr>
      <w:r>
        <w:rPr>
          <w:b/>
        </w:rPr>
        <w:t xml:space="preserve">Контракт </w:t>
      </w:r>
    </w:p>
    <w:p>
      <w:pPr>
        <w:pStyle w:val="ConsPlusTitle"/>
        <w:jc w:val="center"/>
        <w:rPr>
          <w:rFonts w:ascii="Times New Roman" w:hAnsi="Times New Roman" w:cs="Times New Roman"/>
          <w:sz w:val="24"/>
          <w:szCs w:val="24"/>
        </w:rPr>
      </w:pPr>
      <w:r>
        <w:rPr>
          <w:rFonts w:cs="Times New Roman" w:ascii="Times New Roman" w:hAnsi="Times New Roman"/>
          <w:sz w:val="24"/>
          <w:szCs w:val="24"/>
        </w:rPr>
        <w:t>НА ВЫПОЛНЕНИЕ РАБОТ ПО РАЗВИТИЮ</w:t>
      </w:r>
    </w:p>
    <w:p>
      <w:pPr>
        <w:pStyle w:val="Normal"/>
        <w:jc w:val="center"/>
        <w:rPr>
          <w:b/>
          <w:bCs/>
        </w:rPr>
      </w:pPr>
      <w:r>
        <w:rPr>
          <w:b/>
        </w:rPr>
        <w:t xml:space="preserve">(МОДЕРНИЗАЦИИ) </w:t>
      </w:r>
      <w:r>
        <w:rPr>
          <w:rFonts w:ascii="Times New Roman" w:hAnsi="Times New Roman"/>
          <w:b/>
          <w:color w:val="000000"/>
          <w:sz w:val="24"/>
        </w:rPr>
        <w:t>ГОСУДАРСТВЕННОЙ</w:t>
      </w:r>
      <w:r>
        <w:rPr>
          <w:b/>
        </w:rPr>
        <w:t xml:space="preserve"> ИНФОРМАЦИОННОЙ СИСТЕМЫ</w:t>
      </w:r>
    </w:p>
    <w:p>
      <w:pPr>
        <w:pStyle w:val="Normal"/>
        <w:ind w:firstLine="567"/>
        <w:jc w:val="both"/>
        <w:rPr/>
      </w:pPr>
      <w:r>
        <w:rPr/>
      </w:r>
    </w:p>
    <w:p>
      <w:pPr>
        <w:pStyle w:val="Normal"/>
        <w:ind w:firstLine="567"/>
        <w:jc w:val="both"/>
        <w:rPr/>
      </w:pPr>
      <w:r>
        <w:rPr/>
        <w:t>г. _____________</w:t>
        <w:tab/>
        <w:tab/>
        <w:tab/>
        <w:tab/>
        <w:tab/>
        <w:tab/>
        <w:tab/>
        <w:tab/>
        <w:t>«___»  ________ 20__ г.</w:t>
      </w:r>
    </w:p>
    <w:p>
      <w:pPr>
        <w:pStyle w:val="Normal"/>
        <w:ind w:firstLine="567"/>
        <w:jc w:val="both"/>
        <w:rPr/>
      </w:pPr>
      <w:r>
        <w:rPr/>
        <w:t xml:space="preserve">КРАЕВОЕ ГОСУДАРСТВЕННОЕ БЮДЖЕТНОЕ УЧРЕЖДЕНИЕ ''ПРОЕКТНО-СТРОИТЕЛЬНЫЙ ИНСТИТУТ ХАБАРОВСКОГО КРАЯ'', именуемое в дальнейшем «Заказчик», в лице ____________________________, действующего на основании  ________________________________, с одной стороны, и _______________, именуемое в дальнейшем «Подрядчик (исполнитель)», в лице _________________, действующего на основании ____________, с другой стороны, </w:t>
      </w:r>
      <w:r>
        <w:rPr>
          <w:bCs/>
        </w:rPr>
        <w:t>в дальнейшем вместе именуемые «Стороны»,</w:t>
      </w:r>
      <w:r>
        <w:rPr/>
        <w:t xml:space="preserve"> и каждый в отдельности «Сторона», с соблюдением требований Гражданского </w:t>
      </w:r>
      <w:hyperlink r:id="rId2">
        <w:r>
          <w:rPr>
            <w:rStyle w:val="Style"/>
          </w:rPr>
          <w:t>кодекса</w:t>
        </w:r>
      </w:hyperlink>
      <w:r>
        <w:rPr/>
        <w:t xml:space="preserve"> Российской Федерации, Федерального </w:t>
      </w:r>
      <w:hyperlink r:id="rId3">
        <w:r>
          <w:rPr>
            <w:rStyle w:val="Hyperlink"/>
            <w:color w:val="auto"/>
            <w:u w:val="none"/>
          </w:rPr>
          <w:t>закона</w:t>
        </w:r>
      </w:hyperlink>
      <w:r>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 (Идентификационный код закупки </w:t>
      </w:r>
      <w:r>
        <w:rPr>
          <w:color w:themeColor="text1" w:val="000000"/>
        </w:rPr>
        <w:t>262272213128527220100100770026201244</w:t>
      </w:r>
      <w:r>
        <w:rPr/>
        <w:t>), заявкой участника закупки, заключили настоящий контракт о нижеследующем:</w:t>
      </w:r>
    </w:p>
    <w:p>
      <w:pPr>
        <w:pStyle w:val="Normal"/>
        <w:jc w:val="center"/>
        <w:rPr>
          <w:b/>
          <w:bCs/>
        </w:rPr>
      </w:pPr>
      <w:r>
        <w:rPr>
          <w:b/>
          <w:bCs/>
        </w:rPr>
      </w:r>
    </w:p>
    <w:p>
      <w:pPr>
        <w:pStyle w:val="Normal"/>
        <w:jc w:val="center"/>
        <w:rPr/>
      </w:pPr>
      <w:r>
        <w:rPr>
          <w:b/>
          <w:bCs/>
        </w:rPr>
        <w:t xml:space="preserve">1. ПРЕДМЕТ </w:t>
      </w:r>
      <w:r>
        <w:rPr>
          <w:b/>
        </w:rPr>
        <w:t>КОНТРАКТ</w:t>
      </w:r>
      <w:r>
        <w:rPr>
          <w:b/>
          <w:bCs/>
        </w:rPr>
        <w:t>А</w:t>
      </w:r>
    </w:p>
    <w:p>
      <w:pPr>
        <w:pStyle w:val="ConsPlusNormal1"/>
        <w:spacing w:before="0" w:after="0"/>
        <w:ind w:firstLine="539"/>
        <w:contextualSpacing/>
        <w:jc w:val="both"/>
        <w:rPr>
          <w:rFonts w:ascii="Times New Roman" w:hAnsi="Times New Roman" w:cs="Times New Roman"/>
          <w:sz w:val="24"/>
          <w:szCs w:val="24"/>
        </w:rPr>
      </w:pPr>
      <w:r>
        <w:rPr>
          <w:rFonts w:cs="Times New Roman" w:ascii="Times New Roman" w:hAnsi="Times New Roman"/>
          <w:sz w:val="24"/>
          <w:szCs w:val="24"/>
        </w:rPr>
        <w:t xml:space="preserve">1.1. Подрядчик (исполнитель) по заданию Заказчика обязуется в установленный Контрактом срок выполнить работы: по развитию (модернизации) </w:t>
      </w:r>
      <w:r>
        <w:rPr>
          <w:rFonts w:cs="Times New Roman" w:ascii="Times New Roman" w:hAnsi="Times New Roman"/>
          <w:sz w:val="24"/>
          <w:szCs w:val="24"/>
        </w:rPr>
        <w:t>государственной</w:t>
      </w:r>
      <w:r>
        <w:rPr>
          <w:rFonts w:cs="Times New Roman" w:ascii="Times New Roman" w:hAnsi="Times New Roman"/>
          <w:sz w:val="24"/>
          <w:szCs w:val="24"/>
        </w:rPr>
        <w:t xml:space="preserve"> информационной системы (далее - работы, Система), а заказчик обязуется принять выполненные работы и оплатить их в порядке и на условиях, предусмотренных контрактом. </w:t>
      </w:r>
    </w:p>
    <w:p>
      <w:pPr>
        <w:pStyle w:val="ConsPlusNormal1"/>
        <w:spacing w:before="0" w:after="0"/>
        <w:ind w:firstLine="539"/>
        <w:contextualSpacing/>
        <w:jc w:val="both"/>
        <w:rPr>
          <w:rFonts w:ascii="Times New Roman" w:hAnsi="Times New Roman" w:cs="Times New Roman"/>
          <w:sz w:val="24"/>
          <w:szCs w:val="24"/>
        </w:rPr>
      </w:pPr>
      <w:r>
        <w:rPr>
          <w:rFonts w:cs="Times New Roman" w:ascii="Times New Roman" w:hAnsi="Times New Roman"/>
          <w:sz w:val="24"/>
          <w:szCs w:val="24"/>
        </w:rPr>
        <w:t>Заказчик поручает, а Подрядчик (исполнитель) принимает на себя обязательства провести: Выполнение работ по развитию Государственной информационной системы обеспечения градостроительной деятельности Хабаровского края в соответствии с Техническим заданием (Приложение 1), Спецификацией (Приложение 2), являющимися неотъемлемыми частями контракта.</w:t>
      </w:r>
    </w:p>
    <w:p>
      <w:pPr>
        <w:pStyle w:val="ConsPlusNormal1"/>
        <w:spacing w:before="0" w:after="0"/>
        <w:ind w:firstLine="539"/>
        <w:contextualSpacing/>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color w:themeColor="text1" w:val="000000"/>
          <w:sz w:val="24"/>
          <w:szCs w:val="24"/>
        </w:rPr>
        <w:t xml:space="preserve">2. Работы выполняются Подрядчиком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w:t>
      </w:r>
      <w:hyperlink r:id="rId4">
        <w:r>
          <w:rPr>
            <w:rStyle w:val="Style"/>
            <w:rFonts w:cs="Times New Roman" w:ascii="Times New Roman" w:hAnsi="Times New Roman"/>
            <w:color w:themeColor="text1" w:val="000000"/>
            <w:sz w:val="24"/>
            <w:szCs w:val="24"/>
          </w:rPr>
          <w:t>закона</w:t>
        </w:r>
      </w:hyperlink>
      <w:r>
        <w:rPr>
          <w:rFonts w:cs="Times New Roman" w:ascii="Times New Roman" w:hAnsi="Times New Roman"/>
          <w:color w:themeColor="text1" w:val="000000"/>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31, ст. 5008), Федерального </w:t>
      </w:r>
      <w:hyperlink r:id="rId5">
        <w:r>
          <w:rPr>
            <w:rStyle w:val="Style"/>
            <w:rFonts w:cs="Times New Roman" w:ascii="Times New Roman" w:hAnsi="Times New Roman"/>
            <w:color w:themeColor="text1" w:val="000000"/>
            <w:sz w:val="24"/>
            <w:szCs w:val="24"/>
          </w:rPr>
          <w:t>закона</w:t>
        </w:r>
      </w:hyperlink>
      <w:r>
        <w:rPr>
          <w:rFonts w:cs="Times New Roman" w:ascii="Times New Roman" w:hAnsi="Times New Roman"/>
          <w:color w:themeColor="text1" w:val="000000"/>
          <w:sz w:val="24"/>
          <w:szCs w:val="24"/>
        </w:rPr>
        <w:t xml:space="preserve">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w:t>
      </w:r>
      <w:r>
        <w:rPr>
          <w:rFonts w:cs="Times New Roman" w:ascii="Times New Roman" w:hAnsi="Times New Roman"/>
          <w:sz w:val="24"/>
          <w:szCs w:val="24"/>
        </w:rPr>
        <w:t>ния и непосредственно указанных в техническом задании, являющемся его неотъемлемой частью (далее - техническое задание)</w:t>
      </w:r>
      <w:r>
        <w:rPr/>
        <w:t>.</w:t>
      </w:r>
      <w:r>
        <w:rPr>
          <w:b/>
        </w:rPr>
        <w:t xml:space="preserve"> </w:t>
      </w:r>
      <w:r>
        <w:rPr>
          <w:rStyle w:val="FootnoteReference"/>
          <w:b/>
          <w:color w:themeColor="background1" w:val="FFFFFF"/>
        </w:rPr>
        <w:footnoteReference w:id="2"/>
      </w:r>
      <w:r>
        <w:rPr>
          <w:rStyle w:val="FootnoteReference"/>
          <w:color w:themeColor="background1" w:val="FFFFFF"/>
        </w:rPr>
        <w:footnoteReference w:id="3"/>
      </w:r>
      <w:r>
        <w:rPr>
          <w:rStyle w:val="FootnoteReference"/>
          <w:color w:themeColor="background1" w:val="FFFFFF"/>
        </w:rPr>
        <w:footnoteReference w:id="4"/>
      </w:r>
    </w:p>
    <w:p>
      <w:pPr>
        <w:pStyle w:val="Normal"/>
        <w:ind w:firstLine="709"/>
        <w:jc w:val="both"/>
        <w:rPr/>
      </w:pPr>
      <w:r>
        <w:rPr/>
      </w:r>
    </w:p>
    <w:p>
      <w:pPr>
        <w:pStyle w:val="Normal"/>
        <w:jc w:val="center"/>
        <w:rPr>
          <w:b/>
        </w:rPr>
      </w:pPr>
      <w:r>
        <w:rPr>
          <w:b/>
        </w:rPr>
        <w:t xml:space="preserve">2. ЦЕНА КОНТРАКТА(ПЛАТА, ПОДЛЕЖАЩАЯ ВНЕСЕНИЮ </w:t>
      </w:r>
    </w:p>
    <w:p>
      <w:pPr>
        <w:pStyle w:val="Normal"/>
        <w:numPr>
          <w:ilvl w:val="0"/>
          <w:numId w:val="0"/>
        </w:numPr>
        <w:jc w:val="center"/>
        <w:outlineLvl w:val="2"/>
        <w:rPr>
          <w:b/>
          <w:vertAlign w:val="superscript"/>
        </w:rPr>
      </w:pPr>
      <w:r>
        <w:rPr>
          <w:b/>
        </w:rPr>
        <w:t>УЧАСТНИКОМ ЗАКУПКИ ЗА ЗАКЛЮЧЕНИЕ КОНТРАКТА)</w:t>
      </w:r>
      <w:r>
        <w:rPr>
          <w:b/>
          <w:vertAlign w:val="superscript"/>
        </w:rPr>
        <w:t>1</w:t>
      </w:r>
    </w:p>
    <w:p>
      <w:pPr>
        <w:pStyle w:val="Normal"/>
        <w:ind w:firstLine="709"/>
        <w:jc w:val="both"/>
        <w:rPr>
          <w:vertAlign w:val="superscript"/>
        </w:rPr>
      </w:pPr>
      <w:r>
        <w:rPr/>
        <w:t xml:space="preserve">2.1. Цена контракта </w:t>
      </w:r>
      <w:r>
        <w:rPr>
          <w:color w:themeColor="text1" w:val="000000"/>
        </w:rPr>
        <w:t>(плата, подлежащая внесению участником закупки за заключение контракта</w:t>
      </w:r>
      <w:r>
        <w:rPr>
          <w:color w:themeColor="text1" w:val="000000"/>
          <w:vertAlign w:val="superscript"/>
          <w:lang w:val="en-US"/>
        </w:rPr>
        <w:t>2</w:t>
      </w:r>
      <w:r>
        <w:rPr>
          <w:color w:themeColor="text1" w:val="000000"/>
        </w:rPr>
        <w:t xml:space="preserve">) </w:t>
      </w:r>
      <w:r>
        <w:rPr/>
        <w:t>составляет ______________________________ (сумма прописью), включая НДС________________(___________________) рублей _____копеек</w:t>
      </w:r>
      <w:r>
        <w:rPr>
          <w:vertAlign w:val="superscript"/>
          <w:lang w:val="en-US"/>
        </w:rPr>
        <w:t>3</w:t>
      </w:r>
      <w:r>
        <w:rPr>
          <w:lang w:val="en-US"/>
        </w:rPr>
        <w:t>.</w:t>
      </w:r>
    </w:p>
    <w:p>
      <w:pPr>
        <w:pStyle w:val="Normal"/>
        <w:ind w:firstLine="709"/>
        <w:jc w:val="both"/>
        <w:rPr/>
      </w:pPr>
      <w:r>
        <w:rPr>
          <w:rFonts w:eastAsia="Calibri" w:eastAsiaTheme="minorHAnsi"/>
          <w:lang w:eastAsia="en-US"/>
        </w:rPr>
        <w:t>Сумма, подлежащая уплате Заказчиком Подрядчику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firstLine="709"/>
        <w:jc w:val="both"/>
        <w:rPr>
          <w:b/>
        </w:rPr>
      </w:pPr>
      <w:r>
        <w:rPr/>
        <w:t>2.2. Валютой для установления цены контракта и расчетов с Исполнителем является Российский рубль.</w:t>
      </w:r>
    </w:p>
    <w:p>
      <w:pPr>
        <w:pStyle w:val="Normal"/>
        <w:ind w:firstLine="709"/>
        <w:jc w:val="both"/>
        <w:rPr/>
      </w:pPr>
      <w:r>
        <w:rPr/>
        <w:t>2.3. Источник финансирования контракта: Хабаровский</w:t>
      </w:r>
      <w:r>
        <w:rPr>
          <w:lang w:val="en-US"/>
        </w:rPr>
        <w:t xml:space="preserve"> </w:t>
      </w:r>
      <w:r>
        <w:rPr/>
        <w:t xml:space="preserve">край - Средства бюджетных учреждений. </w:t>
      </w:r>
    </w:p>
    <w:p>
      <w:pPr>
        <w:pStyle w:val="Normal"/>
        <w:ind w:firstLine="709"/>
        <w:jc w:val="both"/>
        <w:rPr/>
      </w:pPr>
      <w:r>
        <w:rPr/>
        <w:t>2.4. Цена контракта включает в себя стоимость выполнения Работ, все затраты, издержки, а также налоги, сборы и другие обязательные платежи, взимаемые с Подрядчика (Исполнителя) в связи с исполнением контракта.</w:t>
      </w:r>
    </w:p>
    <w:p>
      <w:pPr>
        <w:pStyle w:val="Normal"/>
        <w:ind w:firstLine="709"/>
        <w:jc w:val="both"/>
        <w:rPr>
          <w:sz w:val="20"/>
          <w:szCs w:val="20"/>
        </w:rPr>
      </w:pPr>
      <w:r>
        <w:rPr/>
        <w:t xml:space="preserve">2.5. </w:t>
      </w:r>
      <w:r>
        <w:rPr>
          <w:rStyle w:val="layout"/>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Pr/>
        <w:t>.</w:t>
      </w:r>
      <w:r>
        <w:rPr>
          <w:rFonts w:eastAsia="Calibri"/>
        </w:rPr>
        <w:t xml:space="preserve"> </w:t>
      </w:r>
    </w:p>
    <w:p>
      <w:pPr>
        <w:pStyle w:val="Normal"/>
        <w:tabs>
          <w:tab w:val="clear" w:pos="708"/>
          <w:tab w:val="left" w:pos="426" w:leader="none"/>
        </w:tabs>
        <w:spacing w:before="0" w:after="0"/>
        <w:ind w:firstLine="709"/>
        <w:contextualSpacing/>
        <w:jc w:val="both"/>
        <w:rPr>
          <w:rFonts w:eastAsia="Calibri"/>
        </w:rPr>
      </w:pPr>
      <w:r>
        <w:rPr>
          <w:rFonts w:eastAsia="Calibri"/>
        </w:rPr>
      </w:r>
    </w:p>
    <w:p>
      <w:pPr>
        <w:pStyle w:val="ListParagraph"/>
        <w:tabs>
          <w:tab w:val="clear" w:pos="708"/>
          <w:tab w:val="left" w:pos="426" w:leader="none"/>
        </w:tabs>
        <w:ind w:left="0"/>
        <w:jc w:val="center"/>
        <w:rPr>
          <w:b/>
          <w:sz w:val="24"/>
          <w:szCs w:val="24"/>
        </w:rPr>
      </w:pPr>
      <w:r>
        <w:rPr>
          <w:b/>
          <w:sz w:val="24"/>
          <w:szCs w:val="24"/>
        </w:rPr>
        <w:t>3. ПОРЯДОК РАСЧЕТОВ</w:t>
      </w:r>
      <w:r>
        <w:rPr>
          <w:rStyle w:val="FootnoteReference"/>
          <w:b/>
          <w:sz w:val="24"/>
          <w:szCs w:val="24"/>
        </w:rPr>
        <w:footnoteReference w:id="5"/>
      </w:r>
    </w:p>
    <w:p>
      <w:pPr>
        <w:pStyle w:val="Normal"/>
        <w:keepNext w:val="true"/>
        <w:ind w:firstLine="709"/>
        <w:jc w:val="both"/>
        <w:rPr/>
      </w:pPr>
      <w:r>
        <w:rPr/>
        <w:t xml:space="preserve">3.1. Оплата за </w:t>
      </w:r>
      <w:r>
        <w:rPr>
          <w:bCs/>
        </w:rPr>
        <w:t>выполненные Работы</w:t>
      </w:r>
      <w:r>
        <w:rPr/>
        <w:t xml:space="preserve"> осуществляется по цене, установленной п. 2.1 контракта.</w:t>
      </w:r>
    </w:p>
    <w:p>
      <w:pPr>
        <w:pStyle w:val="Normal"/>
        <w:ind w:firstLine="709"/>
        <w:jc w:val="both"/>
        <w:rPr/>
      </w:pPr>
      <w:r>
        <w:rPr/>
        <w:t xml:space="preserve">3.2. Оплата осуществляется по безналичному расчету путем перечисления Заказчиком денежных средств на расчетный счет Подрядчика (Исполнителя), указанный в контракте, на основании предоставленного Подрядчиком (Исполнителем) счёта или счёта–фактуры в течение 7 рабочих дней с даты подписания Заказчиком документа о приемке </w:t>
      </w:r>
    </w:p>
    <w:p>
      <w:pPr>
        <w:pStyle w:val="Normal"/>
        <w:ind w:firstLine="709"/>
        <w:jc w:val="both"/>
        <w:rPr/>
      </w:pPr>
      <w:r>
        <w:rPr/>
        <w:t>Расчет осуществляется по факту выполнения всех Работ.</w:t>
      </w:r>
    </w:p>
    <w:p>
      <w:pPr>
        <w:pStyle w:val="Normal"/>
        <w:ind w:firstLine="709"/>
        <w:jc w:val="both"/>
        <w:rPr/>
      </w:pPr>
      <w:r>
        <w:rPr/>
        <w:t xml:space="preserve">3.3. Обязательство Заказчика по оплате </w:t>
      </w:r>
      <w:r>
        <w:rPr>
          <w:bCs/>
        </w:rPr>
        <w:t>за выполненные Работы</w:t>
      </w:r>
      <w:r>
        <w:rPr/>
        <w:t xml:space="preserve"> считается исполненным с момента списания денежных средств со счета Заказчика. </w:t>
      </w:r>
    </w:p>
    <w:p>
      <w:pPr>
        <w:pStyle w:val="Normal"/>
        <w:ind w:firstLine="709"/>
        <w:jc w:val="both"/>
        <w:rPr/>
      </w:pPr>
      <w:r>
        <w:rPr/>
        <w:t xml:space="preserve"> </w:t>
      </w:r>
    </w:p>
    <w:p>
      <w:pPr>
        <w:pStyle w:val="Normal"/>
        <w:keepNext w:val="true"/>
        <w:ind w:firstLine="709"/>
        <w:rPr/>
      </w:pPr>
      <w:r>
        <w:rPr/>
      </w:r>
    </w:p>
    <w:p>
      <w:pPr>
        <w:pStyle w:val="Normal"/>
        <w:keepNext w:val="true"/>
        <w:ind w:firstLine="709"/>
        <w:jc w:val="center"/>
        <w:rPr>
          <w:b/>
        </w:rPr>
      </w:pPr>
      <w:r>
        <w:rPr>
          <w:b/>
        </w:rPr>
        <w:t>4. ПРАВА И ОБЯЗАННОСТИ СТОРОН</w:t>
      </w:r>
    </w:p>
    <w:p>
      <w:pPr>
        <w:pStyle w:val="Normal"/>
        <w:ind w:firstLine="709"/>
        <w:jc w:val="both"/>
        <w:rPr>
          <w:b/>
        </w:rPr>
      </w:pPr>
      <w:r>
        <w:rPr>
          <w:b/>
        </w:rPr>
        <w:t>4.1. Заказчик вправе:</w:t>
      </w:r>
    </w:p>
    <w:p>
      <w:pPr>
        <w:pStyle w:val="Normal"/>
        <w:ind w:firstLine="709"/>
        <w:jc w:val="both"/>
        <w:rPr/>
      </w:pPr>
      <w:r>
        <w:rPr/>
        <w:t>4.1.1. Требовать от Подрядчика (исполнителя) надлежащего исполнения обязательств в соответствии с условиями контракта.</w:t>
      </w:r>
    </w:p>
    <w:p>
      <w:pPr>
        <w:pStyle w:val="Normal"/>
        <w:ind w:firstLine="709"/>
        <w:jc w:val="both"/>
        <w:rPr/>
      </w:pPr>
      <w:r>
        <w:rPr/>
        <w:t>4.1.2. Требовать от Подрядчика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pPr>
        <w:pStyle w:val="Normal"/>
        <w:ind w:firstLine="709"/>
        <w:jc w:val="both"/>
        <w:rPr/>
      </w:pPr>
      <w:r>
        <w:rPr/>
        <w:t>4.1.3. Запрашивать у Подрядчика (исполнителя) информацию о ходе и состоянии исполнения обязательств Подрядчика (исполнителя) по настоящему контракту.</w:t>
      </w:r>
    </w:p>
    <w:p>
      <w:pPr>
        <w:pStyle w:val="Normal"/>
        <w:ind w:firstLine="709"/>
        <w:jc w:val="both"/>
        <w:rPr>
          <w:b/>
        </w:rPr>
      </w:pPr>
      <w:r>
        <w:rPr>
          <w:b/>
        </w:rPr>
        <w:t>4.2. Заказчик обязан:</w:t>
      </w:r>
    </w:p>
    <w:p>
      <w:pPr>
        <w:pStyle w:val="Normal"/>
        <w:ind w:firstLine="709"/>
        <w:jc w:val="both"/>
        <w:rPr/>
      </w:pPr>
      <w:r>
        <w:rPr/>
        <w:t>4.2.1. Своевременно принять и оплатить</w:t>
      </w:r>
      <w:r>
        <w:rPr>
          <w:rStyle w:val="FootnoteReference"/>
        </w:rPr>
        <w:footnoteReference w:id="6"/>
      </w:r>
      <w:r>
        <w:rPr/>
        <w:t xml:space="preserve"> выполненные Работы в соответствии с условиями настоящего контракта.</w:t>
      </w:r>
    </w:p>
    <w:p>
      <w:pPr>
        <w:pStyle w:val="Normal"/>
        <w:ind w:firstLine="709"/>
        <w:jc w:val="both"/>
        <w:rPr/>
      </w:pPr>
      <w:r>
        <w:rPr/>
        <w:t>4.2.2. Своевременно предоставлять разъяснения и уточнения по запросам Подрядчика (исполнителя) в части выполнения Работ в соответствии с условиями настоящего контракта.</w:t>
      </w:r>
    </w:p>
    <w:p>
      <w:pPr>
        <w:pStyle w:val="Normal"/>
        <w:ind w:firstLine="709"/>
        <w:jc w:val="both"/>
        <w:rPr/>
      </w:pPr>
      <w:r>
        <w:rPr/>
        <w:t>4.2.3. В случае просрочки исполнения Подрядчиком (исполнителем) обязательств, предусмотренных контрактом, а также в иных случаях ненадлежащего исполнения Подрядчиком (исполнителем) обязательств, предусмотренных контрактом, направлять Подрядчику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
    <w:p>
      <w:pPr>
        <w:pStyle w:val="Normal"/>
        <w:ind w:firstLine="709"/>
        <w:jc w:val="both"/>
        <w:rPr/>
      </w:pPr>
      <w:r>
        <w:rPr/>
        <w:t>4.2.4. В случае неуплаты Подрядчиком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pPr>
        <w:pStyle w:val="Normal"/>
        <w:ind w:firstLine="709"/>
        <w:jc w:val="both"/>
        <w:rPr/>
      </w:pPr>
      <w:r>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10.6  настоящего контракта либо отсутствовала возможность для оплаты по контракту в соответствии с п. 10.6 настоящего контракта.</w:t>
      </w:r>
    </w:p>
    <w:p>
      <w:pPr>
        <w:pStyle w:val="Normal"/>
        <w:tabs>
          <w:tab w:val="clear" w:pos="708"/>
          <w:tab w:val="left" w:pos="709" w:leader="none"/>
        </w:tabs>
        <w:ind w:firstLine="709"/>
        <w:jc w:val="both"/>
        <w:rPr/>
      </w:pPr>
      <w:r>
        <w:rPr/>
        <w:t>4.2.6. Не допускать расторжения контракта по соглашению сторон, если на дату подписания соглашения имелись основания требовать от Подрядчика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Подрядчиком (исполнителем) такая неустойка не оплачена, в том числе и в порядке, предусмотренном п. 10.6 настоящего контракта.</w:t>
      </w:r>
    </w:p>
    <w:p>
      <w:pPr>
        <w:pStyle w:val="Normal"/>
        <w:ind w:firstLine="709"/>
        <w:jc w:val="both"/>
        <w:rPr/>
      </w:pPr>
      <w:r>
        <w:rPr/>
        <w:t>4.2.7. В случае если на дату окончания срока исполнения контракта имеются основания требовать от Подрядчика (исполнителя) оплаты неустойки за неисполнение или ненадлежащее исполнение обязательств по контракту:</w:t>
      </w:r>
    </w:p>
    <w:p>
      <w:pPr>
        <w:pStyle w:val="Normal"/>
        <w:ind w:firstLine="709"/>
        <w:jc w:val="both"/>
        <w:rPr/>
      </w:pPr>
      <w:r>
        <w:rPr/>
        <w:t>4.2.7.1. В течение 10 дней с даты окончания срока исполнения контракта направить Подрядчику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pPr>
        <w:pStyle w:val="Normal"/>
        <w:ind w:firstLine="709"/>
        <w:jc w:val="both"/>
        <w:rPr/>
      </w:pPr>
      <w:r>
        <w:rPr/>
        <w:t>4.2.7.2. При неоплате в установленный срок Подрядчиком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10.6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pPr>
        <w:pStyle w:val="Normal"/>
        <w:ind w:firstLine="709"/>
        <w:jc w:val="both"/>
        <w:rPr/>
      </w:pPr>
      <w:r>
        <w:rPr/>
        <w:t>4.2.8. Провести экспертизу для проверки предоставленных Подрядчиком (исполнителем) результатов выполнения Работ, предусмотренных контрактом, в части их соответствия условиям контракта.</w:t>
      </w:r>
    </w:p>
    <w:p>
      <w:pPr>
        <w:pStyle w:val="Normal"/>
        <w:pBdr/>
        <w:ind w:firstLine="709"/>
        <w:jc w:val="both"/>
        <w:rPr>
          <w:color w:val="000000"/>
          <w:highlight w:val="yellow"/>
        </w:rPr>
      </w:pPr>
      <w:r>
        <w:rPr/>
        <w:t>4.2.9. Осуществлять контроль за исполнением Подрядчиком (исполнителем) условий контракта в соответствии с законодательством Российской Федерации.</w:t>
      </w:r>
    </w:p>
    <w:p>
      <w:pPr>
        <w:pStyle w:val="Normal"/>
        <w:pBdr/>
        <w:ind w:firstLine="709"/>
        <w:jc w:val="both"/>
        <w:rPr/>
      </w:pPr>
      <w:r>
        <w:rPr>
          <w:color w:val="000000"/>
        </w:rPr>
        <w:t>4.2.10. Соблюдать требования о защите информации, установленные статьей 16 Федерального закона от 27.07.2006 № 149-ФЗ "Об информации, информационных технологиях и о защите информации".</w:t>
      </w:r>
    </w:p>
    <w:p>
      <w:pPr>
        <w:pStyle w:val="Normal"/>
        <w:pBdr/>
        <w:ind w:firstLine="709"/>
        <w:jc w:val="both"/>
        <w:rPr/>
      </w:pPr>
      <w:r>
        <w:rPr>
          <w:color w:val="000000"/>
        </w:rPr>
        <w:t>4.2.11.Предусмотреть безопасное взаимодействие эксплуатируемой иной информационной системы с используемыми в указанных целях электронными сервисами, которые предусмотрены пунктом 1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 утвержденных Постановлением Правительства Российской Федерации от 18.08.2026 № 1024 (далее – электронный сервис, Правила), включая организацию каналов связи, соответствующих требованиям о защите информации, контроль состава передаваемых данных и недопущение передачи информации ограниченного доступа в случае, если электронный сервис не предназначен для обработки такой информации.</w:t>
      </w:r>
    </w:p>
    <w:p>
      <w:pPr>
        <w:pStyle w:val="Normal"/>
        <w:pBdr/>
        <w:ind w:firstLine="709"/>
        <w:jc w:val="both"/>
        <w:rPr/>
      </w:pPr>
      <w:r>
        <w:rPr>
          <w:color w:val="000000"/>
        </w:rPr>
        <w:t>4.2.12.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 формируемым и утверждаемым Заказчиком, определяющим порядок действий Подрядчика (исполнителя) и Заказчика при возникновении сбоев, аварийных ситуаций и иных инцидентов при функционировании электронного сервиса, включая вопросы по разграничению ответственности Заказчика и Подрядчика (исполнителя) по соблюдению требований о защите информации, определению допустимых значений времени восстановления работоспособности электронного сервиса после возникновения указанных инцидентов, установлению требования о защите информации, обрабатываемой электронным сервисом, а также предусматривающим требования по обеспечению Подрядчиком (исполнителем):</w:t>
      </w:r>
    </w:p>
    <w:p>
      <w:pPr>
        <w:pStyle w:val="Normal"/>
        <w:pBdr/>
        <w:ind w:firstLine="709"/>
        <w:jc w:val="both"/>
        <w:rPr/>
      </w:pPr>
      <w:r>
        <w:rPr>
          <w:color w:val="000000"/>
        </w:rPr>
        <w:t>надежности систем инженерно-технического обеспечения и оборудования, с использованием которых предоставляется электронный сервис, соответствующий требованиям к надежности, определенной технической и (или) эксплуатационной документацией на государственную информационную систему;</w:t>
      </w:r>
    </w:p>
    <w:p>
      <w:pPr>
        <w:pStyle w:val="Normal"/>
        <w:pBdr/>
        <w:ind w:firstLine="709"/>
        <w:jc w:val="both"/>
        <w:rPr/>
      </w:pPr>
      <w:r>
        <w:rPr>
          <w:color w:val="000000"/>
        </w:rPr>
        <w:t xml:space="preserve">хранения, в том числе резервного копирования, обработанной электронным сервисом информации и обеспечения доступа Заказчика к указанной информации на весь срок выполнения работ, указанного в п. 5.1 настоящего контракта, также передачи Заказчику указанной информации по результатам выполненных работ по настоящему контракту, включая передачу указанной информации в случае расторжения настоящего контракта; </w:t>
      </w:r>
    </w:p>
    <w:p>
      <w:pPr>
        <w:pStyle w:val="Normal"/>
        <w:pBdr/>
        <w:ind w:firstLine="709"/>
        <w:jc w:val="both"/>
        <w:rPr/>
      </w:pPr>
      <w:r>
        <w:rPr>
          <w:color w:val="000000"/>
        </w:rPr>
        <w:t>мониторинга инженерной и аппаратно-программной инфраструктуры, с использованием которой предоставляется электронный сервис, включая незамедлительное информирование Заказчика о сбоях и об инцидентах в работе электронного сервиса, в том числе об инцидентах несанкционированного доступа к информации, обработка и хранение которой осуществляются электронным сервисом, о компьютерных атаках на компоненты электронного сервиса и инфраструктуры, обеспечивающей его функционирование, об иных инцидентах нарушения требований о защите информации;</w:t>
      </w:r>
    </w:p>
    <w:p>
      <w:pPr>
        <w:pStyle w:val="Normal"/>
        <w:pBdr/>
        <w:ind w:firstLine="709"/>
        <w:jc w:val="both"/>
        <w:rPr/>
      </w:pPr>
      <w:r>
        <w:rPr>
          <w:color w:val="000000"/>
        </w:rPr>
        <w:t>уведомления Заказчика о привлечении соисполнителя не позднее чем за 3 рабочих дня до начала выполнения соответствующих работ соисполнителем, а в случае, если электронным сервисом осуществляется обработка информации ограниченного доступа, также получения Заказчиком от Подрядчика (исполнителя) письменного согласия на привлечение конкретного соисполнителя до начала фактической передачи Подрядчиком (исполнителем) такому соисполнителю информации ограниченного доступа;</w:t>
      </w:r>
    </w:p>
    <w:p>
      <w:pPr>
        <w:pStyle w:val="Normal"/>
        <w:pBdr/>
        <w:ind w:firstLine="709"/>
        <w:jc w:val="both"/>
        <w:rPr/>
      </w:pPr>
      <w:r>
        <w:rPr>
          <w:color w:val="000000"/>
        </w:rPr>
        <w:t>соблюдение иных требований, установленных Правилами.</w:t>
      </w:r>
    </w:p>
    <w:p>
      <w:pPr>
        <w:pStyle w:val="Normal"/>
        <w:ind w:firstLine="709"/>
        <w:jc w:val="both"/>
        <w:rPr/>
      </w:pPr>
      <w:r>
        <w:rPr>
          <w:color w:val="000000"/>
        </w:rPr>
        <w:t>4.2.13. Обеспечивать контроль выполнения требований, установленных пунктом 5 Правил, а также требований о защите информации для использования электронных сервисов, предоставляемых на безвозмездной основе Подрядчиком (исполнителем) на основании соглашений (договоров), оферт Подрядчика (исполнителя).</w:t>
      </w:r>
    </w:p>
    <w:p>
      <w:pPr>
        <w:pStyle w:val="Normal"/>
        <w:ind w:firstLine="709"/>
        <w:jc w:val="both"/>
        <w:rPr>
          <w:b/>
        </w:rPr>
      </w:pPr>
      <w:r>
        <w:rPr>
          <w:b/>
        </w:rPr>
        <w:t>4.3. Подрядчик (исполнитель) вправе:</w:t>
      </w:r>
    </w:p>
    <w:p>
      <w:pPr>
        <w:pStyle w:val="Normal"/>
        <w:ind w:firstLine="709"/>
        <w:jc w:val="both"/>
        <w:rPr/>
      </w:pPr>
      <w:r>
        <w:rPr/>
        <w:t xml:space="preserve">4.3.1. Требовать подписания в соответствии с условиями контракта Заказчиком по настоящему контракту </w:t>
      </w:r>
      <w:r>
        <w:rPr>
          <w:rFonts w:eastAsia="Calibri" w:eastAsiaTheme="minorHAnsi"/>
          <w:lang w:eastAsia="en-US"/>
        </w:rPr>
        <w:t>документа о приемке в единой информационной системе в сфере закупок (далее - документ о приемке).</w:t>
      </w:r>
    </w:p>
    <w:p>
      <w:pPr>
        <w:pStyle w:val="Normal"/>
        <w:ind w:firstLine="709"/>
        <w:jc w:val="both"/>
        <w:rPr/>
      </w:pPr>
      <w:r>
        <w:rPr/>
        <w:t>4.3.2. Требовать своевременной оплаты за выполненные Работы в соответствии с условиями настоящего контракта.</w:t>
      </w:r>
    </w:p>
    <w:p>
      <w:pPr>
        <w:pStyle w:val="Normal"/>
        <w:ind w:firstLine="709"/>
        <w:jc w:val="both"/>
        <w:rPr/>
      </w:pPr>
      <w:r>
        <w:rPr/>
        <w:t>4.3.3. Направлять Заказчику запросы и получать от него разъяснения и уточнения по вопросам выполнения Работ в рамках настоящего контракта.</w:t>
      </w:r>
    </w:p>
    <w:p>
      <w:pPr>
        <w:pStyle w:val="Normal"/>
        <w:ind w:firstLine="709"/>
        <w:jc w:val="both"/>
        <w:rPr/>
      </w:pPr>
      <w:r>
        <w:rPr>
          <w:rFonts w:eastAsia="Calibri"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t xml:space="preserve"> </w:t>
      </w:r>
    </w:p>
    <w:p>
      <w:pPr>
        <w:pStyle w:val="Normal"/>
        <w:ind w:firstLine="709"/>
        <w:jc w:val="both"/>
        <w:rPr>
          <w:b/>
        </w:rPr>
      </w:pPr>
      <w:r>
        <w:rPr>
          <w:b/>
        </w:rPr>
        <w:t>4.4. Подрядчик (исполнитель) обязан:</w:t>
      </w:r>
    </w:p>
    <w:p>
      <w:pPr>
        <w:pStyle w:val="ConsPlusNormal1"/>
        <w:widowControl/>
        <w:ind w:firstLine="709"/>
        <w:jc w:val="both"/>
        <w:rPr>
          <w:rFonts w:ascii="Times New Roman" w:hAnsi="Times New Roman" w:cs="Times New Roman"/>
          <w:sz w:val="24"/>
          <w:szCs w:val="24"/>
        </w:rPr>
      </w:pPr>
      <w:r>
        <w:rPr>
          <w:rFonts w:cs="Times New Roman" w:ascii="Times New Roman" w:hAnsi="Times New Roman"/>
          <w:sz w:val="24"/>
          <w:szCs w:val="24"/>
        </w:rPr>
        <w:t>4.4.1. Выполнить работы, предусмотренные настоящим контрактом, в соответствии с Техническим заданием и в сроки, установленные в Разделе 5 «Сроки, место и условия выполнения работ» контракта.</w:t>
      </w:r>
    </w:p>
    <w:p>
      <w:pPr>
        <w:pStyle w:val="ConsPlusNormal1"/>
        <w:widowControl/>
        <w:ind w:firstLine="709"/>
        <w:jc w:val="both"/>
        <w:rPr>
          <w:rFonts w:ascii="Times New Roman" w:hAnsi="Times New Roman" w:cs="Times New Roman"/>
          <w:sz w:val="24"/>
          <w:szCs w:val="24"/>
        </w:rPr>
      </w:pPr>
      <w:r>
        <w:rPr>
          <w:rFonts w:cs="Times New Roman" w:ascii="Times New Roman" w:hAnsi="Times New Roman"/>
          <w:sz w:val="24"/>
          <w:szCs w:val="24"/>
        </w:rPr>
        <w:t>4.4.2. 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pPr>
        <w:pStyle w:val="ConsPlusNormal1"/>
        <w:widowControl/>
        <w:ind w:firstLine="709"/>
        <w:jc w:val="both"/>
        <w:rPr>
          <w:rFonts w:ascii="Times New Roman" w:hAnsi="Times New Roman" w:cs="Times New Roman"/>
          <w:sz w:val="24"/>
          <w:szCs w:val="24"/>
        </w:rPr>
      </w:pPr>
      <w:r>
        <w:rPr>
          <w:rFonts w:cs="Times New Roman" w:ascii="Times New Roman" w:hAnsi="Times New Roman"/>
          <w:sz w:val="24"/>
          <w:szCs w:val="24"/>
        </w:rPr>
        <w:t>4.4.3.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Подрядчик (исполнитель) передает Заказчику указанные права посредством заключения лицензионного договора.</w:t>
      </w:r>
      <w:r>
        <w:rPr>
          <w:rStyle w:val="FootnoteReference"/>
          <w:rFonts w:cs="Times New Roman"/>
          <w:sz w:val="24"/>
          <w:szCs w:val="24"/>
        </w:rPr>
        <w:footnoteReference w:id="7"/>
      </w:r>
    </w:p>
    <w:p>
      <w:pPr>
        <w:pStyle w:val="ConsPlusNormal1"/>
        <w:widowControl/>
        <w:ind w:firstLine="709"/>
        <w:jc w:val="both"/>
        <w:rPr>
          <w:rFonts w:ascii="Times New Roman" w:hAnsi="Times New Roman" w:cs="Times New Roman"/>
          <w:sz w:val="24"/>
          <w:szCs w:val="24"/>
        </w:rPr>
      </w:pPr>
      <w:r>
        <w:rPr>
          <w:rFonts w:cs="Times New Roman" w:ascii="Times New Roman" w:hAnsi="Times New Roman"/>
          <w:sz w:val="24"/>
          <w:szCs w:val="24"/>
        </w:rPr>
        <w:t>4.4.4.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Pr>
          <w:rStyle w:val="FootnoteReference"/>
          <w:rFonts w:cs="Times New Roman"/>
          <w:sz w:val="24"/>
          <w:szCs w:val="24"/>
        </w:rPr>
        <w:footnoteReference w:id="8"/>
      </w:r>
    </w:p>
    <w:p>
      <w:pPr>
        <w:pStyle w:val="Normal"/>
        <w:spacing w:before="0" w:after="0"/>
        <w:ind w:firstLine="709"/>
        <w:contextualSpacing/>
        <w:jc w:val="both"/>
        <w:rPr/>
      </w:pPr>
      <w:r>
        <w:rPr/>
        <w:t>4.4.5.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pPr>
        <w:pStyle w:val="Normal"/>
        <w:spacing w:before="0" w:after="0"/>
        <w:ind w:firstLine="709"/>
        <w:contextualSpacing/>
        <w:jc w:val="both"/>
        <w:rPr/>
      </w:pPr>
      <w:r>
        <w:rPr/>
        <w:t>4.4.6.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pPr>
        <w:pStyle w:val="Normal"/>
        <w:spacing w:before="0" w:after="0"/>
        <w:ind w:firstLine="709"/>
        <w:contextualSpacing/>
        <w:jc w:val="both"/>
        <w:rPr/>
      </w:pPr>
      <w:r>
        <w:rPr/>
        <w:t>4.4.7.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pPr>
        <w:pStyle w:val="Normal"/>
        <w:spacing w:before="0" w:after="0"/>
        <w:ind w:firstLine="709"/>
        <w:contextualSpacing/>
        <w:jc w:val="both"/>
        <w:rPr>
          <w:color w:themeColor="text1" w:val="000000"/>
        </w:rPr>
      </w:pPr>
      <w:r>
        <w:rPr>
          <w:color w:themeColor="text1" w:val="000000"/>
        </w:rPr>
        <w:t xml:space="preserve">4.4.8. 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6">
        <w:r>
          <w:rPr>
            <w:rStyle w:val="Style"/>
            <w:color w:themeColor="text1" w:val="000000"/>
          </w:rPr>
          <w:t>пунктом 3 части 1 статьи 13</w:t>
        </w:r>
      </w:hyperlink>
      <w:r>
        <w:rPr>
          <w:color w:themeColor="text1" w:val="000000"/>
        </w:rPr>
        <w:t xml:space="preserve">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w:t>
      </w:r>
      <w:hyperlink r:id="rId7">
        <w:r>
          <w:rPr>
            <w:rStyle w:val="Style"/>
            <w:color w:themeColor="text1" w:val="000000"/>
          </w:rPr>
          <w:t>законом</w:t>
        </w:r>
      </w:hyperlink>
      <w:r>
        <w:rPr>
          <w:color w:themeColor="text1" w:val="000000"/>
        </w:rPr>
        <w:t xml:space="preserve"> и иными нормативными правовыми актами Российской Федерации.</w:t>
      </w:r>
    </w:p>
    <w:p>
      <w:pPr>
        <w:pStyle w:val="ConsPlusNormal1"/>
        <w:widowControl/>
        <w:ind w:firstLine="709"/>
        <w:jc w:val="both"/>
        <w:rPr>
          <w:rFonts w:ascii="Times New Roman" w:hAnsi="Times New Roman" w:cs="Times New Roman"/>
          <w:sz w:val="24"/>
          <w:szCs w:val="24"/>
        </w:rPr>
      </w:pPr>
      <w:r>
        <w:rPr>
          <w:rFonts w:cs="Times New Roman" w:ascii="Times New Roman" w:hAnsi="Times New Roman"/>
          <w:color w:themeColor="text1" w:val="000000"/>
          <w:sz w:val="24"/>
          <w:szCs w:val="24"/>
        </w:rPr>
        <w:t>4.4.9. В течение 1 (одного) рабочего дня со дня заключения контракта по требованию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w:t>
      </w:r>
      <w:r>
        <w:rPr>
          <w:rFonts w:cs="Times New Roman" w:ascii="Times New Roman" w:hAnsi="Times New Roman"/>
          <w:sz w:val="24"/>
          <w:szCs w:val="24"/>
        </w:rPr>
        <w:t>ниями части 4 Гражданского кодекса РФ наличие у Подрядчика (исполнителя) полномочий в объеме, достаточном для выполнения обязательств по контракту без нарушения интеллектуальных прав третьих лиц.</w:t>
      </w:r>
    </w:p>
    <w:p>
      <w:pPr>
        <w:pStyle w:val="Normal"/>
        <w:ind w:firstLine="709"/>
        <w:jc w:val="both"/>
        <w:rPr/>
      </w:pPr>
      <w:r>
        <w:rPr/>
        <w:t>4.4.10.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pPr>
        <w:pStyle w:val="ConsPlusNormal1"/>
        <w:widowControl/>
        <w:ind w:firstLine="709"/>
        <w:jc w:val="both"/>
        <w:rPr>
          <w:rFonts w:ascii="Times New Roman" w:hAnsi="Times New Roman" w:cs="Times New Roman"/>
          <w:sz w:val="24"/>
          <w:szCs w:val="24"/>
        </w:rPr>
      </w:pPr>
      <w:r>
        <w:rPr>
          <w:rFonts w:cs="Times New Roman" w:ascii="Times New Roman" w:hAnsi="Times New Roman"/>
          <w:sz w:val="24"/>
          <w:szCs w:val="24"/>
        </w:rPr>
        <w:t>4.4.11. По окончании выполнения Работ передать результаты выполняемых Работ Заказчику в порядке и в сроки, определенные Разделом 6 «Порядок сдачи-приемки работ» настоящего контракта.</w:t>
      </w:r>
    </w:p>
    <w:p>
      <w:pPr>
        <w:pStyle w:val="TextNormal"/>
        <w:tabs>
          <w:tab w:val="left" w:pos="-2977" w:leader="none"/>
          <w:tab w:val="left" w:pos="0" w:leader="none"/>
          <w:tab w:val="left" w:pos="993" w:leader="none"/>
        </w:tabs>
        <w:spacing w:before="0" w:after="0"/>
        <w:ind w:firstLine="709" w:left="0" w:right="0"/>
        <w:rPr>
          <w:rFonts w:ascii="Times New Roman" w:hAnsi="Times New Roman" w:cs="Times New Roman"/>
          <w:sz w:val="24"/>
          <w:szCs w:val="24"/>
        </w:rPr>
      </w:pPr>
      <w:r>
        <w:rPr>
          <w:rFonts w:cs="Times New Roman" w:ascii="Times New Roman" w:hAnsi="Times New Roman"/>
          <w:sz w:val="24"/>
          <w:szCs w:val="24"/>
        </w:rPr>
        <w:t>4.4.12.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(исполнителя) будет считаться адрес, указанный в настоящем контракте.</w:t>
      </w:r>
    </w:p>
    <w:p>
      <w:pPr>
        <w:pStyle w:val="TextNormal"/>
        <w:tabs>
          <w:tab w:val="left" w:pos="-2977" w:leader="none"/>
          <w:tab w:val="left" w:pos="0" w:leader="none"/>
          <w:tab w:val="left" w:pos="993" w:leader="none"/>
        </w:tabs>
        <w:spacing w:before="0" w:after="0"/>
        <w:ind w:firstLine="709" w:left="0" w:right="0"/>
        <w:rPr>
          <w:rFonts w:ascii="Times New Roman" w:hAnsi="Times New Roman" w:cs="Times New Roman"/>
          <w:sz w:val="24"/>
          <w:szCs w:val="24"/>
        </w:rPr>
      </w:pPr>
      <w:r>
        <w:rPr>
          <w:rFonts w:cs="Times New Roman" w:ascii="Times New Roman" w:hAnsi="Times New Roman"/>
          <w:sz w:val="24"/>
          <w:szCs w:val="24"/>
        </w:rPr>
        <w:t xml:space="preserve">4.4.13. Гарантировать качество выполняемых Работ. </w:t>
      </w:r>
    </w:p>
    <w:p>
      <w:pPr>
        <w:pStyle w:val="Normal"/>
        <w:ind w:firstLine="709"/>
        <w:jc w:val="both"/>
        <w:rPr>
          <w:color w:val="000000"/>
          <w:highlight w:val="yellow"/>
        </w:rPr>
      </w:pPr>
      <w:r>
        <w:rPr/>
        <w:t>4.4.14. Обеспечить соответствие результатов выполненных Работ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0" w:name="OLE_LINK32"/>
      <w:bookmarkStart w:id="1" w:name="OLE_LINK31"/>
      <w:bookmarkStart w:id="2" w:name="OLE_LINK30"/>
    </w:p>
    <w:p>
      <w:pPr>
        <w:pStyle w:val="Normal"/>
        <w:ind w:firstLine="709"/>
        <w:jc w:val="both"/>
        <w:rPr/>
      </w:pPr>
      <w:r>
        <w:rPr>
          <w:color w:val="000000"/>
        </w:rPr>
        <w:t>4.4.15.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w:t>
      </w:r>
      <w:bookmarkEnd w:id="0"/>
      <w:bookmarkEnd w:id="1"/>
      <w:bookmarkEnd w:id="2"/>
    </w:p>
    <w:p>
      <w:pPr>
        <w:pStyle w:val="Normal"/>
        <w:ind w:firstLine="709"/>
        <w:jc w:val="both"/>
        <w:rPr/>
      </w:pPr>
      <w:r>
        <w:rPr/>
        <w:t>4.4.16. П</w:t>
      </w:r>
      <w:r>
        <w:rPr>
          <w:rFonts w:eastAsia="Calibri" w:eastAsiaTheme="minorHAnsi"/>
          <w:lang w:eastAsia="en-US"/>
        </w:rPr>
        <w:t>редоставить новое обеспечение исполнения контракта не позднее одного месяца со дня надлежащего уведомления Заказчиком Подрядчика (исполнителя) о необходимости предоставить соответствующее обеспечение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pPr>
        <w:pStyle w:val="Normal"/>
        <w:ind w:firstLine="709"/>
        <w:jc w:val="both"/>
        <w:rPr/>
      </w:pPr>
      <w:r>
        <w:rPr/>
        <w:t xml:space="preserve">4.4.17. </w:t>
      </w:r>
      <w:r>
        <w:rPr>
          <w:rFonts w:eastAsia="Calibri" w:eastAsiaTheme="minorHAnsi"/>
          <w:lang w:eastAsia="en-US"/>
        </w:rPr>
        <w:t>Подтвердить квалификацию специалистов Подрядчика (исполнителя), допущенных к выполнению работ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p>
    <w:p>
      <w:pPr>
        <w:pStyle w:val="Normal"/>
        <w:ind w:firstLine="709"/>
        <w:jc w:val="both"/>
        <w:rPr>
          <w:b/>
        </w:rPr>
      </w:pPr>
      <w:r>
        <w:rPr>
          <w:b/>
        </w:rPr>
      </w:r>
    </w:p>
    <w:p>
      <w:pPr>
        <w:pStyle w:val="Style29"/>
        <w:jc w:val="center"/>
        <w:rPr>
          <w:rFonts w:ascii="Times New Roman" w:hAnsi="Times New Roman" w:cs="Times New Roman"/>
          <w:sz w:val="24"/>
          <w:szCs w:val="24"/>
        </w:rPr>
      </w:pPr>
      <w:r>
        <w:rPr>
          <w:rFonts w:cs="Times New Roman" w:ascii="Times New Roman" w:hAnsi="Times New Roman"/>
          <w:sz w:val="24"/>
          <w:szCs w:val="24"/>
        </w:rPr>
        <w:t>5. СРОКИ, МЕСТО И УСЛОВИЯ ВЫПОЛНЕНИЯ РАБОТ</w:t>
      </w:r>
    </w:p>
    <w:p>
      <w:pPr>
        <w:pStyle w:val="Normal"/>
        <w:ind w:firstLine="709"/>
        <w:rPr/>
      </w:pPr>
      <w:r>
        <w:rPr/>
        <w:t xml:space="preserve">5.1. </w:t>
      </w:r>
      <w:r>
        <w:rPr>
          <w:rFonts w:eastAsia="Calibri"/>
        </w:rPr>
        <w:t xml:space="preserve">Срок выполнения Работ </w:t>
      </w:r>
      <w:r>
        <w:rPr/>
        <w:t>– С</w:t>
      </w:r>
      <w:r>
        <w:rPr>
          <w:lang w:val="en-US"/>
        </w:rPr>
        <w:t xml:space="preserve"> </w:t>
      </w:r>
      <w:r>
        <w:rPr/>
        <w:t xml:space="preserve">даты заключения контракта по 30.11.2026. </w:t>
      </w:r>
    </w:p>
    <w:p>
      <w:pPr>
        <w:pStyle w:val="Normal"/>
        <w:ind w:firstLine="709"/>
        <w:jc w:val="both"/>
        <w:rPr/>
      </w:pPr>
      <w:r>
        <w:rPr/>
        <w:t xml:space="preserve">5.1.1. Дата начала исполнения контракта: с даты заключения контракта. </w:t>
      </w:r>
    </w:p>
    <w:p>
      <w:pPr>
        <w:pStyle w:val="Normal"/>
        <w:ind w:firstLine="709"/>
        <w:jc w:val="both"/>
        <w:rPr/>
      </w:pPr>
      <w:r>
        <w:rPr/>
        <w:t>Дата окончания исполнения контракта: 15.02.2027.</w:t>
      </w:r>
      <w:r>
        <w:rPr>
          <w:lang w:val="en-US"/>
        </w:rPr>
        <w:t xml:space="preserve"> </w:t>
      </w:r>
    </w:p>
    <w:p>
      <w:pPr>
        <w:pStyle w:val="Normal"/>
        <w:ind w:firstLine="709"/>
        <w:jc w:val="both"/>
        <w:rPr/>
      </w:pPr>
      <w:r>
        <w:rPr/>
        <w:t>5.2. Место выполнения Работ – В соответствии с Технической частью</w:t>
      </w:r>
      <w:r>
        <w:rPr>
          <w:bCs/>
        </w:rPr>
        <w:t>.</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9160" w:leader="none"/>
          <w:tab w:val="left" w:pos="9360" w:leader="none"/>
          <w:tab w:val="left" w:pos="10076" w:leader="none"/>
          <w:tab w:val="left" w:pos="10992" w:leader="none"/>
          <w:tab w:val="left" w:pos="11908" w:leader="none"/>
          <w:tab w:val="left" w:pos="12824" w:leader="none"/>
          <w:tab w:val="left" w:pos="13740" w:leader="none"/>
          <w:tab w:val="left" w:pos="14656" w:leader="none"/>
        </w:tabs>
        <w:ind w:firstLine="709"/>
        <w:jc w:val="both"/>
        <w:rPr/>
      </w:pPr>
      <w:r>
        <w:rPr/>
        <w:t>5.3. Условия выполнения Работ – В</w:t>
      </w:r>
      <w:r>
        <w:rPr>
          <w:lang w:val="en-US"/>
        </w:rPr>
        <w:t xml:space="preserve"> </w:t>
      </w:r>
      <w:r>
        <w:rPr/>
        <w:t>соответствии с Технической частью</w:t>
      </w:r>
      <w:r>
        <w:rPr>
          <w:bCs/>
        </w:rPr>
        <w:t>.</w:t>
      </w:r>
    </w:p>
    <w:p>
      <w:pPr>
        <w:pStyle w:val="Normal"/>
        <w:ind w:firstLine="709"/>
        <w:jc w:val="both"/>
        <w:rPr/>
      </w:pPr>
      <w:r>
        <w:rPr/>
      </w:r>
    </w:p>
    <w:p>
      <w:pPr>
        <w:pStyle w:val="Normal"/>
        <w:tabs>
          <w:tab w:val="clear" w:pos="708"/>
          <w:tab w:val="left" w:pos="0" w:leader="none"/>
        </w:tabs>
        <w:jc w:val="center"/>
        <w:rPr>
          <w:b/>
        </w:rPr>
      </w:pPr>
      <w:r>
        <w:rPr>
          <w:b/>
        </w:rPr>
        <w:t>6. ПОРЯДОК СДАЧИ-ПРИЕМКИ РАБОТ</w:t>
      </w:r>
    </w:p>
    <w:p>
      <w:pPr>
        <w:pStyle w:val="Normal"/>
        <w:ind w:firstLine="709"/>
        <w:jc w:val="both"/>
        <w:rPr/>
      </w:pPr>
      <w:r>
        <w:rPr/>
        <w:t xml:space="preserve">6.1. Приемка выполненных Работ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Pr>
          <w:rFonts w:eastAsia="Calibri" w:eastAsiaTheme="minorHAnsi"/>
          <w:lang w:eastAsia="en-US"/>
        </w:rPr>
        <w:t>документа о приемке.</w:t>
      </w:r>
    </w:p>
    <w:p>
      <w:pPr>
        <w:pStyle w:val="Normal"/>
        <w:ind w:firstLine="709"/>
        <w:jc w:val="both"/>
        <w:rPr/>
      </w:pPr>
      <w:r>
        <w:rPr/>
        <w:t xml:space="preserve">6.2.  По окончании выполнения Работ Подрядчик (исполнитель) </w:t>
      </w:r>
      <w:r>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(исполнителя), и размещает в единой информационной системе документ о приемке</w:t>
      </w:r>
      <w:r>
        <w:rPr/>
        <w:t>, содержащий сведения в соответствии с требованиями законодательства РФ и прилагает финансовые документы (счет или счет-фактура)</w:t>
      </w:r>
      <w:r>
        <w:rPr>
          <w:rFonts w:eastAsia="Calibri" w:eastAsiaTheme="minorHAnsi"/>
          <w:lang w:eastAsia="en-US"/>
        </w:rPr>
        <w:t>.</w:t>
      </w:r>
    </w:p>
    <w:p>
      <w:pPr>
        <w:pStyle w:val="Normal"/>
        <w:ind w:firstLine="709"/>
        <w:jc w:val="both"/>
        <w:rPr>
          <w:rFonts w:eastAsia="MS Mincho"/>
        </w:rPr>
      </w:pPr>
      <w:r>
        <w:rPr>
          <w:iCs/>
          <w:szCs w:val="20"/>
        </w:rPr>
        <w:t>6.3. Документ о приемке, подписанный Подрядчиком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Подрядчиком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pPr>
        <w:pStyle w:val="Normal"/>
        <w:ind w:firstLine="709"/>
        <w:jc w:val="both"/>
        <w:rPr/>
      </w:pPr>
      <w:r>
        <w:rPr/>
        <w:t>6.4. Для проверки выполненных Подрядчиком (исполнителем) Работ,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pPr>
        <w:pStyle w:val="Normal"/>
        <w:ind w:firstLine="709"/>
        <w:jc w:val="both"/>
        <w:rPr/>
      </w:pPr>
      <w:r>
        <w:rPr/>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pPr>
        <w:pStyle w:val="Normal"/>
        <w:ind w:firstLine="709"/>
        <w:jc w:val="both"/>
        <w:rPr/>
      </w:pPr>
      <w:r>
        <w:rPr/>
        <w:t>Заказчик вправе не отказывать в приемке выполненных Работ в случае выявления несоответствия таких работ условиям контракта, если выявленное несоответствие не препятствует приемке Работ и устранено Подрядчиком (исполнителем).</w:t>
      </w:r>
    </w:p>
    <w:p>
      <w:pPr>
        <w:pStyle w:val="Normal"/>
        <w:ind w:firstLine="709"/>
        <w:jc w:val="both"/>
        <w:rPr/>
      </w:pPr>
      <w:r>
        <w:rPr/>
        <w:t>6.5 По решению Заказчика для приемки выполненных Работ может создаваться приемочная комиссия, которая состоит не менее чем из пяти человек.</w:t>
      </w:r>
    </w:p>
    <w:p>
      <w:pPr>
        <w:pStyle w:val="Normal"/>
        <w:ind w:firstLine="709"/>
        <w:jc w:val="both"/>
        <w:rPr/>
      </w:pPr>
      <w:r>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ind w:firstLine="709"/>
        <w:jc w:val="both"/>
        <w:rPr/>
      </w:pPr>
      <w:r>
        <w:rPr/>
        <w:t xml:space="preserve">6.6. Заказчик в срок не более 20 (двадцати) рабочих дней, следующих за </w:t>
      </w:r>
      <w:r>
        <w:rPr>
          <w:iCs/>
        </w:rPr>
        <w:t>днем поступления Заказчику документа о приемке, подписанного Подрядчиком (исполнителем),</w:t>
      </w:r>
      <w:r>
        <w:rPr/>
        <w:t xml:space="preserve"> и на основании результатов экспертизы, проведенной в соответствии с пунктом 6.4 Контракта, </w:t>
      </w:r>
      <w:r>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Pr/>
        <w:t>.</w:t>
      </w:r>
    </w:p>
    <w:p>
      <w:pPr>
        <w:pStyle w:val="Normal"/>
        <w:ind w:firstLine="709"/>
        <w:jc w:val="both"/>
        <w:rPr/>
      </w:pPr>
      <w:r>
        <w:rPr>
          <w:iCs/>
        </w:rPr>
        <w:t>6.7.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r>
        <w:rPr/>
        <w:t xml:space="preserve"> </w:t>
      </w:r>
    </w:p>
    <w:p>
      <w:pPr>
        <w:pStyle w:val="ConsPlusNormal1"/>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6.8. 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pPr>
        <w:pStyle w:val="ConsPlusNormal1"/>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6.9.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pPr>
        <w:pStyle w:val="ConsPlusNormal1"/>
        <w:spacing w:before="0" w:after="0"/>
        <w:ind w:firstLine="709"/>
        <w:contextualSpacing/>
        <w:jc w:val="both"/>
        <w:rPr>
          <w:rFonts w:ascii="Times New Roman" w:hAnsi="Times New Roman" w:cs="Times New Roman"/>
          <w:color w:themeColor="text1" w:val="000000"/>
          <w:sz w:val="24"/>
          <w:szCs w:val="24"/>
        </w:rPr>
      </w:pPr>
      <w:r>
        <w:rPr>
          <w:rFonts w:cs="Times New Roman" w:ascii="Times New Roman" w:hAnsi="Times New Roman"/>
          <w:sz w:val="24"/>
          <w:szCs w:val="24"/>
        </w:rPr>
        <w:t>6.10. В случае использования для проведения компиляции, создания дистрибутива и установки (развертывания) программы для ЭВМ компиляторов, и</w:t>
      </w:r>
      <w:r>
        <w:rPr>
          <w:rFonts w:cs="Times New Roman" w:ascii="Times New Roman" w:hAnsi="Times New Roman"/>
          <w:color w:themeColor="text1" w:val="000000"/>
          <w:sz w:val="24"/>
          <w:szCs w:val="24"/>
        </w:rPr>
        <w:t>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pPr>
        <w:pStyle w:val="ConsPlusNormal1"/>
        <w:spacing w:before="0" w:after="0"/>
        <w:ind w:firstLine="709"/>
        <w:contextualSpacing/>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6.11. Подрядчик (исполнитель)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6.8, а также в соответствии с инструкциями, приведенными в рабочей документации на Систему.</w:t>
      </w:r>
    </w:p>
    <w:p>
      <w:pPr>
        <w:pStyle w:val="ConsPlusNormal1"/>
        <w:spacing w:before="0" w:after="0"/>
        <w:ind w:firstLine="709"/>
        <w:contextualSpacing/>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6.12.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pPr>
        <w:pStyle w:val="ConsPlusNormal1"/>
        <w:spacing w:before="0" w:after="0"/>
        <w:ind w:firstLine="709"/>
        <w:contextualSpacing/>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6.13.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pPr>
        <w:pStyle w:val="Normal"/>
        <w:ind w:firstLine="709"/>
        <w:jc w:val="both"/>
        <w:rPr/>
      </w:pPr>
      <w:r>
        <w:rPr/>
        <w:t>6.14.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(исполнителем) в составе отчетной документации, предусмотренной условиями Контракта.</w:t>
      </w:r>
    </w:p>
    <w:p>
      <w:pPr>
        <w:pStyle w:val="Normal"/>
        <w:ind w:firstLine="709"/>
        <w:jc w:val="both"/>
        <w:rPr/>
      </w:pPr>
      <w:r>
        <w:rPr/>
        <w:t>6.15. Датой приемки выполненных работ считается дата размещения в единой информационной системе документа о приемке, подписанного Заказчиком.</w:t>
      </w:r>
    </w:p>
    <w:p>
      <w:pPr>
        <w:pStyle w:val="Normal"/>
        <w:ind w:firstLine="709"/>
        <w:jc w:val="both"/>
        <w:rPr/>
      </w:pPr>
      <w:r>
        <w:rPr/>
        <w:t xml:space="preserve"> </w:t>
      </w:r>
    </w:p>
    <w:p>
      <w:pPr>
        <w:pStyle w:val="Normal"/>
        <w:ind w:firstLine="709"/>
        <w:jc w:val="both"/>
        <w:rPr/>
      </w:pPr>
      <w:r>
        <w:rPr/>
        <w:t xml:space="preserve"> </w:t>
      </w:r>
    </w:p>
    <w:p>
      <w:pPr>
        <w:pStyle w:val="ConsPlusNormal1"/>
        <w:spacing w:before="0" w:after="0"/>
        <w:ind w:firstLine="539"/>
        <w:contextualSpacing/>
        <w:jc w:val="center"/>
        <w:rPr>
          <w:rFonts w:ascii="Times New Roman" w:hAnsi="Times New Roman" w:cs="Times New Roman"/>
          <w:b/>
          <w:sz w:val="24"/>
          <w:szCs w:val="24"/>
        </w:rPr>
      </w:pPr>
      <w:r>
        <w:rPr>
          <w:rFonts w:cs="Times New Roman" w:ascii="Times New Roman" w:hAnsi="Times New Roman"/>
          <w:b/>
          <w:sz w:val="24"/>
          <w:szCs w:val="24"/>
        </w:rPr>
        <w:t>7. ПРИНАДЛЕЖНОСТЬ ИСКЛЮЧИТЕЛЬНЫХ ПРАВ И ПРАВА СОБСТВЕННОСТИ НА РЕЗУЛЬТАТЫ РАБОТ</w:t>
      </w:r>
    </w:p>
    <w:p>
      <w:pPr>
        <w:pStyle w:val="Normal"/>
        <w:ind w:firstLine="540"/>
        <w:jc w:val="both"/>
        <w:rPr/>
      </w:pPr>
      <w:r>
        <w:rPr/>
        <w:t>7.1.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Хабаровский край.</w:t>
      </w:r>
    </w:p>
    <w:p>
      <w:pPr>
        <w:pStyle w:val="ConsPlusNormal1"/>
        <w:spacing w:before="0" w:after="0"/>
        <w:ind w:firstLine="539"/>
        <w:contextualSpacing/>
        <w:jc w:val="both"/>
        <w:rPr>
          <w:rFonts w:ascii="Times New Roman" w:hAnsi="Times New Roman" w:cs="Times New Roman"/>
          <w:sz w:val="24"/>
          <w:szCs w:val="24"/>
        </w:rPr>
      </w:pPr>
      <w:r>
        <w:rPr>
          <w:rFonts w:cs="Times New Roman" w:ascii="Times New Roman" w:hAnsi="Times New Roman"/>
          <w:sz w:val="24"/>
          <w:szCs w:val="24"/>
        </w:rPr>
        <w:t xml:space="preserve">7.2. 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подписания Сторонами </w:t>
      </w:r>
      <w:r>
        <w:rPr>
          <w:rFonts w:eastAsia="Calibri" w:cs="Times New Roman" w:ascii="Times New Roman" w:hAnsi="Times New Roman"/>
          <w:sz w:val="24"/>
          <w:szCs w:val="24"/>
          <w:lang w:eastAsia="en-US"/>
        </w:rPr>
        <w:t>документа о приемке.</w:t>
      </w:r>
    </w:p>
    <w:p>
      <w:pPr>
        <w:pStyle w:val="Normal"/>
        <w:ind w:firstLine="709"/>
        <w:jc w:val="both"/>
        <w:rPr/>
      </w:pPr>
      <w:r>
        <w:rPr/>
        <w:t>7.3. 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pPr>
        <w:pStyle w:val="Normal"/>
        <w:ind w:firstLine="709"/>
        <w:jc w:val="both"/>
        <w:rPr/>
      </w:pPr>
      <w:r>
        <w:rPr/>
      </w:r>
    </w:p>
    <w:p>
      <w:pPr>
        <w:pStyle w:val="Normal"/>
        <w:ind w:firstLine="709"/>
        <w:jc w:val="center"/>
        <w:rPr/>
      </w:pPr>
      <w:r>
        <w:rPr>
          <w:b/>
        </w:rPr>
        <w:t>8. ГАРАНТИЙНЫЕ ОБЯЗАТЕЛЬСТВА</w:t>
      </w:r>
    </w:p>
    <w:p>
      <w:pPr>
        <w:pStyle w:val="Normal"/>
        <w:ind w:firstLine="708"/>
        <w:jc w:val="both"/>
        <w:rPr/>
      </w:pPr>
      <w:r>
        <w:rPr/>
        <w:t>8.1. Подрядчик (исполнитель) гарантирует соответствие качества выполненных Работ  условиям контракта.</w:t>
      </w:r>
    </w:p>
    <w:p>
      <w:pPr>
        <w:pStyle w:val="Normal"/>
        <w:numPr>
          <w:ilvl w:val="0"/>
          <w:numId w:val="0"/>
        </w:numPr>
        <w:tabs>
          <w:tab w:val="clear" w:pos="708"/>
          <w:tab w:val="left" w:pos="709" w:leader="none"/>
        </w:tabs>
        <w:jc w:val="center"/>
        <w:outlineLvl w:val="1"/>
        <w:rPr>
          <w:rFonts w:eastAsia="Calibri"/>
        </w:rPr>
      </w:pPr>
      <w:r>
        <w:rPr>
          <w:rFonts w:eastAsia="Calibri"/>
        </w:rPr>
      </w:r>
    </w:p>
    <w:p>
      <w:pPr>
        <w:pStyle w:val="Normal"/>
        <w:numPr>
          <w:ilvl w:val="0"/>
          <w:numId w:val="0"/>
        </w:numPr>
        <w:tabs>
          <w:tab w:val="clear" w:pos="708"/>
          <w:tab w:val="left" w:pos="709" w:leader="none"/>
        </w:tabs>
        <w:jc w:val="center"/>
        <w:outlineLvl w:val="1"/>
        <w:rPr>
          <w:b/>
        </w:rPr>
      </w:pPr>
      <w:bookmarkStart w:id="3" w:name="_Hlk111453502"/>
      <w:bookmarkStart w:id="4" w:name="_Hlk111454968"/>
      <w:bookmarkEnd w:id="3"/>
      <w:bookmarkEnd w:id="4"/>
      <w:r>
        <w:rPr>
          <w:b/>
        </w:rPr>
        <w:t xml:space="preserve">9. ОБЕСПЕЧЕНИЕ ИСПОЛНЕНИЯ КОНТРАКТА </w:t>
      </w:r>
    </w:p>
    <w:p>
      <w:pPr>
        <w:pStyle w:val="Normal"/>
        <w:tabs>
          <w:tab w:val="clear" w:pos="708"/>
          <w:tab w:val="left" w:pos="709" w:leader="none"/>
        </w:tabs>
        <w:ind w:firstLine="709"/>
        <w:jc w:val="both"/>
        <w:rPr/>
      </w:pPr>
      <w:r>
        <w:rPr>
          <w:rFonts w:eastAsia="Calibri" w:eastAsiaTheme="minorHAnsi"/>
        </w:rPr>
        <w:t xml:space="preserve">9.1. </w:t>
      </w:r>
      <w:r>
        <w:rPr/>
        <w:t>Обеспечение исполнения контракта установлено в размере 5,00% от  цены контракта на сумму ________ рублей.</w:t>
      </w:r>
    </w:p>
    <w:p>
      <w:pPr>
        <w:pStyle w:val="Normal"/>
        <w:tabs>
          <w:tab w:val="clear" w:pos="708"/>
          <w:tab w:val="left" w:pos="709" w:leader="none"/>
        </w:tabs>
        <w:ind w:firstLine="709"/>
        <w:jc w:val="both"/>
        <w:rPr/>
      </w:pPr>
      <w:r>
        <w:rPr/>
        <w:t>9.2. Обеспечение исполнения контракта должно обеспечивать выполнение всех обязательств Подрядчика (исполнителя) по контракту, а также по возмещению убытков и уплате неустоек.</w:t>
      </w:r>
    </w:p>
    <w:p>
      <w:pPr>
        <w:pStyle w:val="Normal"/>
        <w:ind w:firstLine="709"/>
        <w:jc w:val="both"/>
        <w:rPr>
          <w:rFonts w:eastAsia="Calibri" w:eastAsiaTheme="minorHAnsi"/>
          <w:lang w:eastAsia="en-US"/>
        </w:rPr>
      </w:pPr>
      <w:r>
        <w:rPr/>
        <w:t>9.3. В случае если Подрядчиком (исполнителем) в качестве обеспечения исполнения контракта выбрана независимая гарантия, такая независимая гарантия должна соответствовать т</w:t>
      </w:r>
      <w:r>
        <w:rPr>
          <w:rFonts w:eastAsia="Calibri" w:eastAsiaTheme="minorHAnsi"/>
          <w:lang w:eastAsia="en-US"/>
        </w:rPr>
        <w:t>ребованиям статьи 45 Федерального закона № 44-ФЗ.</w:t>
      </w:r>
    </w:p>
    <w:p>
      <w:pPr>
        <w:pStyle w:val="Normal"/>
        <w:ind w:firstLine="709"/>
        <w:jc w:val="both"/>
        <w:rPr>
          <w:rFonts w:eastAsia="Calibri" w:eastAsiaTheme="minorHAnsi"/>
          <w:bCs/>
          <w:lang w:eastAsia="en-US"/>
        </w:rPr>
      </w:pPr>
      <w:r>
        <w:rPr>
          <w:rFonts w:eastAsia="Calibri" w:eastAsiaTheme="minorHAnsi"/>
          <w:lang w:eastAsia="en-US"/>
        </w:rPr>
        <w:t xml:space="preserve">9.3.1. Срок действия </w:t>
      </w:r>
      <w:r>
        <w:rPr/>
        <w:t>независимой гарантии</w:t>
      </w:r>
      <w:r>
        <w:rPr>
          <w:rFonts w:eastAsia="Calibri" w:eastAsiaTheme="minorHAnsi"/>
          <w:lang w:eastAsia="en-US"/>
        </w:rPr>
        <w:t xml:space="preserve"> должен превышать </w:t>
      </w:r>
      <w:r>
        <w:rPr>
          <w:rFonts w:eastAsia="Calibri" w:eastAsiaTheme="minorHAnsi"/>
          <w:bCs/>
          <w:lang w:eastAsia="en-US"/>
        </w:rPr>
        <w:t xml:space="preserve">предусмотренный контрактом срок исполнения обязательств, которые должны быть обеспечены такой </w:t>
      </w:r>
      <w:r>
        <w:rPr/>
        <w:t>независимой гарантией</w:t>
      </w:r>
      <w:r>
        <w:rPr>
          <w:rFonts w:eastAsia="Calibri" w:eastAsiaTheme="minorHAnsi"/>
          <w:bCs/>
          <w:lang w:eastAsia="en-US"/>
        </w:rPr>
        <w:t>, не менее чем на один месяц, в том числе в случае его изменения в соответствии со статьей 95 Федерального Закона №-44-ФЗ.</w:t>
      </w:r>
    </w:p>
    <w:p>
      <w:pPr>
        <w:pStyle w:val="Normal"/>
        <w:ind w:firstLine="708"/>
        <w:jc w:val="both"/>
        <w:rPr>
          <w:rFonts w:eastAsia="Calibri"/>
          <w:lang w:eastAsia="en-US"/>
        </w:rPr>
      </w:pPr>
      <w:r>
        <w:rPr>
          <w:rFonts w:eastAsia="Calibri" w:eastAsiaTheme="minorHAnsi"/>
          <w:bCs/>
          <w:lang w:eastAsia="en-US"/>
        </w:rPr>
        <w:t xml:space="preserve">9.3.2. </w:t>
      </w:r>
      <w:r>
        <w:rPr>
          <w:rFonts w:eastAsia="Calibri" w:eastAsiaTheme="minorHAnsi"/>
          <w:lang w:eastAsia="en-US"/>
        </w:rPr>
        <w:t xml:space="preserve">В случае отзыва в соответствии с законодательством Российской Федерации у банка, предоставившего </w:t>
      </w:r>
      <w:r>
        <w:rPr/>
        <w:t>независимую гарантию</w:t>
      </w:r>
      <w:r>
        <w:rPr>
          <w:rFonts w:eastAsia="Calibri" w:eastAsiaTheme="minorHAnsi"/>
          <w:lang w:eastAsia="en-US"/>
        </w:rPr>
        <w:t xml:space="preserve"> в качестве обеспечения исполнения контракта лицензии на осуществление банковских операций, Подрядчик (исполнитель) обязан предоставить новое обеспечение исполнения контракта не позднее одного месяца со дня надлежащего уведомления Заказчиком Подрядчика (исполнителя) о необходимости предоставить соответствующее обеспечение. </w:t>
      </w:r>
      <w:r>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pPr>
        <w:pStyle w:val="Normal"/>
        <w:ind w:firstLine="709"/>
        <w:jc w:val="both"/>
        <w:rPr>
          <w:rFonts w:eastAsia="Calibri"/>
        </w:rPr>
      </w:pPr>
      <w:r>
        <w:rPr>
          <w:rFonts w:eastAsia="Calibri"/>
        </w:rPr>
        <w:t>9.3.3.</w:t>
      </w:r>
      <w:r>
        <w:rPr>
          <w:rFonts w:eastAsia="Calibri"/>
          <w:sz w:val="20"/>
          <w:szCs w:val="20"/>
        </w:rPr>
        <w:t xml:space="preserve"> </w:t>
      </w:r>
      <w:r>
        <w:rPr>
          <w:rFonts w:eastAsia="Calibri"/>
        </w:rPr>
        <w:t xml:space="preserve">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w:t>
      </w:r>
      <w:r>
        <w:rPr/>
        <w:t>независимую гарантию</w:t>
      </w:r>
      <w:r>
        <w:rPr>
          <w:rFonts w:eastAsia="Calibri"/>
        </w:rPr>
        <w:t>, не осуществляется, взыскание по ней не производится.</w:t>
      </w:r>
    </w:p>
    <w:p>
      <w:pPr>
        <w:pStyle w:val="Normal"/>
        <w:tabs>
          <w:tab w:val="clear" w:pos="708"/>
          <w:tab w:val="left" w:pos="709" w:leader="none"/>
        </w:tabs>
        <w:ind w:firstLine="709"/>
        <w:jc w:val="both"/>
        <w:rPr>
          <w:lang w:val="en-US"/>
        </w:rPr>
      </w:pPr>
      <w:r>
        <w:rPr/>
        <w:t xml:space="preserve">9.4. В случае если Подрядчиком (исполнителем) применяется </w:t>
      </w:r>
      <w:r>
        <w:rPr>
          <w:rFonts w:eastAsia="Calibri" w:eastAsiaTheme="minorHAnsi"/>
          <w:lang w:eastAsia="en-US"/>
        </w:rPr>
        <w:t>такая форма обеспечения исполнения контракта,</w:t>
      </w:r>
      <w:r>
        <w:rPr>
          <w:color w:val="FF0000"/>
        </w:rPr>
        <w:t xml:space="preserve"> </w:t>
      </w:r>
      <w:r>
        <w:rPr/>
        <w:t>как внесение денежных средств, то такие денежные средства возвращаются Заказчиком Подрядчику (исполнителю) в срок не превышающий пятнадцати дней с даты исполнения Подрядчиком (исполнителем) обязательств, предусмотренных контрактом.</w:t>
      </w:r>
    </w:p>
    <w:p>
      <w:pPr>
        <w:pStyle w:val="Normal"/>
        <w:ind w:firstLine="708"/>
        <w:jc w:val="both"/>
        <w:rPr>
          <w:rFonts w:eastAsia="Calibri" w:eastAsiaTheme="minorHAnsi"/>
          <w:lang w:eastAsia="en-US"/>
        </w:rPr>
      </w:pPr>
      <w:r>
        <w:rPr/>
        <w:t xml:space="preserve"> </w:t>
      </w:r>
      <w:r>
        <w:rPr/>
        <w:t xml:space="preserve">9.5. В ходе исполнения контракта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9.7 - 9.8 контракта. </w:t>
      </w:r>
    </w:p>
    <w:p>
      <w:pPr>
        <w:pStyle w:val="Normal"/>
        <w:ind w:firstLine="708"/>
        <w:jc w:val="both"/>
        <w:rPr>
          <w:rFonts w:eastAsia="Calibri"/>
        </w:rPr>
      </w:pPr>
      <w:r>
        <w:rPr>
          <w:rFonts w:eastAsia="Calibri"/>
          <w:lang w:eastAsia="en-US"/>
        </w:rPr>
        <w:t xml:space="preserve">9.6. </w:t>
      </w:r>
      <w:r>
        <w:rPr>
          <w:rFonts w:eastAsia="Calibri"/>
        </w:rPr>
        <w:t>В ходе исполнения настоящего контракта размер обеспечения исполнения контракта</w:t>
      </w:r>
      <w:r>
        <w:rPr>
          <w:rFonts w:eastAsia="Calibri"/>
          <w:lang w:eastAsia="en-US"/>
        </w:rPr>
        <w:t xml:space="preserve"> </w:t>
      </w:r>
      <w:r>
        <w:rPr>
          <w:rFonts w:eastAsia="Calibri"/>
        </w:rPr>
        <w:t xml:space="preserve">подлежит уменьшению в порядке и случаях, которые предусмотрены пунктами 9.7-9.8 контракта </w:t>
      </w:r>
    </w:p>
    <w:p>
      <w:pPr>
        <w:pStyle w:val="Normal"/>
        <w:ind w:firstLine="708"/>
        <w:jc w:val="both"/>
        <w:rPr>
          <w:rFonts w:eastAsia="Calibri"/>
        </w:rPr>
      </w:pPr>
      <w:r>
        <w:rPr>
          <w:rFonts w:eastAsia="Calibri"/>
        </w:rPr>
        <w:t xml:space="preserve">9.7. Размер обеспечения исполнения контракта уменьшается посредством направления Заказчиком информации об исполнении Подрядчиком (исполнителем) обязательств по выполнению работ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pPr>
        <w:pStyle w:val="Normal"/>
        <w:ind w:firstLine="708"/>
        <w:jc w:val="both"/>
        <w:rPr>
          <w:rFonts w:eastAsia="Calibri"/>
        </w:rPr>
      </w:pPr>
      <w:r>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Подрядчика (исполнителя) ему возвращаются Заказчиком в срок, установленный п. 9.4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Normal"/>
        <w:ind w:firstLine="708"/>
        <w:jc w:val="both"/>
        <w:rPr>
          <w:rFonts w:eastAsia="Calibri"/>
          <w:color w:val="000000"/>
        </w:rPr>
      </w:pPr>
      <w:r>
        <w:rPr>
          <w:rFonts w:eastAsia="Calibri"/>
          <w:color w:val="000000"/>
        </w:rPr>
        <w:t xml:space="preserve">В случае, если обеспечение исполнения контракта осуществляется путем предоставления </w:t>
      </w:r>
      <w:r>
        <w:rPr/>
        <w:t>независимой гарантии</w:t>
      </w:r>
      <w:r>
        <w:rPr>
          <w:rFonts w:eastAsia="Calibri"/>
          <w:color w:val="000000"/>
        </w:rPr>
        <w:t>,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pPr>
        <w:pStyle w:val="Normal"/>
        <w:ind w:firstLine="708"/>
        <w:jc w:val="both"/>
        <w:rPr/>
      </w:pPr>
      <w:r>
        <w:rPr>
          <w:rFonts w:eastAsia="Calibri"/>
        </w:rPr>
        <w:t>9.8. Уменьшение размера обеспечения исполнения контракта, предусмотренное в п. 9.5-9.6 контракта, осуществляется при условии отсутствия неисполненных Подрядчиком (исполнителем) требований об уплате неустоек (штрафов, пеней), предъявленных Заказчиком, а также приемки Заказчиком выполненных Работ.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pPr>
        <w:pStyle w:val="Normal"/>
        <w:ind w:firstLine="708"/>
        <w:jc w:val="both"/>
        <w:rPr>
          <w:rFonts w:eastAsia="Calibri"/>
          <w:color w:val="000000"/>
        </w:rPr>
      </w:pPr>
      <w:r>
        <w:rPr>
          <w:rFonts w:eastAsia="Calibri"/>
          <w:color w:val="000000"/>
        </w:rPr>
        <w:t xml:space="preserve">9.9. </w:t>
      </w:r>
      <w:r>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pPr>
        <w:pStyle w:val="Normal"/>
        <w:tabs>
          <w:tab w:val="clear" w:pos="708"/>
          <w:tab w:val="left" w:pos="709" w:leader="none"/>
        </w:tabs>
        <w:ind w:firstLine="709"/>
        <w:jc w:val="both"/>
        <w:rPr/>
      </w:pPr>
      <w:r>
        <w:rPr/>
        <w:t>9.10. Предусмотренные частью 1 статьи 95 Федерального закона о контрактной системе изменения осуществляются при условии предоставления Подрядчиком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br/>
        <w:t>1) размер обеспечения может быть уменьшен в порядке и случаях, предусмотренных частями 7 - 7.3 статьи 96 Федерального закона о контрактной системе;</w:t>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Подрядчика (исполнителя).</w:t>
      </w:r>
    </w:p>
    <w:p>
      <w:pPr>
        <w:pStyle w:val="Normal"/>
        <w:ind w:firstLine="709"/>
        <w:jc w:val="both"/>
        <w:rPr/>
      </w:pPr>
      <w:r>
        <w:rPr/>
        <w:t>9.11. В случае уменьшения в соответствии со ст. 95 Федерального закона № 44-ФЗ цены контракта Заказчик возвращает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pPr>
        <w:pStyle w:val="Normal"/>
        <w:ind w:firstLine="708"/>
        <w:jc w:val="both"/>
        <w:rPr>
          <w:rFonts w:eastAsia="Calibri"/>
          <w:lang w:val="en-US"/>
        </w:rPr>
      </w:pPr>
      <w:r>
        <w:rPr/>
        <w:t>9.12.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Подрядчику (исполнителю) денежных средств, внесенных в качестве обеспечения исполнения контракта.</w:t>
      </w:r>
      <w:r>
        <w:rPr>
          <w:rFonts w:eastAsia="Calibri"/>
          <w:lang w:val="en-US"/>
        </w:rPr>
        <w:t xml:space="preserve"> </w:t>
      </w:r>
    </w:p>
    <w:p>
      <w:pPr>
        <w:pStyle w:val="Normal"/>
        <w:ind w:firstLine="708"/>
        <w:jc w:val="both"/>
        <w:rPr>
          <w:rFonts w:eastAsia="Calibri"/>
        </w:rPr>
      </w:pPr>
      <w:r>
        <w:rPr>
          <w:rFonts w:eastAsia="Calibri"/>
        </w:rPr>
        <w:t xml:space="preserve">9.13. В случае если Подрядчик (исполнитель) воспользовался правом, предусмотренным частью 8.1 статьи 96 Федерального закона № 44-ФЗ, нормы настоящего раздела не применяются. </w:t>
      </w:r>
    </w:p>
    <w:p>
      <w:pPr>
        <w:pStyle w:val="Normal"/>
        <w:ind w:firstLine="709"/>
        <w:jc w:val="both"/>
        <w:rPr/>
      </w:pPr>
      <w:r>
        <w:rPr>
          <w:color w:val="FF0000"/>
        </w:rPr>
        <w:t xml:space="preserve"> </w:t>
      </w:r>
    </w:p>
    <w:p>
      <w:pPr>
        <w:pStyle w:val="Normal"/>
        <w:ind w:firstLine="709"/>
        <w:jc w:val="center"/>
        <w:rPr/>
      </w:pPr>
      <w:r>
        <w:rPr/>
      </w:r>
    </w:p>
    <w:p>
      <w:pPr>
        <w:pStyle w:val="Normal"/>
        <w:tabs>
          <w:tab w:val="clear" w:pos="708"/>
          <w:tab w:val="left" w:pos="1450" w:leader="none"/>
        </w:tabs>
        <w:spacing w:before="0" w:after="0"/>
        <w:ind w:firstLine="709"/>
        <w:contextualSpacing/>
        <w:jc w:val="both"/>
        <w:rPr/>
      </w:pPr>
      <w:r>
        <w:rPr/>
      </w:r>
    </w:p>
    <w:p>
      <w:pPr>
        <w:pStyle w:val="Normal"/>
        <w:ind w:firstLine="709"/>
        <w:jc w:val="center"/>
        <w:rPr>
          <w:b/>
          <w:spacing w:val="-3"/>
        </w:rPr>
      </w:pPr>
      <w:r>
        <w:rPr>
          <w:b/>
          <w:spacing w:val="-3"/>
        </w:rPr>
        <w:t>10. ОТВЕТСТВЕННОСТЬ СТОРОН</w:t>
      </w:r>
    </w:p>
    <w:p>
      <w:pPr>
        <w:pStyle w:val="ConsPlusNormal1"/>
        <w:widowControl/>
        <w:tabs>
          <w:tab w:val="clear" w:pos="708"/>
          <w:tab w:val="left" w:pos="709" w:leader="none"/>
        </w:tabs>
        <w:ind w:hanging="0"/>
        <w:jc w:val="both"/>
        <w:rPr>
          <w:rFonts w:ascii="Times New Roman" w:hAnsi="Times New Roman" w:cs="Times New Roman"/>
          <w:sz w:val="24"/>
          <w:szCs w:val="24"/>
        </w:rPr>
      </w:pPr>
      <w:r>
        <w:rPr>
          <w:rFonts w:cs="Times New Roman" w:ascii="Times New Roman" w:hAnsi="Times New Roman"/>
          <w:sz w:val="24"/>
          <w:szCs w:val="24"/>
        </w:rPr>
        <w:tab/>
        <w:t>10.1.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pPr>
        <w:pStyle w:val="Normal"/>
        <w:ind w:firstLine="708"/>
        <w:jc w:val="both"/>
        <w:rPr/>
      </w:pPr>
      <w:r>
        <w:rPr/>
        <w:t>10.2.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(исполнитель) вправе потребовать уплаты неустоек (штрафов, пеней).</w:t>
      </w:r>
    </w:p>
    <w:p>
      <w:pPr>
        <w:pStyle w:val="Normal"/>
        <w:ind w:firstLine="709"/>
        <w:jc w:val="both"/>
        <w:rPr/>
      </w:pPr>
      <w:r>
        <w:rPr/>
        <w:t xml:space="preserve">10.2.1.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jc w:val="both"/>
        <w:rPr/>
      </w:pPr>
      <w:r>
        <w:rPr/>
        <w:t xml:space="preserve">10.2.2.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pPr>
        <w:pStyle w:val="Normal"/>
        <w:ind w:firstLine="709"/>
        <w:jc w:val="both"/>
        <w:rPr>
          <w:rFonts w:eastAsia="Calibri" w:eastAsiaTheme="minorHAnsi"/>
          <w:lang w:eastAsia="en-US"/>
        </w:rPr>
      </w:pPr>
      <w:r>
        <w:rPr>
          <w:rFonts w:eastAsia="Calibri"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pPr>
        <w:pStyle w:val="Normal"/>
        <w:ind w:firstLine="709"/>
        <w:jc w:val="both"/>
        <w:rPr>
          <w:rFonts w:eastAsia="Calibri" w:eastAsiaTheme="minorHAnsi"/>
          <w:lang w:eastAsia="en-US"/>
        </w:rPr>
      </w:pPr>
      <w:r>
        <w:rPr>
          <w:rFonts w:eastAsia="Calibri" w:eastAsiaTheme="minorHAnsi"/>
          <w:lang w:eastAsia="en-US"/>
        </w:rPr>
        <w:t>а) 1000 рублей, если цена контракта не превышает 3 млн. рублей (включительно);</w:t>
      </w:r>
    </w:p>
    <w:p>
      <w:pPr>
        <w:pStyle w:val="Normal"/>
        <w:ind w:firstLine="709"/>
        <w:jc w:val="both"/>
        <w:rPr>
          <w:rFonts w:eastAsia="Calibri" w:eastAsiaTheme="minorHAnsi"/>
          <w:lang w:eastAsia="en-US"/>
        </w:rPr>
      </w:pPr>
      <w:r>
        <w:rPr>
          <w:rFonts w:eastAsia="Calibri" w:eastAsiaTheme="minorHAnsi"/>
          <w:lang w:eastAsia="en-US"/>
        </w:rPr>
        <w:t>б) 5000 рублей, если цена контракта составляет от 3 млн. рублей до 50 млн. рублей (включительно)</w:t>
      </w:r>
    </w:p>
    <w:p>
      <w:pPr>
        <w:pStyle w:val="ConsNormal1"/>
        <w:tabs>
          <w:tab w:val="clear" w:pos="708"/>
          <w:tab w:val="left" w:pos="709" w:leader="none"/>
        </w:tabs>
        <w:ind w:hanging="0"/>
        <w:jc w:val="both"/>
        <w:rPr>
          <w:rFonts w:ascii="Times New Roman" w:hAnsi="Times New Roman"/>
          <w:sz w:val="24"/>
          <w:szCs w:val="24"/>
        </w:rPr>
      </w:pPr>
      <w:r>
        <w:rPr>
          <w:rFonts w:eastAsia="Calibri" w:ascii="Times New Roman" w:hAnsi="Times New Roman"/>
          <w:sz w:val="24"/>
          <w:szCs w:val="24"/>
          <w:lang w:eastAsia="en-US"/>
        </w:rPr>
        <w:tab/>
        <w:t>10</w:t>
      </w:r>
      <w:r>
        <w:rPr>
          <w:rFonts w:ascii="Times New Roman" w:hAnsi="Times New Roman"/>
          <w:sz w:val="24"/>
          <w:szCs w:val="24"/>
        </w:rPr>
        <w:t>.3.</w:t>
      </w:r>
      <w:r>
        <w:rPr/>
        <w:t xml:space="preserve"> </w:t>
      </w:r>
      <w:r>
        <w:rPr>
          <w:rFonts w:ascii="Times New Roman" w:hAnsi="Times New Roman"/>
          <w:sz w:val="24"/>
          <w:szCs w:val="24"/>
        </w:rPr>
        <w:t>В случае просрочки исполнения Подрядчиком (исполнителем) обязательств (в том числе гарантийного обязательства, если таковое установлено), предусмотренных настоящим</w:t>
      </w:r>
      <w:r>
        <w:rPr/>
        <w:t xml:space="preserve"> </w:t>
      </w:r>
      <w:r>
        <w:rPr>
          <w:rFonts w:ascii="Times New Roman" w:hAnsi="Times New Roman"/>
          <w:sz w:val="24"/>
          <w:szCs w:val="24"/>
        </w:rPr>
        <w:t>контрактом, а также в иных случаях неисполнения или</w:t>
      </w:r>
      <w:r>
        <w:rPr/>
        <w:t xml:space="preserve"> </w:t>
      </w:r>
      <w:r>
        <w:rPr>
          <w:rFonts w:ascii="Times New Roman" w:hAnsi="Times New Roman"/>
          <w:sz w:val="24"/>
          <w:szCs w:val="24"/>
        </w:rPr>
        <w:t>ненадлежащего исполнения Подрядчик (исполнителем) обязательств, предусмотренных контрактом, Подрядчик (исполнитель) уплачивает Заказчику неустойку (штраф, пени).</w:t>
      </w:r>
    </w:p>
    <w:p>
      <w:pPr>
        <w:pStyle w:val="Normal"/>
        <w:ind w:firstLine="709"/>
        <w:jc w:val="both"/>
        <w:rPr/>
      </w:pPr>
      <w:r>
        <w:rPr/>
        <w:t xml:space="preserve">10.3.1. Пеня начисляется за каждый день просрочки исполнения Подрядчиком (исполнителем) обязательства, предусмотренного настоящим контрактом, в том числе </w:t>
      </w:r>
      <w:r>
        <w:rPr>
          <w:rFonts w:eastAsia="Calibri" w:eastAsiaTheme="minorHAnsi"/>
          <w:lang w:eastAsia="en-US"/>
        </w:rPr>
        <w:t>просрочки исполнения Подрядчиком (исполнителем) обязательства, предусмотренного пунктом 4.4.16. настоящего контракта,</w:t>
      </w:r>
      <w:r>
        <w:rPr/>
        <w:t xml:space="preserve"> </w:t>
      </w:r>
      <w:r>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Pr/>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Подрядчиком (исполнителем), за исключением случаев, если законодательством РФ установлен иной порядок начисления пени.</w:t>
      </w:r>
    </w:p>
    <w:p>
      <w:pPr>
        <w:pStyle w:val="Normal"/>
        <w:ind w:firstLine="709"/>
        <w:jc w:val="both"/>
        <w:rPr>
          <w:rFonts w:eastAsia="Calibri"/>
          <w:lang w:eastAsia="en-US"/>
        </w:rPr>
      </w:pPr>
      <w:r>
        <w:rPr>
          <w:rFonts w:eastAsia="Calibri"/>
          <w:lang w:eastAsia="en-US"/>
        </w:rPr>
        <w:t xml:space="preserve">10.3.2. Штрафы начисляются за неисполнение или ненадлежащее исполнение Подрядчиком (исполнителем) обязательств, предусмотренных настоящим контрактом, за исключением просрочки исполнения Подрядчиком (исполнителем) обязательств (в том числе гарантийного обязательства, </w:t>
      </w:r>
      <w:r>
        <w:rPr/>
        <w:t>если таковое установлено</w:t>
      </w:r>
      <w:r>
        <w:rPr>
          <w:rFonts w:eastAsia="Calibri"/>
          <w:lang w:eastAsia="en-US"/>
        </w:rPr>
        <w:t>), предусмотренных настоящим контрактом.</w:t>
      </w:r>
    </w:p>
    <w:p>
      <w:pPr>
        <w:pStyle w:val="Normal"/>
        <w:ind w:firstLine="709"/>
        <w:jc w:val="both"/>
        <w:rPr>
          <w:rFonts w:eastAsia="Calibri"/>
        </w:rPr>
      </w:pPr>
      <w:r>
        <w:rPr>
          <w:rFonts w:eastAsia="Calibri" w:eastAsiaTheme="minorHAnsi"/>
          <w:lang w:eastAsia="en-US"/>
        </w:rPr>
        <w:t xml:space="preserve">10.3.3. </w:t>
      </w:r>
      <w:r>
        <w:rPr>
          <w:rFonts w:eastAsia="Calibri"/>
          <w:lang w:eastAsia="en-US"/>
        </w:rPr>
        <w:t xml:space="preserve"> За каждый факт неисполнения или ненадлежащего исполнения Подрядчиком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Pr/>
        <w:t>если таковое установлено</w:t>
      </w:r>
      <w:r>
        <w:rPr>
          <w:rFonts w:eastAsia="Calibri"/>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Pr>
          <w:rFonts w:eastAsia="Calibri" w:eastAsiaTheme="minorHAnsi"/>
          <w:lang w:eastAsia="en-US"/>
        </w:rPr>
        <w:t>5 тыс. рублей и не менее 1 тыс. рублей</w:t>
      </w:r>
      <w:r>
        <w:rPr>
          <w:rFonts w:eastAsia="Calibri"/>
          <w:lang w:eastAsia="en-US"/>
        </w:rPr>
        <w:t xml:space="preserve"> (за исключением случаев, предусмотренных пунктами </w:t>
      </w:r>
      <w:r>
        <w:rPr>
          <w:rFonts w:eastAsia="Calibri"/>
          <w:lang w:val="en-US" w:eastAsia="en-US"/>
        </w:rPr>
        <w:t>10</w:t>
      </w:r>
      <w:r>
        <w:rPr>
          <w:rFonts w:eastAsia="Calibri"/>
          <w:lang w:eastAsia="en-US"/>
        </w:rPr>
        <w:t>.3.4 настоящего Контракта).</w:t>
      </w:r>
      <w:r>
        <w:rPr>
          <w:rFonts w:eastAsia="Calibri"/>
        </w:rPr>
        <w:t xml:space="preserve"> </w:t>
      </w:r>
    </w:p>
    <w:p>
      <w:pPr>
        <w:pStyle w:val="Normal"/>
        <w:ind w:firstLine="709"/>
        <w:jc w:val="both"/>
        <w:rPr>
          <w:rFonts w:eastAsia="Calibri"/>
          <w:lang w:eastAsia="en-US"/>
        </w:rPr>
      </w:pPr>
      <w:r>
        <w:rPr>
          <w:rFonts w:eastAsia="Calibri"/>
          <w:lang w:eastAsia="en-US"/>
        </w:rPr>
        <w:t>10.3.4. За каждый факт неисполнения или ненадлежащего исполнения Подрядчиком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pPr>
        <w:pStyle w:val="Normal"/>
        <w:ind w:firstLine="709"/>
        <w:jc w:val="both"/>
        <w:rPr>
          <w:rFonts w:eastAsia="Calibri"/>
          <w:lang w:eastAsia="en-US"/>
        </w:rPr>
      </w:pPr>
      <w:r>
        <w:rPr>
          <w:rFonts w:eastAsia="Calibri"/>
          <w:lang w:eastAsia="en-US"/>
        </w:rPr>
        <w:t>а) 1000 рублей, если цена контракта не превышает 3 млн. рублей;</w:t>
      </w:r>
    </w:p>
    <w:p>
      <w:pPr>
        <w:pStyle w:val="Normal"/>
        <w:ind w:firstLine="709"/>
        <w:jc w:val="both"/>
        <w:rPr>
          <w:rFonts w:eastAsia="Calibri" w:eastAsiaTheme="minorHAnsi"/>
          <w:lang w:eastAsia="en-US"/>
        </w:rPr>
      </w:pPr>
      <w:r>
        <w:rPr>
          <w:rFonts w:eastAsia="Calibri"/>
          <w:lang w:eastAsia="en-US"/>
        </w:rPr>
        <w:t>б) 5000 рублей, если цена контракта составляет от 3 млн. рублей до 50 млн. рублей (включительно).</w:t>
      </w:r>
    </w:p>
    <w:p>
      <w:pPr>
        <w:pStyle w:val="Normal"/>
        <w:ind w:firstLine="709"/>
        <w:jc w:val="both"/>
        <w:rPr>
          <w:rFonts w:eastAsia="Calibri"/>
          <w:lang w:eastAsia="en-US"/>
        </w:rPr>
      </w:pPr>
      <w:r>
        <w:rPr/>
        <w:t xml:space="preserve">10.4. </w:t>
      </w:r>
      <w:r>
        <w:rPr>
          <w:rFonts w:eastAsia="Calibri"/>
        </w:rPr>
        <w:t>Общая сумма начисленных штрафов за неисполнение или ненадлежащее исполнение Подрядчиком (исполнителем) обязательств, предусмотренных настоящим контрактом, не может превышать цену настоящего контракта.</w:t>
      </w:r>
    </w:p>
    <w:p>
      <w:pPr>
        <w:pStyle w:val="Normal"/>
        <w:ind w:firstLine="709"/>
        <w:jc w:val="both"/>
        <w:rPr>
          <w:rFonts w:eastAsia="Calibri"/>
          <w:lang w:eastAsia="en-US"/>
        </w:rPr>
      </w:pPr>
      <w:r>
        <w:rPr>
          <w:rFonts w:eastAsia="Calibri"/>
          <w:lang w:eastAsia="en-US"/>
        </w:rPr>
        <w:t xml:space="preserve">10.5. </w:t>
      </w:r>
      <w:r>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pPr>
        <w:pStyle w:val="Normal"/>
        <w:tabs>
          <w:tab w:val="clear" w:pos="708"/>
          <w:tab w:val="left" w:pos="709" w:leader="none"/>
        </w:tabs>
        <w:ind w:firstLine="709"/>
        <w:jc w:val="both"/>
        <w:rPr/>
      </w:pPr>
      <w:r>
        <w:rPr>
          <w:rStyle w:val="markedcontent"/>
        </w:rPr>
        <w:t>10.6. Заказчик вправе удержать сумму неисполненных Подрядчиком (исполнителем) требований об уплате неустоек (штрафов, пеней), предъявленных Заказчиком из суммы, подлежащей оплате Подрядчику (исполнителю).</w:t>
      </w:r>
    </w:p>
    <w:p>
      <w:pPr>
        <w:pStyle w:val="Normal"/>
        <w:tabs>
          <w:tab w:val="clear" w:pos="708"/>
          <w:tab w:val="left" w:pos="709" w:leader="none"/>
        </w:tabs>
        <w:ind w:firstLine="709"/>
        <w:jc w:val="both"/>
        <w:rPr/>
      </w:pPr>
      <w:r>
        <w:rPr/>
        <w:t>10.7. В случае если Заказчик понес убытки вследствие ненадлежащего исполнения Подрядчиком (исполнителем) своих обязательств по настоящему контракту, Подрядчик (исполнитель) обязан возместить такие убытки Заказчику независимо от уплаты неустойки.</w:t>
      </w:r>
    </w:p>
    <w:p>
      <w:pPr>
        <w:pStyle w:val="Normal"/>
        <w:tabs>
          <w:tab w:val="clear" w:pos="708"/>
          <w:tab w:val="left" w:pos="709" w:leader="none"/>
        </w:tabs>
        <w:ind w:firstLine="709"/>
        <w:jc w:val="both"/>
        <w:rPr/>
      </w:pPr>
      <w:r>
        <w:rPr/>
        <w:t>10.8.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pPr>
        <w:pStyle w:val="Normal"/>
        <w:tabs>
          <w:tab w:val="clear" w:pos="708"/>
          <w:tab w:val="left" w:pos="709" w:leader="none"/>
        </w:tabs>
        <w:ind w:firstLine="709"/>
        <w:jc w:val="both"/>
        <w:rPr/>
      </w:pPr>
      <w:r>
        <w:rPr/>
        <w:t>10.9.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ind w:firstLine="709"/>
        <w:jc w:val="both"/>
        <w:rPr>
          <w:rFonts w:eastAsia="Calibri"/>
        </w:rPr>
      </w:pPr>
      <w:r>
        <w:rPr/>
        <w:t>10.10. В случае расторжения контракта в связи с ненадлежащим исполнением Подрядчиком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10.3 настоящего контракта.</w:t>
      </w:r>
    </w:p>
    <w:p>
      <w:pPr>
        <w:pStyle w:val="Normal"/>
        <w:tabs>
          <w:tab w:val="clear" w:pos="708"/>
          <w:tab w:val="left" w:pos="709" w:leader="none"/>
        </w:tabs>
        <w:ind w:firstLine="709"/>
        <w:jc w:val="both"/>
        <w:rPr/>
      </w:pPr>
      <w:r>
        <w:rPr/>
      </w:r>
    </w:p>
    <w:p>
      <w:pPr>
        <w:pStyle w:val="Normal"/>
        <w:shd w:val="clear" w:color="auto" w:fill="FFFFFF"/>
        <w:tabs>
          <w:tab w:val="clear" w:pos="708"/>
          <w:tab w:val="left" w:pos="284" w:leader="none"/>
          <w:tab w:val="left" w:pos="426" w:leader="none"/>
          <w:tab w:val="left" w:pos="9498" w:leader="none"/>
        </w:tabs>
        <w:ind w:right="-1"/>
        <w:jc w:val="center"/>
        <w:rPr>
          <w:b/>
          <w:bCs/>
        </w:rPr>
      </w:pPr>
      <w:r>
        <w:rPr>
          <w:b/>
          <w:bCs/>
          <w:spacing w:val="-8"/>
        </w:rPr>
        <w:t xml:space="preserve">11. ОБСТОЯТЕЛЬСТВА </w:t>
      </w:r>
      <w:r>
        <w:rPr>
          <w:b/>
          <w:bCs/>
        </w:rPr>
        <w:t>НЕПРЕОДОЛИМОЙ СИЛЫ</w:t>
      </w:r>
    </w:p>
    <w:p>
      <w:pPr>
        <w:pStyle w:val="Normal"/>
        <w:tabs>
          <w:tab w:val="clear" w:pos="708"/>
          <w:tab w:val="left" w:pos="709" w:leader="none"/>
        </w:tabs>
        <w:ind w:firstLine="709"/>
        <w:jc w:val="both"/>
        <w:rPr/>
      </w:pPr>
      <w:r>
        <w:rPr/>
        <w:t>11.1.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pStyle w:val="Normal"/>
        <w:tabs>
          <w:tab w:val="clear" w:pos="708"/>
          <w:tab w:val="left" w:pos="709" w:leader="none"/>
        </w:tabs>
        <w:ind w:firstLine="709"/>
        <w:jc w:val="both"/>
        <w:rPr/>
      </w:pPr>
      <w:r>
        <w:rPr/>
        <w:t>11.2.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tabs>
          <w:tab w:val="clear" w:pos="708"/>
          <w:tab w:val="left" w:pos="709" w:leader="none"/>
        </w:tabs>
        <w:ind w:firstLine="709"/>
        <w:jc w:val="both"/>
        <w:rPr/>
      </w:pPr>
      <w:r>
        <w:rPr/>
        <w:t>11.3.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pPr>
        <w:pStyle w:val="Normal"/>
        <w:tabs>
          <w:tab w:val="clear" w:pos="708"/>
          <w:tab w:val="left" w:pos="709" w:leader="none"/>
        </w:tabs>
        <w:ind w:firstLine="709"/>
        <w:jc w:val="both"/>
        <w:rPr/>
      </w:pPr>
      <w:r>
        <w:rPr/>
        <w:t>11.4.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tabs>
          <w:tab w:val="clear" w:pos="708"/>
          <w:tab w:val="left" w:pos="709" w:leader="none"/>
        </w:tabs>
        <w:ind w:firstLine="709"/>
        <w:jc w:val="both"/>
        <w:rPr/>
      </w:pPr>
      <w:r>
        <w:rPr/>
      </w:r>
    </w:p>
    <w:p>
      <w:pPr>
        <w:pStyle w:val="Normal"/>
        <w:jc w:val="center"/>
        <w:rPr>
          <w:b/>
        </w:rPr>
      </w:pPr>
      <w:r>
        <w:rPr>
          <w:b/>
        </w:rPr>
        <w:t>12. СРОК ДЕЙСТВИЯ И ПОРЯДОК ИЗМЕНЕНИЯ КОНТРАКТА</w:t>
      </w:r>
    </w:p>
    <w:p>
      <w:pPr>
        <w:pStyle w:val="Normal"/>
        <w:ind w:firstLine="709"/>
        <w:jc w:val="both"/>
        <w:rPr>
          <w:b/>
        </w:rPr>
      </w:pPr>
      <w:r>
        <w:rPr/>
        <w:t>12.1. Настоящий контракт вступает в действие с момента его подписания Сторонами и действует до 15.02.2027 включительно.</w:t>
      </w:r>
    </w:p>
    <w:p>
      <w:pPr>
        <w:pStyle w:val="Normal"/>
        <w:ind w:firstLine="709"/>
        <w:jc w:val="both"/>
        <w:rPr/>
      </w:pPr>
      <w:r>
        <w:rPr/>
        <w:t xml:space="preserve">12.2 </w:t>
      </w:r>
      <w:bookmarkStart w:id="5" w:name="_GoBack"/>
      <w:bookmarkEnd w:id="5"/>
      <w:r>
        <w:rPr>
          <w:rFonts w:eastAsia="Calibri"/>
          <w:lang w:eastAsia="en-US"/>
        </w:rPr>
        <w:t xml:space="preserve"> Изменение по соглашению Сторон размера и (или) сроков оплаты и (или) объема Работ,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Pr/>
        <w:t xml:space="preserve"> </w:t>
      </w:r>
    </w:p>
    <w:p>
      <w:pPr>
        <w:pStyle w:val="Normal"/>
        <w:pBdr/>
        <w:ind w:firstLine="709"/>
        <w:jc w:val="both"/>
        <w:rPr/>
      </w:pPr>
      <w:r>
        <w:rPr>
          <w:color w:val="000000"/>
        </w:rPr>
        <w:t>12.3. По соглашению Сторон при исполнении настоящего контракта допускается изменение его существенных условий:</w:t>
      </w:r>
    </w:p>
    <w:p>
      <w:pPr>
        <w:pStyle w:val="Normal"/>
        <w:pBdr/>
        <w:ind w:firstLine="709"/>
        <w:jc w:val="both"/>
        <w:rPr/>
      </w:pPr>
      <w:r>
        <w:rPr>
          <w:color w:val="000000"/>
        </w:rPr>
        <w:t xml:space="preserve">- в случае изменения в соответствии с законодательством Российской Федерации регулируемых цен (тарифов) на </w:t>
      </w:r>
      <w:r>
        <w:rPr>
          <w:color w:val="000000"/>
        </w:rPr>
        <w:t>работы</w:t>
      </w:r>
      <w:r>
        <w:rPr>
          <w:color w:val="000000"/>
        </w:rPr>
        <w:t>;</w:t>
      </w:r>
    </w:p>
    <w:p>
      <w:pPr>
        <w:pStyle w:val="Normal"/>
        <w:pBdr/>
        <w:spacing w:lineRule="atLeast" w:line="289"/>
        <w:ind w:firstLine="709"/>
        <w:jc w:val="both"/>
        <w:rPr/>
      </w:pPr>
      <w:r>
        <w:rPr>
          <w:color w:val="000000"/>
        </w:rPr>
        <w:t xml:space="preserve">- при замене предусмотренных контрактом </w:t>
      </w:r>
      <w:r>
        <w:rPr>
          <w:color w:val="000000"/>
        </w:rPr>
        <w:t>работы</w:t>
      </w:r>
      <w:r>
        <w:rPr>
          <w:color w:val="000000"/>
        </w:rPr>
        <w:t xml:space="preserve"> на </w:t>
      </w:r>
      <w:r>
        <w:rPr>
          <w:color w:val="000000"/>
        </w:rPr>
        <w:t>работы</w:t>
      </w:r>
      <w:r>
        <w:rPr>
          <w:color w:val="000000"/>
        </w:rPr>
        <w:t>,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pPr>
        <w:pStyle w:val="Normal"/>
        <w:ind w:firstLine="709"/>
        <w:jc w:val="both"/>
        <w:rPr/>
      </w:pPr>
      <w:r>
        <w:rPr>
          <w:color w:val="000000"/>
        </w:rPr>
        <w:t xml:space="preserve">- при изменении реквизитов счета Исполнителя, на который осуществляется перечисление денежных средств в качестве оплаты </w:t>
      </w:r>
      <w:r>
        <w:rPr>
          <w:color w:val="000000"/>
        </w:rPr>
        <w:t>выполненной работы</w:t>
      </w:r>
      <w:r>
        <w:rPr>
          <w:color w:val="000000"/>
        </w:rPr>
        <w:t xml:space="preserve"> без изменения иных существенных условий контракта.</w:t>
      </w:r>
    </w:p>
    <w:p>
      <w:pPr>
        <w:pStyle w:val="Normal"/>
        <w:ind w:firstLine="709"/>
        <w:jc w:val="both"/>
        <w:rPr/>
      </w:pPr>
      <w:r>
        <w:rPr/>
        <w:t>12.4.</w:t>
      </w:r>
      <w:r>
        <w:rPr>
          <w:b/>
        </w:rPr>
        <w:t xml:space="preserve"> </w:t>
      </w:r>
      <w:r>
        <w:rPr/>
        <w:t xml:space="preserve">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pPr>
        <w:pStyle w:val="Normal"/>
        <w:shd w:val="clear" w:color="auto" w:fill="FFFFFF"/>
        <w:tabs>
          <w:tab w:val="clear" w:pos="708"/>
          <w:tab w:val="left" w:pos="1152" w:leader="none"/>
        </w:tabs>
        <w:ind w:firstLine="567"/>
        <w:jc w:val="center"/>
        <w:rPr>
          <w:b/>
          <w:spacing w:val="-5"/>
        </w:rPr>
      </w:pPr>
      <w:r>
        <w:rPr>
          <w:b/>
          <w:spacing w:val="-5"/>
        </w:rPr>
      </w:r>
    </w:p>
    <w:p>
      <w:pPr>
        <w:pStyle w:val="Normal"/>
        <w:shd w:val="clear" w:color="auto" w:fill="FFFFFF"/>
        <w:tabs>
          <w:tab w:val="clear" w:pos="708"/>
          <w:tab w:val="left" w:pos="142" w:leader="none"/>
          <w:tab w:val="left" w:pos="426" w:leader="none"/>
          <w:tab w:val="left" w:pos="1152" w:leader="none"/>
        </w:tabs>
        <w:jc w:val="center"/>
        <w:rPr>
          <w:b/>
          <w:bCs/>
        </w:rPr>
      </w:pPr>
      <w:r>
        <w:rPr>
          <w:b/>
          <w:bCs/>
        </w:rPr>
        <w:t>13. ПОРЯДОК УРЕГУЛИРОВАНИЯ СПОРОВ</w:t>
      </w:r>
    </w:p>
    <w:p>
      <w:pPr>
        <w:pStyle w:val="Normal"/>
        <w:numPr>
          <w:ilvl w:val="0"/>
          <w:numId w:val="0"/>
        </w:numPr>
        <w:tabs>
          <w:tab w:val="clear" w:pos="708"/>
          <w:tab w:val="left" w:pos="709" w:leader="none"/>
        </w:tabs>
        <w:ind w:firstLine="709"/>
        <w:jc w:val="both"/>
        <w:outlineLvl w:val="1"/>
        <w:rPr/>
      </w:pPr>
      <w:r>
        <w:rPr/>
        <w:t>13.1.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pPr>
        <w:pStyle w:val="Normal"/>
        <w:numPr>
          <w:ilvl w:val="0"/>
          <w:numId w:val="0"/>
        </w:numPr>
        <w:tabs>
          <w:tab w:val="clear" w:pos="708"/>
          <w:tab w:val="left" w:pos="709" w:leader="none"/>
        </w:tabs>
        <w:ind w:firstLine="709"/>
        <w:jc w:val="both"/>
        <w:outlineLvl w:val="1"/>
        <w:rPr>
          <w:b/>
        </w:rPr>
      </w:pPr>
      <w:r>
        <w:rPr/>
        <w:t>13.2.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Pr>
          <w:b/>
        </w:rPr>
        <w:t xml:space="preserve"> </w:t>
      </w:r>
    </w:p>
    <w:p>
      <w:pPr>
        <w:pStyle w:val="Normal"/>
        <w:numPr>
          <w:ilvl w:val="0"/>
          <w:numId w:val="0"/>
        </w:numPr>
        <w:tabs>
          <w:tab w:val="clear" w:pos="708"/>
          <w:tab w:val="left" w:pos="709" w:leader="none"/>
        </w:tabs>
        <w:ind w:firstLine="709"/>
        <w:jc w:val="both"/>
        <w:outlineLvl w:val="1"/>
        <w:rPr>
          <w:spacing w:val="-8"/>
        </w:rPr>
      </w:pPr>
      <w:r>
        <w:rPr>
          <w:spacing w:val="-8"/>
        </w:rPr>
      </w:r>
    </w:p>
    <w:p>
      <w:pPr>
        <w:pStyle w:val="Normal"/>
        <w:shd w:val="clear" w:color="auto" w:fill="FFFFFF"/>
        <w:tabs>
          <w:tab w:val="clear" w:pos="708"/>
          <w:tab w:val="left" w:pos="142" w:leader="none"/>
          <w:tab w:val="left" w:pos="426" w:leader="none"/>
        </w:tabs>
        <w:jc w:val="center"/>
        <w:rPr>
          <w:b/>
          <w:bCs/>
          <w:spacing w:val="-6"/>
        </w:rPr>
      </w:pPr>
      <w:r>
        <w:rPr>
          <w:b/>
          <w:bCs/>
          <w:spacing w:val="-6"/>
        </w:rPr>
        <w:t xml:space="preserve">14. ПОРЯДОК </w:t>
      </w:r>
      <w:r>
        <w:rPr>
          <w:b/>
          <w:bCs/>
        </w:rPr>
        <w:t>РАСТОРЖЕНИЯ</w:t>
      </w:r>
      <w:r>
        <w:rPr>
          <w:b/>
          <w:bCs/>
          <w:spacing w:val="-6"/>
        </w:rPr>
        <w:t xml:space="preserve"> КОНТРАКТА</w:t>
      </w:r>
    </w:p>
    <w:p>
      <w:pPr>
        <w:pStyle w:val="Normal"/>
        <w:tabs>
          <w:tab w:val="clear" w:pos="708"/>
          <w:tab w:val="left" w:pos="709" w:leader="none"/>
        </w:tabs>
        <w:ind w:firstLine="709"/>
        <w:jc w:val="both"/>
        <w:rPr/>
      </w:pPr>
      <w:r>
        <w:rPr/>
        <w:t>14.1. Настоящий контракт может быть расторгнут:</w:t>
      </w:r>
    </w:p>
    <w:p>
      <w:pPr>
        <w:pStyle w:val="Normal"/>
        <w:tabs>
          <w:tab w:val="clear" w:pos="708"/>
          <w:tab w:val="left" w:pos="709" w:leader="none"/>
        </w:tabs>
        <w:ind w:firstLine="709"/>
        <w:jc w:val="both"/>
        <w:rPr/>
      </w:pPr>
      <w:r>
        <w:rPr/>
        <w:t>- по соглашению Сторон;</w:t>
      </w:r>
    </w:p>
    <w:p>
      <w:pPr>
        <w:pStyle w:val="Normal"/>
        <w:tabs>
          <w:tab w:val="clear" w:pos="708"/>
          <w:tab w:val="left" w:pos="709" w:leader="none"/>
        </w:tabs>
        <w:ind w:firstLine="709"/>
        <w:jc w:val="both"/>
        <w:rPr/>
      </w:pPr>
      <w:r>
        <w:rPr/>
        <w:t>- в судебном порядке;</w:t>
      </w:r>
    </w:p>
    <w:p>
      <w:pPr>
        <w:pStyle w:val="Normal"/>
        <w:tabs>
          <w:tab w:val="clear" w:pos="708"/>
          <w:tab w:val="left" w:pos="709" w:leader="none"/>
        </w:tabs>
        <w:ind w:firstLine="709"/>
        <w:jc w:val="both"/>
        <w:rPr/>
      </w:pPr>
      <w:r>
        <w:rPr/>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tabs>
          <w:tab w:val="clear" w:pos="708"/>
          <w:tab w:val="left" w:pos="709" w:leader="none"/>
        </w:tabs>
        <w:ind w:firstLine="709"/>
        <w:jc w:val="both"/>
        <w:rPr/>
      </w:pPr>
      <w:r>
        <w:rPr/>
        <w:t>14.2. Заказчик вправе принять решение об одностороннем отказе от исполнения контракта в случаях, предусмотренных действующим законодательством.</w:t>
      </w:r>
    </w:p>
    <w:p>
      <w:pPr>
        <w:pStyle w:val="Normal"/>
        <w:tabs>
          <w:tab w:val="clear" w:pos="708"/>
          <w:tab w:val="left" w:pos="709" w:leader="none"/>
        </w:tabs>
        <w:ind w:firstLine="709"/>
        <w:jc w:val="both"/>
        <w:rPr/>
      </w:pPr>
      <w:r>
        <w:rPr/>
        <w:t>14.3. Заказчик обязан принять решение об одностороннем отказе от исполнения контракта в случае, если Подрядчик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Подрядчика (исполнителя).</w:t>
      </w:r>
    </w:p>
    <w:p>
      <w:pPr>
        <w:pStyle w:val="Normal"/>
        <w:tabs>
          <w:tab w:val="clear" w:pos="708"/>
          <w:tab w:val="left" w:pos="709" w:leader="none"/>
        </w:tabs>
        <w:ind w:firstLine="709"/>
        <w:jc w:val="both"/>
        <w:rPr/>
      </w:pPr>
      <w:r>
        <w:rPr/>
        <w:t>14.4.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pPr>
        <w:pStyle w:val="Normal"/>
        <w:tabs>
          <w:tab w:val="clear" w:pos="708"/>
          <w:tab w:val="left" w:pos="709" w:leader="none"/>
        </w:tabs>
        <w:ind w:firstLine="709"/>
        <w:jc w:val="both"/>
        <w:rPr/>
      </w:pPr>
      <w:r>
        <w:rPr/>
        <w:t>14.5. Расторжение контракта по соглашению сторон производится Сторонами путем подписания соответствующего соглашения о расторжении.</w:t>
      </w:r>
    </w:p>
    <w:p>
      <w:pPr>
        <w:pStyle w:val="Normal"/>
        <w:ind w:firstLine="708"/>
        <w:jc w:val="both"/>
        <w:rPr/>
      </w:pPr>
      <w:r>
        <w:rPr/>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Работ, фактически выполненных Подрядчиком (исполнителем) Заказчику.</w:t>
      </w:r>
    </w:p>
    <w:p>
      <w:pPr>
        <w:pStyle w:val="Normal"/>
        <w:tabs>
          <w:tab w:val="clear" w:pos="708"/>
          <w:tab w:val="left" w:pos="709" w:leader="none"/>
        </w:tabs>
        <w:ind w:firstLine="709"/>
        <w:jc w:val="both"/>
        <w:rPr/>
      </w:pPr>
      <w:r>
        <w:rPr/>
        <w:t xml:space="preserve">14.6.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pPr>
        <w:pStyle w:val="Normal"/>
        <w:tabs>
          <w:tab w:val="clear" w:pos="708"/>
          <w:tab w:val="left" w:pos="709" w:leader="none"/>
        </w:tabs>
        <w:ind w:firstLine="709"/>
        <w:jc w:val="both"/>
        <w:rPr/>
      </w:pPr>
      <w:r>
        <w:rPr/>
      </w:r>
    </w:p>
    <w:p>
      <w:pPr>
        <w:pStyle w:val="Normal"/>
        <w:shd w:val="clear" w:color="auto" w:fill="FFFFFF"/>
        <w:tabs>
          <w:tab w:val="clear" w:pos="708"/>
          <w:tab w:val="left" w:pos="284" w:leader="none"/>
          <w:tab w:val="left" w:pos="426" w:leader="none"/>
          <w:tab w:val="left" w:pos="1147" w:leader="none"/>
        </w:tabs>
        <w:jc w:val="center"/>
        <w:rPr>
          <w:b/>
          <w:bCs/>
          <w:spacing w:val="-5"/>
        </w:rPr>
      </w:pPr>
      <w:r>
        <w:rPr>
          <w:b/>
          <w:bCs/>
          <w:spacing w:val="-13"/>
        </w:rPr>
        <w:t>15</w:t>
      </w:r>
      <w:r>
        <w:rPr>
          <w:b/>
          <w:bCs/>
          <w:spacing w:val="-5"/>
        </w:rPr>
        <w:t xml:space="preserve">. </w:t>
      </w:r>
      <w:r>
        <w:rPr>
          <w:b/>
          <w:bCs/>
        </w:rPr>
        <w:t>ПРОЧИЕ</w:t>
      </w:r>
      <w:r>
        <w:rPr>
          <w:b/>
          <w:bCs/>
          <w:spacing w:val="-5"/>
        </w:rPr>
        <w:t xml:space="preserve"> УСЛОВИЯ</w:t>
      </w:r>
    </w:p>
    <w:p>
      <w:pPr>
        <w:pStyle w:val="Normal"/>
        <w:tabs>
          <w:tab w:val="clear" w:pos="708"/>
          <w:tab w:val="left" w:pos="709" w:leader="none"/>
        </w:tabs>
        <w:ind w:firstLine="709"/>
        <w:jc w:val="both"/>
        <w:rPr/>
      </w:pPr>
      <w:r>
        <w:rPr/>
        <w:t>15.1. Контракт составлен в форме электронного документа, подписанного усиленными электронными подписями Сторон.</w:t>
      </w:r>
    </w:p>
    <w:p>
      <w:pPr>
        <w:pStyle w:val="Normal"/>
        <w:tabs>
          <w:tab w:val="clear" w:pos="708"/>
          <w:tab w:val="left" w:pos="709" w:leader="none"/>
        </w:tabs>
        <w:ind w:firstLine="709"/>
        <w:jc w:val="both"/>
        <w:rPr/>
      </w:pPr>
      <w:r>
        <w:rPr/>
        <w:t>15.2. Все Приложения к контракту являются его неотъемлемыми частями.</w:t>
      </w:r>
    </w:p>
    <w:p>
      <w:pPr>
        <w:pStyle w:val="Normal"/>
        <w:tabs>
          <w:tab w:val="clear" w:pos="708"/>
          <w:tab w:val="left" w:pos="709" w:leader="none"/>
        </w:tabs>
        <w:ind w:firstLine="709"/>
        <w:jc w:val="both"/>
        <w:rPr/>
      </w:pPr>
      <w:r>
        <w:rPr/>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pPr>
        <w:pStyle w:val="Normal"/>
        <w:tabs>
          <w:tab w:val="clear" w:pos="708"/>
          <w:tab w:val="left" w:pos="709" w:leader="none"/>
        </w:tabs>
        <w:ind w:firstLine="709"/>
        <w:jc w:val="both"/>
        <w:rPr/>
      </w:pPr>
      <w:r>
        <w:rPr/>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Pr>
          <w:rFonts w:ascii="Segoe UI Symbol" w:hAnsi="Segoe UI Symbol"/>
        </w:rPr>
        <w:t>№</w:t>
      </w:r>
      <w:r>
        <w:rPr/>
        <w:t xml:space="preserve"> 44-ФЗ.</w:t>
      </w:r>
    </w:p>
    <w:p>
      <w:pPr>
        <w:pStyle w:val="Normal"/>
        <w:tabs>
          <w:tab w:val="clear" w:pos="708"/>
          <w:tab w:val="left" w:pos="709" w:leader="none"/>
        </w:tabs>
        <w:ind w:firstLine="709"/>
        <w:jc w:val="both"/>
        <w:rPr/>
      </w:pPr>
      <w:r>
        <w:rPr/>
        <w:t>15.5. Во всем, что не предусмотрено настоящим контрактом, Стороны руководствуются действующим законодательством Российской Федерации.</w:t>
      </w:r>
    </w:p>
    <w:p>
      <w:pPr>
        <w:pStyle w:val="Normal"/>
        <w:tabs>
          <w:tab w:val="clear" w:pos="708"/>
          <w:tab w:val="left" w:pos="709" w:leader="none"/>
        </w:tabs>
        <w:jc w:val="both"/>
        <w:rPr>
          <w:rFonts w:eastAsia="Calibri"/>
        </w:rPr>
      </w:pPr>
      <w:r>
        <w:rPr>
          <w:rFonts w:eastAsia="Calibri"/>
        </w:rPr>
      </w:r>
    </w:p>
    <w:p>
      <w:pPr>
        <w:pStyle w:val="Normal"/>
        <w:tabs>
          <w:tab w:val="clear" w:pos="708"/>
          <w:tab w:val="left" w:pos="709" w:leader="none"/>
        </w:tabs>
        <w:rPr>
          <w:b/>
        </w:rPr>
      </w:pPr>
      <w:r>
        <w:rPr>
          <w:b/>
        </w:rPr>
      </w:r>
    </w:p>
    <w:p>
      <w:pPr>
        <w:pStyle w:val="ConsPlusNormal1"/>
        <w:numPr>
          <w:ilvl w:val="0"/>
          <w:numId w:val="0"/>
        </w:numPr>
        <w:ind w:firstLine="720"/>
        <w:jc w:val="center"/>
        <w:outlineLvl w:val="1"/>
        <w:rPr>
          <w:rFonts w:ascii="Times New Roman" w:hAnsi="Times New Roman" w:cs="Times New Roman"/>
          <w:b/>
          <w:sz w:val="24"/>
          <w:szCs w:val="24"/>
        </w:rPr>
      </w:pPr>
      <w:r>
        <w:rPr>
          <w:rFonts w:cs="Times New Roman" w:ascii="Times New Roman" w:hAnsi="Times New Roman"/>
          <w:b/>
          <w:sz w:val="24"/>
          <w:szCs w:val="24"/>
        </w:rPr>
        <w:t>16. АНТИКОРРУПЦИОННАЯ ОГОВОРКА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16.1.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16.3.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16.4.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tabs>
          <w:tab w:val="clear" w:pos="708"/>
          <w:tab w:val="left" w:pos="709" w:leader="none"/>
        </w:tabs>
        <w:ind w:firstLine="709"/>
        <w:jc w:val="both"/>
        <w:rPr/>
      </w:pPr>
      <w:r>
        <w:rPr/>
        <w:t>16.5.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Normal"/>
        <w:tabs>
          <w:tab w:val="clear" w:pos="708"/>
          <w:tab w:val="left" w:pos="709" w:leader="none"/>
        </w:tabs>
        <w:rPr/>
      </w:pPr>
      <w:r>
        <w:rPr/>
        <w:t>16.6.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pPr>
        <w:pStyle w:val="Normal"/>
        <w:tabs>
          <w:tab w:val="clear" w:pos="708"/>
          <w:tab w:val="left" w:pos="709" w:leader="none"/>
        </w:tabs>
        <w:rPr>
          <w:b/>
        </w:rPr>
      </w:pPr>
      <w:r>
        <w:rPr>
          <w:b/>
        </w:rPr>
      </w:r>
    </w:p>
    <w:p>
      <w:pPr>
        <w:pStyle w:val="Normal"/>
        <w:tabs>
          <w:tab w:val="clear" w:pos="708"/>
          <w:tab w:val="left" w:pos="709" w:leader="none"/>
        </w:tabs>
        <w:jc w:val="center"/>
        <w:rPr>
          <w:b/>
        </w:rPr>
      </w:pPr>
      <w:r>
        <w:rPr>
          <w:b/>
        </w:rPr>
        <w:t>17. ПРИЛОЖЕНИЯ К КОНТРАКТУ</w:t>
      </w:r>
    </w:p>
    <w:p>
      <w:pPr>
        <w:pStyle w:val="Normal"/>
        <w:tabs>
          <w:tab w:val="clear" w:pos="708"/>
          <w:tab w:val="left" w:pos="709" w:leader="none"/>
        </w:tabs>
        <w:ind w:firstLine="709"/>
        <w:rPr/>
      </w:pPr>
      <w:r>
        <w:rPr/>
        <w:t xml:space="preserve">17.1. Приложение 1. Техническая часть – на ___ л.  </w:t>
      </w:r>
    </w:p>
    <w:p>
      <w:pPr>
        <w:pStyle w:val="Normal"/>
        <w:tabs>
          <w:tab w:val="clear" w:pos="708"/>
          <w:tab w:val="left" w:pos="709" w:leader="none"/>
        </w:tabs>
        <w:ind w:firstLine="709"/>
        <w:jc w:val="both"/>
        <w:rPr>
          <w:bCs/>
        </w:rPr>
      </w:pPr>
      <w:r>
        <w:rPr/>
        <w:t xml:space="preserve">17.2. Приложение 2. Спецификация – на ___ л.  </w:t>
      </w:r>
    </w:p>
    <w:p>
      <w:pPr>
        <w:pStyle w:val="Normal"/>
        <w:tabs>
          <w:tab w:val="clear" w:pos="708"/>
          <w:tab w:val="left" w:pos="709" w:leader="none"/>
        </w:tabs>
        <w:ind w:firstLine="709"/>
        <w:jc w:val="both"/>
        <w:rPr/>
      </w:pPr>
      <w:r>
        <w:rPr/>
      </w:r>
    </w:p>
    <w:p>
      <w:pPr>
        <w:pStyle w:val="TextNormal"/>
        <w:tabs>
          <w:tab w:val="left" w:pos="-2977" w:leader="none"/>
          <w:tab w:val="left" w:pos="0" w:leader="none"/>
        </w:tabs>
        <w:spacing w:before="0" w:after="0"/>
        <w:ind w:hanging="0" w:left="0" w:right="0"/>
        <w:jc w:val="center"/>
        <w:rPr>
          <w:rFonts w:ascii="Times New Roman" w:hAnsi="Times New Roman" w:cs="Times New Roman"/>
          <w:b/>
          <w:bCs/>
          <w:sz w:val="24"/>
          <w:szCs w:val="24"/>
        </w:rPr>
      </w:pPr>
      <w:r>
        <w:rPr>
          <w:rFonts w:cs="Times New Roman" w:ascii="Times New Roman" w:hAnsi="Times New Roman"/>
          <w:b/>
          <w:bCs/>
          <w:sz w:val="24"/>
          <w:szCs w:val="24"/>
        </w:rPr>
        <w:t>18. МЕСТОНАХОЖДЕНИЕ И БАНКОВСКИЕ РЕКВИЗИТЫ СТОРОН</w:t>
      </w:r>
      <w:r>
        <w:rPr>
          <w:rStyle w:val="FootnoteReference"/>
          <w:color w:themeColor="background1" w:val="FFFFFF"/>
        </w:rPr>
        <w:footnoteReference w:id="9"/>
      </w:r>
      <w:r>
        <w:rPr>
          <w:rStyle w:val="FootnoteReference"/>
          <w:color w:themeColor="background1" w:val="FFFFFF"/>
        </w:rPr>
        <w:footnoteReference w:id="10"/>
      </w:r>
      <w:r>
        <w:rPr>
          <w:rStyle w:val="FootnoteReference"/>
          <w:color w:themeColor="background1" w:val="FFFFFF"/>
        </w:rPr>
        <w:footnoteReference w:id="11"/>
      </w:r>
      <w:r>
        <w:rPr>
          <w:rStyle w:val="FootnoteReference"/>
          <w:color w:themeColor="background1" w:val="FFFFFF"/>
        </w:rPr>
        <w:footnoteReference w:id="12"/>
      </w:r>
    </w:p>
    <w:p>
      <w:pPr>
        <w:pStyle w:val="Normal"/>
        <w:tabs>
          <w:tab w:val="clear" w:pos="708"/>
          <w:tab w:val="left" w:pos="709" w:leader="none"/>
        </w:tabs>
        <w:ind w:firstLine="709"/>
        <w:jc w:val="both"/>
        <w:rPr/>
      </w:pPr>
      <w:r>
        <w:rPr/>
      </w:r>
    </w:p>
    <w:tbl>
      <w:tblPr>
        <w:tblW w:w="5000" w:type="pct"/>
        <w:jc w:val="left"/>
        <w:tblInd w:w="0" w:type="dxa"/>
        <w:tblLayout w:type="fixed"/>
        <w:tblCellMar>
          <w:top w:w="0" w:type="dxa"/>
          <w:left w:w="108" w:type="dxa"/>
          <w:bottom w:w="0" w:type="dxa"/>
          <w:right w:w="108" w:type="dxa"/>
        </w:tblCellMar>
        <w:tblLook w:val="01e0"/>
      </w:tblPr>
      <w:tblGrid>
        <w:gridCol w:w="5232"/>
        <w:gridCol w:w="5233"/>
      </w:tblGrid>
      <w:tr>
        <w:trPr>
          <w:trHeight w:val="87" w:hRule="atLeast"/>
        </w:trPr>
        <w:tc>
          <w:tcPr>
            <w:tcW w:w="5232" w:type="dxa"/>
            <w:tcBorders/>
          </w:tcPr>
          <w:p>
            <w:pPr>
              <w:pStyle w:val="Normal"/>
              <w:widowControl w:val="false"/>
              <w:spacing w:lineRule="exact" w:line="240"/>
              <w:rPr>
                <w:bCs/>
              </w:rPr>
            </w:pPr>
            <w:r>
              <w:rPr/>
              <w:t>З</w:t>
            </w:r>
            <w:r>
              <w:rPr>
                <w:bCs/>
                <w:iCs/>
              </w:rPr>
              <w:t>аказчик:</w:t>
            </w:r>
          </w:p>
        </w:tc>
        <w:tc>
          <w:tcPr>
            <w:tcW w:w="5233" w:type="dxa"/>
            <w:tcBorders/>
          </w:tcPr>
          <w:p>
            <w:pPr>
              <w:pStyle w:val="Normal"/>
              <w:widowControl w:val="false"/>
              <w:spacing w:lineRule="exact" w:line="240"/>
              <w:ind w:left="-108"/>
              <w:rPr>
                <w:bCs/>
                <w:iCs/>
              </w:rPr>
            </w:pPr>
            <w:r>
              <w:rPr>
                <w:bCs/>
                <w:iCs/>
              </w:rPr>
              <w:t>Подрядчик (исполнитель):</w:t>
            </w:r>
          </w:p>
          <w:p>
            <w:pPr>
              <w:pStyle w:val="Normal"/>
              <w:rPr>
                <w:b/>
                <w:bCs/>
              </w:rPr>
            </w:pPr>
            <w:r>
              <w:rPr>
                <w:b/>
                <w:bCs/>
              </w:rPr>
              <w:t>в том числе указываются:</w:t>
            </w:r>
          </w:p>
          <w:p>
            <w:pPr>
              <w:pStyle w:val="Normal"/>
              <w:widowControl w:val="false"/>
              <w:rPr>
                <w:vertAlign w:val="superscript"/>
              </w:rPr>
            </w:pPr>
            <w:r>
              <w:rPr/>
              <w:t>Сведения о Подрядчике (исполнителе)</w:t>
            </w:r>
            <w:r>
              <w:rPr>
                <w:vertAlign w:val="superscript"/>
              </w:rPr>
              <w:t>8</w:t>
            </w:r>
          </w:p>
          <w:p>
            <w:pPr>
              <w:pStyle w:val="Normal"/>
              <w:widowControl w:val="false"/>
              <w:rPr>
                <w:vertAlign w:val="superscript"/>
              </w:rPr>
            </w:pPr>
            <w:r>
              <w:rPr/>
              <w:t>Адрес</w:t>
            </w:r>
            <w:r>
              <w:rPr>
                <w:vertAlign w:val="superscript"/>
              </w:rPr>
              <w:t>9</w:t>
            </w:r>
          </w:p>
          <w:p>
            <w:pPr>
              <w:pStyle w:val="Normal"/>
              <w:widowControl w:val="false"/>
              <w:tabs>
                <w:tab w:val="clear" w:pos="708"/>
                <w:tab w:val="left" w:pos="1125" w:leader="none"/>
              </w:tabs>
              <w:rPr/>
            </w:pPr>
            <w:r>
              <w:rPr/>
              <w:t>ИНН</w:t>
            </w:r>
            <w:r>
              <w:rPr>
                <w:vertAlign w:val="superscript"/>
              </w:rPr>
              <w:t>10</w:t>
            </w:r>
          </w:p>
          <w:p>
            <w:pPr>
              <w:pStyle w:val="Normal"/>
              <w:widowControl w:val="false"/>
              <w:rPr>
                <w:vertAlign w:val="superscript"/>
              </w:rPr>
            </w:pPr>
            <w:r>
              <w:rPr/>
              <w:t>Реквизиты</w:t>
            </w:r>
            <w:r>
              <w:rPr>
                <w:vertAlign w:val="superscript"/>
              </w:rPr>
              <w:t>11</w:t>
            </w:r>
          </w:p>
          <w:p>
            <w:pPr>
              <w:pStyle w:val="Normal"/>
              <w:widowControl w:val="false"/>
              <w:rPr>
                <w:rFonts w:eastAsia="Calibri" w:eastAsiaTheme="minorHAnsi"/>
                <w:sz w:val="20"/>
                <w:szCs w:val="20"/>
                <w:lang w:eastAsia="en-US"/>
              </w:rPr>
            </w:pPr>
            <w:r>
              <w:rPr>
                <w:rFonts w:eastAsia="Calibri" w:eastAsiaTheme="minorHAnsi"/>
                <w:sz w:val="20"/>
                <w:szCs w:val="20"/>
                <w:lang w:eastAsia="en-US"/>
              </w:rPr>
              <w:t>Адрес электронной почты</w:t>
            </w:r>
          </w:p>
          <w:p>
            <w:pPr>
              <w:pStyle w:val="Normal"/>
              <w:widowControl w:val="false"/>
              <w:spacing w:lineRule="exact" w:line="240"/>
              <w:rPr>
                <w:b/>
                <w:bCs/>
              </w:rPr>
            </w:pPr>
            <w:r>
              <w:rPr>
                <w:rFonts w:eastAsia="Calibri" w:eastAsiaTheme="minorHAnsi"/>
                <w:sz w:val="20"/>
                <w:szCs w:val="20"/>
                <w:lang w:eastAsia="en-US"/>
              </w:rPr>
              <w:t>Номер контактного телефона</w:t>
            </w:r>
          </w:p>
        </w:tc>
      </w:tr>
      <w:tr>
        <w:trPr>
          <w:trHeight w:val="980" w:hRule="atLeast"/>
        </w:trPr>
        <w:tc>
          <w:tcPr>
            <w:tcW w:w="5232" w:type="dxa"/>
            <w:tcBorders/>
          </w:tcPr>
          <w:p>
            <w:pPr>
              <w:pStyle w:val="Normal"/>
              <w:tabs>
                <w:tab w:val="clear" w:pos="708"/>
                <w:tab w:val="left" w:pos="6120" w:leader="none"/>
              </w:tabs>
              <w:ind w:right="-4"/>
              <w:rPr>
                <w:bCs/>
              </w:rPr>
            </w:pPr>
            <w:r>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pPr>
              <w:pStyle w:val="Normal"/>
              <w:tabs>
                <w:tab w:val="clear" w:pos="708"/>
                <w:tab w:val="left" w:pos="6120" w:leader="none"/>
              </w:tabs>
              <w:ind w:right="-4"/>
              <w:rPr>
                <w:bCs/>
              </w:rPr>
            </w:pPr>
            <w:r>
              <w:rPr>
                <w:bCs/>
              </w:rPr>
            </w:r>
          </w:p>
          <w:p>
            <w:pPr>
              <w:pStyle w:val="Normal"/>
              <w:tabs>
                <w:tab w:val="clear" w:pos="708"/>
                <w:tab w:val="left" w:pos="6120" w:leader="none"/>
              </w:tabs>
              <w:ind w:right="-4"/>
              <w:rPr>
                <w:bCs/>
              </w:rPr>
            </w:pPr>
            <w:r>
              <w:rPr>
                <w:lang w:eastAsia="en-US"/>
              </w:rPr>
              <w:t>«___» ______________ 20_ г.</w:t>
            </w:r>
          </w:p>
        </w:tc>
        <w:tc>
          <w:tcPr>
            <w:tcW w:w="5233" w:type="dxa"/>
            <w:tcBorders/>
          </w:tcPr>
          <w:p>
            <w:pPr>
              <w:pStyle w:val="Normal"/>
              <w:widowControl w:val="false"/>
              <w:spacing w:lineRule="exact" w:line="240"/>
              <w:rPr/>
            </w:pPr>
            <w:r>
              <w:rPr/>
            </w:r>
          </w:p>
          <w:p>
            <w:pPr>
              <w:pStyle w:val="Normal"/>
              <w:widowControl w:val="false"/>
              <w:spacing w:lineRule="exact" w:line="240"/>
              <w:rPr/>
            </w:pPr>
            <w:r>
              <w:rPr/>
            </w:r>
          </w:p>
          <w:p>
            <w:pPr>
              <w:pStyle w:val="Normal"/>
              <w:widowControl w:val="false"/>
              <w:spacing w:lineRule="exact" w:line="240"/>
              <w:rPr/>
            </w:pPr>
            <w:r>
              <w:rPr/>
            </w:r>
          </w:p>
          <w:p>
            <w:pPr>
              <w:pStyle w:val="Normal"/>
              <w:widowControl w:val="false"/>
              <w:spacing w:lineRule="exact" w:line="240"/>
              <w:rPr/>
            </w:pPr>
            <w:r>
              <w:rPr/>
            </w:r>
          </w:p>
          <w:p>
            <w:pPr>
              <w:pStyle w:val="Normal"/>
              <w:widowControl w:val="false"/>
              <w:spacing w:lineRule="exact" w:line="240"/>
              <w:rPr/>
            </w:pPr>
            <w:r>
              <w:rPr/>
            </w:r>
          </w:p>
          <w:p>
            <w:pPr>
              <w:pStyle w:val="Normal"/>
              <w:widowControl w:val="false"/>
              <w:spacing w:lineRule="exact" w:line="240"/>
              <w:rPr/>
            </w:pPr>
            <w:r>
              <w:rPr/>
            </w:r>
          </w:p>
          <w:p>
            <w:pPr>
              <w:pStyle w:val="Normal"/>
              <w:widowControl w:val="false"/>
              <w:spacing w:lineRule="exact" w:line="240"/>
              <w:rPr/>
            </w:pPr>
            <w:r>
              <w:rPr>
                <w:lang w:eastAsia="en-US"/>
              </w:rPr>
              <w:t>«___» ______________ 20_ г.</w:t>
            </w:r>
          </w:p>
        </w:tc>
      </w:tr>
      <w:tr>
        <w:trPr>
          <w:trHeight w:val="87" w:hRule="atLeast"/>
        </w:trPr>
        <w:tc>
          <w:tcPr>
            <w:tcW w:w="5232" w:type="dxa"/>
            <w:tcBorders/>
          </w:tcPr>
          <w:p>
            <w:pPr>
              <w:pStyle w:val="Normal"/>
              <w:tabs>
                <w:tab w:val="clear" w:pos="708"/>
                <w:tab w:val="left" w:pos="6120" w:leader="none"/>
              </w:tabs>
              <w:ind w:right="-4"/>
              <w:rPr/>
            </w:pPr>
            <w:r>
              <w:rPr/>
              <w:t>________________</w:t>
            </w:r>
          </w:p>
          <w:p>
            <w:pPr>
              <w:pStyle w:val="Normal"/>
              <w:tabs>
                <w:tab w:val="clear" w:pos="708"/>
                <w:tab w:val="left" w:pos="6120" w:leader="none"/>
              </w:tabs>
              <w:ind w:right="-4"/>
              <w:rPr/>
            </w:pPr>
            <w:r>
              <w:rPr>
                <w:iCs/>
              </w:rPr>
              <w:t>М.П.</w:t>
            </w:r>
            <w:r>
              <w:rPr>
                <w:b/>
              </w:rPr>
              <w:t xml:space="preserve">       </w:t>
            </w:r>
            <w:r>
              <w:rPr/>
              <w:t>(подпись)</w:t>
            </w:r>
          </w:p>
        </w:tc>
        <w:tc>
          <w:tcPr>
            <w:tcW w:w="5233" w:type="dxa"/>
            <w:tcBorders/>
          </w:tcPr>
          <w:p>
            <w:pPr>
              <w:pStyle w:val="Normal"/>
              <w:tabs>
                <w:tab w:val="clear" w:pos="708"/>
                <w:tab w:val="left" w:pos="6120" w:leader="none"/>
              </w:tabs>
              <w:ind w:right="-4"/>
              <w:rPr/>
            </w:pPr>
            <w:r>
              <w:rPr/>
              <w:t>________________</w:t>
            </w:r>
          </w:p>
          <w:p>
            <w:pPr>
              <w:pStyle w:val="Normal"/>
              <w:widowControl w:val="false"/>
              <w:spacing w:lineRule="exact" w:line="240"/>
              <w:rPr/>
            </w:pPr>
            <w:r>
              <w:rPr>
                <w:iCs/>
              </w:rPr>
              <w:t>М.П.</w:t>
            </w:r>
            <w:r>
              <w:rPr>
                <w:b/>
              </w:rPr>
              <w:t xml:space="preserve">       </w:t>
            </w:r>
            <w:r>
              <w:rPr/>
              <w:t>(подпись)</w:t>
            </w:r>
          </w:p>
        </w:tc>
      </w:tr>
    </w:tbl>
    <w:p>
      <w:pPr>
        <w:pStyle w:val="Normal"/>
        <w:tabs>
          <w:tab w:val="clear" w:pos="708"/>
          <w:tab w:val="left" w:pos="709" w:leader="none"/>
        </w:tabs>
        <w:jc w:val="both"/>
        <w:rPr>
          <w:rFonts w:eastAsia="Calibri"/>
        </w:rPr>
      </w:pPr>
      <w:r>
        <w:rPr>
          <w:rFonts w:eastAsia="Calibri"/>
        </w:rPr>
        <w:t xml:space="preserve"> </w:t>
      </w:r>
    </w:p>
    <w:p>
      <w:pPr>
        <w:pStyle w:val="Normal"/>
        <w:tabs>
          <w:tab w:val="clear" w:pos="708"/>
          <w:tab w:val="left" w:pos="709" w:leader="none"/>
        </w:tabs>
        <w:jc w:val="both"/>
        <w:rPr>
          <w:bCs/>
        </w:rPr>
      </w:pPr>
      <w:r>
        <w:rPr>
          <w:bCs/>
        </w:rPr>
      </w:r>
    </w:p>
    <w:p>
      <w:pPr>
        <w:pStyle w:val="Normal"/>
        <w:rPr/>
      </w:pPr>
      <w:r>
        <w:rPr/>
      </w:r>
    </w:p>
    <w:p>
      <w:pPr>
        <w:pStyle w:val="Normal"/>
        <w:rPr/>
      </w:pPr>
      <w:r>
        <w:rPr/>
      </w:r>
    </w:p>
    <w:p>
      <w:pPr>
        <w:pStyle w:val="Normal"/>
        <w:tabs>
          <w:tab w:val="clear" w:pos="708"/>
          <w:tab w:val="left" w:pos="709" w:leader="none"/>
        </w:tabs>
        <w:jc w:val="both"/>
        <w:rPr>
          <w:bCs/>
        </w:rPr>
      </w:pPr>
      <w:r>
        <w:rPr>
          <w:bCs/>
        </w:rPr>
      </w:r>
    </w:p>
    <w:p>
      <w:pPr>
        <w:pStyle w:val="Normal"/>
        <w:tabs>
          <w:tab w:val="clear" w:pos="708"/>
          <w:tab w:val="left" w:pos="709" w:leader="none"/>
        </w:tabs>
        <w:jc w:val="both"/>
        <w:rPr>
          <w:bCs/>
        </w:rPr>
      </w:pPr>
      <w:r>
        <w:rPr>
          <w:bCs/>
        </w:rPr>
      </w:r>
    </w:p>
    <w:p>
      <w:pPr>
        <w:pStyle w:val="Normal"/>
        <w:tabs>
          <w:tab w:val="clear" w:pos="708"/>
          <w:tab w:val="left" w:pos="720" w:leader="none"/>
        </w:tabs>
        <w:ind w:firstLine="567"/>
        <w:jc w:val="center"/>
        <w:rPr>
          <w:b/>
        </w:rPr>
      </w:pPr>
      <w:r>
        <w:rPr>
          <w:b/>
        </w:rPr>
      </w:r>
    </w:p>
    <w:p>
      <w:pPr>
        <w:pStyle w:val="Normal"/>
        <w:jc w:val="right"/>
        <w:rPr/>
      </w:pPr>
      <w:r>
        <w:rPr/>
        <w:t>Приложение 1 к контракту</w:t>
      </w:r>
    </w:p>
    <w:p>
      <w:pPr>
        <w:pStyle w:val="Normal"/>
        <w:jc w:val="right"/>
        <w:rPr/>
      </w:pPr>
      <w:r>
        <w:rPr/>
        <w:t>от________ №_______</w:t>
      </w:r>
    </w:p>
    <w:p>
      <w:pPr>
        <w:pStyle w:val="Normal"/>
        <w:jc w:val="center"/>
        <w:rPr>
          <w:b/>
        </w:rPr>
      </w:pPr>
      <w:r>
        <w:rPr>
          <w:b/>
        </w:rPr>
      </w:r>
    </w:p>
    <w:p>
      <w:pPr>
        <w:pStyle w:val="Normal"/>
        <w:jc w:val="center"/>
        <w:rPr>
          <w:b/>
        </w:rPr>
      </w:pPr>
      <w:r>
        <w:rPr>
          <w:b/>
        </w:rPr>
        <w:t>Техническая часть</w:t>
      </w:r>
    </w:p>
    <w:p>
      <w:pPr>
        <w:pStyle w:val="Normal"/>
        <w:jc w:val="right"/>
        <w:rPr/>
      </w:pPr>
      <w:r>
        <w:rPr/>
      </w:r>
    </w:p>
    <w:p>
      <w:pPr>
        <w:pStyle w:val="Normal"/>
        <w:jc w:val="center"/>
        <w:rPr/>
      </w:pPr>
      <w:r>
        <w:rPr>
          <w:i/>
        </w:rPr>
        <w:t xml:space="preserve">Заполняется Заказчиком из части </w:t>
      </w:r>
      <w:r>
        <w:rPr>
          <w:i/>
          <w:lang w:val="en-US"/>
        </w:rPr>
        <w:t>III</w:t>
      </w:r>
      <w:r>
        <w:rPr>
          <w:i/>
        </w:rPr>
        <w:t xml:space="preserve"> документации о закупке</w:t>
      </w:r>
    </w:p>
    <w:p>
      <w:pPr>
        <w:pStyle w:val="Normal"/>
        <w:jc w:val="right"/>
        <w:rPr/>
      </w:pPr>
      <w:r>
        <w:rPr/>
      </w:r>
    </w:p>
    <w:tbl>
      <w:tblPr>
        <w:tblW w:w="10451" w:type="dxa"/>
        <w:jc w:val="left"/>
        <w:tblInd w:w="147" w:type="dxa"/>
        <w:tblLayout w:type="fixed"/>
        <w:tblCellMar>
          <w:top w:w="0" w:type="dxa"/>
          <w:left w:w="108" w:type="dxa"/>
          <w:bottom w:w="0" w:type="dxa"/>
          <w:right w:w="108" w:type="dxa"/>
        </w:tblCellMar>
        <w:tblLook w:val="0000"/>
      </w:tblPr>
      <w:tblGrid>
        <w:gridCol w:w="5205"/>
        <w:gridCol w:w="5245"/>
      </w:tblGrid>
      <w:tr>
        <w:trPr>
          <w:trHeight w:val="1314" w:hRule="atLeast"/>
        </w:trPr>
        <w:tc>
          <w:tcPr>
            <w:tcW w:w="5205" w:type="dxa"/>
            <w:tcBorders/>
          </w:tcPr>
          <w:p>
            <w:pPr>
              <w:pStyle w:val="Normal"/>
              <w:snapToGrid w:val="false"/>
              <w:rPr>
                <w:bCs/>
                <w:iCs/>
              </w:rPr>
            </w:pPr>
            <w:r>
              <w:rPr/>
              <w:t>З</w:t>
            </w:r>
            <w:r>
              <w:rPr>
                <w:bCs/>
                <w:iCs/>
              </w:rPr>
              <w:t>аказчик:</w:t>
            </w:r>
          </w:p>
          <w:p>
            <w:pPr>
              <w:pStyle w:val="Normal"/>
              <w:snapToGrid w:val="false"/>
              <w:jc w:val="center"/>
              <w:rPr>
                <w:iCs/>
              </w:rPr>
            </w:pPr>
            <w:r>
              <w:rPr>
                <w:iCs/>
              </w:rPr>
            </w:r>
          </w:p>
          <w:p>
            <w:pPr>
              <w:pStyle w:val="Normal"/>
              <w:tabs>
                <w:tab w:val="clear" w:pos="708"/>
                <w:tab w:val="left" w:pos="6120" w:leader="none"/>
              </w:tabs>
              <w:ind w:right="-4"/>
              <w:rPr/>
            </w:pPr>
            <w:r>
              <w:rPr/>
              <w:t>__________________</w:t>
            </w:r>
          </w:p>
          <w:p>
            <w:pPr>
              <w:pStyle w:val="Normal"/>
              <w:tabs>
                <w:tab w:val="clear" w:pos="708"/>
                <w:tab w:val="left" w:pos="6120" w:leader="none"/>
              </w:tabs>
              <w:ind w:right="-4"/>
              <w:rPr>
                <w:iCs/>
              </w:rPr>
            </w:pPr>
            <w:r>
              <w:rPr>
                <w:iCs/>
              </w:rPr>
              <w:t>М.П.</w:t>
            </w:r>
            <w:r>
              <w:rPr>
                <w:b/>
              </w:rPr>
              <w:t xml:space="preserve">       </w:t>
            </w:r>
            <w:r>
              <w:rPr/>
              <w:t>(подпись)</w:t>
            </w:r>
          </w:p>
        </w:tc>
        <w:tc>
          <w:tcPr>
            <w:tcW w:w="5245" w:type="dxa"/>
            <w:tcBorders/>
          </w:tcPr>
          <w:p>
            <w:pPr>
              <w:pStyle w:val="Normal"/>
              <w:snapToGrid w:val="false"/>
              <w:ind w:right="-3"/>
              <w:rPr>
                <w:bCs/>
                <w:iCs/>
              </w:rPr>
            </w:pPr>
            <w:r>
              <w:rPr>
                <w:bCs/>
                <w:iCs/>
              </w:rPr>
              <w:t>Подрядчик (исполнитель):</w:t>
            </w:r>
          </w:p>
          <w:p>
            <w:pPr>
              <w:pStyle w:val="Normal"/>
              <w:rPr>
                <w:iCs/>
              </w:rPr>
            </w:pPr>
            <w:r>
              <w:rPr>
                <w:iCs/>
              </w:rPr>
            </w:r>
          </w:p>
          <w:p>
            <w:pPr>
              <w:pStyle w:val="Normal"/>
              <w:rPr>
                <w:iCs/>
              </w:rPr>
            </w:pPr>
            <w:r>
              <w:rPr>
                <w:iCs/>
              </w:rPr>
              <w:t>____________________</w:t>
            </w:r>
          </w:p>
          <w:p>
            <w:pPr>
              <w:pStyle w:val="Normal"/>
              <w:rPr>
                <w:iCs/>
              </w:rPr>
            </w:pPr>
            <w:r>
              <w:rPr>
                <w:iCs/>
              </w:rPr>
              <w:t>М.П.</w:t>
            </w:r>
            <w:r>
              <w:rPr>
                <w:b/>
              </w:rPr>
              <w:t xml:space="preserve">       </w:t>
            </w:r>
            <w:r>
              <w:rPr/>
              <w:t>(подпись)</w:t>
            </w:r>
          </w:p>
        </w:tc>
      </w:tr>
    </w:tbl>
    <w:p>
      <w:pPr>
        <w:pStyle w:val="Normal"/>
        <w:rPr/>
      </w:pPr>
      <w:r>
        <w:rPr/>
      </w:r>
    </w:p>
    <w:p>
      <w:pPr>
        <w:pStyle w:val="Normal"/>
        <w:jc w:val="right"/>
        <w:rPr/>
      </w:pPr>
      <w:r>
        <w:rPr/>
      </w:r>
    </w:p>
    <w:p>
      <w:pPr>
        <w:pStyle w:val="Normal"/>
        <w:jc w:val="right"/>
        <w:rPr/>
      </w:pPr>
      <w:r>
        <w:rPr/>
        <w:t xml:space="preserve">Приложение 2 к контракту </w:t>
      </w:r>
    </w:p>
    <w:p>
      <w:pPr>
        <w:pStyle w:val="Normal"/>
        <w:jc w:val="right"/>
        <w:rPr/>
      </w:pPr>
      <w:r>
        <w:rPr/>
        <w:t>от _____   №_______</w:t>
      </w:r>
    </w:p>
    <w:p>
      <w:pPr>
        <w:pStyle w:val="Normal"/>
        <w:jc w:val="center"/>
        <w:rPr>
          <w:b/>
        </w:rPr>
      </w:pPr>
      <w:r>
        <w:rPr>
          <w:b/>
        </w:rPr>
      </w:r>
    </w:p>
    <w:p>
      <w:pPr>
        <w:pStyle w:val="Normal"/>
        <w:jc w:val="center"/>
        <w:rPr>
          <w:b/>
        </w:rPr>
      </w:pPr>
      <w:r>
        <w:rPr>
          <w:b/>
        </w:rPr>
        <w:t xml:space="preserve">Спецификация </w:t>
      </w:r>
    </w:p>
    <w:p>
      <w:pPr>
        <w:pStyle w:val="Normal"/>
        <w:jc w:val="center"/>
        <w:rPr>
          <w:b/>
        </w:rPr>
      </w:pPr>
      <w:r>
        <w:rPr>
          <w:b/>
        </w:rPr>
      </w:r>
    </w:p>
    <w:tbl>
      <w:tblPr>
        <w:tblW w:w="4900" w:type="pct"/>
        <w:jc w:val="left"/>
        <w:tblInd w:w="93" w:type="dxa"/>
        <w:tblLayout w:type="fixed"/>
        <w:tblCellMar>
          <w:top w:w="0" w:type="dxa"/>
          <w:left w:w="108" w:type="dxa"/>
          <w:bottom w:w="0" w:type="dxa"/>
          <w:right w:w="108" w:type="dxa"/>
        </w:tblCellMar>
        <w:tblLook w:val="04a0"/>
      </w:tblPr>
      <w:tblGrid>
        <w:gridCol w:w="633"/>
        <w:gridCol w:w="3810"/>
        <w:gridCol w:w="1247"/>
        <w:gridCol w:w="1521"/>
        <w:gridCol w:w="1522"/>
        <w:gridCol w:w="1522"/>
      </w:tblGrid>
      <w:tr>
        <w:trPr>
          <w:trHeight w:val="1080" w:hRule="atLeast"/>
        </w:trPr>
        <w:tc>
          <w:tcPr>
            <w:tcW w:w="63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w:t>
            </w:r>
            <w:r>
              <w:rPr>
                <w:sz w:val="20"/>
                <w:szCs w:val="20"/>
              </w:rPr>
              <w:br/>
              <w:t>п/п</w:t>
            </w:r>
          </w:p>
        </w:tc>
        <w:tc>
          <w:tcPr>
            <w:tcW w:w="3810" w:type="dxa"/>
            <w:tcBorders>
              <w:top w:val="single" w:sz="4" w:space="0" w:color="000000"/>
              <w:bottom w:val="single" w:sz="4" w:space="0" w:color="000000"/>
              <w:right w:val="single" w:sz="4" w:space="0" w:color="000000"/>
            </w:tcBorders>
          </w:tcPr>
          <w:p>
            <w:pPr>
              <w:pStyle w:val="Normal"/>
              <w:jc w:val="center"/>
              <w:rPr>
                <w:sz w:val="20"/>
                <w:szCs w:val="20"/>
              </w:rPr>
            </w:pPr>
            <w:r>
              <w:rPr>
                <w:sz w:val="20"/>
                <w:szCs w:val="20"/>
              </w:rPr>
              <w:t>Наименование работ</w:t>
            </w:r>
          </w:p>
        </w:tc>
        <w:tc>
          <w:tcPr>
            <w:tcW w:w="1247" w:type="dxa"/>
            <w:tcBorders>
              <w:top w:val="single" w:sz="4" w:space="0" w:color="000000"/>
              <w:bottom w:val="single" w:sz="4" w:space="0" w:color="000000"/>
              <w:right w:val="single" w:sz="4" w:space="0" w:color="000000"/>
            </w:tcBorders>
          </w:tcPr>
          <w:p>
            <w:pPr>
              <w:pStyle w:val="Normal"/>
              <w:jc w:val="center"/>
              <w:rPr>
                <w:sz w:val="20"/>
                <w:szCs w:val="20"/>
              </w:rPr>
            </w:pPr>
            <w:r>
              <w:rPr>
                <w:sz w:val="20"/>
                <w:szCs w:val="20"/>
              </w:rPr>
              <w:t>Единица измерения</w:t>
            </w:r>
          </w:p>
        </w:tc>
        <w:tc>
          <w:tcPr>
            <w:tcW w:w="1521" w:type="dxa"/>
            <w:tcBorders>
              <w:top w:val="single" w:sz="4" w:space="0" w:color="000000"/>
              <w:bottom w:val="single" w:sz="4" w:space="0" w:color="000000"/>
              <w:right w:val="single" w:sz="4" w:space="0" w:color="000000"/>
            </w:tcBorders>
          </w:tcPr>
          <w:p>
            <w:pPr>
              <w:pStyle w:val="Normal"/>
              <w:jc w:val="center"/>
              <w:rPr>
                <w:sz w:val="20"/>
                <w:szCs w:val="20"/>
              </w:rPr>
            </w:pPr>
            <w:r>
              <w:rPr>
                <w:sz w:val="20"/>
                <w:szCs w:val="20"/>
              </w:rPr>
              <w:t>Кол-во</w:t>
            </w:r>
          </w:p>
        </w:tc>
        <w:tc>
          <w:tcPr>
            <w:tcW w:w="1522" w:type="dxa"/>
            <w:tcBorders>
              <w:top w:val="single" w:sz="4" w:space="0" w:color="000000"/>
              <w:bottom w:val="single" w:sz="4" w:space="0" w:color="000000"/>
              <w:right w:val="single" w:sz="4" w:space="0" w:color="000000"/>
            </w:tcBorders>
          </w:tcPr>
          <w:p>
            <w:pPr>
              <w:pStyle w:val="Normal"/>
              <w:jc w:val="center"/>
              <w:rPr>
                <w:sz w:val="20"/>
                <w:szCs w:val="20"/>
              </w:rPr>
            </w:pPr>
            <w:r>
              <w:rPr>
                <w:sz w:val="20"/>
                <w:szCs w:val="20"/>
              </w:rPr>
              <w:t>Цена за ед., руб.</w:t>
            </w:r>
          </w:p>
        </w:tc>
        <w:tc>
          <w:tcPr>
            <w:tcW w:w="1522" w:type="dxa"/>
            <w:tcBorders>
              <w:top w:val="single" w:sz="4" w:space="0" w:color="000000"/>
              <w:bottom w:val="single" w:sz="4" w:space="0" w:color="000000"/>
              <w:right w:val="single" w:sz="4" w:space="0" w:color="000000"/>
            </w:tcBorders>
          </w:tcPr>
          <w:p>
            <w:pPr>
              <w:pStyle w:val="Normal"/>
              <w:jc w:val="center"/>
              <w:rPr>
                <w:sz w:val="20"/>
                <w:szCs w:val="20"/>
              </w:rPr>
            </w:pPr>
            <w:r>
              <w:rPr>
                <w:sz w:val="20"/>
                <w:szCs w:val="20"/>
              </w:rPr>
              <w:t>Стоимость, руб.</w:t>
            </w:r>
          </w:p>
        </w:tc>
      </w:tr>
      <w:tr>
        <w:trPr>
          <w:trHeight w:val="300" w:hRule="atLeast"/>
        </w:trPr>
        <w:tc>
          <w:tcPr>
            <w:tcW w:w="633" w:type="dxa"/>
            <w:tcBorders>
              <w:top w:val="single" w:sz="4" w:space="0" w:color="000000"/>
              <w:left w:val="single" w:sz="4" w:space="0" w:color="000000"/>
              <w:bottom w:val="single" w:sz="4" w:space="0" w:color="000000"/>
              <w:right w:val="single" w:sz="4" w:space="0" w:color="000000"/>
            </w:tcBorders>
            <w:vAlign w:val="bottom"/>
          </w:tcPr>
          <w:p>
            <w:pPr>
              <w:pStyle w:val="Normal"/>
              <w:jc w:val="center"/>
              <w:rPr>
                <w:lang w:eastAsia="en-US"/>
              </w:rPr>
            </w:pPr>
            <w:r>
              <w:rPr/>
            </w:r>
          </w:p>
        </w:tc>
        <w:tc>
          <w:tcPr>
            <w:tcW w:w="3810" w:type="dxa"/>
            <w:tcBorders>
              <w:top w:val="single" w:sz="4" w:space="0" w:color="000000"/>
              <w:bottom w:val="single" w:sz="4" w:space="0" w:color="000000"/>
              <w:right w:val="single" w:sz="4" w:space="0" w:color="000000"/>
            </w:tcBorders>
            <w:vAlign w:val="bottom"/>
          </w:tcPr>
          <w:p>
            <w:pPr>
              <w:pStyle w:val="Normal"/>
              <w:rPr>
                <w:lang w:eastAsia="en-US"/>
              </w:rPr>
            </w:pPr>
            <w:r>
              <w:rPr>
                <w:lang w:eastAsia="en-US"/>
              </w:rPr>
            </w:r>
          </w:p>
        </w:tc>
        <w:tc>
          <w:tcPr>
            <w:tcW w:w="1247" w:type="dxa"/>
            <w:tcBorders>
              <w:top w:val="single" w:sz="4" w:space="0" w:color="000000"/>
              <w:bottom w:val="single" w:sz="4" w:space="0" w:color="000000"/>
              <w:right w:val="single" w:sz="4" w:space="0" w:color="000000"/>
            </w:tcBorders>
            <w:vAlign w:val="bottom"/>
          </w:tcPr>
          <w:p>
            <w:pPr>
              <w:pStyle w:val="Normal"/>
              <w:jc w:val="center"/>
              <w:rPr>
                <w:lang w:eastAsia="en-US"/>
              </w:rPr>
            </w:pPr>
            <w:r>
              <w:rPr>
                <w:lang w:eastAsia="en-US"/>
              </w:rPr>
            </w:r>
          </w:p>
        </w:tc>
        <w:tc>
          <w:tcPr>
            <w:tcW w:w="1521" w:type="dxa"/>
            <w:tcBorders>
              <w:top w:val="single" w:sz="4" w:space="0" w:color="000000"/>
              <w:bottom w:val="single" w:sz="4" w:space="0" w:color="000000"/>
              <w:right w:val="single" w:sz="4" w:space="0" w:color="000000"/>
            </w:tcBorders>
            <w:vAlign w:val="bottom"/>
          </w:tcPr>
          <w:p>
            <w:pPr>
              <w:pStyle w:val="Normal"/>
              <w:jc w:val="center"/>
              <w:rPr>
                <w:lang w:eastAsia="en-US"/>
              </w:rPr>
            </w:pPr>
            <w:r>
              <w:rPr>
                <w:lang w:eastAsia="en-US"/>
              </w:rPr>
            </w:r>
          </w:p>
        </w:tc>
        <w:tc>
          <w:tcPr>
            <w:tcW w:w="1522" w:type="dxa"/>
            <w:tcBorders>
              <w:top w:val="single" w:sz="4" w:space="0" w:color="000000"/>
              <w:bottom w:val="single" w:sz="4" w:space="0" w:color="000000"/>
              <w:right w:val="single" w:sz="4" w:space="0" w:color="000000"/>
            </w:tcBorders>
          </w:tcPr>
          <w:p>
            <w:pPr>
              <w:pStyle w:val="Normal"/>
              <w:jc w:val="center"/>
              <w:rPr>
                <w:lang w:eastAsia="en-US"/>
              </w:rPr>
            </w:pPr>
            <w:r>
              <w:rPr>
                <w:lang w:eastAsia="en-US"/>
              </w:rPr>
            </w:r>
          </w:p>
        </w:tc>
        <w:tc>
          <w:tcPr>
            <w:tcW w:w="1522" w:type="dxa"/>
            <w:tcBorders>
              <w:top w:val="single" w:sz="4" w:space="0" w:color="000000"/>
              <w:bottom w:val="single" w:sz="4" w:space="0" w:color="000000"/>
              <w:right w:val="single" w:sz="4" w:space="0" w:color="000000"/>
            </w:tcBorders>
          </w:tcPr>
          <w:p>
            <w:pPr>
              <w:pStyle w:val="Normal"/>
              <w:jc w:val="center"/>
              <w:rPr>
                <w:lang w:eastAsia="en-US"/>
              </w:rPr>
            </w:pPr>
            <w:r>
              <w:rPr>
                <w:lang w:eastAsia="en-US"/>
              </w:rPr>
            </w:r>
          </w:p>
        </w:tc>
      </w:tr>
    </w:tbl>
    <w:p>
      <w:pPr>
        <w:pStyle w:val="Normal"/>
        <w:rPr>
          <w:rFonts w:ascii="Calibri" w:hAnsi="Calibri"/>
          <w:sz w:val="22"/>
          <w:szCs w:val="22"/>
          <w:lang w:eastAsia="en-US"/>
        </w:rPr>
      </w:pPr>
      <w:r>
        <w:rPr>
          <w:rFonts w:ascii="Calibri" w:hAnsi="Calibri"/>
          <w:sz w:val="22"/>
          <w:szCs w:val="22"/>
          <w:lang w:eastAsia="en-US"/>
        </w:rPr>
      </w:r>
    </w:p>
    <w:p>
      <w:pPr>
        <w:pStyle w:val="Normal"/>
        <w:rPr/>
      </w:pPr>
      <w:r>
        <w:rPr/>
      </w:r>
    </w:p>
    <w:tbl>
      <w:tblPr>
        <w:tblW w:w="10451" w:type="dxa"/>
        <w:jc w:val="left"/>
        <w:tblInd w:w="147" w:type="dxa"/>
        <w:tblLayout w:type="fixed"/>
        <w:tblCellMar>
          <w:top w:w="0" w:type="dxa"/>
          <w:left w:w="108" w:type="dxa"/>
          <w:bottom w:w="0" w:type="dxa"/>
          <w:right w:w="108" w:type="dxa"/>
        </w:tblCellMar>
        <w:tblLook w:val="0000"/>
      </w:tblPr>
      <w:tblGrid>
        <w:gridCol w:w="5205"/>
        <w:gridCol w:w="5245"/>
      </w:tblGrid>
      <w:tr>
        <w:trPr>
          <w:trHeight w:val="1314" w:hRule="atLeast"/>
        </w:trPr>
        <w:tc>
          <w:tcPr>
            <w:tcW w:w="5205" w:type="dxa"/>
            <w:tcBorders/>
          </w:tcPr>
          <w:p>
            <w:pPr>
              <w:pStyle w:val="Normal"/>
              <w:snapToGrid w:val="false"/>
              <w:rPr>
                <w:bCs/>
                <w:iCs/>
              </w:rPr>
            </w:pPr>
            <w:r>
              <w:rPr/>
              <w:t>З</w:t>
            </w:r>
            <w:r>
              <w:rPr>
                <w:bCs/>
                <w:iCs/>
              </w:rPr>
              <w:t>аказчик:</w:t>
            </w:r>
          </w:p>
          <w:p>
            <w:pPr>
              <w:pStyle w:val="Normal"/>
              <w:snapToGrid w:val="false"/>
              <w:jc w:val="center"/>
              <w:rPr>
                <w:iCs/>
              </w:rPr>
            </w:pPr>
            <w:r>
              <w:rPr>
                <w:iCs/>
              </w:rPr>
            </w:r>
          </w:p>
          <w:p>
            <w:pPr>
              <w:pStyle w:val="Normal"/>
              <w:tabs>
                <w:tab w:val="clear" w:pos="708"/>
                <w:tab w:val="left" w:pos="6120" w:leader="none"/>
              </w:tabs>
              <w:ind w:right="-4"/>
              <w:rPr/>
            </w:pPr>
            <w:r>
              <w:rPr/>
              <w:t>__________________</w:t>
            </w:r>
          </w:p>
          <w:p>
            <w:pPr>
              <w:pStyle w:val="Normal"/>
              <w:tabs>
                <w:tab w:val="clear" w:pos="708"/>
                <w:tab w:val="left" w:pos="6120" w:leader="none"/>
              </w:tabs>
              <w:ind w:right="-4"/>
              <w:rPr>
                <w:iCs/>
              </w:rPr>
            </w:pPr>
            <w:r>
              <w:rPr>
                <w:iCs/>
              </w:rPr>
              <w:t>М.П.</w:t>
            </w:r>
            <w:r>
              <w:rPr>
                <w:b/>
              </w:rPr>
              <w:t xml:space="preserve">       </w:t>
            </w:r>
            <w:r>
              <w:rPr/>
              <w:t>(подпись)</w:t>
            </w:r>
          </w:p>
        </w:tc>
        <w:tc>
          <w:tcPr>
            <w:tcW w:w="5245" w:type="dxa"/>
            <w:tcBorders/>
          </w:tcPr>
          <w:p>
            <w:pPr>
              <w:pStyle w:val="Normal"/>
              <w:snapToGrid w:val="false"/>
              <w:ind w:right="-3"/>
              <w:rPr>
                <w:bCs/>
                <w:iCs/>
              </w:rPr>
            </w:pPr>
            <w:r>
              <w:rPr>
                <w:bCs/>
                <w:iCs/>
              </w:rPr>
              <w:t>Подрядчик (исполнитель):</w:t>
            </w:r>
          </w:p>
          <w:p>
            <w:pPr>
              <w:pStyle w:val="Normal"/>
              <w:rPr>
                <w:iCs/>
              </w:rPr>
            </w:pPr>
            <w:r>
              <w:rPr>
                <w:iCs/>
              </w:rPr>
            </w:r>
          </w:p>
          <w:p>
            <w:pPr>
              <w:pStyle w:val="Normal"/>
              <w:rPr>
                <w:iCs/>
              </w:rPr>
            </w:pPr>
            <w:r>
              <w:rPr>
                <w:iCs/>
              </w:rPr>
              <w:t>____________________</w:t>
            </w:r>
          </w:p>
          <w:p>
            <w:pPr>
              <w:pStyle w:val="Normal"/>
              <w:rPr>
                <w:iCs/>
              </w:rPr>
            </w:pPr>
            <w:r>
              <w:rPr>
                <w:iCs/>
              </w:rPr>
              <w:t>М.П.</w:t>
            </w:r>
            <w:r>
              <w:rPr>
                <w:b/>
              </w:rPr>
              <w:t xml:space="preserve">       </w:t>
            </w:r>
            <w:r>
              <w:rPr/>
              <w:t>(подпись)</w:t>
            </w:r>
          </w:p>
        </w:tc>
      </w:tr>
    </w:tbl>
    <w:p>
      <w:pPr>
        <w:pStyle w:val="Normal"/>
        <w:rPr/>
      </w:pPr>
      <w:r>
        <w:rPr/>
      </w:r>
    </w:p>
    <w:p>
      <w:pPr>
        <w:pStyle w:val="Normal"/>
        <w:tabs>
          <w:tab w:val="clear" w:pos="708"/>
          <w:tab w:val="left" w:pos="709" w:leader="none"/>
        </w:tabs>
        <w:rPr>
          <w:b/>
          <w:lang w:val="en-US"/>
        </w:rPr>
      </w:pPr>
      <w:r>
        <w:rPr/>
        <w:t xml:space="preserve"> </w:t>
      </w:r>
    </w:p>
    <w:sectPr>
      <w:headerReference w:type="even" r:id="rId8"/>
      <w:headerReference w:type="default" r:id="rId9"/>
      <w:headerReference w:type="first" r:id="rId10"/>
      <w:footerReference w:type="even" r:id="rId11"/>
      <w:footerReference w:type="default" r:id="rId12"/>
      <w:footerReference w:type="first" r:id="rId13"/>
      <w:footnotePr>
        <w:numFmt w:val="decimal"/>
      </w:footnotePr>
      <w:type w:val="nextPage"/>
      <w:pgSz w:w="11906" w:h="16838"/>
      <w:pgMar w:left="720" w:right="720" w:gutter="0" w:header="709" w:top="766"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Cambria">
    <w:charset w:val="01"/>
    <w:family w:val="roman"/>
    <w:pitch w:val="variable"/>
  </w:font>
  <w:font w:name="Arial">
    <w:charset w:val="01"/>
    <w:family w:val="swiss"/>
    <w:pitch w:val="variable"/>
  </w:font>
  <w:font w:name="Consultant">
    <w:charset w:val="01"/>
    <w:family w:val="auto"/>
    <w:pitch w:val="variable"/>
  </w:font>
  <w:font w:name="Courier New">
    <w:charset w:val="01"/>
    <w:family w:val="auto"/>
    <w:pitch w:val="variable"/>
  </w:font>
  <w:font w:name="Segoe UI">
    <w:charset w:val="01"/>
    <w:family w:val="swiss"/>
    <w:pitch w:val="variable"/>
  </w:font>
  <w:font w:name="Verdana">
    <w:charset w:val="01"/>
    <w:family w:val="swiss"/>
    <w:pitch w:val="variable"/>
  </w:font>
  <w:font w:name="Times New Roman">
    <w:charset w:val="01"/>
    <w:family w:val="auto"/>
    <w:pitch w:val="default"/>
  </w:font>
  <w:font w:name="Segoe UI Symbo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largest"/>
              <wp:docPr id="3" name="Врезка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spacing w:before="0" w:after="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spacing w:before="0" w:after="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jc w:val="both"/>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uppressAutoHyphens w:val="true"/>
        <w:jc w:val="both"/>
        <w:rPr/>
      </w:pPr>
      <w:r>
        <w:rPr>
          <w:rStyle w:val="Style13"/>
        </w:rPr>
        <w:footnoteRef/>
      </w:r>
      <w:r>
        <w:rPr/>
        <w:t xml:space="preserve"> </w:t>
      </w:r>
      <w:r>
        <w:rPr/>
        <w:t xml:space="preserve">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Pr>
          <w:rFonts w:ascii="Segoe UI Symbol" w:hAnsi="Segoe UI Symbol"/>
        </w:rPr>
        <w:t>№</w:t>
      </w:r>
      <w:r>
        <w:rPr/>
        <w:t xml:space="preserve"> 44-ФЗ, о сумме цен единиц товара, работы, услуги) ниже нуля. В указанном случае текст Контракта раздела 2 с пункта 2.2 не применяется.</w:t>
      </w:r>
    </w:p>
  </w:footnote>
  <w:footnote w:id="3">
    <w:p>
      <w:pPr>
        <w:pStyle w:val="FootnoteText"/>
        <w:rPr/>
      </w:pPr>
      <w:r>
        <w:rPr>
          <w:rStyle w:val="Style13"/>
        </w:rPr>
        <w:footnoteRef/>
      </w:r>
      <w:r>
        <w:rPr/>
        <w:t xml:space="preserve">   </w:t>
      </w:r>
      <w:r>
        <w:rPr/>
        <w:t>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 44-ФЗ, о сумме цен единиц товара, работы, услуги) ниже нуля.</w:t>
      </w:r>
    </w:p>
  </w:footnote>
  <w:footnote w:id="4">
    <w:p>
      <w:pPr>
        <w:pStyle w:val="FootnoteText"/>
        <w:jc w:val="both"/>
        <w:rPr/>
      </w:pPr>
      <w:r>
        <w:rPr>
          <w:rStyle w:val="Style13"/>
        </w:rPr>
        <w:footnoteRef/>
      </w:r>
      <w:r>
        <w:rPr/>
        <w:t xml:space="preserve"> </w:t>
      </w:r>
      <w:r>
        <w:rPr/>
        <w:t>В случае, если Исполнитель не является плательщиком НДС, либо если оказываемые Услуги не подлежат обложению (освобождаются от обложения) НДС, указать "НДС не облагается"</w:t>
      </w:r>
    </w:p>
  </w:footnote>
  <w:footnote w:id="5">
    <w:p>
      <w:pPr>
        <w:pStyle w:val="FootnoteText"/>
        <w:rPr/>
      </w:pPr>
      <w:r>
        <w:rPr>
          <w:rStyle w:val="Style13"/>
        </w:rPr>
        <w:footnoteRef/>
      </w:r>
      <w:r>
        <w:rPr/>
        <w:t xml:space="preserve"> </w:t>
      </w:r>
      <w:r>
        <w:rPr/>
        <w:t>Раздел не применяется, если контрактом предусмотрена плата, подлежащая внесению участником закупки за заключение контракта</w:t>
      </w:r>
    </w:p>
    <w:p>
      <w:pPr>
        <w:pStyle w:val="FootnoteText"/>
        <w:rPr/>
      </w:pPr>
      <w:r>
        <w:rPr/>
      </w:r>
    </w:p>
  </w:footnote>
  <w:footnote w:id="6">
    <w:p>
      <w:pPr>
        <w:pStyle w:val="FootnoteText"/>
        <w:jc w:val="both"/>
        <w:rPr>
          <w:rFonts w:eastAsia="Calibri"/>
          <w:color w:val="000000"/>
          <w:lang w:eastAsia="en-US"/>
        </w:rPr>
      </w:pPr>
      <w:r>
        <w:rPr>
          <w:rStyle w:val="Style13"/>
        </w:rPr>
        <w:footnoteRef/>
      </w:r>
      <w:r>
        <w:rPr/>
        <w:t xml:space="preserve"> </w:t>
      </w:r>
      <w:r>
        <w:rPr/>
        <w:t>За исключением случая, если в соответствии с п. 2.1 Контракта применяется плата, подлежащая внесению участником закупки за заключение Контракта.</w:t>
      </w:r>
    </w:p>
    <w:p>
      <w:pPr>
        <w:pStyle w:val="FootnoteText"/>
        <w:rPr/>
      </w:pPr>
      <w:r>
        <w:rPr/>
      </w:r>
    </w:p>
  </w:footnote>
  <w:footnote w:id="7">
    <w:p>
      <w:pPr>
        <w:pStyle w:val="FootnoteText"/>
        <w:rPr/>
      </w:pPr>
      <w:r>
        <w:rPr>
          <w:rStyle w:val="Style13"/>
        </w:rPr>
        <w:footnoteRef/>
      </w:r>
      <w:r>
        <w:rPr/>
        <w:t xml:space="preserve"> </w:t>
      </w:r>
      <w:r>
        <w:rPr/>
        <w:t>Данный пункт включается в условия Контракта при использовании в ходе исполнения Контракта ранее созданных подрядчиком (исполнителем) результатов интеллектуальной деятельности.</w:t>
      </w:r>
    </w:p>
  </w:footnote>
  <w:footnote w:id="8">
    <w:p>
      <w:pPr>
        <w:pStyle w:val="FootnoteText"/>
        <w:rPr/>
      </w:pPr>
      <w:r>
        <w:rPr>
          <w:rStyle w:val="Style13"/>
        </w:rPr>
        <w:footnoteRef/>
      </w:r>
      <w:r>
        <w:rPr/>
        <w:t xml:space="preserve"> </w:t>
      </w:r>
      <w:r>
        <w:rPr/>
        <w:t>Данный пункт включается в условия Контракта при использовании в ходе исполнения Контракта охраняемых результатов интеллектуальной деятельности, права на которые принадлежат третьим лицам.</w:t>
      </w:r>
    </w:p>
  </w:footnote>
  <w:footnote w:id="9">
    <w:p>
      <w:pPr>
        <w:pStyle w:val="Normal"/>
        <w:jc w:val="both"/>
        <w:rPr>
          <w:rFonts w:eastAsia="Calibri" w:eastAsiaTheme="minorHAnsi"/>
          <w:color w:themeColor="text1" w:val="000000"/>
          <w:sz w:val="20"/>
          <w:szCs w:val="20"/>
          <w:lang w:eastAsia="en-US"/>
        </w:rPr>
      </w:pPr>
      <w:r>
        <w:rPr>
          <w:rStyle w:val="Style13"/>
        </w:rPr>
        <w:footnoteRef/>
      </w:r>
      <w:r>
        <w:rPr>
          <w:color w:themeColor="text1" w:val="000000"/>
          <w:sz w:val="20"/>
          <w:szCs w:val="20"/>
        </w:rPr>
        <w:t xml:space="preserve"> </w:t>
      </w:r>
      <w:r>
        <w:rPr>
          <w:color w:themeColor="text1" w:val="000000"/>
          <w:sz w:val="20"/>
          <w:szCs w:val="20"/>
        </w:rPr>
        <w:t xml:space="preserve">- </w:t>
      </w:r>
      <w:r>
        <w:rPr>
          <w:rFonts w:eastAsia="Calibri" w:eastAsiaTheme="minorHAnsi"/>
          <w:color w:themeColor="text1" w:val="000000"/>
          <w:sz w:val="20"/>
          <w:szCs w:val="20"/>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(по состоянию на дату и время формирования проекта контракта)</w:t>
      </w:r>
    </w:p>
    <w:p>
      <w:pPr>
        <w:pStyle w:val="Normal"/>
        <w:jc w:val="both"/>
        <w:rPr>
          <w:color w:themeColor="text1" w:val="000000"/>
          <w:sz w:val="20"/>
          <w:szCs w:val="20"/>
        </w:rPr>
      </w:pPr>
      <w:r>
        <w:rPr>
          <w:rFonts w:eastAsia="Calibri" w:eastAsiaTheme="minorHAnsi"/>
          <w:color w:themeColor="text1" w:val="000000"/>
          <w:sz w:val="20"/>
          <w:szCs w:val="20"/>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0">
    <w:p>
      <w:pPr>
        <w:pStyle w:val="Normal"/>
        <w:jc w:val="both"/>
        <w:rPr>
          <w:color w:themeColor="text1" w:val="000000"/>
          <w:sz w:val="20"/>
          <w:szCs w:val="20"/>
        </w:rPr>
      </w:pPr>
      <w:r>
        <w:rPr>
          <w:rStyle w:val="Style13"/>
        </w:rPr>
        <w:footnoteRef/>
      </w:r>
      <w:r>
        <w:rPr>
          <w:color w:themeColor="text1" w:val="000000"/>
          <w:sz w:val="20"/>
          <w:szCs w:val="20"/>
        </w:rPr>
        <w:t xml:space="preserve"> </w:t>
      </w:r>
      <w:r>
        <w:rPr>
          <w:rFonts w:eastAsia="Calibri" w:eastAsiaTheme="minorHAnsi"/>
          <w:color w:themeColor="text1" w:val="000000"/>
          <w:sz w:val="20"/>
          <w:szCs w:val="20"/>
          <w:lang w:eastAsia="en-US"/>
        </w:rPr>
        <w:t xml:space="preserve"> </w:t>
      </w:r>
      <w:r>
        <w:rPr>
          <w:rFonts w:eastAsia="Calibri" w:eastAsiaTheme="minorHAnsi"/>
          <w:color w:themeColor="text1" w:val="000000"/>
          <w:sz w:val="20"/>
          <w:szCs w:val="20"/>
          <w:lang w:eastAsia="en-US"/>
        </w:rPr>
        <w:t>адрес юридического лица, в том числе иностранного юридического лица (если Подрядчиком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Подрядчик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1">
    <w:p>
      <w:pPr>
        <w:pStyle w:val="Normal"/>
        <w:jc w:val="both"/>
        <w:rPr>
          <w:color w:themeColor="text1" w:val="000000"/>
          <w:sz w:val="20"/>
          <w:szCs w:val="20"/>
        </w:rPr>
      </w:pPr>
      <w:r>
        <w:rPr>
          <w:rStyle w:val="Style13"/>
        </w:rPr>
        <w:footnoteRef/>
      </w:r>
      <w:r>
        <w:rPr>
          <w:color w:themeColor="text1" w:val="000000"/>
          <w:sz w:val="20"/>
          <w:szCs w:val="20"/>
        </w:rPr>
        <w:t xml:space="preserve"> </w:t>
      </w:r>
      <w:r>
        <w:rPr>
          <w:rFonts w:eastAsia="Calibri" w:eastAsiaTheme="minorHAnsi"/>
          <w:color w:themeColor="text1" w:val="000000"/>
          <w:sz w:val="20"/>
          <w:szCs w:val="20"/>
          <w:lang w:eastAsia="en-US"/>
        </w:rPr>
        <w:t>идентификационный номер налогоплательщика юридического лица (если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Подрядчиком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Подрядчиком (исполнителем) является иностранное лицо), код причины постановки на учет юридического лица (если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Подрядчика (исполнителя) выступает обособленное подразделение юридического лица (по состоянию на дату и время формирования проекта контракта)</w:t>
      </w:r>
    </w:p>
  </w:footnote>
  <w:footnote w:id="12">
    <w:p>
      <w:pPr>
        <w:pStyle w:val="Normal"/>
        <w:jc w:val="both"/>
        <w:rPr>
          <w:rFonts w:eastAsia="Calibri" w:eastAsiaTheme="minorHAnsi"/>
          <w:color w:themeColor="text1" w:val="000000"/>
          <w:sz w:val="20"/>
          <w:szCs w:val="20"/>
          <w:lang w:eastAsia="en-US"/>
        </w:rPr>
      </w:pPr>
      <w:r>
        <w:rPr>
          <w:rStyle w:val="Style13"/>
        </w:rPr>
        <w:footnoteRef/>
      </w:r>
      <w:r>
        <w:rPr>
          <w:color w:themeColor="text1" w:val="000000"/>
          <w:sz w:val="20"/>
          <w:szCs w:val="20"/>
        </w:rPr>
        <w:t xml:space="preserve"> </w:t>
      </w:r>
      <w:r>
        <w:rPr>
          <w:rFonts w:eastAsia="Calibri" w:eastAsiaTheme="minorHAnsi"/>
          <w:color w:themeColor="text1" w:val="000000"/>
          <w:sz w:val="20"/>
          <w:szCs w:val="20"/>
          <w:lang w:eastAsia="en-US"/>
        </w:rPr>
        <w:t xml:space="preserve"> </w:t>
      </w:r>
      <w:r>
        <w:rPr>
          <w:rFonts w:eastAsia="Calibri" w:eastAsiaTheme="minorHAnsi"/>
          <w:color w:themeColor="text1" w:val="000000"/>
          <w:sz w:val="20"/>
          <w:szCs w:val="20"/>
          <w:lang w:eastAsia="en-US"/>
        </w:rPr>
        <w:t>реквизиты счета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выполненных Работ,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FootnoteText"/>
        <w:rPr>
          <w:color w:themeColor="text1" w:val="000000"/>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jc w:val="both"/>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largest"/>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jc w:val="both"/>
      <w:rPr/>
    </w:pPr>
    <w:r>
      <w:rPr/>
    </w:r>
    <w:r>
      <mc:AlternateContent>
        <mc:Choice Requires="wps">
          <w:drawing>
            <wp:anchor behindDoc="0" distT="0" distB="0" distL="0" distR="0" simplePos="0" locked="0" layoutInCell="0" allowOverlap="1" relativeHeight="16">
              <wp:simplePos x="0" y="0"/>
              <wp:positionH relativeFrom="page">
                <wp:posOffset>3938270</wp:posOffset>
              </wp:positionH>
              <wp:positionV relativeFrom="paragraph">
                <wp:posOffset>-113665</wp:posOffset>
              </wp:positionV>
              <wp:extent cx="153035" cy="251460"/>
              <wp:effectExtent l="0" t="0" r="0" b="0"/>
              <wp:wrapSquare wrapText="largest"/>
              <wp:docPr id="2" name="Врезка2"/>
              <a:graphic xmlns:a="http://schemas.openxmlformats.org/drawingml/2006/main">
                <a:graphicData uri="http://schemas.microsoft.com/office/word/2010/wordprocessingShape">
                  <wps:wsp>
                    <wps:cNvSpPr txBox="1"/>
                    <wps:spPr>
                      <a:xfrm>
                        <a:off x="0" y="0"/>
                        <a:ext cx="153035" cy="251460"/>
                      </a:xfrm>
                      <a:prstGeom prst="rect"/>
                      <a:solidFill>
                        <a:srgbClr val="FFFFFF">
                          <a:alpha val="0"/>
                        </a:srgbClr>
                      </a:solidFill>
                    </wps:spPr>
                    <wps:txbx>
                      <w:txbxContent>
                        <w:p>
                          <w:pPr>
                            <w:pStyle w:val="Header"/>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2.05pt;height:19.8pt;mso-wrap-distance-left:0pt;mso-wrap-distance-right:0pt;mso-wrap-distance-top:0pt;mso-wrap-distance-bottom:0pt;margin-top:-8.95pt;mso-position-vertical-relative:text;margin-left:310.1pt;mso-position-horizontal-relative:page">
              <v:fill opacity="0f"/>
              <v:textbox inset="0in,0in,0in,0in">
                <w:txbxContent>
                  <w:p>
                    <w:pPr>
                      <w:pStyle w:val="Header"/>
                      <w:pBdr/>
                      <w:spacing w:before="120" w:after="1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side="largest"/>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jc w:val="both"/>
      <w:rPr/>
    </w:pPr>
    <w:r>
      <w:rPr>
        <w:b/>
        <w:bCs/>
        <w:sz w:val="16"/>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432"/>
        </w:tabs>
        <w:ind w:left="432" w:hanging="432"/>
      </w:pPr>
      <w:rPr>
        <w:sz w:val="26"/>
        <w:szCs w:val="26"/>
        <w:rFonts w:ascii="Times New Roman" w:hAnsi="Times New Roman" w:cs="Times New Roman"/>
      </w:rPr>
    </w:lvl>
    <w:lvl w:ilvl="1">
      <w:start w:val="1"/>
      <w:pStyle w:val="Heading2"/>
      <w:numFmt w:val="decimal"/>
      <w:lvlText w:val="%1.%2."/>
      <w:lvlJc w:val="left"/>
      <w:pPr>
        <w:tabs>
          <w:tab w:val="num" w:pos="576"/>
        </w:tabs>
        <w:ind w:left="576" w:hanging="576"/>
      </w:pPr>
      <w:rPr>
        <w:sz w:val="26"/>
        <w:b w:val="false"/>
        <w:szCs w:val="26"/>
        <w:rFonts w:cs="Times New Roman"/>
      </w:rPr>
    </w:lvl>
    <w:lvl w:ilvl="2">
      <w:start w:val="1"/>
      <w:numFmt w:val="decimal"/>
      <w:lvlText w:val="8.%3."/>
      <w:lvlJc w:val="left"/>
      <w:pPr>
        <w:tabs>
          <w:tab w:val="num" w:pos="1260"/>
        </w:tabs>
        <w:ind w:left="1260" w:hanging="360"/>
      </w:pPr>
      <w:rPr>
        <w:sz w:val="26"/>
        <w:szCs w:val="26"/>
        <w:rFonts w:cs="Times New Roman"/>
      </w:rPr>
    </w:lvl>
    <w:lvl w:ilvl="3">
      <w:start w:val="1"/>
      <w:pStyle w:val="Heading4"/>
      <w:numFmt w:val="decimal"/>
      <w:lvlText w:val="%1.%2.%3.%4."/>
      <w:lvlJc w:val="left"/>
      <w:pPr>
        <w:tabs>
          <w:tab w:val="num" w:pos="1224"/>
        </w:tabs>
        <w:ind w:left="1224" w:hanging="864"/>
      </w:pPr>
      <w:rPr>
        <w:sz w:val="26"/>
        <w:i w:val="false"/>
        <w:szCs w:val="26"/>
        <w:rFonts w:ascii="Times New Roman" w:hAnsi="Times New Roman" w:cs="Times New Roman"/>
      </w:rPr>
    </w:lvl>
    <w:lvl w:ilvl="4">
      <w:start w:val="1"/>
      <w:numFmt w:val="russianLower"/>
      <w:lvlText w:val="%5)"/>
      <w:lvlJc w:val="left"/>
      <w:pPr>
        <w:tabs>
          <w:tab w:val="num" w:pos="1800"/>
        </w:tabs>
        <w:ind w:left="1800" w:hanging="360"/>
      </w:pPr>
      <w:rPr>
        <w:sz w:val="26"/>
        <w:szCs w:val="26"/>
        <w:rFonts w:cs="Times New Roman"/>
      </w:rPr>
    </w:lvl>
    <w:lvl w:ilvl="5">
      <w:start w:val="1"/>
      <w:pStyle w:val="Heading6"/>
      <w:numFmt w:val="decimal"/>
      <w:lvlText w:val="%5.%6."/>
      <w:lvlJc w:val="left"/>
      <w:pPr>
        <w:tabs>
          <w:tab w:val="num" w:pos="1152"/>
        </w:tabs>
        <w:ind w:left="1152" w:hanging="1152"/>
      </w:pPr>
      <w:rPr>
        <w:rFonts w:cs="Times New Roman"/>
      </w:rPr>
    </w:lvl>
    <w:lvl w:ilvl="6">
      <w:start w:val="1"/>
      <w:pStyle w:val="Heading7"/>
      <w:numFmt w:val="decimal"/>
      <w:lvlText w:val="%1.%2.%3.%4.%5.%6.%7"/>
      <w:lvlJc w:val="left"/>
      <w:pPr>
        <w:tabs>
          <w:tab w:val="num" w:pos="1296"/>
        </w:tabs>
        <w:ind w:left="1296" w:hanging="1296"/>
      </w:pPr>
      <w:rPr>
        <w:rFonts w:cs="Times New Roman"/>
      </w:rPr>
    </w:lvl>
    <w:lvl w:ilvl="7">
      <w:start w:val="1"/>
      <w:pStyle w:val="Heading8"/>
      <w:numFmt w:val="decimal"/>
      <w:lvlText w:val="%1.%2.%3.%4.%5.%6.%7.%8"/>
      <w:lvlJc w:val="left"/>
      <w:pPr>
        <w:tabs>
          <w:tab w:val="num" w:pos="1440"/>
        </w:tabs>
        <w:ind w:left="1440" w:hanging="1440"/>
      </w:pPr>
      <w:rPr>
        <w:rFonts w:cs="Times New Roman"/>
      </w:rPr>
    </w:lvl>
    <w:lvl w:ilvl="8">
      <w:start w:val="1"/>
      <w:pStyle w:val="Heading9"/>
      <w:numFmt w:val="decimal"/>
      <w:lvlText w:val="%1.%2.%3.%4.%5.%6.%7.%8.%9"/>
      <w:lvlJc w:val="left"/>
      <w:pPr>
        <w:tabs>
          <w:tab w:val="num" w:pos="1584"/>
        </w:tabs>
        <w:ind w:left="1584" w:hanging="1584"/>
      </w:pPr>
      <w:rPr>
        <w:rFonts w:cs="Times New Roman"/>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uiPriority="0" w:semiHidden="1" w:unhideWhenUsed="1"/>
    <w:lsdException w:name="Signature" w:uiPriority="0"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uiPriority="0" w:semiHidden="1" w:unhideWhenUsed="1"/>
    <w:lsdException w:name="Subtitle" w:uiPriority="0" w:qFormat="1"/>
    <w:lsdException w:name="Salutation" w:uiPriority="0" w:semiHidden="1" w:unhideWhenUsed="1"/>
    <w:lsdException w:name="Date" w:uiPriority="0" w:semiHidden="1" w:unhideWhenUsed="1"/>
    <w:lsdException w:name="Body Text First Indent" w:uiPriority="0" w:semiHidden="1" w:unhideWhenUsed="1"/>
    <w:lsdException w:name="Body Text First Indent 2" w:uiPriority="0" w:semiHidden="1" w:unhideWhenUsed="1"/>
    <w:lsdException w:name="Body Text 2"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0"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uiPriority="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61a6"/>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ac4558"/>
    <w:pPr>
      <w:keepNext w:val="true"/>
      <w:numPr>
        <w:ilvl w:val="0"/>
        <w:numId w:val="1"/>
      </w:numPr>
      <w:spacing w:before="240" w:after="60"/>
      <w:jc w:val="center"/>
      <w:outlineLvl w:val="0"/>
    </w:pPr>
    <w:rPr>
      <w:b/>
      <w:kern w:val="2"/>
      <w:sz w:val="36"/>
      <w:szCs w:val="20"/>
    </w:rPr>
  </w:style>
  <w:style w:type="paragraph" w:styleId="Heading2">
    <w:name w:val="heading 2"/>
    <w:basedOn w:val="Normal"/>
    <w:next w:val="Normal"/>
    <w:link w:val="2"/>
    <w:qFormat/>
    <w:rsid w:val="00ac4558"/>
    <w:pPr>
      <w:keepNext w:val="true"/>
      <w:numPr>
        <w:ilvl w:val="1"/>
        <w:numId w:val="1"/>
      </w:numPr>
      <w:spacing w:before="0" w:after="60"/>
      <w:jc w:val="center"/>
      <w:outlineLvl w:val="1"/>
    </w:pPr>
    <w:rPr>
      <w:b/>
      <w:sz w:val="30"/>
      <w:szCs w:val="20"/>
    </w:rPr>
  </w:style>
  <w:style w:type="paragraph" w:styleId="Heading3">
    <w:name w:val="heading 3"/>
    <w:basedOn w:val="Normal"/>
    <w:next w:val="Normal"/>
    <w:link w:val="3"/>
    <w:unhideWhenUsed/>
    <w:qFormat/>
    <w:rsid w:val="003e61a6"/>
    <w:pPr>
      <w:keepNext w:val="true"/>
      <w:keepLines/>
      <w:spacing w:before="200" w:after="0"/>
      <w:outlineLvl w:val="2"/>
    </w:pPr>
    <w:rPr>
      <w:rFonts w:ascii="Cambria" w:hAnsi="Cambria"/>
      <w:b/>
      <w:bCs/>
      <w:color w:val="4F81BD"/>
    </w:rPr>
  </w:style>
  <w:style w:type="paragraph" w:styleId="Heading4">
    <w:name w:val="heading 4"/>
    <w:basedOn w:val="Normal"/>
    <w:next w:val="Normal"/>
    <w:link w:val="4"/>
    <w:qFormat/>
    <w:rsid w:val="00ac4558"/>
    <w:pPr>
      <w:keepNext w:val="true"/>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ac4558"/>
    <w:pPr>
      <w:spacing w:before="240" w:after="60"/>
      <w:jc w:val="both"/>
      <w:outlineLvl w:val="4"/>
    </w:pPr>
    <w:rPr>
      <w:b/>
      <w:bCs/>
      <w:i/>
      <w:iCs/>
      <w:sz w:val="26"/>
      <w:szCs w:val="26"/>
    </w:rPr>
  </w:style>
  <w:style w:type="paragraph" w:styleId="Heading6">
    <w:name w:val="heading 6"/>
    <w:basedOn w:val="Normal"/>
    <w:next w:val="Normal"/>
    <w:link w:val="6"/>
    <w:qFormat/>
    <w:rsid w:val="00ac4558"/>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ac4558"/>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ac4558"/>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ac4558"/>
    <w:pPr>
      <w:numPr>
        <w:ilvl w:val="8"/>
        <w:numId w:val="1"/>
      </w:numPr>
      <w:spacing w:before="240" w:after="60"/>
      <w:jc w:val="both"/>
      <w:outlineLvl w:val="8"/>
    </w:pPr>
    <w:rPr>
      <w:rFonts w:ascii="Arial" w:hAnsi="Arial"/>
      <w:b/>
      <w:i/>
      <w:sz w:val="18"/>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ac4558"/>
    <w:rPr>
      <w:rFonts w:ascii="Times New Roman" w:hAnsi="Times New Roman" w:eastAsia="Times New Roman"/>
      <w:b/>
      <w:kern w:val="2"/>
      <w:sz w:val="36"/>
    </w:rPr>
  </w:style>
  <w:style w:type="character" w:styleId="2" w:customStyle="1">
    <w:name w:val="Заголовок 2 Знак"/>
    <w:basedOn w:val="DefaultParagraphFont"/>
    <w:qFormat/>
    <w:rsid w:val="00ac4558"/>
    <w:rPr>
      <w:rFonts w:ascii="Times New Roman" w:hAnsi="Times New Roman" w:eastAsia="Times New Roman"/>
      <w:b/>
      <w:sz w:val="30"/>
    </w:rPr>
  </w:style>
  <w:style w:type="character" w:styleId="3" w:customStyle="1">
    <w:name w:val="Заголовок 3 Знак"/>
    <w:basedOn w:val="DefaultParagraphFont"/>
    <w:qFormat/>
    <w:rsid w:val="003e61a6"/>
    <w:rPr>
      <w:rFonts w:ascii="Cambria" w:hAnsi="Cambria" w:eastAsia="Times New Roman" w:cs="Times New Roman"/>
      <w:b/>
      <w:bCs/>
      <w:color w:val="4F81BD"/>
      <w:sz w:val="24"/>
      <w:szCs w:val="24"/>
      <w:lang w:eastAsia="ru-RU"/>
    </w:rPr>
  </w:style>
  <w:style w:type="character" w:styleId="4" w:customStyle="1">
    <w:name w:val="Заголовок 4 Знак"/>
    <w:basedOn w:val="DefaultParagraphFont"/>
    <w:qFormat/>
    <w:rsid w:val="00ac4558"/>
    <w:rPr>
      <w:rFonts w:ascii="Arial" w:hAnsi="Arial" w:eastAsia="Times New Roman"/>
      <w:sz w:val="24"/>
    </w:rPr>
  </w:style>
  <w:style w:type="character" w:styleId="5" w:customStyle="1">
    <w:name w:val="Заголовок 5 Знак"/>
    <w:basedOn w:val="DefaultParagraphFont"/>
    <w:qFormat/>
    <w:rsid w:val="00ac4558"/>
    <w:rPr>
      <w:rFonts w:ascii="Times New Roman" w:hAnsi="Times New Roman" w:eastAsia="Times New Roman"/>
      <w:b/>
      <w:bCs/>
      <w:i/>
      <w:iCs/>
      <w:sz w:val="26"/>
      <w:szCs w:val="26"/>
    </w:rPr>
  </w:style>
  <w:style w:type="character" w:styleId="6" w:customStyle="1">
    <w:name w:val="Заголовок 6 Знак"/>
    <w:basedOn w:val="DefaultParagraphFont"/>
    <w:qFormat/>
    <w:rsid w:val="00ac4558"/>
    <w:rPr>
      <w:rFonts w:ascii="Times New Roman" w:hAnsi="Times New Roman" w:eastAsia="Times New Roman"/>
      <w:i/>
    </w:rPr>
  </w:style>
  <w:style w:type="character" w:styleId="7" w:customStyle="1">
    <w:name w:val="Заголовок 7 Знак"/>
    <w:basedOn w:val="DefaultParagraphFont"/>
    <w:qFormat/>
    <w:rsid w:val="00ac4558"/>
    <w:rPr>
      <w:rFonts w:ascii="Arial" w:hAnsi="Arial" w:eastAsia="Times New Roman"/>
    </w:rPr>
  </w:style>
  <w:style w:type="character" w:styleId="8" w:customStyle="1">
    <w:name w:val="Заголовок 8 Знак"/>
    <w:basedOn w:val="DefaultParagraphFont"/>
    <w:qFormat/>
    <w:rsid w:val="00ac4558"/>
    <w:rPr>
      <w:rFonts w:ascii="Arial" w:hAnsi="Arial" w:eastAsia="Times New Roman"/>
      <w:i/>
    </w:rPr>
  </w:style>
  <w:style w:type="character" w:styleId="9" w:customStyle="1">
    <w:name w:val="Заголовок 9 Знак"/>
    <w:basedOn w:val="DefaultParagraphFont"/>
    <w:qFormat/>
    <w:rsid w:val="00ac4558"/>
    <w:rPr>
      <w:rFonts w:ascii="Arial" w:hAnsi="Arial" w:eastAsia="Times New Roman"/>
      <w:b/>
      <w:i/>
      <w:sz w:val="18"/>
    </w:rPr>
  </w:style>
  <w:style w:type="character" w:styleId="PageNumber">
    <w:name w:val="page number"/>
    <w:basedOn w:val="DefaultParagraphFont"/>
    <w:rsid w:val="003e61a6"/>
    <w:rPr>
      <w:rFonts w:ascii="Times New Roman" w:hAnsi="Times New Roman" w:cs="Times New Roman"/>
    </w:rPr>
  </w:style>
  <w:style w:type="character" w:styleId="ConsPlusNormal" w:customStyle="1">
    <w:name w:val="ConsPlusNormal Знак"/>
    <w:link w:val="ConsPlusNormal1"/>
    <w:uiPriority w:val="99"/>
    <w:qFormat/>
    <w:rsid w:val="003e61a6"/>
    <w:rPr>
      <w:rFonts w:ascii="Arial" w:hAnsi="Arial" w:eastAsia="Times New Roman" w:cs="Arial"/>
      <w:sz w:val="22"/>
      <w:szCs w:val="22"/>
      <w:lang w:eastAsia="ru-RU" w:bidi="ar-SA"/>
    </w:rPr>
  </w:style>
  <w:style w:type="character" w:styleId="Style5" w:customStyle="1">
    <w:name w:val="Верхний колонтитул Знак"/>
    <w:basedOn w:val="DefaultParagraphFont"/>
    <w:qFormat/>
    <w:rsid w:val="003e61a6"/>
    <w:rPr>
      <w:rFonts w:ascii="Arial" w:hAnsi="Arial" w:eastAsia="Times New Roman" w:cs="Times New Roman"/>
      <w:sz w:val="24"/>
      <w:szCs w:val="24"/>
      <w:lang w:eastAsia="ru-RU"/>
    </w:rPr>
  </w:style>
  <w:style w:type="character" w:styleId="Style6" w:customStyle="1">
    <w:name w:val="Нижний колонтитул Знак"/>
    <w:basedOn w:val="DefaultParagraphFont"/>
    <w:uiPriority w:val="99"/>
    <w:qFormat/>
    <w:rsid w:val="003e61a6"/>
    <w:rPr>
      <w:rFonts w:ascii="Times New Roman" w:hAnsi="Times New Roman" w:eastAsia="Times New Roman" w:cs="Times New Roman"/>
      <w:sz w:val="24"/>
      <w:szCs w:val="24"/>
      <w:lang w:eastAsia="ru-RU"/>
    </w:rPr>
  </w:style>
  <w:style w:type="character" w:styleId="11" w:customStyle="1">
    <w:name w:val="Основной текст с отступом Знак1"/>
    <w:qFormat/>
    <w:rsid w:val="003e61a6"/>
    <w:rPr>
      <w:rFonts w:ascii="Times New Roman" w:hAnsi="Times New Roman" w:eastAsia="Times New Roman" w:cs="Times New Roman"/>
      <w:sz w:val="24"/>
      <w:szCs w:val="24"/>
      <w:lang w:eastAsia="ru-RU"/>
    </w:rPr>
  </w:style>
  <w:style w:type="character" w:styleId="Style7" w:customStyle="1">
    <w:name w:val="Основной текст с отступом Знак"/>
    <w:basedOn w:val="DefaultParagraphFont"/>
    <w:link w:val="15"/>
    <w:qFormat/>
    <w:rsid w:val="003e61a6"/>
    <w:rPr>
      <w:rFonts w:ascii="Times New Roman" w:hAnsi="Times New Roman" w:eastAsia="Times New Roman" w:cs="Times New Roman"/>
      <w:sz w:val="24"/>
      <w:szCs w:val="24"/>
      <w:lang w:eastAsia="ru-RU"/>
    </w:rPr>
  </w:style>
  <w:style w:type="character" w:styleId="Style8" w:customStyle="1">
    <w:name w:val="Абзац списка Знак"/>
    <w:link w:val="ListParagraph"/>
    <w:uiPriority w:val="34"/>
    <w:qFormat/>
    <w:locked/>
    <w:rsid w:val="00ba27e9"/>
    <w:rPr>
      <w:rFonts w:ascii="Times New Roman" w:hAnsi="Times New Roman" w:eastAsia="Times New Roman"/>
    </w:rPr>
  </w:style>
  <w:style w:type="character" w:styleId="Style9" w:customStyle="1">
    <w:name w:val="Основной текст Знак"/>
    <w:basedOn w:val="DefaultParagraphFont"/>
    <w:uiPriority w:val="99"/>
    <w:qFormat/>
    <w:rsid w:val="003e61a6"/>
    <w:rPr>
      <w:rFonts w:ascii="Times New Roman" w:hAnsi="Times New Roman" w:eastAsia="Times New Roman" w:cs="Times New Roman"/>
      <w:sz w:val="24"/>
      <w:szCs w:val="24"/>
      <w:lang w:eastAsia="ru-RU"/>
    </w:rPr>
  </w:style>
  <w:style w:type="character" w:styleId="ConsNormal" w:customStyle="1">
    <w:name w:val="ConsNormal Знак"/>
    <w:link w:val="ConsNormal1"/>
    <w:qFormat/>
    <w:rsid w:val="003e61a6"/>
    <w:rPr>
      <w:rFonts w:ascii="Consultant" w:hAnsi="Consultant" w:eastAsia="Arial"/>
      <w:sz w:val="22"/>
      <w:szCs w:val="22"/>
      <w:lang w:eastAsia="ar-SA" w:bidi="ar-SA"/>
    </w:rPr>
  </w:style>
  <w:style w:type="character" w:styleId="ConsNonformat" w:customStyle="1">
    <w:name w:val="ConsNonformat Знак"/>
    <w:link w:val="ConsNonformat1"/>
    <w:qFormat/>
    <w:locked/>
    <w:rsid w:val="00ac4558"/>
    <w:rPr>
      <w:rFonts w:ascii="Courier New" w:hAnsi="Courier New" w:eastAsia="Times New Roman"/>
    </w:rPr>
  </w:style>
  <w:style w:type="character" w:styleId="Style10" w:customStyle="1">
    <w:name w:val="Текст Знак"/>
    <w:basedOn w:val="DefaultParagraphFont"/>
    <w:link w:val="PlainText"/>
    <w:uiPriority w:val="99"/>
    <w:qFormat/>
    <w:rsid w:val="007c425f"/>
    <w:rPr>
      <w:rFonts w:ascii="Courier New" w:hAnsi="Courier New" w:eastAsia="Times New Roman" w:cs="Times New Roman"/>
      <w:sz w:val="20"/>
      <w:szCs w:val="20"/>
      <w:lang w:eastAsia="ru-RU"/>
    </w:rPr>
  </w:style>
  <w:style w:type="character" w:styleId="Hyperlink">
    <w:name w:val="Hyperlink"/>
    <w:basedOn w:val="DefaultParagraphFont"/>
    <w:unhideWhenUsed/>
    <w:rsid w:val="00682012"/>
    <w:rPr>
      <w:color w:themeColor="hyperlink" w:val="0000FF"/>
      <w:u w:val="single"/>
    </w:rPr>
  </w:style>
  <w:style w:type="character" w:styleId="Style11" w:customStyle="1">
    <w:name w:val="Текст выноски Знак"/>
    <w:basedOn w:val="DefaultParagraphFont"/>
    <w:link w:val="BalloonText"/>
    <w:semiHidden/>
    <w:qFormat/>
    <w:rsid w:val="009d37f8"/>
    <w:rPr>
      <w:rFonts w:ascii="Segoe UI" w:hAnsi="Segoe UI" w:eastAsia="Times New Roman" w:cs="Segoe UI"/>
      <w:sz w:val="18"/>
      <w:szCs w:val="18"/>
    </w:rPr>
  </w:style>
  <w:style w:type="character" w:styleId="Style12" w:customStyle="1">
    <w:name w:val="Текст сноски Знак"/>
    <w:basedOn w:val="DefaultParagraphFont"/>
    <w:uiPriority w:val="99"/>
    <w:qFormat/>
    <w:rsid w:val="00f22f5b"/>
    <w:rPr>
      <w:rFonts w:ascii="Times New Roman" w:hAnsi="Times New Roman" w:eastAsia="Times New Roman"/>
    </w:rPr>
  </w:style>
  <w:style w:type="character" w:styleId="Style13">
    <w:name w:val="Символ сноски"/>
    <w:basedOn w:val="DefaultParagraphFont"/>
    <w:uiPriority w:val="99"/>
    <w:semiHidden/>
    <w:unhideWhenUsed/>
    <w:qFormat/>
    <w:rsid w:val="00f22f5b"/>
    <w:rPr>
      <w:vertAlign w:val="superscript"/>
    </w:rPr>
  </w:style>
  <w:style w:type="character" w:styleId="FootnoteReference">
    <w:name w:val="footnote reference"/>
    <w:rPr>
      <w:vertAlign w:val="superscript"/>
    </w:rPr>
  </w:style>
  <w:style w:type="character" w:styleId="markedcontent" w:customStyle="1">
    <w:name w:val="markedcontent"/>
    <w:basedOn w:val="DefaultParagraphFont"/>
    <w:qFormat/>
    <w:rsid w:val="00a31b90"/>
    <w:rPr/>
  </w:style>
  <w:style w:type="character" w:styleId="Style14" w:customStyle="1">
    <w:name w:val="Текст примечания Знак"/>
    <w:basedOn w:val="DefaultParagraphFont"/>
    <w:semiHidden/>
    <w:qFormat/>
    <w:rsid w:val="00ac4558"/>
    <w:rPr>
      <w:rFonts w:ascii="Times New Roman" w:hAnsi="Times New Roman" w:eastAsia="Times New Roman"/>
    </w:rPr>
  </w:style>
  <w:style w:type="character" w:styleId="12" w:customStyle="1">
    <w:name w:val="Текст примечания Знак1"/>
    <w:basedOn w:val="DefaultParagraphFont"/>
    <w:uiPriority w:val="99"/>
    <w:semiHidden/>
    <w:qFormat/>
    <w:rsid w:val="00ac4558"/>
    <w:rPr>
      <w:rFonts w:ascii="Times New Roman" w:hAnsi="Times New Roman" w:eastAsia="Times New Roman"/>
    </w:rPr>
  </w:style>
  <w:style w:type="character" w:styleId="Style15" w:customStyle="1">
    <w:name w:val="Тема примечания Знак"/>
    <w:basedOn w:val="Style14"/>
    <w:link w:val="annotationsubject"/>
    <w:semiHidden/>
    <w:qFormat/>
    <w:rsid w:val="00ac4558"/>
    <w:rPr>
      <w:rFonts w:ascii="Times New Roman" w:hAnsi="Times New Roman" w:eastAsia="Times New Roman"/>
      <w:b/>
      <w:bCs/>
    </w:rPr>
  </w:style>
  <w:style w:type="character" w:styleId="13" w:customStyle="1">
    <w:name w:val="Тема примечания Знак1"/>
    <w:basedOn w:val="12"/>
    <w:uiPriority w:val="99"/>
    <w:semiHidden/>
    <w:qFormat/>
    <w:rsid w:val="00ac4558"/>
    <w:rPr>
      <w:rFonts w:ascii="Times New Roman" w:hAnsi="Times New Roman" w:eastAsia="Times New Roman"/>
      <w:b/>
      <w:bCs/>
    </w:rPr>
  </w:style>
  <w:style w:type="character" w:styleId="31" w:customStyle="1">
    <w:name w:val="Основной текст с отступом 3 Знак"/>
    <w:basedOn w:val="DefaultParagraphFont"/>
    <w:link w:val="BodyTextIndent3"/>
    <w:qFormat/>
    <w:rsid w:val="00ac4558"/>
    <w:rPr>
      <w:rFonts w:ascii="Times New Roman" w:hAnsi="Times New Roman" w:eastAsia="Times New Roman"/>
      <w:sz w:val="16"/>
    </w:rPr>
  </w:style>
  <w:style w:type="character" w:styleId="Style16" w:customStyle="1">
    <w:name w:val="Заголовок записки Знак"/>
    <w:basedOn w:val="DefaultParagraphFont"/>
    <w:link w:val="NoteHeading"/>
    <w:qFormat/>
    <w:rsid w:val="00ac4558"/>
    <w:rPr>
      <w:rFonts w:ascii="Times New Roman" w:hAnsi="Times New Roman" w:eastAsia="Times New Roman"/>
      <w:sz w:val="24"/>
      <w:szCs w:val="24"/>
    </w:rPr>
  </w:style>
  <w:style w:type="character" w:styleId="32" w:customStyle="1">
    <w:name w:val="Основной текст 3 Знак"/>
    <w:basedOn w:val="DefaultParagraphFont"/>
    <w:link w:val="BodyText3"/>
    <w:qFormat/>
    <w:rsid w:val="00ac4558"/>
    <w:rPr>
      <w:rFonts w:ascii="Times New Roman" w:hAnsi="Times New Roman" w:eastAsia="Times New Roman"/>
      <w:sz w:val="16"/>
      <w:szCs w:val="16"/>
    </w:rPr>
  </w:style>
  <w:style w:type="character" w:styleId="DocumentHeader11" w:customStyle="1">
    <w:name w:val="Document Header1 Знак1"/>
    <w:qFormat/>
    <w:rsid w:val="00ac4558"/>
    <w:rPr>
      <w:rFonts w:cs="Times New Roman"/>
      <w:b/>
      <w:kern w:val="2"/>
      <w:sz w:val="36"/>
      <w:lang w:val="ru-RU" w:eastAsia="ru-RU" w:bidi="ar-SA"/>
    </w:rPr>
  </w:style>
  <w:style w:type="character" w:styleId="Style17" w:customStyle="1">
    <w:name w:val="Подзаголовок Знак"/>
    <w:basedOn w:val="DefaultParagraphFont"/>
    <w:qFormat/>
    <w:rsid w:val="00ac4558"/>
    <w:rPr>
      <w:rFonts w:ascii="Arial" w:hAnsi="Arial" w:eastAsia="Times New Roman"/>
      <w:sz w:val="24"/>
    </w:rPr>
  </w:style>
  <w:style w:type="character" w:styleId="21" w:customStyle="1">
    <w:name w:val="Основной текст с отступом 2 Знак"/>
    <w:basedOn w:val="DefaultParagraphFont"/>
    <w:link w:val="BodyTextIndent2"/>
    <w:uiPriority w:val="99"/>
    <w:qFormat/>
    <w:rsid w:val="00ac4558"/>
    <w:rPr>
      <w:rFonts w:ascii="Times New Roman" w:hAnsi="Times New Roman" w:eastAsia="Times New Roman"/>
      <w:sz w:val="24"/>
    </w:rPr>
  </w:style>
  <w:style w:type="character" w:styleId="H2" w:customStyle="1">
    <w:name w:val="H2 Знак Знак"/>
    <w:qFormat/>
    <w:rsid w:val="00ac4558"/>
    <w:rPr>
      <w:rFonts w:eastAsia="Times New Roman" w:cs="Times New Roman"/>
      <w:b/>
      <w:bCs/>
      <w:sz w:val="30"/>
      <w:szCs w:val="30"/>
      <w:lang w:val="ru-RU" w:eastAsia="ru-RU" w:bidi="ar-SA"/>
    </w:rPr>
  </w:style>
  <w:style w:type="character" w:styleId="29" w:customStyle="1">
    <w:name w:val="Знак Знак29"/>
    <w:qFormat/>
    <w:rsid w:val="00ac4558"/>
    <w:rPr>
      <w:rFonts w:ascii="Cambria" w:hAnsi="Cambria" w:cs="Times New Roman"/>
      <w:b/>
      <w:bCs/>
      <w:sz w:val="26"/>
      <w:szCs w:val="26"/>
      <w:lang w:val="ru-RU" w:eastAsia="en-US" w:bidi="ar-SA"/>
    </w:rPr>
  </w:style>
  <w:style w:type="character" w:styleId="28" w:customStyle="1">
    <w:name w:val="Знак Знак28"/>
    <w:qFormat/>
    <w:rsid w:val="00ac4558"/>
    <w:rPr>
      <w:rFonts w:ascii="Arial" w:hAnsi="Arial" w:cs="Arial"/>
      <w:sz w:val="24"/>
      <w:szCs w:val="24"/>
      <w:lang w:val="ru-RU" w:eastAsia="ru-RU" w:bidi="ar-SA"/>
    </w:rPr>
  </w:style>
  <w:style w:type="character" w:styleId="27" w:customStyle="1">
    <w:name w:val="Знак Знак27"/>
    <w:qFormat/>
    <w:rsid w:val="00ac4558"/>
    <w:rPr>
      <w:rFonts w:eastAsia="Times New Roman" w:cs="Times New Roman"/>
      <w:sz w:val="22"/>
      <w:szCs w:val="22"/>
      <w:lang w:val="ru-RU" w:eastAsia="ru-RU" w:bidi="ar-SA"/>
    </w:rPr>
  </w:style>
  <w:style w:type="character" w:styleId="26" w:customStyle="1">
    <w:name w:val="Знак Знак26"/>
    <w:qFormat/>
    <w:rsid w:val="00ac4558"/>
    <w:rPr>
      <w:rFonts w:eastAsia="Times New Roman" w:cs="Times New Roman"/>
      <w:i/>
      <w:iCs/>
      <w:sz w:val="22"/>
      <w:szCs w:val="22"/>
      <w:lang w:val="ru-RU" w:eastAsia="ru-RU" w:bidi="ar-SA"/>
    </w:rPr>
  </w:style>
  <w:style w:type="character" w:styleId="25" w:customStyle="1">
    <w:name w:val="Знак Знак25"/>
    <w:qFormat/>
    <w:rsid w:val="00ac4558"/>
    <w:rPr>
      <w:rFonts w:ascii="Arial" w:hAnsi="Arial" w:cs="Arial"/>
      <w:lang w:val="ru-RU" w:eastAsia="ru-RU" w:bidi="ar-SA"/>
    </w:rPr>
  </w:style>
  <w:style w:type="character" w:styleId="24" w:customStyle="1">
    <w:name w:val="Знак Знак24"/>
    <w:qFormat/>
    <w:rsid w:val="00ac4558"/>
    <w:rPr>
      <w:rFonts w:ascii="Arial" w:hAnsi="Arial" w:cs="Arial"/>
      <w:i/>
      <w:iCs/>
      <w:lang w:val="ru-RU" w:eastAsia="ru-RU" w:bidi="ar-SA"/>
    </w:rPr>
  </w:style>
  <w:style w:type="character" w:styleId="23" w:customStyle="1">
    <w:name w:val="Знак Знак23"/>
    <w:qFormat/>
    <w:rsid w:val="00ac4558"/>
    <w:rPr>
      <w:rFonts w:ascii="Arial" w:hAnsi="Arial" w:cs="Arial"/>
      <w:b/>
      <w:bCs/>
      <w:i/>
      <w:iCs/>
      <w:sz w:val="18"/>
      <w:szCs w:val="18"/>
      <w:lang w:val="ru-RU" w:eastAsia="ru-RU" w:bidi="ar-SA"/>
    </w:rPr>
  </w:style>
  <w:style w:type="character" w:styleId="HTML" w:customStyle="1">
    <w:name w:val="Адрес HTML Знак"/>
    <w:basedOn w:val="DefaultParagraphFont"/>
    <w:link w:val="HTMLAddress"/>
    <w:qFormat/>
    <w:rsid w:val="00ac4558"/>
    <w:rPr>
      <w:rFonts w:ascii="Times New Roman" w:hAnsi="Times New Roman" w:eastAsia="Times New Roman"/>
      <w:i/>
      <w:iCs/>
      <w:sz w:val="24"/>
      <w:szCs w:val="24"/>
    </w:rPr>
  </w:style>
  <w:style w:type="character" w:styleId="HTML1" w:customStyle="1">
    <w:name w:val="Стандартный HTML Знак"/>
    <w:basedOn w:val="DefaultParagraphFont"/>
    <w:link w:val="HTMLPreformatted"/>
    <w:qFormat/>
    <w:rsid w:val="00ac4558"/>
    <w:rPr>
      <w:rFonts w:ascii="Courier New" w:hAnsi="Courier New" w:eastAsia="Times New Roman"/>
    </w:rPr>
  </w:style>
  <w:style w:type="character" w:styleId="17" w:customStyle="1">
    <w:name w:val="Знак Знак17"/>
    <w:qFormat/>
    <w:rsid w:val="00ac4558"/>
    <w:rPr>
      <w:rFonts w:ascii="Cambria" w:hAnsi="Cambria" w:cs="Times New Roman"/>
      <w:b/>
      <w:bCs/>
      <w:kern w:val="2"/>
      <w:sz w:val="32"/>
      <w:szCs w:val="32"/>
      <w:lang w:val="ru-RU" w:eastAsia="zh-CN" w:bidi="ar-SA"/>
    </w:rPr>
  </w:style>
  <w:style w:type="character" w:styleId="Style18" w:customStyle="1">
    <w:name w:val="Название Знак"/>
    <w:basedOn w:val="DefaultParagraphFont"/>
    <w:qFormat/>
    <w:rsid w:val="00ac4558"/>
    <w:rPr>
      <w:rFonts w:ascii="Cambria" w:hAnsi="Cambria" w:eastAsia="Times New Roman"/>
      <w:b/>
      <w:bCs/>
      <w:kern w:val="2"/>
      <w:sz w:val="32"/>
      <w:szCs w:val="32"/>
    </w:rPr>
  </w:style>
  <w:style w:type="character" w:styleId="Style19" w:customStyle="1">
    <w:name w:val="Прощание Знак"/>
    <w:basedOn w:val="DefaultParagraphFont"/>
    <w:qFormat/>
    <w:rsid w:val="00ac4558"/>
    <w:rPr>
      <w:rFonts w:ascii="Times New Roman" w:hAnsi="Times New Roman" w:eastAsia="Times New Roman"/>
      <w:sz w:val="24"/>
      <w:szCs w:val="24"/>
    </w:rPr>
  </w:style>
  <w:style w:type="character" w:styleId="Style20" w:customStyle="1">
    <w:name w:val="Подпись Знак"/>
    <w:basedOn w:val="DefaultParagraphFont"/>
    <w:qFormat/>
    <w:rsid w:val="00ac4558"/>
    <w:rPr>
      <w:rFonts w:ascii="Times New Roman" w:hAnsi="Times New Roman" w:eastAsia="Times New Roman"/>
      <w:sz w:val="24"/>
      <w:szCs w:val="24"/>
    </w:rPr>
  </w:style>
  <w:style w:type="character" w:styleId="Style21" w:customStyle="1">
    <w:name w:val="Шапка Знак"/>
    <w:basedOn w:val="DefaultParagraphFont"/>
    <w:link w:val="MessageHeader"/>
    <w:qFormat/>
    <w:rsid w:val="00ac4558"/>
    <w:rPr>
      <w:rFonts w:ascii="Arial" w:hAnsi="Arial" w:eastAsia="Times New Roman"/>
      <w:sz w:val="24"/>
      <w:szCs w:val="24"/>
      <w:shd w:fill="CCCCCC" w:val="clear"/>
    </w:rPr>
  </w:style>
  <w:style w:type="character" w:styleId="111" w:customStyle="1">
    <w:name w:val="Знак Знак11"/>
    <w:qFormat/>
    <w:rsid w:val="00ac4558"/>
    <w:rPr>
      <w:rFonts w:ascii="Arial" w:hAnsi="Arial" w:cs="Times New Roman"/>
      <w:sz w:val="24"/>
      <w:szCs w:val="24"/>
      <w:lang w:val="ru-RU" w:eastAsia="ru-RU" w:bidi="ar-SA"/>
    </w:rPr>
  </w:style>
  <w:style w:type="character" w:styleId="Style22" w:customStyle="1">
    <w:name w:val="Приветствие Знак"/>
    <w:basedOn w:val="DefaultParagraphFont"/>
    <w:qFormat/>
    <w:rsid w:val="00ac4558"/>
    <w:rPr>
      <w:rFonts w:ascii="Times New Roman" w:hAnsi="Times New Roman" w:eastAsia="Times New Roman"/>
      <w:sz w:val="24"/>
      <w:szCs w:val="24"/>
    </w:rPr>
  </w:style>
  <w:style w:type="character" w:styleId="91" w:customStyle="1">
    <w:name w:val="Знак Знак9"/>
    <w:qFormat/>
    <w:rsid w:val="00ac4558"/>
    <w:rPr>
      <w:rFonts w:eastAsia="Times New Roman" w:cs="Times New Roman"/>
      <w:sz w:val="24"/>
      <w:szCs w:val="24"/>
      <w:lang w:val="ru-RU" w:eastAsia="ru-RU" w:bidi="ar-SA"/>
    </w:rPr>
  </w:style>
  <w:style w:type="character" w:styleId="Style23" w:customStyle="1">
    <w:name w:val="Дата Знак"/>
    <w:basedOn w:val="DefaultParagraphFont"/>
    <w:link w:val="Date"/>
    <w:qFormat/>
    <w:rsid w:val="00ac4558"/>
    <w:rPr>
      <w:rFonts w:ascii="Times New Roman" w:hAnsi="Times New Roman" w:eastAsia="Times New Roman"/>
      <w:sz w:val="24"/>
      <w:szCs w:val="24"/>
    </w:rPr>
  </w:style>
  <w:style w:type="character" w:styleId="Style24" w:customStyle="1">
    <w:name w:val="Красная строка Знак"/>
    <w:basedOn w:val="Style9"/>
    <w:qFormat/>
    <w:rsid w:val="00ac4558"/>
    <w:rPr>
      <w:rFonts w:ascii="Times New Roman" w:hAnsi="Times New Roman" w:eastAsia="Times New Roman" w:cs="Times New Roman"/>
      <w:sz w:val="24"/>
      <w:szCs w:val="24"/>
      <w:lang w:eastAsia="ru-RU"/>
    </w:rPr>
  </w:style>
  <w:style w:type="character" w:styleId="22" w:customStyle="1">
    <w:name w:val="Красная строка 2 Знак"/>
    <w:basedOn w:val="11"/>
    <w:link w:val="BodyTextFirstIndent2"/>
    <w:qFormat/>
    <w:rsid w:val="00ac4558"/>
    <w:rPr>
      <w:rFonts w:ascii="Times New Roman" w:hAnsi="Times New Roman" w:eastAsia="Times New Roman" w:cs="Times New Roman"/>
      <w:sz w:val="24"/>
      <w:szCs w:val="24"/>
      <w:lang w:eastAsia="ru-RU"/>
    </w:rPr>
  </w:style>
  <w:style w:type="character" w:styleId="51" w:customStyle="1">
    <w:name w:val="Знак Знак5"/>
    <w:qFormat/>
    <w:rsid w:val="00ac4558"/>
    <w:rPr>
      <w:rFonts w:eastAsia="Times New Roman" w:cs="Times New Roman"/>
      <w:sz w:val="24"/>
      <w:szCs w:val="24"/>
      <w:lang w:val="ru-RU" w:eastAsia="ru-RU" w:bidi="ar-SA"/>
    </w:rPr>
  </w:style>
  <w:style w:type="character" w:styleId="Style25" w:customStyle="1">
    <w:name w:val="Электронная подпись Знак"/>
    <w:basedOn w:val="DefaultParagraphFont"/>
    <w:link w:val="E-mailSignature"/>
    <w:qFormat/>
    <w:rsid w:val="00ac4558"/>
    <w:rPr>
      <w:rFonts w:ascii="Times New Roman" w:hAnsi="Times New Roman" w:eastAsia="Times New Roman"/>
      <w:sz w:val="24"/>
      <w:szCs w:val="24"/>
    </w:rPr>
  </w:style>
  <w:style w:type="character" w:styleId="Style26" w:customStyle="1">
    <w:name w:val="Дефис Знак"/>
    <w:link w:val="Style38"/>
    <w:qFormat/>
    <w:rsid w:val="00ac4558"/>
    <w:rPr>
      <w:rFonts w:ascii="Times New Roman" w:hAnsi="Times New Roman" w:eastAsia="Times New Roman"/>
      <w:sz w:val="24"/>
      <w:szCs w:val="24"/>
      <w:lang w:val="en-US"/>
    </w:rPr>
  </w:style>
  <w:style w:type="character" w:styleId="41" w:customStyle="1">
    <w:name w:val="Стиль4 Знак"/>
    <w:basedOn w:val="Style26"/>
    <w:link w:val="42"/>
    <w:qFormat/>
    <w:rsid w:val="00ac4558"/>
    <w:rPr>
      <w:rFonts w:ascii="Times New Roman" w:hAnsi="Times New Roman" w:eastAsia="Times New Roman"/>
      <w:sz w:val="24"/>
      <w:szCs w:val="24"/>
      <w:lang w:val="en-US"/>
    </w:rPr>
  </w:style>
  <w:style w:type="character" w:styleId="skypepnhtextspan" w:customStyle="1">
    <w:name w:val="skype_pnh_text_span"/>
    <w:qFormat/>
    <w:rsid w:val="00ac4558"/>
    <w:rPr>
      <w:rFonts w:cs="Times New Roman"/>
    </w:rPr>
  </w:style>
  <w:style w:type="character" w:styleId="Style27" w:customStyle="1">
    <w:name w:val="Текст концевой сноски Знак"/>
    <w:basedOn w:val="DefaultParagraphFont"/>
    <w:semiHidden/>
    <w:qFormat/>
    <w:rsid w:val="00ac4558"/>
    <w:rPr>
      <w:rFonts w:ascii="Times New Roman" w:hAnsi="Times New Roman" w:eastAsia="Times New Roman"/>
    </w:rPr>
  </w:style>
  <w:style w:type="character" w:styleId="14" w:customStyle="1">
    <w:name w:val="Текст концевой сноски Знак1"/>
    <w:basedOn w:val="DefaultParagraphFont"/>
    <w:uiPriority w:val="99"/>
    <w:semiHidden/>
    <w:qFormat/>
    <w:rsid w:val="00ac4558"/>
    <w:rPr>
      <w:rFonts w:ascii="Times New Roman" w:hAnsi="Times New Roman" w:eastAsia="Times New Roman"/>
    </w:rPr>
  </w:style>
  <w:style w:type="character" w:styleId="FontStyle12" w:customStyle="1">
    <w:name w:val="Font Style12"/>
    <w:uiPriority w:val="99"/>
    <w:qFormat/>
    <w:rsid w:val="00ac4558"/>
    <w:rPr>
      <w:rFonts w:ascii="Times New Roman" w:hAnsi="Times New Roman" w:cs="Times New Roman"/>
      <w:sz w:val="22"/>
      <w:szCs w:val="22"/>
    </w:rPr>
  </w:style>
  <w:style w:type="character" w:styleId="FontStyle11" w:customStyle="1">
    <w:name w:val="Font Style11"/>
    <w:uiPriority w:val="99"/>
    <w:qFormat/>
    <w:rsid w:val="00ac4558"/>
    <w:rPr>
      <w:rFonts w:ascii="Times New Roman" w:hAnsi="Times New Roman" w:cs="Times New Roman"/>
      <w:b/>
      <w:bCs/>
      <w:sz w:val="22"/>
      <w:szCs w:val="22"/>
    </w:rPr>
  </w:style>
  <w:style w:type="character" w:styleId="33" w:customStyle="1">
    <w:name w:val="Стиль3 Знак Знак Знак"/>
    <w:link w:val="36"/>
    <w:uiPriority w:val="99"/>
    <w:qFormat/>
    <w:rsid w:val="00ac4558"/>
    <w:rPr>
      <w:rFonts w:ascii="Times New Roman" w:hAnsi="Times New Roman" w:eastAsia="Times New Roman"/>
      <w:sz w:val="24"/>
      <w:szCs w:val="24"/>
    </w:rPr>
  </w:style>
  <w:style w:type="character" w:styleId="Strong">
    <w:name w:val="Strong"/>
    <w:uiPriority w:val="99"/>
    <w:qFormat/>
    <w:rsid w:val="00ac4558"/>
    <w:rPr>
      <w:rFonts w:ascii="Times New Roman" w:hAnsi="Times New Roman" w:cs="Times New Roman"/>
      <w:b/>
      <w:bCs/>
    </w:rPr>
  </w:style>
  <w:style w:type="character" w:styleId="apple-style-span" w:customStyle="1">
    <w:name w:val="apple-style-span"/>
    <w:basedOn w:val="DefaultParagraphFont"/>
    <w:qFormat/>
    <w:rsid w:val="00ac4558"/>
    <w:rPr/>
  </w:style>
  <w:style w:type="character" w:styleId="210" w:customStyle="1">
    <w:name w:val="Основной текст 2 Знак"/>
    <w:basedOn w:val="DefaultParagraphFont"/>
    <w:link w:val="BodyText2"/>
    <w:uiPriority w:val="99"/>
    <w:qFormat/>
    <w:rsid w:val="00ac4558"/>
    <w:rPr>
      <w:rFonts w:ascii="Times New Roman" w:hAnsi="Times New Roman" w:eastAsia="Times New Roman"/>
      <w:sz w:val="24"/>
      <w:szCs w:val="24"/>
    </w:rPr>
  </w:style>
  <w:style w:type="character" w:styleId="layout" w:customStyle="1">
    <w:name w:val="layout"/>
    <w:basedOn w:val="DefaultParagraphFont"/>
    <w:qFormat/>
    <w:rsid w:val="00cf2bd5"/>
    <w:rPr/>
  </w:style>
  <w:style w:type="character" w:styleId="EndnoteReference">
    <w:name w:val="endnote reference"/>
    <w:rPr>
      <w:vertAlign w:val="superscript"/>
    </w:rPr>
  </w:style>
  <w:style w:type="character" w:styleId="Style28">
    <w:name w:val="Символ концевой сноски"/>
    <w:qFormat/>
    <w:rPr/>
  </w:style>
  <w:style w:type="paragraph" w:styleId="Style29" w:customStyle="1">
    <w:name w:val="Заголовок"/>
    <w:next w:val="BodyText"/>
    <w:qFormat/>
    <w:rsid w:val="003e61a6"/>
    <w:pPr>
      <w:widowControl/>
      <w:bidi w:val="0"/>
      <w:spacing w:before="0" w:after="0"/>
      <w:jc w:val="left"/>
    </w:pPr>
    <w:rPr>
      <w:rFonts w:ascii="Arial" w:hAnsi="Arial" w:eastAsia="Times New Roman" w:cs="Arial"/>
      <w:b/>
      <w:bCs/>
      <w:color w:val="auto"/>
      <w:kern w:val="0"/>
      <w:sz w:val="22"/>
      <w:szCs w:val="22"/>
      <w:lang w:val="ru-RU" w:eastAsia="ru-RU" w:bidi="ar-SA"/>
    </w:rPr>
  </w:style>
  <w:style w:type="paragraph" w:styleId="BodyText">
    <w:name w:val="Body Text"/>
    <w:basedOn w:val="Normal"/>
    <w:link w:val="Style9"/>
    <w:uiPriority w:val="99"/>
    <w:unhideWhenUsed/>
    <w:rsid w:val="003e61a6"/>
    <w:pPr>
      <w:spacing w:before="0" w:after="120"/>
    </w:pPr>
    <w:rPr/>
  </w:style>
  <w:style w:type="paragraph" w:styleId="List">
    <w:name w:val="List"/>
    <w:basedOn w:val="Normal"/>
    <w:rsid w:val="00ac4558"/>
    <w:pPr>
      <w:spacing w:before="0" w:after="60"/>
      <w:ind w:hanging="283" w:left="283"/>
      <w:jc w:val="both"/>
    </w:pPr>
    <w:rPr/>
  </w:style>
  <w:style w:type="paragraph" w:styleId="Caption">
    <w:name w:val="caption"/>
    <w:basedOn w:val="Normal"/>
    <w:qFormat/>
    <w:pPr>
      <w:suppressLineNumbers/>
      <w:spacing w:before="120" w:after="120"/>
    </w:pPr>
    <w:rPr>
      <w:rFonts w:cs="Droid Sans"/>
      <w:i/>
      <w:iCs/>
      <w:sz w:val="24"/>
      <w:szCs w:val="24"/>
    </w:rPr>
  </w:style>
  <w:style w:type="paragraph" w:styleId="Style30">
    <w:name w:val="Указатель"/>
    <w:basedOn w:val="Normal"/>
    <w:qFormat/>
    <w:pPr>
      <w:suppressLineNumbers/>
    </w:pPr>
    <w:rPr>
      <w:rFonts w:cs="Droid Sans"/>
    </w:rPr>
  </w:style>
  <w:style w:type="paragraph" w:styleId="ConsPlusNormal1" w:customStyle="1">
    <w:name w:val="ConsPlusNormal"/>
    <w:link w:val="ConsPlusNormal"/>
    <w:uiPriority w:val="99"/>
    <w:qFormat/>
    <w:rsid w:val="003e61a6"/>
    <w:pPr>
      <w:widowControl w:val="false"/>
      <w:bidi w:val="0"/>
      <w:spacing w:before="0" w:after="0"/>
      <w:ind w:firstLine="720"/>
      <w:jc w:val="left"/>
    </w:pPr>
    <w:rPr>
      <w:rFonts w:ascii="Arial" w:hAnsi="Arial" w:eastAsia="Times New Roman" w:cs="Arial"/>
      <w:color w:val="auto"/>
      <w:kern w:val="0"/>
      <w:sz w:val="22"/>
      <w:szCs w:val="22"/>
      <w:lang w:val="ru-RU" w:eastAsia="ru-RU" w:bidi="ar-SA"/>
    </w:rPr>
  </w:style>
  <w:style w:type="paragraph" w:styleId="HeaderandFooter">
    <w:name w:val="Header and Footer"/>
    <w:basedOn w:val="Normal"/>
    <w:qFormat/>
    <w:pPr/>
    <w:rPr/>
  </w:style>
  <w:style w:type="paragraph" w:styleId="Header">
    <w:name w:val="header"/>
    <w:basedOn w:val="Normal"/>
    <w:link w:val="Style5"/>
    <w:rsid w:val="003e61a6"/>
    <w:pPr>
      <w:tabs>
        <w:tab w:val="clear" w:pos="708"/>
        <w:tab w:val="center" w:pos="4153" w:leader="none"/>
        <w:tab w:val="right" w:pos="8306" w:leader="none"/>
      </w:tabs>
      <w:spacing w:before="120" w:after="120"/>
      <w:jc w:val="both"/>
    </w:pPr>
    <w:rPr>
      <w:rFonts w:ascii="Arial" w:hAnsi="Arial"/>
    </w:rPr>
  </w:style>
  <w:style w:type="paragraph" w:styleId="Footer">
    <w:name w:val="footer"/>
    <w:basedOn w:val="Normal"/>
    <w:link w:val="Style6"/>
    <w:uiPriority w:val="99"/>
    <w:rsid w:val="003e61a6"/>
    <w:pPr>
      <w:tabs>
        <w:tab w:val="clear" w:pos="708"/>
        <w:tab w:val="center" w:pos="4153" w:leader="none"/>
        <w:tab w:val="right" w:pos="8306" w:leader="none"/>
      </w:tabs>
      <w:spacing w:before="0" w:after="60"/>
      <w:jc w:val="both"/>
    </w:pPr>
    <w:rPr/>
  </w:style>
  <w:style w:type="paragraph" w:styleId="NormalWeb">
    <w:name w:val="Normal (Web)"/>
    <w:basedOn w:val="Normal"/>
    <w:uiPriority w:val="99"/>
    <w:qFormat/>
    <w:rsid w:val="003e61a6"/>
    <w:pPr>
      <w:spacing w:beforeAutospacing="1" w:afterAutospacing="1"/>
    </w:pPr>
    <w:rPr/>
  </w:style>
  <w:style w:type="paragraph" w:styleId="BodyTextIndent">
    <w:name w:val="Body Text Indent"/>
    <w:basedOn w:val="Normal"/>
    <w:link w:val="11"/>
    <w:rsid w:val="003e61a6"/>
    <w:pPr>
      <w:spacing w:lineRule="auto" w:line="480" w:before="0" w:after="120"/>
    </w:pPr>
    <w:rPr/>
  </w:style>
  <w:style w:type="paragraph" w:styleId="15" w:customStyle="1">
    <w:name w:val="Основной текст с отступом1"/>
    <w:basedOn w:val="Normal"/>
    <w:link w:val="Style7"/>
    <w:qFormat/>
    <w:rsid w:val="00ac4558"/>
    <w:pPr>
      <w:spacing w:before="0" w:after="120"/>
      <w:ind w:left="283"/>
    </w:pPr>
    <w:rPr/>
  </w:style>
  <w:style w:type="paragraph" w:styleId="16" w:customStyle="1">
    <w:name w:val="Текст1"/>
    <w:basedOn w:val="Normal"/>
    <w:qFormat/>
    <w:rsid w:val="003e61a6"/>
    <w:pPr>
      <w:suppressAutoHyphens w:val="true"/>
      <w:spacing w:lineRule="auto" w:line="288"/>
      <w:ind w:firstLine="720"/>
    </w:pPr>
    <w:rPr>
      <w:rFonts w:ascii="Courier New" w:hAnsi="Courier New" w:cs="Courier New"/>
      <w:lang w:eastAsia="ar-SA"/>
    </w:rPr>
  </w:style>
  <w:style w:type="paragraph" w:styleId="ListParagraph">
    <w:name w:val="List Paragraph"/>
    <w:basedOn w:val="Normal"/>
    <w:link w:val="Style8"/>
    <w:uiPriority w:val="34"/>
    <w:qFormat/>
    <w:rsid w:val="003e61a6"/>
    <w:pPr>
      <w:spacing w:before="0" w:after="0"/>
      <w:ind w:left="720"/>
      <w:contextualSpacing/>
    </w:pPr>
    <w:rPr>
      <w:sz w:val="20"/>
      <w:szCs w:val="20"/>
    </w:rPr>
  </w:style>
  <w:style w:type="paragraph" w:styleId="ConsNormal1" w:customStyle="1">
    <w:name w:val="ConsNormal"/>
    <w:link w:val="ConsNormal"/>
    <w:qFormat/>
    <w:rsid w:val="003e61a6"/>
    <w:pPr>
      <w:widowControl w:val="false"/>
      <w:suppressAutoHyphens w:val="true"/>
      <w:bidi w:val="0"/>
      <w:spacing w:before="0" w:after="0"/>
      <w:ind w:firstLine="720"/>
      <w:jc w:val="left"/>
    </w:pPr>
    <w:rPr>
      <w:rFonts w:ascii="Consultant" w:hAnsi="Consultant" w:eastAsia="Arial" w:cs="Times New Roman"/>
      <w:color w:val="auto"/>
      <w:kern w:val="0"/>
      <w:sz w:val="22"/>
      <w:szCs w:val="22"/>
      <w:lang w:eastAsia="ar-SA" w:val="ru-RU" w:bidi="ar-SA"/>
    </w:rPr>
  </w:style>
  <w:style w:type="paragraph" w:styleId="112" w:customStyle="1">
    <w:name w:val="заголовок 11"/>
    <w:basedOn w:val="Normal"/>
    <w:next w:val="Normal"/>
    <w:uiPriority w:val="99"/>
    <w:qFormat/>
    <w:rsid w:val="003e61a6"/>
    <w:pPr>
      <w:keepNext w:val="true"/>
      <w:snapToGrid w:val="false"/>
      <w:jc w:val="center"/>
    </w:pPr>
    <w:rPr>
      <w:rFonts w:eastAsia="Calibri"/>
    </w:rPr>
  </w:style>
  <w:style w:type="paragraph" w:styleId="ConsNonformat1" w:customStyle="1">
    <w:name w:val="ConsNonformat"/>
    <w:link w:val="ConsNonformat"/>
    <w:qFormat/>
    <w:rsid w:val="003e61a6"/>
    <w:pPr>
      <w:widowControl w:val="fals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ListParagraph1" w:customStyle="1">
    <w:name w:val="List Paragraph1"/>
    <w:basedOn w:val="Normal"/>
    <w:uiPriority w:val="99"/>
    <w:qFormat/>
    <w:rsid w:val="003e61a6"/>
    <w:pPr>
      <w:spacing w:lineRule="auto" w:line="276" w:before="0" w:after="200"/>
      <w:ind w:left="720"/>
    </w:pPr>
    <w:rPr>
      <w:rFonts w:ascii="Calibri" w:hAnsi="Calibri"/>
      <w:sz w:val="22"/>
      <w:szCs w:val="22"/>
      <w:lang w:eastAsia="en-US"/>
    </w:rPr>
  </w:style>
  <w:style w:type="paragraph" w:styleId="18" w:customStyle="1">
    <w:name w:val="Абзац списка1"/>
    <w:basedOn w:val="Normal"/>
    <w:qFormat/>
    <w:rsid w:val="003e61a6"/>
    <w:pPr>
      <w:spacing w:lineRule="auto" w:line="276" w:before="0" w:after="200"/>
      <w:ind w:left="720"/>
    </w:pPr>
    <w:rPr>
      <w:rFonts w:ascii="Calibri" w:hAnsi="Calibri"/>
      <w:sz w:val="22"/>
      <w:szCs w:val="22"/>
      <w:lang w:eastAsia="en-US"/>
    </w:rPr>
  </w:style>
  <w:style w:type="paragraph" w:styleId="TextNormal" w:customStyle="1">
    <w:name w:val="Text Normal"/>
    <w:basedOn w:val="Normal"/>
    <w:qFormat/>
    <w:rsid w:val="003e61a6"/>
    <w:pPr>
      <w:widowControl w:val="false"/>
      <w:tabs>
        <w:tab w:val="clear" w:pos="708"/>
        <w:tab w:val="left" w:pos="0" w:leader="none"/>
      </w:tabs>
      <w:spacing w:before="0" w:after="120"/>
      <w:ind w:hanging="283" w:left="850" w:right="-1"/>
      <w:jc w:val="both"/>
    </w:pPr>
    <w:rPr>
      <w:rFonts w:ascii="Arial" w:hAnsi="Arial" w:cs="Arial"/>
      <w:sz w:val="22"/>
      <w:szCs w:val="22"/>
    </w:rPr>
  </w:style>
  <w:style w:type="paragraph" w:styleId="20" w:customStyle="1">
    <w:name w:val="20"/>
    <w:basedOn w:val="Normal"/>
    <w:uiPriority w:val="99"/>
    <w:qFormat/>
    <w:rsid w:val="003e61a6"/>
    <w:pPr>
      <w:suppressAutoHyphens w:val="true"/>
      <w:spacing w:before="104" w:after="104"/>
      <w:ind w:left="104" w:right="104"/>
    </w:pPr>
    <w:rPr>
      <w:lang w:eastAsia="ar-SA"/>
    </w:rPr>
  </w:style>
  <w:style w:type="paragraph" w:styleId="34" w:customStyle="1">
    <w:name w:val="Абзац списка3"/>
    <w:basedOn w:val="Normal"/>
    <w:uiPriority w:val="99"/>
    <w:qFormat/>
    <w:rsid w:val="003e61a6"/>
    <w:pPr>
      <w:suppressAutoHyphens w:val="true"/>
      <w:ind w:left="720"/>
    </w:pPr>
    <w:rPr>
      <w:rFonts w:eastAsia="Calibri"/>
      <w:lang w:eastAsia="ar-SA"/>
    </w:rPr>
  </w:style>
  <w:style w:type="paragraph" w:styleId="PlainText">
    <w:name w:val="Plain Text"/>
    <w:basedOn w:val="Normal"/>
    <w:link w:val="Style10"/>
    <w:uiPriority w:val="99"/>
    <w:qFormat/>
    <w:rsid w:val="007c425f"/>
    <w:pPr/>
    <w:rPr>
      <w:rFonts w:ascii="Courier New" w:hAnsi="Courier New"/>
      <w:sz w:val="20"/>
      <w:szCs w:val="20"/>
    </w:rPr>
  </w:style>
  <w:style w:type="paragraph" w:styleId="ConsPlusTitle" w:customStyle="1">
    <w:name w:val="ConsPlusTitle"/>
    <w:uiPriority w:val="99"/>
    <w:qFormat/>
    <w:rsid w:val="00d21084"/>
    <w:pPr>
      <w:widowControl w:val="false"/>
      <w:bidi w:val="0"/>
      <w:spacing w:before="0" w:after="0"/>
      <w:jc w:val="left"/>
    </w:pPr>
    <w:rPr>
      <w:rFonts w:ascii="Arial" w:hAnsi="Arial" w:eastAsia="Times New Roman" w:cs="Arial"/>
      <w:b/>
      <w:bCs/>
      <w:color w:val="auto"/>
      <w:kern w:val="0"/>
      <w:sz w:val="20"/>
      <w:szCs w:val="20"/>
      <w:lang w:val="ru-RU" w:eastAsia="ru-RU" w:bidi="ar-SA"/>
    </w:rPr>
  </w:style>
  <w:style w:type="paragraph" w:styleId="BalloonText">
    <w:name w:val="Balloon Text"/>
    <w:basedOn w:val="Normal"/>
    <w:link w:val="Style11"/>
    <w:semiHidden/>
    <w:unhideWhenUsed/>
    <w:qFormat/>
    <w:rsid w:val="009d37f8"/>
    <w:pPr/>
    <w:rPr>
      <w:rFonts w:ascii="Segoe UI" w:hAnsi="Segoe UI" w:cs="Segoe UI"/>
      <w:sz w:val="18"/>
      <w:szCs w:val="18"/>
    </w:rPr>
  </w:style>
  <w:style w:type="paragraph" w:styleId="FootnoteText">
    <w:name w:val="footnote text"/>
    <w:basedOn w:val="Normal"/>
    <w:link w:val="Style12"/>
    <w:uiPriority w:val="99"/>
    <w:unhideWhenUsed/>
    <w:rsid w:val="00f22f5b"/>
    <w:pPr/>
    <w:rPr>
      <w:sz w:val="20"/>
      <w:szCs w:val="20"/>
    </w:rPr>
  </w:style>
  <w:style w:type="paragraph" w:styleId="CommentText">
    <w:name w:val="annotation text"/>
    <w:basedOn w:val="Normal"/>
    <w:link w:val="Style14"/>
    <w:semiHidden/>
    <w:rsid w:val="00ac4558"/>
    <w:pPr/>
    <w:rPr>
      <w:sz w:val="20"/>
      <w:szCs w:val="20"/>
    </w:rPr>
  </w:style>
  <w:style w:type="paragraph" w:styleId="annotationsubject">
    <w:name w:val="annotation subject"/>
    <w:basedOn w:val="CommentText"/>
    <w:next w:val="CommentText"/>
    <w:link w:val="Style15"/>
    <w:semiHidden/>
    <w:qFormat/>
    <w:rsid w:val="00ac4558"/>
    <w:pPr/>
    <w:rPr>
      <w:b/>
      <w:bCs/>
    </w:rPr>
  </w:style>
  <w:style w:type="paragraph" w:styleId="ConsPlusCell" w:customStyle="1">
    <w:name w:val="ConsPlusCell"/>
    <w:qFormat/>
    <w:rsid w:val="00ac4558"/>
    <w:pPr>
      <w:widowControl/>
      <w:bidi w:val="0"/>
      <w:spacing w:before="0" w:after="0"/>
      <w:jc w:val="left"/>
    </w:pPr>
    <w:rPr>
      <w:rFonts w:ascii="Arial" w:hAnsi="Arial" w:eastAsia="Times New Roman" w:cs="Arial"/>
      <w:color w:val="auto"/>
      <w:kern w:val="0"/>
      <w:sz w:val="20"/>
      <w:szCs w:val="20"/>
      <w:lang w:val="ru-RU" w:eastAsia="ru-RU" w:bidi="ar-SA"/>
    </w:rPr>
  </w:style>
  <w:style w:type="paragraph" w:styleId="BodyTextIndent3">
    <w:name w:val="Body Text Indent 3"/>
    <w:basedOn w:val="Normal"/>
    <w:link w:val="31"/>
    <w:qFormat/>
    <w:rsid w:val="00ac4558"/>
    <w:pPr>
      <w:spacing w:before="0" w:after="120"/>
      <w:ind w:left="283"/>
      <w:jc w:val="both"/>
    </w:pPr>
    <w:rPr>
      <w:sz w:val="16"/>
      <w:szCs w:val="20"/>
    </w:rPr>
  </w:style>
  <w:style w:type="paragraph" w:styleId="BlockText">
    <w:name w:val="Block Text"/>
    <w:basedOn w:val="Normal"/>
    <w:qFormat/>
    <w:rsid w:val="00ac4558"/>
    <w:pPr>
      <w:spacing w:before="0" w:after="120"/>
      <w:ind w:left="1440" w:right="1440"/>
      <w:jc w:val="both"/>
    </w:pPr>
    <w:rPr>
      <w:szCs w:val="20"/>
    </w:rPr>
  </w:style>
  <w:style w:type="paragraph" w:styleId="NoteHeading" w:customStyle="1">
    <w:name w:val="Note Heading"/>
    <w:basedOn w:val="Normal"/>
    <w:next w:val="Normal"/>
    <w:link w:val="Style16"/>
    <w:qFormat/>
    <w:rsid w:val="00ac4558"/>
    <w:pPr>
      <w:spacing w:before="0" w:after="60"/>
      <w:jc w:val="both"/>
    </w:pPr>
    <w:rPr/>
  </w:style>
  <w:style w:type="paragraph" w:styleId="Style31" w:customStyle="1">
    <w:name w:val="Пункт"/>
    <w:basedOn w:val="Normal"/>
    <w:qFormat/>
    <w:rsid w:val="00ac4558"/>
    <w:pPr>
      <w:tabs>
        <w:tab w:val="clear" w:pos="708"/>
        <w:tab w:val="left" w:pos="1980" w:leader="none"/>
      </w:tabs>
      <w:ind w:hanging="504" w:left="1404"/>
      <w:jc w:val="both"/>
    </w:pPr>
    <w:rPr>
      <w:szCs w:val="28"/>
    </w:rPr>
  </w:style>
  <w:style w:type="paragraph" w:styleId="BodyText3">
    <w:name w:val="Body Text 3"/>
    <w:basedOn w:val="Normal"/>
    <w:link w:val="32"/>
    <w:qFormat/>
    <w:rsid w:val="00ac4558"/>
    <w:pPr>
      <w:spacing w:before="0" w:after="120"/>
    </w:pPr>
    <w:rPr>
      <w:sz w:val="16"/>
      <w:szCs w:val="16"/>
    </w:rPr>
  </w:style>
  <w:style w:type="paragraph" w:styleId="Style32" w:customStyle="1">
    <w:name w:val="Таблица шапка"/>
    <w:basedOn w:val="Normal"/>
    <w:qFormat/>
    <w:rsid w:val="00ac4558"/>
    <w:pPr>
      <w:keepNext w:val="true"/>
      <w:spacing w:before="40" w:after="40"/>
      <w:ind w:left="57" w:right="57"/>
    </w:pPr>
    <w:rPr>
      <w:sz w:val="18"/>
      <w:szCs w:val="18"/>
    </w:rPr>
  </w:style>
  <w:style w:type="paragraph" w:styleId="Style33" w:customStyle="1">
    <w:name w:val="Таблица текст"/>
    <w:basedOn w:val="Normal"/>
    <w:qFormat/>
    <w:rsid w:val="00ac4558"/>
    <w:pPr>
      <w:spacing w:before="40" w:after="40"/>
      <w:ind w:left="57" w:right="57"/>
    </w:pPr>
    <w:rPr>
      <w:sz w:val="22"/>
      <w:szCs w:val="22"/>
    </w:rPr>
  </w:style>
  <w:style w:type="paragraph" w:styleId="ListBullet2">
    <w:name w:val="List Bullet 2"/>
    <w:basedOn w:val="Normal"/>
    <w:autoRedefine/>
    <w:rsid w:val="00ac4558"/>
    <w:pPr>
      <w:tabs>
        <w:tab w:val="clear" w:pos="708"/>
        <w:tab w:val="left" w:pos="643" w:leader="none"/>
        <w:tab w:val="left" w:pos="1209" w:leader="none"/>
      </w:tabs>
      <w:spacing w:before="0" w:after="60"/>
      <w:ind w:hanging="360" w:left="643"/>
      <w:jc w:val="both"/>
    </w:pPr>
    <w:rPr>
      <w:szCs w:val="20"/>
    </w:rPr>
  </w:style>
  <w:style w:type="paragraph" w:styleId="ListBullet3">
    <w:name w:val="List Bullet 3"/>
    <w:basedOn w:val="Normal"/>
    <w:autoRedefine/>
    <w:rsid w:val="00ac4558"/>
    <w:pPr>
      <w:tabs>
        <w:tab w:val="clear" w:pos="708"/>
        <w:tab w:val="left" w:pos="926" w:leader="none"/>
        <w:tab w:val="left" w:pos="1492" w:leader="none"/>
      </w:tabs>
      <w:spacing w:before="0" w:after="60"/>
      <w:ind w:hanging="360" w:left="926"/>
      <w:jc w:val="both"/>
    </w:pPr>
    <w:rPr>
      <w:szCs w:val="20"/>
    </w:rPr>
  </w:style>
  <w:style w:type="paragraph" w:styleId="ListBullet4">
    <w:name w:val="List Bullet 4"/>
    <w:basedOn w:val="Normal"/>
    <w:autoRedefine/>
    <w:rsid w:val="00ac4558"/>
    <w:pPr>
      <w:tabs>
        <w:tab w:val="clear" w:pos="708"/>
        <w:tab w:val="left" w:pos="1209" w:leader="none"/>
      </w:tabs>
      <w:spacing w:before="0" w:after="60"/>
      <w:ind w:hanging="360" w:left="1209"/>
      <w:jc w:val="both"/>
    </w:pPr>
    <w:rPr>
      <w:szCs w:val="20"/>
    </w:rPr>
  </w:style>
  <w:style w:type="paragraph" w:styleId="ListBullet5">
    <w:name w:val="List Bullet 5"/>
    <w:basedOn w:val="Normal"/>
    <w:autoRedefine/>
    <w:rsid w:val="00ac4558"/>
    <w:pPr>
      <w:tabs>
        <w:tab w:val="clear" w:pos="708"/>
        <w:tab w:val="left" w:pos="1492" w:leader="none"/>
      </w:tabs>
      <w:spacing w:before="0" w:after="60"/>
      <w:ind w:hanging="360" w:left="1492"/>
      <w:jc w:val="both"/>
    </w:pPr>
    <w:rPr>
      <w:szCs w:val="20"/>
    </w:rPr>
  </w:style>
  <w:style w:type="paragraph" w:styleId="ListNumber">
    <w:name w:val="List Number"/>
    <w:basedOn w:val="Normal"/>
    <w:rsid w:val="00ac4558"/>
    <w:pPr>
      <w:tabs>
        <w:tab w:val="clear" w:pos="708"/>
        <w:tab w:val="left" w:pos="643" w:leader="none"/>
      </w:tabs>
      <w:spacing w:before="0" w:after="60"/>
      <w:ind w:hanging="360" w:left="360"/>
      <w:jc w:val="both"/>
    </w:pPr>
    <w:rPr>
      <w:szCs w:val="20"/>
    </w:rPr>
  </w:style>
  <w:style w:type="paragraph" w:styleId="ListNumber2">
    <w:name w:val="List Number 2"/>
    <w:basedOn w:val="Normal"/>
    <w:rsid w:val="00ac4558"/>
    <w:pPr>
      <w:tabs>
        <w:tab w:val="clear" w:pos="708"/>
        <w:tab w:val="left" w:pos="643" w:leader="none"/>
        <w:tab w:val="left" w:pos="926" w:leader="none"/>
      </w:tabs>
      <w:spacing w:before="0" w:after="60"/>
      <w:ind w:hanging="360" w:left="643"/>
      <w:jc w:val="both"/>
    </w:pPr>
    <w:rPr>
      <w:szCs w:val="20"/>
    </w:rPr>
  </w:style>
  <w:style w:type="paragraph" w:styleId="ListNumber3">
    <w:name w:val="List Number 3"/>
    <w:basedOn w:val="Normal"/>
    <w:rsid w:val="00ac4558"/>
    <w:pPr>
      <w:tabs>
        <w:tab w:val="clear" w:pos="708"/>
        <w:tab w:val="left" w:pos="926" w:leader="none"/>
        <w:tab w:val="left" w:pos="1209" w:leader="none"/>
      </w:tabs>
      <w:spacing w:before="0" w:after="60"/>
      <w:ind w:hanging="360" w:left="926"/>
      <w:jc w:val="both"/>
    </w:pPr>
    <w:rPr>
      <w:szCs w:val="20"/>
    </w:rPr>
  </w:style>
  <w:style w:type="paragraph" w:styleId="ListNumber4">
    <w:name w:val="List Number 4"/>
    <w:basedOn w:val="Normal"/>
    <w:rsid w:val="00ac4558"/>
    <w:pPr>
      <w:tabs>
        <w:tab w:val="clear" w:pos="708"/>
        <w:tab w:val="left" w:pos="1260" w:leader="none"/>
      </w:tabs>
      <w:spacing w:before="0" w:after="60"/>
      <w:ind w:hanging="720" w:left="1260"/>
      <w:jc w:val="both"/>
    </w:pPr>
    <w:rPr>
      <w:szCs w:val="20"/>
    </w:rPr>
  </w:style>
  <w:style w:type="paragraph" w:styleId="Subtitle">
    <w:name w:val="Subtitle"/>
    <w:basedOn w:val="Normal"/>
    <w:link w:val="Style17"/>
    <w:qFormat/>
    <w:rsid w:val="00ac4558"/>
    <w:pPr>
      <w:spacing w:before="0" w:after="60"/>
      <w:jc w:val="center"/>
      <w:outlineLvl w:val="1"/>
    </w:pPr>
    <w:rPr>
      <w:rFonts w:ascii="Arial" w:hAnsi="Arial"/>
      <w:szCs w:val="20"/>
    </w:rPr>
  </w:style>
  <w:style w:type="paragraph" w:styleId="19" w:customStyle="1">
    <w:name w:val="Стиль1"/>
    <w:basedOn w:val="Normal"/>
    <w:qFormat/>
    <w:rsid w:val="00ac4558"/>
    <w:pPr>
      <w:keepNext w:val="true"/>
      <w:keepLines/>
      <w:widowControl w:val="false"/>
      <w:suppressLineNumbers/>
      <w:tabs>
        <w:tab w:val="clear" w:pos="708"/>
        <w:tab w:val="left" w:pos="643" w:leader="none"/>
      </w:tabs>
      <w:suppressAutoHyphens w:val="true"/>
      <w:spacing w:before="0" w:after="60"/>
      <w:ind w:hanging="360" w:left="643"/>
    </w:pPr>
    <w:rPr>
      <w:b/>
      <w:sz w:val="28"/>
    </w:rPr>
  </w:style>
  <w:style w:type="paragraph" w:styleId="211" w:customStyle="1">
    <w:name w:val="Стиль2"/>
    <w:basedOn w:val="ListNumber2"/>
    <w:qFormat/>
    <w:rsid w:val="00ac4558"/>
    <w:pPr>
      <w:keepNext w:val="true"/>
      <w:keepLines/>
      <w:widowControl w:val="false"/>
      <w:suppressLineNumbers/>
      <w:suppressAutoHyphens w:val="true"/>
    </w:pPr>
    <w:rPr>
      <w:b/>
    </w:rPr>
  </w:style>
  <w:style w:type="paragraph" w:styleId="35" w:customStyle="1">
    <w:name w:val="Стиль3"/>
    <w:basedOn w:val="BodyTextIndent2"/>
    <w:qFormat/>
    <w:rsid w:val="00ac4558"/>
    <w:pPr>
      <w:widowControl w:val="false"/>
      <w:tabs>
        <w:tab w:val="clear" w:pos="708"/>
        <w:tab w:val="left" w:pos="643" w:leader="none"/>
      </w:tabs>
      <w:spacing w:lineRule="auto" w:line="240" w:before="0" w:after="0"/>
      <w:ind w:hanging="360" w:left="643"/>
      <w:textAlignment w:val="baseline"/>
    </w:pPr>
    <w:rPr/>
  </w:style>
  <w:style w:type="paragraph" w:styleId="BodyTextIndent2">
    <w:name w:val="Body Text Indent 2"/>
    <w:basedOn w:val="Normal"/>
    <w:link w:val="21"/>
    <w:uiPriority w:val="99"/>
    <w:qFormat/>
    <w:rsid w:val="00ac4558"/>
    <w:pPr>
      <w:spacing w:lineRule="auto" w:line="480" w:before="0" w:after="120"/>
      <w:ind w:left="283"/>
      <w:jc w:val="both"/>
    </w:pPr>
    <w:rPr>
      <w:szCs w:val="20"/>
    </w:rPr>
  </w:style>
  <w:style w:type="paragraph" w:styleId="Style34" w:customStyle="1">
    <w:name w:val="пункт"/>
    <w:basedOn w:val="Normal"/>
    <w:qFormat/>
    <w:rsid w:val="00ac4558"/>
    <w:pPr>
      <w:tabs>
        <w:tab w:val="clear" w:pos="708"/>
        <w:tab w:val="left" w:pos="1307" w:leader="none"/>
      </w:tabs>
      <w:spacing w:before="60" w:after="60"/>
      <w:ind w:left="1080"/>
    </w:pPr>
    <w:rPr/>
  </w:style>
  <w:style w:type="paragraph" w:styleId="ConsPlusNonformat" w:customStyle="1">
    <w:name w:val="ConsPlusNonformat"/>
    <w:qFormat/>
    <w:rsid w:val="00ac4558"/>
    <w:pPr>
      <w:widowControl/>
      <w:bidi w:val="0"/>
      <w:spacing w:before="0" w:after="0"/>
      <w:jc w:val="left"/>
    </w:pPr>
    <w:rPr>
      <w:rFonts w:ascii="Courier New" w:hAnsi="Courier New" w:eastAsia="Times New Roman" w:cs="Courier New"/>
      <w:color w:val="auto"/>
      <w:kern w:val="0"/>
      <w:sz w:val="20"/>
      <w:szCs w:val="20"/>
      <w:lang w:val="ru-RU" w:eastAsia="ru-RU" w:bidi="ar-SA"/>
    </w:rPr>
  </w:style>
  <w:style w:type="paragraph" w:styleId="231" w:customStyle="1">
    <w:name w:val="Знак Знак23 Знак Знак Знак"/>
    <w:basedOn w:val="Normal"/>
    <w:qFormat/>
    <w:rsid w:val="00ac4558"/>
    <w:pPr>
      <w:spacing w:lineRule="exact" w:line="240" w:before="0" w:after="160"/>
    </w:pPr>
    <w:rPr>
      <w:sz w:val="20"/>
      <w:szCs w:val="20"/>
      <w:lang w:eastAsia="zh-CN"/>
    </w:rPr>
  </w:style>
  <w:style w:type="paragraph" w:styleId="232" w:customStyle="1">
    <w:name w:val="Знак Знак23 Знак Знак Знак Знак"/>
    <w:basedOn w:val="Normal"/>
    <w:qFormat/>
    <w:rsid w:val="00ac4558"/>
    <w:pPr>
      <w:spacing w:lineRule="exact" w:line="240" w:before="0" w:after="160"/>
    </w:pPr>
    <w:rPr>
      <w:sz w:val="20"/>
      <w:szCs w:val="20"/>
      <w:lang w:eastAsia="zh-CN"/>
    </w:rPr>
  </w:style>
  <w:style w:type="paragraph" w:styleId="Style35" w:customStyle="1">
    <w:name w:val="Знак Знак Знак Знак Знак Знак Знак"/>
    <w:basedOn w:val="Normal"/>
    <w:qFormat/>
    <w:rsid w:val="00ac4558"/>
    <w:pPr>
      <w:spacing w:lineRule="exact" w:line="240" w:before="0" w:after="160"/>
    </w:pPr>
    <w:rPr>
      <w:sz w:val="20"/>
      <w:szCs w:val="20"/>
      <w:lang w:eastAsia="zh-CN"/>
    </w:rPr>
  </w:style>
  <w:style w:type="paragraph" w:styleId="110" w:customStyle="1">
    <w:name w:val="Список многоуровневый 1"/>
    <w:basedOn w:val="Normal"/>
    <w:qFormat/>
    <w:rsid w:val="00ac4558"/>
    <w:pPr>
      <w:tabs>
        <w:tab w:val="clear" w:pos="708"/>
        <w:tab w:val="left" w:pos="432" w:leader="none"/>
      </w:tabs>
      <w:spacing w:before="0" w:after="60"/>
      <w:ind w:hanging="431" w:left="431"/>
      <w:jc w:val="both"/>
    </w:pPr>
    <w:rPr/>
  </w:style>
  <w:style w:type="paragraph" w:styleId="2311" w:customStyle="1">
    <w:name w:val="Знак Знак23 Знак Знак Знак Знак1"/>
    <w:basedOn w:val="Normal"/>
    <w:autoRedefine/>
    <w:qFormat/>
    <w:rsid w:val="00ac4558"/>
    <w:pPr>
      <w:spacing w:before="60" w:after="60"/>
    </w:pPr>
    <w:rPr>
      <w:sz w:val="20"/>
      <w:szCs w:val="20"/>
      <w:lang w:eastAsia="zh-CN"/>
    </w:rPr>
  </w:style>
  <w:style w:type="paragraph" w:styleId="HTMLAddress">
    <w:name w:val="HTML Address"/>
    <w:basedOn w:val="Normal"/>
    <w:link w:val="HTML"/>
    <w:qFormat/>
    <w:rsid w:val="00ac4558"/>
    <w:pPr>
      <w:spacing w:before="0" w:after="60"/>
      <w:jc w:val="both"/>
    </w:pPr>
    <w:rPr>
      <w:i/>
      <w:iCs/>
    </w:rPr>
  </w:style>
  <w:style w:type="paragraph" w:styleId="HTMLPreformatted">
    <w:name w:val="HTML Preformatted"/>
    <w:basedOn w:val="Normal"/>
    <w:link w:val="HTML1"/>
    <w:qFormat/>
    <w:rsid w:val="00ac4558"/>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60"/>
      <w:jc w:val="both"/>
    </w:pPr>
    <w:rPr>
      <w:rFonts w:ascii="Courier New" w:hAnsi="Courier New"/>
      <w:sz w:val="20"/>
      <w:szCs w:val="20"/>
    </w:rPr>
  </w:style>
  <w:style w:type="paragraph" w:styleId="NormalIndent">
    <w:name w:val="Normal Indent"/>
    <w:basedOn w:val="Normal"/>
    <w:qFormat/>
    <w:rsid w:val="00ac4558"/>
    <w:pPr>
      <w:spacing w:before="0" w:after="60"/>
      <w:ind w:left="708"/>
      <w:jc w:val="both"/>
    </w:pPr>
    <w:rPr/>
  </w:style>
  <w:style w:type="paragraph" w:styleId="EnvelopeAddress">
    <w:name w:val="envelope address"/>
    <w:basedOn w:val="Normal"/>
    <w:rsid w:val="00ac4558"/>
    <w:pPr>
      <w:spacing w:before="0" w:after="60"/>
      <w:ind w:left="2880"/>
      <w:jc w:val="both"/>
    </w:pPr>
    <w:rPr>
      <w:rFonts w:ascii="Arial" w:hAnsi="Arial" w:cs="Arial"/>
    </w:rPr>
  </w:style>
  <w:style w:type="paragraph" w:styleId="EnvelopeReturn">
    <w:name w:val="envelope return"/>
    <w:basedOn w:val="Normal"/>
    <w:rsid w:val="00ac4558"/>
    <w:pPr>
      <w:spacing w:before="0" w:after="60"/>
      <w:jc w:val="both"/>
    </w:pPr>
    <w:rPr>
      <w:rFonts w:ascii="Arial" w:hAnsi="Arial" w:cs="Arial"/>
      <w:sz w:val="20"/>
      <w:szCs w:val="20"/>
    </w:rPr>
  </w:style>
  <w:style w:type="paragraph" w:styleId="ListBullet">
    <w:name w:val="List Bullet"/>
    <w:basedOn w:val="Normal"/>
    <w:autoRedefine/>
    <w:rsid w:val="00ac4558"/>
    <w:pPr>
      <w:widowControl w:val="false"/>
      <w:spacing w:before="0" w:after="60"/>
      <w:jc w:val="both"/>
    </w:pPr>
    <w:rPr/>
  </w:style>
  <w:style w:type="paragraph" w:styleId="List2">
    <w:name w:val="List 2"/>
    <w:basedOn w:val="Normal"/>
    <w:qFormat/>
    <w:rsid w:val="00ac4558"/>
    <w:pPr>
      <w:spacing w:before="0" w:after="60"/>
      <w:ind w:hanging="283" w:left="566"/>
      <w:jc w:val="both"/>
    </w:pPr>
    <w:rPr/>
  </w:style>
  <w:style w:type="paragraph" w:styleId="List3">
    <w:name w:val="List 3"/>
    <w:basedOn w:val="Normal"/>
    <w:qFormat/>
    <w:rsid w:val="00ac4558"/>
    <w:pPr>
      <w:spacing w:before="0" w:after="60"/>
      <w:ind w:hanging="283" w:left="849"/>
      <w:jc w:val="both"/>
    </w:pPr>
    <w:rPr/>
  </w:style>
  <w:style w:type="paragraph" w:styleId="List4">
    <w:name w:val="List 4"/>
    <w:basedOn w:val="Normal"/>
    <w:qFormat/>
    <w:rsid w:val="00ac4558"/>
    <w:pPr>
      <w:spacing w:before="0" w:after="60"/>
      <w:ind w:hanging="283" w:left="1132"/>
      <w:jc w:val="both"/>
    </w:pPr>
    <w:rPr/>
  </w:style>
  <w:style w:type="paragraph" w:styleId="List5">
    <w:name w:val="List 5"/>
    <w:basedOn w:val="Normal"/>
    <w:qFormat/>
    <w:rsid w:val="00ac4558"/>
    <w:pPr>
      <w:spacing w:before="0" w:after="60"/>
      <w:ind w:hanging="283" w:left="1415"/>
      <w:jc w:val="both"/>
    </w:pPr>
    <w:rPr/>
  </w:style>
  <w:style w:type="paragraph" w:styleId="ListNumber5">
    <w:name w:val="List Number 5"/>
    <w:basedOn w:val="Normal"/>
    <w:rsid w:val="00ac4558"/>
    <w:pPr>
      <w:tabs>
        <w:tab w:val="clear" w:pos="708"/>
        <w:tab w:val="left" w:pos="1492" w:leader="none"/>
      </w:tabs>
      <w:spacing w:before="0" w:after="60"/>
      <w:ind w:hanging="360" w:left="1492"/>
      <w:jc w:val="both"/>
    </w:pPr>
    <w:rPr/>
  </w:style>
  <w:style w:type="paragraph" w:styleId="Title">
    <w:name w:val="Title"/>
    <w:basedOn w:val="Normal"/>
    <w:link w:val="Style18"/>
    <w:qFormat/>
    <w:rsid w:val="00ac4558"/>
    <w:pPr>
      <w:widowControl w:val="false"/>
      <w:spacing w:before="240" w:after="60"/>
      <w:jc w:val="center"/>
      <w:outlineLvl w:val="0"/>
    </w:pPr>
    <w:rPr>
      <w:rFonts w:ascii="Cambria" w:hAnsi="Cambria"/>
      <w:b/>
      <w:bCs/>
      <w:kern w:val="2"/>
      <w:sz w:val="32"/>
      <w:szCs w:val="32"/>
    </w:rPr>
  </w:style>
  <w:style w:type="paragraph" w:styleId="Closing">
    <w:name w:val="Closing"/>
    <w:basedOn w:val="Normal"/>
    <w:link w:val="Style19"/>
    <w:rsid w:val="00ac4558"/>
    <w:pPr>
      <w:spacing w:before="0" w:after="60"/>
      <w:ind w:left="4252"/>
      <w:jc w:val="both"/>
    </w:pPr>
    <w:rPr/>
  </w:style>
  <w:style w:type="paragraph" w:styleId="Signature">
    <w:name w:val="Signature"/>
    <w:basedOn w:val="Normal"/>
    <w:link w:val="Style20"/>
    <w:rsid w:val="00ac4558"/>
    <w:pPr>
      <w:spacing w:before="0" w:after="60"/>
      <w:ind w:left="4252"/>
      <w:jc w:val="both"/>
    </w:pPr>
    <w:rPr/>
  </w:style>
  <w:style w:type="paragraph" w:styleId="ListContinue">
    <w:name w:val="List Continue"/>
    <w:basedOn w:val="Normal"/>
    <w:rsid w:val="00ac4558"/>
    <w:pPr>
      <w:spacing w:before="0" w:after="120"/>
      <w:ind w:left="283"/>
      <w:jc w:val="both"/>
    </w:pPr>
    <w:rPr/>
  </w:style>
  <w:style w:type="paragraph" w:styleId="ListContinue2">
    <w:name w:val="List Continue 2"/>
    <w:basedOn w:val="Normal"/>
    <w:rsid w:val="00ac4558"/>
    <w:pPr>
      <w:spacing w:before="0" w:after="120"/>
      <w:ind w:left="566"/>
      <w:jc w:val="both"/>
    </w:pPr>
    <w:rPr/>
  </w:style>
  <w:style w:type="paragraph" w:styleId="ListContinue3">
    <w:name w:val="List Continue 3"/>
    <w:basedOn w:val="Normal"/>
    <w:rsid w:val="00ac4558"/>
    <w:pPr>
      <w:spacing w:before="0" w:after="120"/>
      <w:ind w:left="849"/>
      <w:jc w:val="both"/>
    </w:pPr>
    <w:rPr/>
  </w:style>
  <w:style w:type="paragraph" w:styleId="ListContinue4">
    <w:name w:val="List Continue 4"/>
    <w:basedOn w:val="Normal"/>
    <w:rsid w:val="00ac4558"/>
    <w:pPr>
      <w:spacing w:before="0" w:after="120"/>
      <w:ind w:left="1132"/>
      <w:jc w:val="both"/>
    </w:pPr>
    <w:rPr/>
  </w:style>
  <w:style w:type="paragraph" w:styleId="ListContinue5">
    <w:name w:val="List Continue 5"/>
    <w:basedOn w:val="Normal"/>
    <w:rsid w:val="00ac4558"/>
    <w:pPr>
      <w:spacing w:before="0" w:after="120"/>
      <w:ind w:left="1415"/>
      <w:jc w:val="both"/>
    </w:pPr>
    <w:rPr/>
  </w:style>
  <w:style w:type="paragraph" w:styleId="MessageHeader">
    <w:name w:val="Message Header"/>
    <w:basedOn w:val="Normal"/>
    <w:link w:val="Style21"/>
    <w:qFormat/>
    <w:rsid w:val="00ac4558"/>
    <w:pPr>
      <w:pBdr>
        <w:top w:val="single" w:sz="6" w:space="1" w:color="000000"/>
        <w:left w:val="single" w:sz="6" w:space="1" w:color="000000"/>
        <w:bottom w:val="single" w:sz="6" w:space="1" w:color="000000"/>
        <w:right w:val="single" w:sz="6" w:space="1" w:color="000000"/>
      </w:pBdr>
      <w:shd w:val="pct20" w:color="auto" w:fill="auto"/>
      <w:spacing w:before="0" w:after="60"/>
      <w:ind w:hanging="1134" w:left="1134"/>
      <w:jc w:val="both"/>
    </w:pPr>
    <w:rPr>
      <w:rFonts w:ascii="Arial" w:hAnsi="Arial"/>
      <w:shd w:fill="CCCCCC" w:val="clear"/>
    </w:rPr>
  </w:style>
  <w:style w:type="paragraph" w:styleId="Salutation">
    <w:name w:val="Salutation"/>
    <w:basedOn w:val="Normal"/>
    <w:next w:val="Normal"/>
    <w:link w:val="Style22"/>
    <w:rsid w:val="00ac4558"/>
    <w:pPr>
      <w:spacing w:before="0" w:after="60"/>
      <w:jc w:val="both"/>
    </w:pPr>
    <w:rPr/>
  </w:style>
  <w:style w:type="paragraph" w:styleId="Date">
    <w:name w:val="Date"/>
    <w:basedOn w:val="Normal"/>
    <w:next w:val="Normal"/>
    <w:link w:val="Style23"/>
    <w:qFormat/>
    <w:rsid w:val="00ac4558"/>
    <w:pPr>
      <w:spacing w:before="0" w:after="60"/>
      <w:jc w:val="both"/>
    </w:pPr>
    <w:rPr/>
  </w:style>
  <w:style w:type="paragraph" w:styleId="BodyTextFirstIndent">
    <w:name w:val="Body Text First Indent"/>
    <w:basedOn w:val="BodyText"/>
    <w:link w:val="Style24"/>
    <w:rsid w:val="00ac4558"/>
    <w:pPr>
      <w:ind w:firstLine="210"/>
      <w:jc w:val="both"/>
    </w:pPr>
    <w:rPr/>
  </w:style>
  <w:style w:type="paragraph" w:styleId="BodyTextFirstIndent2">
    <w:name w:val="Body Text First Indent 2"/>
    <w:basedOn w:val="BodyTextIndent"/>
    <w:link w:val="22"/>
    <w:qFormat/>
    <w:rsid w:val="00ac4558"/>
    <w:pPr>
      <w:spacing w:lineRule="auto" w:line="240"/>
      <w:ind w:firstLine="210" w:left="283"/>
      <w:jc w:val="both"/>
    </w:pPr>
    <w:rPr/>
  </w:style>
  <w:style w:type="paragraph" w:styleId="E-mailSignature">
    <w:name w:val="E-mail Signature"/>
    <w:basedOn w:val="Normal"/>
    <w:link w:val="Style25"/>
    <w:qFormat/>
    <w:rsid w:val="00ac4558"/>
    <w:pPr>
      <w:spacing w:before="0" w:after="60"/>
      <w:jc w:val="both"/>
    </w:pPr>
    <w:rPr/>
  </w:style>
  <w:style w:type="paragraph" w:styleId="1CharChar" w:customStyle="1">
    <w:name w:val="1 Знак Char Знак Char Знак"/>
    <w:basedOn w:val="Normal"/>
    <w:qFormat/>
    <w:rsid w:val="00ac4558"/>
    <w:pPr>
      <w:spacing w:lineRule="exact" w:line="240" w:before="0" w:after="160"/>
    </w:pPr>
    <w:rPr>
      <w:sz w:val="20"/>
      <w:szCs w:val="20"/>
      <w:lang w:eastAsia="zh-CN"/>
    </w:rPr>
  </w:style>
  <w:style w:type="paragraph" w:styleId="Style36" w:customStyle="1">
    <w:name w:val="Знак Знак Знак Знак"/>
    <w:basedOn w:val="Normal"/>
    <w:qFormat/>
    <w:rsid w:val="00ac4558"/>
    <w:pPr>
      <w:spacing w:lineRule="exact" w:line="240" w:before="0" w:after="160"/>
    </w:pPr>
    <w:rPr>
      <w:sz w:val="20"/>
      <w:szCs w:val="20"/>
      <w:lang w:eastAsia="zh-CN"/>
    </w:rPr>
  </w:style>
  <w:style w:type="paragraph" w:styleId="Style37" w:customStyle="1">
    <w:name w:val="Знак Знак Знак Знак Знак Знак"/>
    <w:basedOn w:val="Normal"/>
    <w:qFormat/>
    <w:rsid w:val="00ac4558"/>
    <w:pPr>
      <w:spacing w:lineRule="exact" w:line="240" w:before="0" w:after="160"/>
    </w:pPr>
    <w:rPr>
      <w:sz w:val="20"/>
      <w:szCs w:val="20"/>
      <w:lang w:eastAsia="zh-CN"/>
    </w:rPr>
  </w:style>
  <w:style w:type="paragraph" w:styleId="Style38" w:customStyle="1">
    <w:name w:val="Дефис"/>
    <w:basedOn w:val="18"/>
    <w:link w:val="Style26"/>
    <w:qFormat/>
    <w:rsid w:val="00ac4558"/>
    <w:pPr>
      <w:numPr>
        <w:ilvl w:val="0"/>
        <w:numId w:val="2"/>
      </w:numPr>
      <w:spacing w:lineRule="auto" w:line="240" w:before="0" w:after="0"/>
    </w:pPr>
    <w:rPr>
      <w:rFonts w:ascii="Times New Roman" w:hAnsi="Times New Roman"/>
      <w:sz w:val="24"/>
      <w:szCs w:val="24"/>
      <w:lang w:val="en-US" w:eastAsia="ru-RU"/>
    </w:rPr>
  </w:style>
  <w:style w:type="paragraph" w:styleId="42" w:customStyle="1">
    <w:name w:val="Стиль4"/>
    <w:basedOn w:val="Style38"/>
    <w:link w:val="41"/>
    <w:qFormat/>
    <w:rsid w:val="00ac4558"/>
    <w:pPr/>
    <w:rPr/>
  </w:style>
  <w:style w:type="paragraph" w:styleId="EndnoteText">
    <w:name w:val="endnote text"/>
    <w:basedOn w:val="Normal"/>
    <w:link w:val="Style27"/>
    <w:semiHidden/>
    <w:rsid w:val="00ac4558"/>
    <w:pPr/>
    <w:rPr>
      <w:sz w:val="20"/>
      <w:szCs w:val="20"/>
    </w:rPr>
  </w:style>
  <w:style w:type="paragraph" w:styleId="Style39" w:customStyle="1">
    <w:name w:val="Знак Знак Знак"/>
    <w:basedOn w:val="Normal"/>
    <w:qFormat/>
    <w:rsid w:val="00ac4558"/>
    <w:pPr>
      <w:spacing w:lineRule="exact" w:line="240" w:before="0" w:after="160"/>
    </w:pPr>
    <w:rPr>
      <w:rFonts w:ascii="Verdana" w:hAnsi="Verdana"/>
      <w:sz w:val="20"/>
      <w:szCs w:val="20"/>
      <w:lang w:val="en-US" w:eastAsia="en-US"/>
    </w:rPr>
  </w:style>
  <w:style w:type="paragraph" w:styleId="Style40" w:customStyle="1">
    <w:name w:val="Содержимое таблицы"/>
    <w:basedOn w:val="Normal"/>
    <w:qFormat/>
    <w:rsid w:val="00ac4558"/>
    <w:pPr>
      <w:widowControl w:val="false"/>
      <w:suppressLineNumbers/>
      <w:suppressAutoHyphens w:val="true"/>
    </w:pPr>
    <w:rPr>
      <w:rFonts w:ascii="Arial" w:hAnsi="Arial" w:eastAsia="Lucida Sans Unicode"/>
      <w:lang w:eastAsia="ar-SA"/>
    </w:rPr>
  </w:style>
  <w:style w:type="paragraph" w:styleId="Style41" w:customStyle="1">
    <w:name w:val="Заголовок таблицы"/>
    <w:basedOn w:val="Style40"/>
    <w:qFormat/>
    <w:rsid w:val="00ac4558"/>
    <w:pPr>
      <w:jc w:val="center"/>
    </w:pPr>
    <w:rPr>
      <w:b/>
      <w:bCs/>
      <w:i/>
      <w:iCs/>
    </w:rPr>
  </w:style>
  <w:style w:type="paragraph" w:styleId="Style42" w:customStyle="1">
    <w:name w:val="Стиль"/>
    <w:uiPriority w:val="99"/>
    <w:qFormat/>
    <w:rsid w:val="00ac4558"/>
    <w:pPr>
      <w:widowControl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43" w:customStyle="1">
    <w:name w:val="Style4"/>
    <w:basedOn w:val="Normal"/>
    <w:uiPriority w:val="99"/>
    <w:qFormat/>
    <w:rsid w:val="00ac4558"/>
    <w:pPr>
      <w:widowControl w:val="false"/>
      <w:spacing w:lineRule="exact" w:line="202"/>
      <w:jc w:val="center"/>
    </w:pPr>
    <w:rPr/>
  </w:style>
  <w:style w:type="paragraph" w:styleId="Style61" w:customStyle="1">
    <w:name w:val="Style6"/>
    <w:basedOn w:val="Normal"/>
    <w:uiPriority w:val="99"/>
    <w:qFormat/>
    <w:rsid w:val="00ac4558"/>
    <w:pPr>
      <w:widowControl w:val="false"/>
      <w:spacing w:lineRule="exact" w:line="274"/>
      <w:jc w:val="center"/>
    </w:pPr>
    <w:rPr/>
  </w:style>
  <w:style w:type="paragraph" w:styleId="113" w:customStyle="1">
    <w:name w:val="Обычный1"/>
    <w:uiPriority w:val="99"/>
    <w:qFormat/>
    <w:rsid w:val="00ac4558"/>
    <w:pPr>
      <w:widowControl w:val="false"/>
      <w:suppressAutoHyphens w:val="true"/>
      <w:bidi w:val="0"/>
      <w:snapToGrid w:val="false"/>
      <w:spacing w:before="0" w:after="0"/>
      <w:ind w:firstLine="400"/>
      <w:jc w:val="both"/>
    </w:pPr>
    <w:rPr>
      <w:rFonts w:ascii="Times New Roman" w:hAnsi="Times New Roman" w:eastAsia="Calibri" w:cs="Times New Roman"/>
      <w:color w:val="auto"/>
      <w:kern w:val="0"/>
      <w:sz w:val="24"/>
      <w:szCs w:val="20"/>
      <w:lang w:eastAsia="ar-SA" w:val="ru-RU" w:bidi="ar-SA"/>
    </w:rPr>
  </w:style>
  <w:style w:type="paragraph" w:styleId="36" w:customStyle="1">
    <w:name w:val="Стиль3 Знак Знак"/>
    <w:basedOn w:val="BodyTextIndent2"/>
    <w:link w:val="33"/>
    <w:uiPriority w:val="99"/>
    <w:qFormat/>
    <w:rsid w:val="00ac4558"/>
    <w:pPr>
      <w:widowControl w:val="false"/>
      <w:tabs>
        <w:tab w:val="clear" w:pos="708"/>
        <w:tab w:val="left" w:pos="227" w:leader="none"/>
      </w:tabs>
      <w:spacing w:lineRule="auto" w:line="240" w:before="120" w:after="0"/>
      <w:ind w:left="0"/>
      <w:textAlignment w:val="baseline"/>
    </w:pPr>
    <w:rPr>
      <w:szCs w:val="24"/>
    </w:rPr>
  </w:style>
  <w:style w:type="paragraph" w:styleId="NoSpacing">
    <w:name w:val="No Spacing"/>
    <w:uiPriority w:val="1"/>
    <w:qFormat/>
    <w:rsid w:val="00ac4558"/>
    <w:pPr>
      <w:widowControl/>
      <w:bidi w:val="0"/>
      <w:spacing w:before="0" w:after="0"/>
      <w:jc w:val="left"/>
    </w:pPr>
    <w:rPr>
      <w:rFonts w:eastAsia="Times New Roman" w:ascii="Calibri" w:hAnsi="Calibri" w:cs="Times New Roman"/>
      <w:color w:val="auto"/>
      <w:kern w:val="0"/>
      <w:sz w:val="22"/>
      <w:szCs w:val="22"/>
      <w:lang w:val="ru-RU" w:eastAsia="ru-RU" w:bidi="ar-SA"/>
    </w:rPr>
  </w:style>
  <w:style w:type="paragraph" w:styleId="Style44" w:customStyle="1">
    <w:name w:val="Таблица"/>
    <w:basedOn w:val="Normal"/>
    <w:qFormat/>
    <w:rsid w:val="00ac4558"/>
    <w:pPr>
      <w:suppressAutoHyphens w:val="true"/>
      <w:spacing w:before="60" w:after="60"/>
    </w:pPr>
    <w:rPr>
      <w:rFonts w:eastAsia="Arial"/>
      <w:szCs w:val="20"/>
    </w:rPr>
  </w:style>
  <w:style w:type="paragraph" w:styleId="114" w:customStyle="1">
    <w:name w:val="заголовок 1"/>
    <w:basedOn w:val="Normal"/>
    <w:next w:val="Normal"/>
    <w:qFormat/>
    <w:rsid w:val="00ac4558"/>
    <w:pPr>
      <w:keepNext w:val="true"/>
      <w:widowControl w:val="false"/>
      <w:jc w:val="center"/>
    </w:pPr>
    <w:rPr>
      <w:rFonts w:ascii="Arial" w:hAnsi="Arial"/>
      <w:b/>
      <w:sz w:val="22"/>
      <w:szCs w:val="20"/>
    </w:rPr>
  </w:style>
  <w:style w:type="paragraph" w:styleId="BodyText2">
    <w:name w:val="Body Text 2"/>
    <w:basedOn w:val="Normal"/>
    <w:link w:val="210"/>
    <w:uiPriority w:val="99"/>
    <w:unhideWhenUsed/>
    <w:qFormat/>
    <w:rsid w:val="00ac4558"/>
    <w:pPr>
      <w:spacing w:lineRule="auto" w:line="480" w:before="0" w:after="120"/>
    </w:pPr>
    <w:rPr/>
  </w:style>
  <w:style w:type="paragraph" w:styleId="Style45">
    <w:name w:val="Содержимое врезки"/>
    <w:basedOn w:val="Normal"/>
    <w:qFormat/>
    <w:pPr/>
    <w:rPr/>
  </w:style>
  <w:style w:type="numbering" w:styleId="Style46" w:default="1">
    <w:name w:val="Без списка"/>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main?base=LAW;n=112770;fld=134" TargetMode="External"/><Relationship Id="rId3" Type="http://schemas.openxmlformats.org/officeDocument/2006/relationships/hyperlink" Target="consultantplus://offline/main?base=LAW;n=116659;fld=134" TargetMode="External"/><Relationship Id="rId4" Type="http://schemas.openxmlformats.org/officeDocument/2006/relationships/hyperlink" Target="consultantplus://offline/ref=ADA45F73F93962712B7C7945FC257EE3B543EA669C6A43AC7C012BE1AFA7CA4797E21E520A0250E60015847A7Ex004P" TargetMode="External"/><Relationship Id="rId5" Type="http://schemas.openxmlformats.org/officeDocument/2006/relationships/hyperlink" Target="consultantplus://offline/ref=ADA45F73F93962712B7C7945FC257EE3B54CE16B9E6E43AC7C012BE1AFA7CA4797E21E520A0250E60015847A7Ex004P" TargetMode="External"/><Relationship Id="rId6" Type="http://schemas.openxmlformats.org/officeDocument/2006/relationships/hyperlink" Target="consultantplus://offline/ref=297057CCDC6942185DB511EDB18B9C39E67A1949BF1DA140703872E6B8873C27BC538C7E2E8BE44CBCF0DF0A59A55B955E159A71390B6644G6TCE" TargetMode="External"/><Relationship Id="rId7" Type="http://schemas.openxmlformats.org/officeDocument/2006/relationships/hyperlink" Target="consultantplus://offline/ref=297057CCDC6942185DB511EDB18B9C39E67A1949BF1DA140703872E6B8873C27AE53D4722C83FB4EBBE5895B1FGFT1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BB256-BC16-4DBE-A5E5-706B29080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Razvitie_inoy_IS_kotirovka.dotx</Template>
  <TotalTime>425</TotalTime>
  <Application>LibreOffice/24.8.4.1$Linux_X86_64 LibreOffice_project/480$Build-1</Application>
  <AppVersion>15.0000</AppVersion>
  <Pages>16</Pages>
  <Words>6569</Words>
  <Characters>49349</Characters>
  <CharactersWithSpaces>56001</CharactersWithSpaces>
  <Paragraphs>252</Paragraphs>
  <Company>gzakaz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2016-06-02T04:31:00Z</dcterms:created>
  <dc:creator>gz4</dc:creator>
  <dc:description/>
  <dc:language>ru-RU</dc:language>
  <cp:lastModifiedBy/>
  <cp:lastPrinted>2014-03-27T07:47:00Z</cp:lastPrinted>
  <dcterms:modified xsi:type="dcterms:W3CDTF">2026-10-15T15:05:43Z</dcterms:modified>
  <cp:revision>125</cp:revision>
  <dc:subject/>
  <dc:title/>
</cp:coreProperties>
</file>

<file path=docProps/custom.xml><?xml version="1.0" encoding="utf-8"?>
<Properties xmlns="http://schemas.openxmlformats.org/officeDocument/2006/custom-properties" xmlns:vt="http://schemas.openxmlformats.org/officeDocument/2006/docPropsVTypes"/>
</file>