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0CA" w:rsidRDefault="00FC40CA">
      <w:pPr>
        <w:jc w:val="center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:rsidR="00FC40CA" w:rsidRDefault="00AB6248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Обоснование неприменения запрета, предусмотренного пунктом 1 п</w:t>
      </w:r>
      <w:r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о</w:t>
      </w:r>
      <w:r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становления Правительства РФ от 23.12.2024 № 1875 «О мерах по пред</w:t>
      </w:r>
      <w:r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о</w:t>
      </w:r>
      <w:r>
        <w:rPr>
          <w:rFonts w:ascii="Times New Roman" w:eastAsia="Times New Roman" w:hAnsi="Times New Roman"/>
          <w:b/>
          <w:bCs/>
          <w:sz w:val="28"/>
          <w:szCs w:val="28"/>
          <w:lang w:val="ru-RU"/>
        </w:rPr>
        <w:t>ставлению национального режима при осуществлении закупок товаров, работ, услуг, отдельными видами юридических лиц»</w:t>
      </w:r>
    </w:p>
    <w:p w:rsidR="00FC40CA" w:rsidRDefault="00FC40CA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FC40CA" w:rsidRDefault="00AB6248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lang w:val="ru-RU"/>
        </w:rPr>
        <w:t>Руководствуясь положениями статьи 14 Федерального закона от 05.04.2013 № 44-ФЗ «О контрактной системе в сфере закупок товаров, работ, услуг для обеспечения гос</w:t>
      </w:r>
      <w:r>
        <w:rPr>
          <w:rFonts w:ascii="Times New Roman" w:eastAsia="Times New Roman" w:hAnsi="Times New Roman"/>
          <w:lang w:val="ru-RU"/>
        </w:rPr>
        <w:t>у</w:t>
      </w:r>
      <w:r>
        <w:rPr>
          <w:rFonts w:ascii="Times New Roman" w:eastAsia="Times New Roman" w:hAnsi="Times New Roman"/>
          <w:lang w:val="ru-RU"/>
        </w:rPr>
        <w:t>дарственных и муниципальных нужд» (далее – Закон № 44-ФЗ), постановлением Прав</w:t>
      </w:r>
      <w:r>
        <w:rPr>
          <w:rFonts w:ascii="Times New Roman" w:eastAsia="Times New Roman" w:hAnsi="Times New Roman"/>
          <w:lang w:val="ru-RU"/>
        </w:rPr>
        <w:t>и</w:t>
      </w:r>
      <w:r>
        <w:rPr>
          <w:rFonts w:ascii="Times New Roman" w:eastAsia="Times New Roman" w:hAnsi="Times New Roman"/>
          <w:lang w:val="ru-RU"/>
        </w:rPr>
        <w:t>тельства РФ от 23</w:t>
      </w:r>
      <w:r>
        <w:rPr>
          <w:rFonts w:ascii="Times New Roman" w:eastAsia="Times New Roman" w:hAnsi="Times New Roman"/>
          <w:lang w:val="ru-RU"/>
        </w:rPr>
        <w:t>.12.2024 № 1875 «О мерах по предоставлению национального режима при осуществлении закупок товаров, работ, услуг для обеспечения государственных и м</w:t>
      </w:r>
      <w:r>
        <w:rPr>
          <w:rFonts w:ascii="Times New Roman" w:eastAsia="Times New Roman" w:hAnsi="Times New Roman"/>
          <w:lang w:val="ru-RU"/>
        </w:rPr>
        <w:t>у</w:t>
      </w:r>
      <w:r>
        <w:rPr>
          <w:rFonts w:ascii="Times New Roman" w:eastAsia="Times New Roman" w:hAnsi="Times New Roman"/>
          <w:lang w:val="ru-RU"/>
        </w:rPr>
        <w:t xml:space="preserve">ниципальных нужд, закупок товаров, работ, услуг отдельными видами юридических лиц» (далее – постановление № </w:t>
      </w:r>
      <w:r>
        <w:rPr>
          <w:rFonts w:ascii="Times New Roman" w:eastAsia="Times New Roman" w:hAnsi="Times New Roman"/>
          <w:lang w:val="ru-RU"/>
        </w:rPr>
        <w:t>1875), министерством цифрового развития и связи Амурской области подготовлено обоснование неприменения запрета, предусмотренного пунктом 1 постановления № 1875.</w:t>
      </w:r>
    </w:p>
    <w:p w:rsidR="00FC40CA" w:rsidRDefault="00FC40CA">
      <w:pPr>
        <w:jc w:val="both"/>
        <w:rPr>
          <w:rFonts w:ascii="Times New Roman" w:hAnsi="Times New Roman"/>
          <w:lang w:val="ru-RU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10"/>
        <w:gridCol w:w="7055"/>
      </w:tblGrid>
      <w:tr w:rsidR="00FC40CA" w:rsidRPr="0099253C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40CA" w:rsidRDefault="00AB6248">
            <w:pPr>
              <w:pStyle w:val="aff4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Объект закупки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CA" w:rsidRDefault="00AB6248">
            <w:pPr>
              <w:pStyle w:val="aff4"/>
              <w:jc w:val="both"/>
              <w:rPr>
                <w:rFonts w:ascii="Times New Roman" w:hAnsi="Times New Roman"/>
                <w:highlight w:val="white"/>
                <w:lang w:val="ru-RU"/>
              </w:rPr>
            </w:pPr>
            <w:r>
              <w:rPr>
                <w:rFonts w:ascii="Times New Roman" w:eastAsia="Times New Roman" w:hAnsi="Times New Roman"/>
                <w:highlight w:val="white"/>
                <w:lang w:val="ru-RU"/>
              </w:rPr>
              <w:t>Оказание услуг по развитию региональных информационных с</w:t>
            </w:r>
            <w:r>
              <w:rPr>
                <w:rFonts w:ascii="Times New Roman" w:eastAsia="Times New Roman" w:hAnsi="Times New Roman"/>
                <w:highlight w:val="white"/>
                <w:lang w:val="ru-RU"/>
              </w:rPr>
              <w:t>и</w:t>
            </w:r>
            <w:r>
              <w:rPr>
                <w:rFonts w:ascii="Times New Roman" w:eastAsia="Times New Roman" w:hAnsi="Times New Roman"/>
                <w:highlight w:val="white"/>
                <w:lang w:val="ru-RU"/>
              </w:rPr>
              <w:t>стем в целях интеграци</w:t>
            </w:r>
            <w:r>
              <w:rPr>
                <w:rFonts w:ascii="Times New Roman" w:eastAsia="Times New Roman" w:hAnsi="Times New Roman"/>
                <w:highlight w:val="white"/>
                <w:lang w:val="ru-RU"/>
              </w:rPr>
              <w:t>и с витриной данных органов госуда</w:t>
            </w:r>
            <w:r>
              <w:rPr>
                <w:rFonts w:ascii="Times New Roman" w:eastAsia="Times New Roman" w:hAnsi="Times New Roman"/>
                <w:highlight w:val="white"/>
                <w:lang w:val="ru-RU"/>
              </w:rPr>
              <w:t>р</w:t>
            </w:r>
            <w:r>
              <w:rPr>
                <w:rFonts w:ascii="Times New Roman" w:eastAsia="Times New Roman" w:hAnsi="Times New Roman"/>
                <w:highlight w:val="white"/>
                <w:lang w:val="ru-RU"/>
              </w:rPr>
              <w:t>ственной власти и органов управления государственными вн</w:t>
            </w:r>
            <w:r>
              <w:rPr>
                <w:rFonts w:ascii="Times New Roman" w:eastAsia="Times New Roman" w:hAnsi="Times New Roman"/>
                <w:highlight w:val="white"/>
                <w:lang w:val="ru-RU"/>
              </w:rPr>
              <w:t>е</w:t>
            </w:r>
            <w:r>
              <w:rPr>
                <w:rFonts w:ascii="Times New Roman" w:eastAsia="Times New Roman" w:hAnsi="Times New Roman"/>
                <w:highlight w:val="white"/>
                <w:lang w:val="ru-RU"/>
              </w:rPr>
              <w:t>бюджетными фондами</w:t>
            </w:r>
          </w:p>
        </w:tc>
      </w:tr>
      <w:tr w:rsidR="00FC40CA" w:rsidRPr="0099253C">
        <w:tc>
          <w:tcPr>
            <w:tcW w:w="2382" w:type="dxa"/>
            <w:tcBorders>
              <w:left w:val="single" w:sz="4" w:space="0" w:color="000000"/>
              <w:bottom w:val="single" w:sz="4" w:space="0" w:color="000000"/>
            </w:tcBorders>
          </w:tcPr>
          <w:p w:rsidR="00FC40CA" w:rsidRDefault="00AB6248">
            <w:pPr>
              <w:pStyle w:val="aff4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Класс (классы) пр</w:t>
            </w:r>
            <w:r>
              <w:rPr>
                <w:rFonts w:ascii="Times New Roman" w:eastAsia="Times New Roman" w:hAnsi="Times New Roman"/>
                <w:lang w:val="ru-RU"/>
              </w:rPr>
              <w:t>о</w:t>
            </w:r>
            <w:r>
              <w:rPr>
                <w:rFonts w:ascii="Times New Roman" w:eastAsia="Times New Roman" w:hAnsi="Times New Roman"/>
                <w:lang w:val="ru-RU"/>
              </w:rPr>
              <w:t>граммного обеспеч</w:t>
            </w:r>
            <w:r>
              <w:rPr>
                <w:rFonts w:ascii="Times New Roman" w:eastAsia="Times New Roman" w:hAnsi="Times New Roman"/>
                <w:lang w:val="ru-RU"/>
              </w:rPr>
              <w:t>е</w:t>
            </w:r>
            <w:r>
              <w:rPr>
                <w:rFonts w:ascii="Times New Roman" w:eastAsia="Times New Roman" w:hAnsi="Times New Roman"/>
                <w:lang w:val="ru-RU"/>
              </w:rPr>
              <w:t>ния, которому (кот</w:t>
            </w:r>
            <w:r>
              <w:rPr>
                <w:rFonts w:ascii="Times New Roman" w:eastAsia="Times New Roman" w:hAnsi="Times New Roman"/>
                <w:lang w:val="ru-RU"/>
              </w:rPr>
              <w:t>о</w:t>
            </w:r>
            <w:r>
              <w:rPr>
                <w:rFonts w:ascii="Times New Roman" w:eastAsia="Times New Roman" w:hAnsi="Times New Roman"/>
                <w:lang w:val="ru-RU"/>
              </w:rPr>
              <w:t>рым) должно соотве</w:t>
            </w:r>
            <w:r>
              <w:rPr>
                <w:rFonts w:ascii="Times New Roman" w:eastAsia="Times New Roman" w:hAnsi="Times New Roman"/>
                <w:lang w:val="ru-RU"/>
              </w:rPr>
              <w:t>т</w:t>
            </w:r>
            <w:r>
              <w:rPr>
                <w:rFonts w:ascii="Times New Roman" w:eastAsia="Times New Roman" w:hAnsi="Times New Roman"/>
                <w:lang w:val="ru-RU"/>
              </w:rPr>
              <w:t>ствовать программное обеспечение, явля</w:t>
            </w:r>
            <w:r>
              <w:rPr>
                <w:rFonts w:ascii="Times New Roman" w:eastAsia="Times New Roman" w:hAnsi="Times New Roman"/>
                <w:lang w:val="ru-RU"/>
              </w:rPr>
              <w:t>ю</w:t>
            </w:r>
            <w:r>
              <w:rPr>
                <w:rFonts w:ascii="Times New Roman" w:eastAsia="Times New Roman" w:hAnsi="Times New Roman"/>
                <w:lang w:val="ru-RU"/>
              </w:rPr>
              <w:t>щееся объектом з</w:t>
            </w:r>
            <w:r>
              <w:rPr>
                <w:rFonts w:ascii="Times New Roman" w:eastAsia="Times New Roman" w:hAnsi="Times New Roman"/>
                <w:lang w:val="ru-RU"/>
              </w:rPr>
              <w:t>а</w:t>
            </w:r>
            <w:r>
              <w:rPr>
                <w:rFonts w:ascii="Times New Roman" w:eastAsia="Times New Roman" w:hAnsi="Times New Roman"/>
                <w:lang w:val="ru-RU"/>
              </w:rPr>
              <w:t>купки (предмет</w:t>
            </w:r>
            <w:r>
              <w:rPr>
                <w:rFonts w:ascii="Times New Roman" w:eastAsia="Times New Roman" w:hAnsi="Times New Roman"/>
                <w:lang w:val="ru-RU"/>
              </w:rPr>
              <w:t>ом з</w:t>
            </w:r>
            <w:r>
              <w:rPr>
                <w:rFonts w:ascii="Times New Roman" w:eastAsia="Times New Roman" w:hAnsi="Times New Roman"/>
                <w:lang w:val="ru-RU"/>
              </w:rPr>
              <w:t>а</w:t>
            </w:r>
            <w:r>
              <w:rPr>
                <w:rFonts w:ascii="Times New Roman" w:eastAsia="Times New Roman" w:hAnsi="Times New Roman"/>
                <w:lang w:val="ru-RU"/>
              </w:rPr>
              <w:t>купки)</w:t>
            </w:r>
          </w:p>
        </w:tc>
        <w:tc>
          <w:tcPr>
            <w:tcW w:w="6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CA" w:rsidRDefault="00AB6248">
            <w:pPr>
              <w:pStyle w:val="aff4"/>
              <w:jc w:val="both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highlight w:val="white"/>
                <w:lang w:val="ru-RU"/>
              </w:rPr>
              <w:t xml:space="preserve">12.16 </w:t>
            </w:r>
            <w:r>
              <w:rPr>
                <w:rFonts w:ascii="Times New Roman" w:eastAsia="Times New Roman" w:hAnsi="Times New Roman"/>
                <w:lang w:val="ru-RU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</w:tr>
      <w:tr w:rsidR="00FC40CA" w:rsidRPr="0099253C">
        <w:tc>
          <w:tcPr>
            <w:tcW w:w="2382" w:type="dxa"/>
            <w:tcBorders>
              <w:left w:val="single" w:sz="4" w:space="0" w:color="000000"/>
              <w:bottom w:val="single" w:sz="4" w:space="0" w:color="000000"/>
            </w:tcBorders>
          </w:tcPr>
          <w:p w:rsidR="00FC40CA" w:rsidRDefault="00AB6248">
            <w:pPr>
              <w:pStyle w:val="aff4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Обстоятельство, предусмотренное подпунктом «е» или «ж» пункта 5 Пост</w:t>
            </w:r>
            <w:r>
              <w:rPr>
                <w:rFonts w:ascii="Times New Roman" w:eastAsia="Times New Roman" w:hAnsi="Times New Roman"/>
                <w:lang w:val="ru-RU"/>
              </w:rPr>
              <w:t>а</w:t>
            </w:r>
            <w:r>
              <w:rPr>
                <w:rFonts w:ascii="Times New Roman" w:eastAsia="Times New Roman" w:hAnsi="Times New Roman"/>
                <w:lang w:val="ru-RU"/>
              </w:rPr>
              <w:t>новления № 1875</w:t>
            </w:r>
          </w:p>
        </w:tc>
        <w:tc>
          <w:tcPr>
            <w:tcW w:w="6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CA" w:rsidRDefault="00AB6248">
            <w:pPr>
              <w:pStyle w:val="aff4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П</w:t>
            </w:r>
            <w:r>
              <w:rPr>
                <w:rFonts w:ascii="Times New Roman" w:eastAsia="Times New Roman" w:hAnsi="Times New Roman"/>
                <w:lang w:val="ru-RU"/>
              </w:rPr>
              <w:t>одпункт «ж» пункта 5 постановления № 1875, а именно пр</w:t>
            </w:r>
            <w:r>
              <w:rPr>
                <w:rFonts w:ascii="Times New Roman" w:eastAsia="Times New Roman" w:hAnsi="Times New Roman"/>
                <w:lang w:val="ru-RU"/>
              </w:rPr>
              <w:t>о</w:t>
            </w:r>
            <w:r>
              <w:rPr>
                <w:rFonts w:ascii="Times New Roman" w:eastAsia="Times New Roman" w:hAnsi="Times New Roman"/>
                <w:lang w:val="ru-RU"/>
              </w:rPr>
              <w:t>граммное обеспечение, сведения о котором включены в реестр российского программного обеспечения и (или) реестр еврази</w:t>
            </w:r>
            <w:r>
              <w:rPr>
                <w:rFonts w:ascii="Times New Roman" w:eastAsia="Times New Roman" w:hAnsi="Times New Roman"/>
                <w:lang w:val="ru-RU"/>
              </w:rPr>
              <w:t>й</w:t>
            </w:r>
            <w:r>
              <w:rPr>
                <w:rFonts w:ascii="Times New Roman" w:eastAsia="Times New Roman" w:hAnsi="Times New Roman"/>
                <w:lang w:val="ru-RU"/>
              </w:rPr>
              <w:t xml:space="preserve">ского программного обеспечения и которое соответствует тому же классу программного </w:t>
            </w:r>
            <w:r>
              <w:rPr>
                <w:rFonts w:ascii="Times New Roman" w:eastAsia="Times New Roman" w:hAnsi="Times New Roman"/>
                <w:lang w:val="ru-RU"/>
              </w:rPr>
              <w:t>обеспечения, что и программное обеспеч</w:t>
            </w:r>
            <w:r>
              <w:rPr>
                <w:rFonts w:ascii="Times New Roman" w:eastAsia="Times New Roman" w:hAnsi="Times New Roman"/>
                <w:lang w:val="ru-RU"/>
              </w:rPr>
              <w:t>е</w:t>
            </w:r>
            <w:r>
              <w:rPr>
                <w:rFonts w:ascii="Times New Roman" w:eastAsia="Times New Roman" w:hAnsi="Times New Roman"/>
                <w:lang w:val="ru-RU"/>
              </w:rPr>
              <w:t>ние, являющееся объектом закупки (предметом закупки), по своим функциональным, техническим и (или) эксплуатационным хара</w:t>
            </w:r>
            <w:r>
              <w:rPr>
                <w:rFonts w:ascii="Times New Roman" w:eastAsia="Times New Roman" w:hAnsi="Times New Roman"/>
                <w:lang w:val="ru-RU"/>
              </w:rPr>
              <w:t>к</w:t>
            </w:r>
            <w:r>
              <w:rPr>
                <w:rFonts w:ascii="Times New Roman" w:eastAsia="Times New Roman" w:hAnsi="Times New Roman"/>
                <w:lang w:val="ru-RU"/>
              </w:rPr>
              <w:t>теристикам не соответствует установленным заказчиком требов</w:t>
            </w:r>
            <w:r>
              <w:rPr>
                <w:rFonts w:ascii="Times New Roman" w:eastAsia="Times New Roman" w:hAnsi="Times New Roman"/>
                <w:lang w:val="ru-RU"/>
              </w:rPr>
              <w:t>а</w:t>
            </w:r>
            <w:r>
              <w:rPr>
                <w:rFonts w:ascii="Times New Roman" w:eastAsia="Times New Roman" w:hAnsi="Times New Roman"/>
                <w:lang w:val="ru-RU"/>
              </w:rPr>
              <w:t>ниям к программному обеспечению, явл</w:t>
            </w:r>
            <w:r>
              <w:rPr>
                <w:rFonts w:ascii="Times New Roman" w:eastAsia="Times New Roman" w:hAnsi="Times New Roman"/>
                <w:lang w:val="ru-RU"/>
              </w:rPr>
              <w:t>яющемуся объектом з</w:t>
            </w:r>
            <w:r>
              <w:rPr>
                <w:rFonts w:ascii="Times New Roman" w:eastAsia="Times New Roman" w:hAnsi="Times New Roman"/>
                <w:lang w:val="ru-RU"/>
              </w:rPr>
              <w:t>а</w:t>
            </w:r>
            <w:r>
              <w:rPr>
                <w:rFonts w:ascii="Times New Roman" w:eastAsia="Times New Roman" w:hAnsi="Times New Roman"/>
                <w:lang w:val="ru-RU"/>
              </w:rPr>
              <w:t>купки (предметом закупки)</w:t>
            </w:r>
          </w:p>
        </w:tc>
      </w:tr>
      <w:tr w:rsidR="00FC40CA" w:rsidRPr="0099253C">
        <w:tc>
          <w:tcPr>
            <w:tcW w:w="2382" w:type="dxa"/>
            <w:tcBorders>
              <w:left w:val="single" w:sz="4" w:space="0" w:color="000000"/>
              <w:bottom w:val="single" w:sz="4" w:space="0" w:color="000000"/>
            </w:tcBorders>
          </w:tcPr>
          <w:p w:rsidR="00FC40CA" w:rsidRDefault="00AB6248">
            <w:pPr>
              <w:pStyle w:val="aff4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Требования к фун</w:t>
            </w:r>
            <w:r>
              <w:rPr>
                <w:rFonts w:ascii="Times New Roman" w:eastAsia="Times New Roman" w:hAnsi="Times New Roman"/>
                <w:lang w:val="ru-RU"/>
              </w:rPr>
              <w:t>к</w:t>
            </w:r>
            <w:r>
              <w:rPr>
                <w:rFonts w:ascii="Times New Roman" w:eastAsia="Times New Roman" w:hAnsi="Times New Roman"/>
                <w:lang w:val="ru-RU"/>
              </w:rPr>
              <w:t>циональным, техн</w:t>
            </w:r>
            <w:r>
              <w:rPr>
                <w:rFonts w:ascii="Times New Roman" w:eastAsia="Times New Roman" w:hAnsi="Times New Roman"/>
                <w:lang w:val="ru-RU"/>
              </w:rPr>
              <w:t>и</w:t>
            </w:r>
            <w:r>
              <w:rPr>
                <w:rFonts w:ascii="Times New Roman" w:eastAsia="Times New Roman" w:hAnsi="Times New Roman"/>
                <w:lang w:val="ru-RU"/>
              </w:rPr>
              <w:t>ческим и эксплуат</w:t>
            </w:r>
            <w:r>
              <w:rPr>
                <w:rFonts w:ascii="Times New Roman" w:eastAsia="Times New Roman" w:hAnsi="Times New Roman"/>
                <w:lang w:val="ru-RU"/>
              </w:rPr>
              <w:t>а</w:t>
            </w:r>
            <w:r>
              <w:rPr>
                <w:rFonts w:ascii="Times New Roman" w:eastAsia="Times New Roman" w:hAnsi="Times New Roman"/>
                <w:lang w:val="ru-RU"/>
              </w:rPr>
              <w:t>ционным характер</w:t>
            </w:r>
            <w:r>
              <w:rPr>
                <w:rFonts w:ascii="Times New Roman" w:eastAsia="Times New Roman" w:hAnsi="Times New Roman"/>
                <w:lang w:val="ru-RU"/>
              </w:rPr>
              <w:t>и</w:t>
            </w:r>
            <w:r>
              <w:rPr>
                <w:rFonts w:ascii="Times New Roman" w:eastAsia="Times New Roman" w:hAnsi="Times New Roman"/>
                <w:lang w:val="ru-RU"/>
              </w:rPr>
              <w:t>стикам программного обеспечения, явля</w:t>
            </w:r>
            <w:r>
              <w:rPr>
                <w:rFonts w:ascii="Times New Roman" w:eastAsia="Times New Roman" w:hAnsi="Times New Roman"/>
                <w:lang w:val="ru-RU"/>
              </w:rPr>
              <w:t>ю</w:t>
            </w:r>
            <w:r>
              <w:rPr>
                <w:rFonts w:ascii="Times New Roman" w:eastAsia="Times New Roman" w:hAnsi="Times New Roman"/>
                <w:lang w:val="ru-RU"/>
              </w:rPr>
              <w:t>щегося объектом з</w:t>
            </w:r>
            <w:r>
              <w:rPr>
                <w:rFonts w:ascii="Times New Roman" w:eastAsia="Times New Roman" w:hAnsi="Times New Roman"/>
                <w:lang w:val="ru-RU"/>
              </w:rPr>
              <w:t>а</w:t>
            </w:r>
            <w:r>
              <w:rPr>
                <w:rFonts w:ascii="Times New Roman" w:eastAsia="Times New Roman" w:hAnsi="Times New Roman"/>
                <w:lang w:val="ru-RU"/>
              </w:rPr>
              <w:t>купки (предметом з</w:t>
            </w:r>
            <w:r>
              <w:rPr>
                <w:rFonts w:ascii="Times New Roman" w:eastAsia="Times New Roman" w:hAnsi="Times New Roman"/>
                <w:lang w:val="ru-RU"/>
              </w:rPr>
              <w:t>а</w:t>
            </w:r>
            <w:r>
              <w:rPr>
                <w:rFonts w:ascii="Times New Roman" w:eastAsia="Times New Roman" w:hAnsi="Times New Roman"/>
                <w:lang w:val="ru-RU"/>
              </w:rPr>
              <w:t>купки), с указанием класса (классов), к</w:t>
            </w:r>
            <w:r>
              <w:rPr>
                <w:rFonts w:ascii="Times New Roman" w:eastAsia="Times New Roman" w:hAnsi="Times New Roman"/>
                <w:lang w:val="ru-RU"/>
              </w:rPr>
              <w:t>о</w:t>
            </w:r>
            <w:r>
              <w:rPr>
                <w:rFonts w:ascii="Times New Roman" w:eastAsia="Times New Roman" w:hAnsi="Times New Roman"/>
                <w:lang w:val="ru-RU"/>
              </w:rPr>
              <w:t xml:space="preserve">торому (которым) </w:t>
            </w:r>
            <w:r>
              <w:rPr>
                <w:rFonts w:ascii="Times New Roman" w:eastAsia="Times New Roman" w:hAnsi="Times New Roman"/>
                <w:lang w:val="ru-RU"/>
              </w:rPr>
              <w:lastRenderedPageBreak/>
              <w:t>должно с</w:t>
            </w:r>
            <w:r>
              <w:rPr>
                <w:rFonts w:ascii="Times New Roman" w:eastAsia="Times New Roman" w:hAnsi="Times New Roman"/>
                <w:lang w:val="ru-RU"/>
              </w:rPr>
              <w:t>оответств</w:t>
            </w:r>
            <w:r>
              <w:rPr>
                <w:rFonts w:ascii="Times New Roman" w:eastAsia="Times New Roman" w:hAnsi="Times New Roman"/>
                <w:lang w:val="ru-RU"/>
              </w:rPr>
              <w:t>о</w:t>
            </w:r>
            <w:r>
              <w:rPr>
                <w:rFonts w:ascii="Times New Roman" w:eastAsia="Times New Roman" w:hAnsi="Times New Roman"/>
                <w:lang w:val="ru-RU"/>
              </w:rPr>
              <w:t>вать программное обеспечение</w:t>
            </w:r>
          </w:p>
        </w:tc>
        <w:tc>
          <w:tcPr>
            <w:tcW w:w="6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CA" w:rsidRPr="0099253C" w:rsidRDefault="00AB6248">
            <w:pPr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lang w:val="ru-RU"/>
              </w:rPr>
              <w:lastRenderedPageBreak/>
              <w:t>Сопровождение и техническая поддержка государственной информационной системы «Региональная система управления данными Амурской области»</w:t>
            </w:r>
          </w:p>
        </w:tc>
      </w:tr>
      <w:tr w:rsidR="00FC40CA" w:rsidRPr="0099253C">
        <w:tc>
          <w:tcPr>
            <w:tcW w:w="2382" w:type="dxa"/>
            <w:tcBorders>
              <w:left w:val="single" w:sz="4" w:space="0" w:color="000000"/>
              <w:bottom w:val="single" w:sz="4" w:space="0" w:color="000000"/>
            </w:tcBorders>
          </w:tcPr>
          <w:p w:rsidR="00FC40CA" w:rsidRDefault="00AB6248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lastRenderedPageBreak/>
              <w:t>Функциональные, технические и (или) эксплуатационные характеристики (в том числе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их знач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ния), по которым пр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граммное обеспеч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ние, сведения о кот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ром включены в р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естр российского пр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граммного обеспеч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ния и (или) реестр евразийского пр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граммного обеспеч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ния, не соответствует установленным зака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чиком требованиям к программному обе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пече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нию по каждому программному обе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печению (с указанием названия програм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м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ного обеспечения), сведения о котором включены в реестр российского пр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граммного обеспеч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ния и (или) реестр евразийского пр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граммного обеспеч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ния и которое соо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ветствует тому же классу п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рограммного обеспечения, что и программное обесп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чение, являющееся объектом закупки (предметом закупки)</w:t>
            </w:r>
          </w:p>
        </w:tc>
        <w:tc>
          <w:tcPr>
            <w:tcW w:w="6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0CA" w:rsidRDefault="00AB6248">
            <w:pPr>
              <w:pStyle w:val="aff7"/>
              <w:spacing w:line="283" w:lineRule="exact"/>
              <w:jc w:val="left"/>
              <w:rPr>
                <w:szCs w:val="24"/>
                <w:highlight w:val="white"/>
              </w:rPr>
            </w:pPr>
            <w:r>
              <w:rPr>
                <w:szCs w:val="24"/>
                <w:lang w:eastAsia="zh-CN"/>
              </w:rPr>
              <w:t>В результате анализа реестра российского программного обесп</w:t>
            </w:r>
            <w:r>
              <w:rPr>
                <w:szCs w:val="24"/>
                <w:lang w:eastAsia="zh-CN"/>
              </w:rPr>
              <w:t>е</w:t>
            </w:r>
            <w:r>
              <w:rPr>
                <w:szCs w:val="24"/>
                <w:lang w:eastAsia="zh-CN"/>
              </w:rPr>
              <w:t>чения и реестр евразийского программного обеспечения по классу программного обеспечения 1</w:t>
            </w:r>
            <w:r>
              <w:rPr>
                <w:szCs w:val="24"/>
                <w:highlight w:val="white"/>
                <w:lang w:eastAsia="zh-CN"/>
              </w:rPr>
              <w:t xml:space="preserve">2.16 </w:t>
            </w:r>
            <w:r>
              <w:rPr>
                <w:szCs w:val="24"/>
                <w:lang w:eastAsia="zh-CN"/>
              </w:rPr>
              <w:t>Программное обеспечение для решения отраслевых задач в области государственного управления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  <w:lang w:eastAsia="zh-CN"/>
              </w:rPr>
              <w:t>не выявлено.</w:t>
            </w:r>
          </w:p>
          <w:p w:rsidR="00FC40CA" w:rsidRDefault="00FC40CA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</w:tr>
    </w:tbl>
    <w:p w:rsidR="00FC40CA" w:rsidRDefault="00FC40CA">
      <w:pPr>
        <w:jc w:val="both"/>
        <w:rPr>
          <w:rFonts w:ascii="Times New Roman" w:hAnsi="Times New Roman"/>
          <w:lang w:val="ru-RU"/>
        </w:rPr>
      </w:pPr>
    </w:p>
    <w:p w:rsidR="00FC40CA" w:rsidRDefault="00AB6248">
      <w:pPr>
        <w:jc w:val="both"/>
        <w:rPr>
          <w:rFonts w:ascii="Times New Roman" w:eastAsia="Times New Roman" w:hAnsi="Times New Roman"/>
          <w:color w:val="000000"/>
          <w:lang w:val="ru-RU"/>
        </w:rPr>
      </w:pPr>
      <w:r>
        <w:rPr>
          <w:rFonts w:ascii="Times New Roman" w:eastAsia="Times New Roman" w:hAnsi="Times New Roman"/>
          <w:color w:val="000000"/>
          <w:lang w:val="ru-RU"/>
        </w:rPr>
        <w:tab/>
        <w:t>Функциональные, технические и (или) эксплуатационные характеристики (в том числе их значения), по которым программное обеспечение, сведения о к</w:t>
      </w:r>
      <w:r>
        <w:rPr>
          <w:rFonts w:ascii="Times New Roman" w:eastAsia="Times New Roman" w:hAnsi="Times New Roman"/>
          <w:color w:val="000000"/>
          <w:lang w:val="ru-RU"/>
        </w:rPr>
        <w:t>отором включены в реестр российского программного обеспечения и (или) реестр евразийского програм</w:t>
      </w:r>
      <w:r>
        <w:rPr>
          <w:rFonts w:ascii="Times New Roman" w:eastAsia="Times New Roman" w:hAnsi="Times New Roman"/>
          <w:color w:val="000000"/>
          <w:lang w:val="ru-RU"/>
        </w:rPr>
        <w:t>м</w:t>
      </w:r>
      <w:r>
        <w:rPr>
          <w:rFonts w:ascii="Times New Roman" w:eastAsia="Times New Roman" w:hAnsi="Times New Roman"/>
          <w:color w:val="000000"/>
          <w:lang w:val="ru-RU"/>
        </w:rPr>
        <w:t>ного обеспечения, не соответствует установленным заказчиком требованиям к програм</w:t>
      </w:r>
      <w:r>
        <w:rPr>
          <w:rFonts w:ascii="Times New Roman" w:eastAsia="Times New Roman" w:hAnsi="Times New Roman"/>
          <w:color w:val="000000"/>
          <w:lang w:val="ru-RU"/>
        </w:rPr>
        <w:t>м</w:t>
      </w:r>
      <w:r>
        <w:rPr>
          <w:rFonts w:ascii="Times New Roman" w:eastAsia="Times New Roman" w:hAnsi="Times New Roman"/>
          <w:color w:val="000000"/>
          <w:lang w:val="ru-RU"/>
        </w:rPr>
        <w:t>ному обеспечению по каждому программному обеспечению (с указанием названия п</w:t>
      </w:r>
      <w:r>
        <w:rPr>
          <w:rFonts w:ascii="Times New Roman" w:eastAsia="Times New Roman" w:hAnsi="Times New Roman"/>
          <w:color w:val="000000"/>
          <w:lang w:val="ru-RU"/>
        </w:rPr>
        <w:t>р</w:t>
      </w:r>
      <w:r>
        <w:rPr>
          <w:rFonts w:ascii="Times New Roman" w:eastAsia="Times New Roman" w:hAnsi="Times New Roman"/>
          <w:color w:val="000000"/>
          <w:lang w:val="ru-RU"/>
        </w:rPr>
        <w:t>о</w:t>
      </w:r>
      <w:r>
        <w:rPr>
          <w:rFonts w:ascii="Times New Roman" w:eastAsia="Times New Roman" w:hAnsi="Times New Roman"/>
          <w:color w:val="000000"/>
          <w:lang w:val="ru-RU"/>
        </w:rPr>
        <w:t>граммного обеспечения), сведения о котором включены в реестр российского програм</w:t>
      </w:r>
      <w:r>
        <w:rPr>
          <w:rFonts w:ascii="Times New Roman" w:eastAsia="Times New Roman" w:hAnsi="Times New Roman"/>
          <w:color w:val="000000"/>
          <w:lang w:val="ru-RU"/>
        </w:rPr>
        <w:t>м</w:t>
      </w:r>
      <w:r>
        <w:rPr>
          <w:rFonts w:ascii="Times New Roman" w:eastAsia="Times New Roman" w:hAnsi="Times New Roman"/>
          <w:color w:val="000000"/>
          <w:lang w:val="ru-RU"/>
        </w:rPr>
        <w:t>ного обеспечения и (или) реестр евразийского программного обеспечения и которое соо</w:t>
      </w:r>
      <w:r>
        <w:rPr>
          <w:rFonts w:ascii="Times New Roman" w:eastAsia="Times New Roman" w:hAnsi="Times New Roman"/>
          <w:color w:val="000000"/>
          <w:lang w:val="ru-RU"/>
        </w:rPr>
        <w:t>т</w:t>
      </w:r>
      <w:r>
        <w:rPr>
          <w:rFonts w:ascii="Times New Roman" w:eastAsia="Times New Roman" w:hAnsi="Times New Roman"/>
          <w:color w:val="000000"/>
          <w:lang w:val="ru-RU"/>
        </w:rPr>
        <w:t>ветствует тому же классу программного обеспечения, что и программное обеспечение, являюще</w:t>
      </w:r>
      <w:r>
        <w:rPr>
          <w:rFonts w:ascii="Times New Roman" w:eastAsia="Times New Roman" w:hAnsi="Times New Roman"/>
          <w:color w:val="000000"/>
          <w:lang w:val="ru-RU"/>
        </w:rPr>
        <w:t>еся объектом закупки (предметом закупки):</w:t>
      </w:r>
    </w:p>
    <w:p w:rsidR="00FC40CA" w:rsidRDefault="00FC40CA">
      <w:pPr>
        <w:jc w:val="both"/>
        <w:rPr>
          <w:rFonts w:ascii="Times New Roman" w:eastAsia="Times New Roman" w:hAnsi="Times New Roman"/>
          <w:color w:val="000000"/>
          <w:lang w:val="ru-RU"/>
        </w:rPr>
      </w:pPr>
    </w:p>
    <w:p w:rsidR="00FC40CA" w:rsidRDefault="00AB6248">
      <w:pPr>
        <w:jc w:val="both"/>
        <w:rPr>
          <w:rFonts w:ascii="Times New Roman" w:eastAsia="Times New Roman" w:hAnsi="Times New Roman"/>
          <w:color w:val="000000"/>
          <w:highlight w:val="white"/>
          <w:lang w:val="ru-RU"/>
        </w:rPr>
      </w:pPr>
      <w:r>
        <w:rPr>
          <w:rFonts w:ascii="Times New Roman" w:eastAsia="Times New Roman" w:hAnsi="Times New Roman"/>
          <w:color w:val="000000"/>
          <w:highlight w:val="white"/>
          <w:lang w:val="ru-RU"/>
        </w:rPr>
        <w:t>- Количество программного обеспечения с классом 12.16 «Программное обеспечение для решения отраслевых задач в области государственного управления», включенного в р</w:t>
      </w:r>
      <w:r>
        <w:rPr>
          <w:rFonts w:ascii="Times New Roman" w:eastAsia="Times New Roman" w:hAnsi="Times New Roman"/>
          <w:color w:val="000000"/>
          <w:highlight w:val="white"/>
          <w:lang w:val="ru-RU"/>
        </w:rPr>
        <w:t>е</w:t>
      </w:r>
      <w:r>
        <w:rPr>
          <w:rFonts w:ascii="Times New Roman" w:eastAsia="Times New Roman" w:hAnsi="Times New Roman"/>
          <w:color w:val="000000"/>
          <w:highlight w:val="white"/>
          <w:lang w:val="ru-RU"/>
        </w:rPr>
        <w:t>естр российского программного обеспечения и (или)</w:t>
      </w:r>
      <w:r>
        <w:rPr>
          <w:rFonts w:ascii="Times New Roman" w:eastAsia="Times New Roman" w:hAnsi="Times New Roman"/>
          <w:color w:val="000000"/>
          <w:highlight w:val="white"/>
          <w:lang w:val="ru-RU"/>
        </w:rPr>
        <w:t xml:space="preserve"> реестр евразийского программного обеспечения на  05.10.2026 г.составляет: в реестре российского программного обеспеч</w:t>
      </w:r>
      <w:r>
        <w:rPr>
          <w:rFonts w:ascii="Times New Roman" w:eastAsia="Times New Roman" w:hAnsi="Times New Roman"/>
          <w:color w:val="000000"/>
          <w:highlight w:val="white"/>
          <w:lang w:val="ru-RU"/>
        </w:rPr>
        <w:t>е</w:t>
      </w:r>
      <w:r>
        <w:rPr>
          <w:rFonts w:ascii="Times New Roman" w:eastAsia="Times New Roman" w:hAnsi="Times New Roman"/>
          <w:color w:val="000000"/>
          <w:highlight w:val="white"/>
          <w:lang w:val="ru-RU"/>
        </w:rPr>
        <w:t>ния - 299; в реестре евразийского программного обеспечения - 0.</w:t>
      </w:r>
    </w:p>
    <w:p w:rsidR="00FC40CA" w:rsidRDefault="00FC40CA">
      <w:pPr>
        <w:jc w:val="both"/>
        <w:rPr>
          <w:rFonts w:ascii="Times New Roman" w:hAnsi="Times New Roman"/>
          <w:lang w:val="ru-RU"/>
        </w:rPr>
      </w:pPr>
    </w:p>
    <w:tbl>
      <w:tblPr>
        <w:tblStyle w:val="aff6"/>
        <w:tblW w:w="0" w:type="auto"/>
        <w:tblLayout w:type="fixed"/>
        <w:tblLook w:val="04A0" w:firstRow="1" w:lastRow="0" w:firstColumn="1" w:lastColumn="0" w:noHBand="0" w:noVBand="1"/>
      </w:tblPr>
      <w:tblGrid>
        <w:gridCol w:w="419"/>
        <w:gridCol w:w="1424"/>
        <w:gridCol w:w="1701"/>
        <w:gridCol w:w="4174"/>
        <w:gridCol w:w="1638"/>
      </w:tblGrid>
      <w:tr w:rsidR="00FC40CA">
        <w:trPr>
          <w:trHeight w:val="51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№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t>Регистрационный номер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t>Наименование ПО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t>Класс ПО</w:t>
            </w:r>
          </w:p>
        </w:tc>
        <w:tc>
          <w:tcPr>
            <w:tcW w:w="16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t>Дата внесения</w:t>
            </w:r>
          </w:p>
        </w:tc>
      </w:tr>
      <w:tr w:rsidR="00FC40CA" w:rsidRPr="0099253C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35071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Военная медицинская информационная система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здравоохранения;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Средства управления бизнес-процессами (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BPM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);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Программное обеспечение для решения отраслевых задач в области государственного управлен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ия</w:t>
            </w:r>
          </w:p>
        </w:tc>
        <w:tc>
          <w:tcPr>
            <w:tcW w:w="163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sz w:val="14"/>
                <w:szCs w:val="14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Имеющееся в р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е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естрах программное обеспечение класса «Программное обе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с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печение для реш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е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ния отраслевых з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а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дач в области гос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у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дарственного упра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в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ления» не содержит функциональных и технических во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з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можностей для  го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с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ударственной и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н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формационной с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и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стемы «Регионал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ь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ная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 xml:space="preserve"> система упра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в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szCs w:val="20"/>
                <w:lang w:val="ru-RU"/>
              </w:rPr>
              <w:t>ления данными Амурской области»</w:t>
            </w: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35023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 xml:space="preserve">Полигон 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API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: Электронная регистрация недвижимости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Серверное и связующее программное обеспечение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8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34405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Отраслевая геоинформационная система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Геоинформационные и навигационные средства (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GIS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);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Средства управления проектами;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Средства управления контактными центрами;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Средства интеллектуальной обработки информации и интеллектуального анализа бизнес-процессов;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Про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граммное обеспечение для решения отраслевых задач в области транспорта;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Программное обеспечение для решения отраслевых задач в области сельского, лесного хозяйства, рыболовства;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Программное обеспечение для решения отраслевых задач в области строительства з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даний и инженерных сооружений;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Программное обеспечение для решения отраслевых задач в области жилищно-коммунального хозяйства;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Информационные системы для решения сп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ецифических отраслевых задач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33665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Модульная платформа "ИИ-ассистент государственного служащего"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33439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«Информационная система "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DM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Regul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a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tion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Expert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"»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Средства поддержки принятия решений (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DSS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33163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"Ангел: Кадастровый учет"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32929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Конфигурация «АИС МФЦ ДЕЛО» для Системы «ЭОС Платформа»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Программное обеспечение средств внутреннего электронного документооборота;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Средства управления бизнес-процессами (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BPM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32884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ЭПРОС.Регистр МНПА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Справочно-правовые системы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32823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Р.О.С.Дор.Контроль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транспорта;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32734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Модуль передачи сведений об обращениях через СМЭВ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Дополнительные программные модули (плагины)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11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32672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Мобильное приложение «Кондуит»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32573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«АИС Прогресс»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Средства управления бизнес-процессами (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BPM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31557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Автоматизированная информационная система "Кадры ГС"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Дополнительные программные модули (плагины)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31514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Автоматизированная информационная система «Цифр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овое рабочее пространство»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31390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АСОКИ 2.0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Программное обеспечение с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редств внутреннего электронного документооборота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31177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Информационная система использования государственного имущества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31141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Информационная система «Помощь участникам боевых действий и членам их семей»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функционирования системы юридически значимого электронного документооборота;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Программное обеспечение для решения отраслевых задач в области государстве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31086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ИС.ЛАП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Средства управления бизнес-процессами (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BPM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22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31072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Функциональный модуль «Мониторинг показателей Высшего должностного лица» программного обеспечения «Многофункциональная программная и информационная платформа «Госпортал», предназначенная для создания и управления порталами и мобильными приложениями»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Дополнительные программные модули (плагины)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31053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Январь ОРИ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Серверное и связующее программное обеспечение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31042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Январь Hoster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Серверное и связующее программное обеспечение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31024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Программный комплекс «Регион-МПЭ»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30935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 xml:space="preserve">Приложение оператора Мультисервисной цифровой  интеграционной платформы 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DVA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Программы обслуживания;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Серверное и связующее программное обеспечение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30854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Январь AS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Серверное и связующее программное обеспечение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25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30762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ИС "Земельный Комитет"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30536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Опция «Интеграция ЗАГС»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Дополнительные программные модули (плагины)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30427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ПК «Бюджет. Единая нормативно-справочная информация» (ПК «ЕНСИ)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Дополнительные программные модули (плагины)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30366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SP5000 Алгоритмы. Сервис обеспечения реагирования и координации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Средства управления бизнес-процессами (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BPM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);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Программное обеспечение для решения отраслевых задач в области жилищно-коммунального хозяйства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30197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SP5000 Информирование. Сервис доведения информации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Средства управления бизнес-процессами (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BPM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);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Программное обеспечение для решения отраслевых задач в области жилищно-коммунального хозяйства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30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30129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АСУР. Автомат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изированная система управления решениями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Средства поддержки принятия решений (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DSS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31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29651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Модуль интеграции с УРВД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Дополнительные программные модули (плагины)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32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29486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Система контроля и учета поставок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33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29437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SP5000 Справочники. Сервис управления справочниками, классификаторами и документами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Базы знаний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34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29436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SP5000 Ресурсы. Сервис управления силами и средствами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35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29432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SP5000 Интеграция. Сервис подключения информационных систем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36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29431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SP5000 Аналитика. Сервис поддержки принятия решений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Средства управления бизнес-процессами (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BPM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37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29366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MedicalTRM Chec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k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Up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Средства управления бизнес-процессами (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BPM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);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Информационные системы для решения специфичес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ких отраслевых задач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15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38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29211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SaaS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 xml:space="preserve"> система поддержки принятия решений для стратегического устойчивого развития территориальных образований на основе ИИ алгоритмов сценарного когнитивного моделирования 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LMAdviser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Средства поддержки принятия решений (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DSS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39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29163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Активист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Средства управления бизнес-процессами (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BPM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40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29152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Модуль миграционного учета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41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28922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Система мониторинга состояния дорог и дорожной инфраструктуры "СКАНДОР"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42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28821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МЕД.Инцидент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здравоохранения;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43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28761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АС "Жилищный Сертификат"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функционирования системы юридически значимого электронного документооборота;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44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28350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«Суперсервис «Забота»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45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28126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Система электронного документооборота «Практика» 3.0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функционирования системы юридически значимого электронного документооборота;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46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023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Федеральная государственная информационная система контроля за формированием и использованием средств дорожных фондов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47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27933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 xml:space="preserve">1С:Конфигурация сбора бюджетных 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данных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Библиотеки подпрограмм (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SDK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);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48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27719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Мунтаск 2.0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Средства управления эффективностью предприятия (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CPM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/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EPM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49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27571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КС Смета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50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27357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Абис-Эксперт-Кросс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 w:rsidRPr="0099253C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51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27196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Сервис для уполномоченных экономических операторов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AB6248">
            <w:pPr>
              <w:jc w:val="center"/>
              <w:rPr>
                <w:rFonts w:ascii="Times New Roman" w:hAnsi="Times New Roman"/>
                <w:lang w:val="ru-RU"/>
              </w:rPr>
            </w:pP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Программное обеспечение для решения отраслевых задач в области государственного управления;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br/>
              <w:t>Информацион</w:t>
            </w:r>
            <w:r w:rsidRPr="0099253C">
              <w:rPr>
                <w:rFonts w:ascii="Times New Roman" w:eastAsia="Times New Roman" w:hAnsi="Times New Roman"/>
                <w:color w:val="000000"/>
                <w:sz w:val="18"/>
                <w:lang w:val="ru-RU"/>
              </w:rPr>
              <w:t>ные системы для решения специфических отраслевых задач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Pr="0099253C" w:rsidRDefault="00FC40CA">
            <w:pPr>
              <w:jc w:val="center"/>
              <w:rPr>
                <w:lang w:val="ru-RU"/>
              </w:rPr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52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27178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LEGAL 360: iCollect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53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27088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АС «ТПО»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54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27045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Сервис предиктивной аналитики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55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26967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Мобильное приложение «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МЧС России»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56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26615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Модуль 1С «Отчет ГОЗ»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Дополнительные программные модули (плагины)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57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26548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Платформа "Алькона-Мед"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Информационные системы для решения специфических отраслевых задач;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Программное обеспечение для решения отраслевых задач в области го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58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26511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Платформа для создания цифрового двойника города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жилищно-коммунального хозяйства;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3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59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26460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"Информационная система "Претензионно-исковая работа"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Информационные системы для решения специфических отраслевых задач;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жилищно-коммунального хозяйства;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60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26423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Система учета товаров свободной таможенной зоны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61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26359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Программный комплекс "Катарсис: Образование"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62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25941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Pathanatom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63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25865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ИС ЭПС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64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25745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Ангел: Контроль СИМ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Коммуникационное программное обеспечение;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отношениями с клиентами (CRM)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65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25731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ПУЛЬС. Бюджет муниципального уровня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66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25584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Информационная система "Шлюз СМЭВ, Росреестр"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67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25501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ПУЛЬС. Управление муниципальным имуществом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68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25483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ПУЛЬС. Муниципальное управление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8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69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25207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Программный комплекс «Колибри-АРМ» (модуль Колибри-АРМ.МФЦ) для централизованного управления конечными устройствами и приложениями и в ИТ-инфраструктуре учреждений, оказывающих государственные и муниципальные услуги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ИТ-службой, ИТ-инфраструктурой и ИТ-активами (ITSM-ServiceDesk, SCCM, Asset Management)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70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25097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НАВИГАТОР-СМА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мониторинга и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71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24980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Специализированное программное обеспечение «Платформа управления документами и бизнес-процессами «ГосСЭД»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Программное обеспечение средств внутреннего электронного документооборота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72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24698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Chronicles CTMS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 xml:space="preserve">Программное обеспечение для решения отраслевых задач в области 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73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24612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Индекс цифровизации городского хозяйства − IQ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Средства интеллектуальной обработки информации и интеллектуального анализа бизнес-процессов;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8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74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24594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Система по разбору обращений с ИИ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Интеллектуальные средства управления экспертной деятельностью;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Интеллектуальные средства разработки и управления стандартами и нормативами;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интеллектуальной обработки информации и интеллектуального анализа бизнес-процессов;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Программное обеспечение для решения отраслевых задач в области государственного управл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75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24450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Целевое обучение и социальная поддержка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76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24444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Интеграционная медицинская платформа Med.me для онлайн-записи и обмена медицинскими данными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77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24421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Опция «Библиотека для работы с ВС СФР»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Дополнительные программные модули (плагины)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5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78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24327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Страж - идентификация лиц с использованием мобильных терминалов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обработки Больших Данных (BigData);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Инструменты извлечения и трансформации данных (ETL);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аналитической обработки в реальном времени (OLAP)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79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24254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КУС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Поисковые средства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80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24059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СМАРТ Поток: Управление потоками посетителей и процессами обслуживания для административных учреждений и многофункциональных центров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81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24043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 xml:space="preserve">Программный комплекс 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 xml:space="preserve"> «КабинетЭлектронногоВзаимодействияПлюс» (ПК «КЭВ+»)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82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23914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Цифровая платформа управления территорией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Средства интеллектуальной обработки информации и интеллектуального анализа бизнес-процессов;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83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23725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Программа для ЭВМ «Мигрант Сервис»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84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23717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Программный комплекс   «Система долговременного ухода 2.0»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85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23498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Сервис Онлайн-Записи АПК ZT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22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86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23330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АРМВ 3.0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Средства интеллектуальной обработки информации и интеллектуального анализа бизнес-процессов;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Программное обеспечение средств внутреннего электронного документооборота;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Программное обеспечение для функционировани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я системы юридически значимого электронного документооборота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3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87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22615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управления, получения, анализа и хранения данных для рентгеновского досмотрового комплекса обратного рассеяния (ВИЗОР ПРО)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88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22512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Дневник самоконтроля качества жизни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89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22472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Автоматизированная информационная система АУДИТ КСО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90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22269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Программа для ЭВМ «Территориальный / отраслевой военно-учетный орган (кроссплатформенная)» («Гран-Бронирование UX/W»)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 xml:space="preserve">Программное обеспечение для решения 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91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22036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"Программная платформа дистанционного технического и эксплуатационного контроля персональных медицинских приборов (ПМП-Платформа)"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Программное обеспечение промышленной диагностики оборудования или систем оборудования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92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22015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Социальная электронная платформа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93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22009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F3 ЛЛО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94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21983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«Ангиолайф» (сервис-ХИНК-ИИ)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Интеллектуальные средства управления экспертной деятельностью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95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21979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Опция «Взаимодействие с ГИС ГМП»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Дополнительные программные модули (плагины)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96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21978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"Компакт-нейро"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97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21889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Dentist Plus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Средства управления отношениями с клиентами (CRM);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 xml:space="preserve">Программное обеспечение для решения отраслевых 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98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21803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 xml:space="preserve">Автоматизированная радиологическая информационная клиент-серверная 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lastRenderedPageBreak/>
              <w:t>система «РИС OPENKEY»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lastRenderedPageBreak/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Программы обслуживан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99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21786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ПРОГРАММА ДЛЯ ПОМОЩИ В ДИФФЕРЕНЦИАЛЬНОЙ ДИАГНОСТИКЕ GALENOS.AI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Средства интеллектуальной обработки информации и интеллектуального анализа бизнес-процессов;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100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21754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Автоматизированная информационная система «Сайтымедицине.рф»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содержимым (CMS), сайты и портальные решения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101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21695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Личный кабинет пациента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 xml:space="preserve">Программное обеспечение для решения отраслевых задач в области 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отношениями с клиентами (CRM)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102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21689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Автоматизированная информационная система «СИГНАЛ»,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Серверное и связующее программное обеспечение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103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21607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Программный модуль регистрации и архивации результатов спирометрии «Spiro PC2»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3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104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21582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Программная часть опытного образца аппаратно-программного комплекса «Интеллектуальная система поддержки врачебных решений на основе технологий искусственного интеллекта»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Интеллектуальные средства управления экспертной деятельностью;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Инструменты обработки, анализа и распознавания изображений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105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21581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Программа «Платформа медицинского обслуживания для скрининга, профилактики и ухода за пациентами с хроническими заболеваниями»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3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106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21547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МОСТ (Медицинская объединяющая система телемониторинга)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обработки Больших Данных (BigData);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интеллектуального анализа данных (Data Mining);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ва поддержки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107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21491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Система телемедицинских консультаций для граждан с установленным диагнозом «сахарный диабет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108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21472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 xml:space="preserve">Программное обеспечение "Система Искусственного Интеллекта для анализа кардиологических исследований" (ИС 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lastRenderedPageBreak/>
              <w:t>ИИ-Кардио)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lastRenderedPageBreak/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109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21470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SensoRehab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110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21464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Информационная система «Карта жителя «Алга, Башкортостан»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111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21350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АРГУС-КАРИО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112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21341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Информационная система "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Здрав.Классификатор МИ"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интеллектуальной обработки информации и интеллектуального анализа бизнес-процессов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113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21300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HealthCard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114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21268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Информационная система «МЕДБАНК»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115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21232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Высокоуровневая платформа разработки медицинских информационных систем "Инфоклиника PRO"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116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21231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Феникс Регион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гостиничного и туристического бизнеса, предприятий общественного питания;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117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21228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EC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G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Mobile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118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21223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Микард Мобайл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119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21222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Ми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кард Десктоп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120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21221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Микард Центр уведомлений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3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121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21215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«Sciberia Head» автоматизированного  анализа медицинских изображений компьютерной томографии области  головного мозга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Инструменты обработки,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 xml:space="preserve"> анализа и распознавания изображений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122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21205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АЙТИ-ТАБЛЕТКА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123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21178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ЕДИНАЯ МЕДИЦИНСКАЯ ЦИФРОВАЯ ПЛАТФОРМА (ЕМЦП)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124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21123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Акросс Веб Клиент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125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21122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Медицинская информационная система CoolMED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126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21094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Единая цифровая платформа.ВМИС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127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21046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Программный модуль централизованного мониторирования «ПЦМ»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128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21006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Цифровая платформа дистанционного кардиомониторинга и автоматизации бизнес-процессов кардиоцентров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129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20923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Автоматизированная информационная система «Пегас РУС» (АИС «Пегас РУС»)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130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20868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Программный модуль  суточного мониторирования ЭКГ SHS-24h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131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20855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Веб-платформа SmartMed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132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20815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МИНОС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133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20715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Histoscan Pathologist Environment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Инструменты обработки, анал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иза и распознавания изображений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134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20675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Медицинская информационная система «КОРТИС»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8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135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20623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«Мониторинг артериального давления, сахара крови и других психофизиологических параметров состояния здоровья человека для формирования персональных оздоровительных программ».(«Метаболический статус»)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136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20589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DK.MED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отношениями с клиентами (CRM);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137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20584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Программный модуль регистрации и архивации ЭКГ «ЭКГ Ревю»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138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20472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Интернет-Сервис "ПроКлинику"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139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20424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ArtInCol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а поддержки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140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20354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МИОКАРД-12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141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20332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ФАРДО XL Досье (PHARDO XL Doss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i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er)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142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20325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Опция «Запись на прием»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Дополнительные программные модули (пл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143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20314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Медицинская Информационная Система "Система Автоматизации Медико-Страхового Обслуживания Населения" "САМСОН" (КПС "САМСОН") Версия 2.7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144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20180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Модуль интеграции с Глобальным адресным справочником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Дополнительные программные модули (плагины)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145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20129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Программа для ЭВМ «Военно-учетный работник (орган) организации (кроссплатформенная)» («Гран-ВУР UX/W»)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146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20114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системы хирургической навигационной «Автоплан»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Мультимедийное программное обеспечение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147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20057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Программный модуль для видеоаналитики в стационарных медицинских учреждениях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Инструменты обработки, анализа и распознавания изображений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3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148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20023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checkpoint eye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Программное обеспечение интернета вещей, робототехники и сенсорики;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Интеллектуальные средства управления экспертной деятельностью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149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19988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Онлайн Око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150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19963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Справочно-информационная система «Абиограм»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151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19952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Опция «Интеграция с цифровым профилем гражданина»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Дополнительные программные модули (плагины)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152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19943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Мониторинг инфекционных и паразитарных заболеваний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153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19880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Платформа дистанционного мониторинга физиологических показателей пациента «Health check-up»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154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19845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Контрольно-информационная панель управления MVS Lyra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 xml:space="preserve"> мониторинга и управления программно-определяемых сетей и виртуализации сетевых функций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155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19797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Система компьютерного зрения комплексная нейросетевая CVL – Chest CT Complex для анализа компьютерной томографии органов грудной клетки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интеллектуальной обработки информации и интеллектуального анализа бизнес-процессов;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156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19746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Мобильное приложение: Paten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t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Mobile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157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19694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BONAPLANNER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158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19652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«JEMYS: ЭНДОСКОПИЧЕСКАЯ ИНФОРМАЦИОННАЯ СИСТЕМА» ПО ТУ 58.29.32-012-45327610-2023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159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19637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АИС "Электронная очередь на улучшение жилищных условий детей-сирот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160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19619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Программа дистанционных медицинских осмотров «Медикон»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161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19609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Информационная система для людей с ограниченными возможностями «Место силы»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162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19600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ТФОМС ПМО и диспансеризация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163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19579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Программа диспетчеризации пациентов и обмена информационными сообщениями "УДАР"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20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164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19524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Виртуальная система хранения биологических образцов и ассоциированных данных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хранения данных;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лабораторными потоками работ и документов (LIMS);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Инструменты извлечения и трансформации данных (ETL);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интелл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ектуального анализа данных (Data Mining)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165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19380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Подсистема формирования государственного социального заказа (Соцзаказ-СМАРТ)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166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19330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управления, получения, анализа и хранения данных для инспекционно-досмотрового комплекса (ИНТРО ПРО)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167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19203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Система проведения медицинск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их исследований "ТачМед" (Touc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h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Med)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168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19199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Веб-сайт ПСИХОЛОГтут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169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19186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Интерактивное приложение «Оказание первой помощи»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170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19154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Zabota 2.0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171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19136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Лабораторная информационная система неонатального скрининга Registr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a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tura Newborn Scree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n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ing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172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19130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СУРДОСКОП ®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173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19116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SMART-DICOM MWL Сервер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174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19066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Информационная система «Цифровой аудитор»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175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19057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Лоцман:Медицина. Расчет стоимости платных услуг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176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19046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ВА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ТС ВКЦ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177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19007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Автоматизированная информационная система Учета программ реабилитации и абилитации (АИС УПРА)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178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18987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Диагностика патологий позвоночника с использованием искусственного интеллекта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179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18986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Доктор рядом. Телемед Премиум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180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18940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Виртуальный симуляционный комплекс для формирования навыков клинического мышления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Мультимедийное программное обеспечение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181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18925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Информационная система «Региональный портал медицинских услуг»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182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18896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Инфо+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183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18893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Опция «Интеграция с картой болельщика»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Дополнительные программные модули (плагины)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184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18763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СВХ+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складом и цепочками поставок (WMS, SCM)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185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18757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ДТ+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186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18756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Brain-Expert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187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18728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Система дистанционной передачи и анализа кардиограмм (ТелеЭКГ) в Тамбовской области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188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18696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Медицинская информационная система "МедИС" (МИС "МедИС")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189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18680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Практикующий невролог. Электронная версия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Справочно-правовые системы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190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18589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ТехноКад-Муниципалитет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191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18584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АТМ СППР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192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18575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Практикующие врачи лучевой и функциональной диагностики. Электронная версия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Справочно-правовые системы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193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18574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Практикующий дерматовенеролог. Электронная версия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Справочно-правовые системы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194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18502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Опция «Взаимодействие с СФР России»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Дополнительные программные модули (плагины)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3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195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18322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«Polyptron - программа для поддержки принятия врачебных решений для диагностики рака нижних отделов ЖКТ на базе алгоритмов искусственного интеллекта»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ржки принятия решений (DSS);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Инструменты обработки, анализа и распознавания изображений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3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196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18315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МАММЕТРИКС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Средства интеллектуальной обработки информации и интеллектуального анализа бизнес-процессов;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Инструменты обработки, анализа и распознавания изображений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197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18310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МУЛЬТИСЕРВИСНАЯ ЦИФРОВАЯ ИНТЕГРАЦИОННАЯ ПЛАТФОРМА (МЦИП) DVA: MDIP ver.1.0x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Серверное и связующее программное обеспечение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198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18291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Автоматизированная информационная система  «ИМЦ: Комплексная медицинская информационная система»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Информационные системы для решения специфических отраслевых задач;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199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18172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Pathoview, программное обеспечение для работы в области цифровой микроскопии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3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200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18170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PharmBudget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Интеллектуальные средства управления экспертной деятельностью;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эффективностью предприятия (CPM/EPM)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201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18168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ФАРДО eCTDView (PHARDO e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C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TDView)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202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18149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Система нейросетевая Care Mentor AI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Средства поддержки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203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18094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Здравсити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204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18035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МИОКАРД-ХОЛТЕР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Встроенные прикладные программы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205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18034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Мобильное приложение "НаПоправку"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Поисковые средства;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Базы знаний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206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18024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«Санаториум с модулем экспертной поддержки принятия врачебных решений»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207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18013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Цифровая платформа социальных сервисов "Камбалл"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отношениями с кли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ентами (CRM)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208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18006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Опция «Методический портал»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Дополнительные программные модули (плагины)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209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18000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мобильное приложение "Здравсити" (IOS)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210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17997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Сервис визирования электронных документов (СВЭД)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211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17931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Микард Сервер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212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17817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Web-Стационар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213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17752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мобильное приложение "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Здравсити" (A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n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droid)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214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17751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Опция «Взаимодействие с ФССП»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Дополнител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ьные программные модули (плагины)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215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17750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Опция «Интеграция с ФНС»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Дополнительные программные модули (плагины)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216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17749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Опция «Интеграция ГЭПС»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Дополнительные программные модули (плагины)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217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17747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Опция «Интеграция ЕПГУ»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Дополнительные программные модули (плагины)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218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17746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Вибросенсотест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219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17745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3D Сканер Неврокор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Инструменты обработки, анализа и распознавания изображений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220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17743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Опция «Интеграция ЕРН»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Дополнительные программные модули (плагины)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221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17734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Информационно-телекоммуникационная платформа «Тета»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Средства управления контактными центрами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222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17732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Медицинская интеллектуальная корпоративная система (Medics)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223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7726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ПО "МЕДАРМ" версия 3.0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224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17712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Медицинская информационная система «MedWork Next»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225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17679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Программа дистанционного мониторинга перфузионных характеристик Pp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u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Mon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Встроенные прикладные программы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226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17676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Стабилометрия Неврокор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227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17674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Система управления базами данных (СУБД-КС)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базами данных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228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17659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«Астрокард®-Сомностудия»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Интеллектуальные средства управления экспертной деятельностью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229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17655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Система управления активами медицинских организаций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230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17642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Веб-сервис электронной карты пациента и его интеграция с 1С УМЦ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3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231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17615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«Sсiberia Lungs»  автоматизированного анализа медицинских изображений компьютерной томографии  области легких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поддержки принятия ре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3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232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17613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Программа для дистанционного мониторинга и управления комплексом механической поддержки насосной функции левого и правого желудочков сердца "СтримКардио"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Встроенные прикладные программы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233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12168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БФТ.Нацпроекты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5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234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12080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БФТ.Хранилище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Средства аналитической обработки в реальном времени (OLAP);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Предметно-ориентированные информационные базы данных (EDW);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поддержки принятия решений (DSS);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235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11944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БФТ.Капвложения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236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11889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БФТ.ЕНСИ.Регион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информационными ресурсами и средства управления основными данными (ECM, MDM)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237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11276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БФТ.Хранилище электронных документов.Регион (БФТ.ХЭД.Регион)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238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11043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Система управления муниципальным имуществом «Каскад»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239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10747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БФТ.Управление активами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основными фондами предприятия (EAM)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240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9165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БАРС.Бюджет Онлайн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241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8718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Информационно-аналитическая система «Динамика Умного Города» версии 1.0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Геоинформационные и навигационные средства (GIS);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интеллектуальной обработки информации и интеллектуального анализа бизнес-процессов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242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7396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БФТ. Решаем вместе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содержимым (CMS), сайты и портальные решения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243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7065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«БФТ. Бюджет для граждан»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244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7064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«БФТ. Регион Онлайн»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245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6692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ПРОГРАММА ДЛЯ ЭВМ «ПЛАТФОРМА УМНЫЙ ГОРОД»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интеллектуальной обработки информации и интеллектуального анализа бизнес-процессов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246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6488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Ангел: ЦОД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247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5092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«Автоматизированная система бюджетного учета-ОВИОНТ»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85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248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5032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Региональный онкологический программный комплекс ОНКОР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государственной информационной системы «Региональная система управления данными Амурской области»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249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4980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Webiomed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поддержки принятия решений (DSS)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250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4821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БАРС.Управление имуществом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5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251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4461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Программа для сбора и обработки информации поступающей от информационно-коммуникационной подсистемы системы обеспечения вызова экстренных оперативных служб «Аналитика-112»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Средства поддержки принятия решений (DSS);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Программное обеспечение для решения отрас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252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4295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Имущество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253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4108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ПК "Интеграция с ЕГИССО"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Серверное и связующее программное обеспечение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254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4107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ПК "Доступная среда"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255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3571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Модуль "Делопроизводство" Автоматизированной системы секретного делопроизводства и документооборота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Про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граммное обеспечение средств внутреннего электронного документооборота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256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3033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Ангел-Лицензиат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257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2591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Программный комплекс "Модикомм - Заработная плата, Кадры, Тарификация"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258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2578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Программный комплекс «Нормосфера»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259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2571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Программный комплекс "Клиентская служба"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Средства управления отношениями с клиентами (CRM)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260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2551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Программный комплекс "Регистр получателей социальных услуг"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261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2550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Программный комплекс "Социальные службы"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262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2549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Программный комплекс "Реестр поставщиков социальных услу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г"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263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2505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"Комплексная Бухгалтерская Система" СТЭК версия для государственных (муниципальных) учреждений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264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2395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Автоматизированная система "Занятость"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265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2232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SiTex МФЦ. Версия СК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266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2231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SiTex-ЭСРН. Версия СК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267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2230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SiTex  ЕСМ. Версия СК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информационными ресу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рсами и средства управления основными данными (ECM, MDM)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85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268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2226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SiTex Портал. Версия СК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государственной информационной системы «Региональная система управления данными Амурской области»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269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2225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SiTex Конструктор услуг. Версия СК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270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2212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Автоматизированная система "Семья и дети"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 xml:space="preserve">Средства управления 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271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2211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Автоматизированная система «Контроль исполнения административных регламентов предоставления государственных и муниципальных услуг (АС КИАР)»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272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2206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Автоматизированная система «Капелла»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273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2141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Автоматизированный центр контроля «Комплексный учет»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3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274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2090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«Система автоматизации процесса управления муниципальными закупками – Автоматизированный Центр Контроля – Муниципальный заказ» («АЦК-Муниципальный заказ»)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275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2087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БФТ.Бюджетный контроль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5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276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2085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«Система автоматизации финансово-экономических органов – Автоматизированный Центр Контроля процесса планирования и учета расходов на оказание государственных (муниципальных) услуг» («АЦК-Бюджетные услуги)»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3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277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2084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 xml:space="preserve">«Система автоматизации финансово-экономических органов – Автоматизированный Центр Контроля 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lastRenderedPageBreak/>
              <w:t>процесса планирования и анализа бюджета» («АЦК-Планирование»)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lastRenderedPageBreak/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278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2045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Автоматизированная информационная система многофункциональных центров предоставления государственных и муниципальных услуг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279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2042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Программный комплекс для учета земельных и имущественных отношений SAUMI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280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1885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Модуль взаимодействия с МЭДО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281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1557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БФТ.Имущество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282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1515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БФТ.Закупки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283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1492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«Автоматизированный Центр Контроля и Мониторинга ключевых показателей эффективности развития региона» («АЦК-Мониторинг КПЭ»)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поддержки принятия решений (DS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S)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284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1490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"АЦК-Бюджетный учет"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285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1416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«Система автоматизации финансово-казначейских органов – Автоматизированный Центр Контроля исполнения бюджета» («АЦК-Финансы»)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 xml:space="preserve">Средства управления бизнес-процессами 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286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1414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«Автоматизированная Система Управления Бюджетным Процессом «Автоматизированный Центр Контроля Финансов» («АСУ БП «АЦК-Финансы)»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287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1412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 xml:space="preserve">«Система автоматизации процесса управления государственными закупками – Автоматизированный Центр Контроля – Государственный 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lastRenderedPageBreak/>
              <w:t>заказ» («АЦК-Госзаказ»)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lastRenderedPageBreak/>
              <w:t xml:space="preserve">Программное обеспечение для решения отраслевых задач 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lastRenderedPageBreak/>
              <w:t>288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1411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"Система автоматизации управления процессом администрирования поступлений в бюджет" ("АЦК - Администратор")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289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949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БАРС.Мониторинг-Здравоохранение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290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923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БАРС.Мониторинг-Социальная Защита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291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910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БАРС.Бюджет-Зарплата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67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292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908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БАРС.Здравоохранение - ТФОМС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бизнес-процессами (BPM)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293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907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БАРС.Здравоохранение - Регистры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1125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294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879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АВТОМАТИЗИРОВАННАЯ СИСТЕМА УПРАВЛЕНИЯ ГОСУДАРСТВЕННЫМ И МУНИЦИПАЛЬНЫМ ИМУЩЕСТВОМ (АС «УГМИ»)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295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861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БАРС.Бюджет-Госзаказ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296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812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АВТОМАТИЗИРОВАННАЯ СИСТЕМА УПРАВЛЕНИЯ МУНИЦИПАЛЬНОЙ СОБСТВЕННОСТЬЮ (АС УМС)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 xml:space="preserve">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297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381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АСГОР "ИМУЩЕСТВО"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управления основными фондами предприятия (EAM)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90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298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309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1С:Зарплата и кадры бюджетного учреждения 8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Программное обеспечение для решения отраслевых задач в области государственного управления;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br/>
              <w:t>Средства финансового менеджмента, управления активами и трудовыми ресурсами (ERP)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  <w:tr w:rsidR="00FC40CA">
        <w:trPr>
          <w:trHeight w:val="450"/>
        </w:trPr>
        <w:tc>
          <w:tcPr>
            <w:tcW w:w="4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</w:rPr>
              <w:t>299</w:t>
            </w:r>
          </w:p>
        </w:tc>
        <w:tc>
          <w:tcPr>
            <w:tcW w:w="1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50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>БАРС.Инвентаризация</w:t>
            </w:r>
          </w:p>
        </w:tc>
        <w:tc>
          <w:tcPr>
            <w:tcW w:w="41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AB62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</w:rPr>
              <w:t xml:space="preserve">Программное обеспечение для решения отраслевых задач </w:t>
            </w:r>
            <w:r>
              <w:rPr>
                <w:rFonts w:ascii="Times New Roman" w:eastAsia="Times New Roman" w:hAnsi="Times New Roman"/>
                <w:color w:val="000000"/>
                <w:sz w:val="18"/>
              </w:rPr>
              <w:t>в области государственного управления</w:t>
            </w:r>
          </w:p>
        </w:tc>
        <w:tc>
          <w:tcPr>
            <w:tcW w:w="163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40CA" w:rsidRDefault="00FC40CA">
            <w:pPr>
              <w:jc w:val="center"/>
            </w:pPr>
          </w:p>
        </w:tc>
      </w:tr>
    </w:tbl>
    <w:p w:rsidR="00FC40CA" w:rsidRDefault="00FC40CA">
      <w:pPr>
        <w:jc w:val="both"/>
        <w:rPr>
          <w:rFonts w:ascii="Times New Roman" w:hAnsi="Times New Roman"/>
          <w:lang w:val="ru-RU"/>
        </w:rPr>
      </w:pPr>
    </w:p>
    <w:p w:rsidR="00FC40CA" w:rsidRDefault="00FC40CA">
      <w:pPr>
        <w:jc w:val="both"/>
        <w:rPr>
          <w:rFonts w:ascii="Times New Roman" w:hAnsi="Times New Roman"/>
          <w:lang w:val="ru-RU"/>
        </w:rPr>
      </w:pPr>
    </w:p>
    <w:sectPr w:rsidR="00FC40CA">
      <w:headerReference w:type="default" r:id="rId8"/>
      <w:pgSz w:w="11906" w:h="16838"/>
      <w:pgMar w:top="1134" w:right="850" w:bottom="1134" w:left="1701" w:header="709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248" w:rsidRDefault="00AB6248">
      <w:r>
        <w:separator/>
      </w:r>
    </w:p>
  </w:endnote>
  <w:endnote w:type="continuationSeparator" w:id="0">
    <w:p w:rsidR="00AB6248" w:rsidRDefault="00AB6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an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Corbe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Corbel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248" w:rsidRDefault="00AB6248">
      <w:r>
        <w:separator/>
      </w:r>
    </w:p>
  </w:footnote>
  <w:footnote w:type="continuationSeparator" w:id="0">
    <w:p w:rsidR="00AB6248" w:rsidRDefault="00AB62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0CA" w:rsidRDefault="00FC40CA">
    <w:pPr>
      <w:pStyle w:val="ac"/>
      <w:jc w:val="center"/>
      <w:rPr>
        <w:rFonts w:ascii="Times New Roman" w:hAnsi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90612"/>
    <w:multiLevelType w:val="hybridMultilevel"/>
    <w:tmpl w:val="27D47C4E"/>
    <w:lvl w:ilvl="0" w:tplc="4AC0F676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AEFEC3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02EE04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BA2D20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5BCD0B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384A2C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702FB5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A04262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600AAA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>
    <w:nsid w:val="0D465DC0"/>
    <w:multiLevelType w:val="hybridMultilevel"/>
    <w:tmpl w:val="D21C3BA4"/>
    <w:lvl w:ilvl="0" w:tplc="83E68766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 w:tplc="FB92CD0A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 w:tplc="92C896DC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 w:tplc="F10E54BA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 w:tplc="FA100290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 w:tplc="CC6CD626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 w:tplc="28CA24B8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 w:tplc="FAF40FEE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 w:tplc="A0F08D92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2">
    <w:nsid w:val="18DE3583"/>
    <w:multiLevelType w:val="hybridMultilevel"/>
    <w:tmpl w:val="2A8C8664"/>
    <w:lvl w:ilvl="0" w:tplc="2F60D522">
      <w:start w:val="1"/>
      <w:numFmt w:val="decimal"/>
      <w:lvlText w:val="%1."/>
      <w:lvlJc w:val="left"/>
      <w:pPr>
        <w:ind w:left="709" w:hanging="360"/>
      </w:pPr>
    </w:lvl>
    <w:lvl w:ilvl="1" w:tplc="1944B0AC">
      <w:start w:val="1"/>
      <w:numFmt w:val="lowerLetter"/>
      <w:lvlText w:val="%2."/>
      <w:lvlJc w:val="left"/>
      <w:pPr>
        <w:ind w:left="1429" w:hanging="360"/>
      </w:pPr>
    </w:lvl>
    <w:lvl w:ilvl="2" w:tplc="4630FEB8">
      <w:start w:val="1"/>
      <w:numFmt w:val="lowerRoman"/>
      <w:lvlText w:val="%3."/>
      <w:lvlJc w:val="right"/>
      <w:pPr>
        <w:ind w:left="2149" w:hanging="180"/>
      </w:pPr>
    </w:lvl>
    <w:lvl w:ilvl="3" w:tplc="8B50DFB6">
      <w:start w:val="1"/>
      <w:numFmt w:val="decimal"/>
      <w:lvlText w:val="%4."/>
      <w:lvlJc w:val="left"/>
      <w:pPr>
        <w:ind w:left="2869" w:hanging="360"/>
      </w:pPr>
    </w:lvl>
    <w:lvl w:ilvl="4" w:tplc="F9862430">
      <w:start w:val="1"/>
      <w:numFmt w:val="lowerLetter"/>
      <w:lvlText w:val="%5."/>
      <w:lvlJc w:val="left"/>
      <w:pPr>
        <w:ind w:left="3589" w:hanging="360"/>
      </w:pPr>
    </w:lvl>
    <w:lvl w:ilvl="5" w:tplc="A3AA1DFE">
      <w:start w:val="1"/>
      <w:numFmt w:val="lowerRoman"/>
      <w:lvlText w:val="%6."/>
      <w:lvlJc w:val="right"/>
      <w:pPr>
        <w:ind w:left="4309" w:hanging="180"/>
      </w:pPr>
    </w:lvl>
    <w:lvl w:ilvl="6" w:tplc="020E42A2">
      <w:start w:val="1"/>
      <w:numFmt w:val="decimal"/>
      <w:lvlText w:val="%7."/>
      <w:lvlJc w:val="left"/>
      <w:pPr>
        <w:ind w:left="5029" w:hanging="360"/>
      </w:pPr>
    </w:lvl>
    <w:lvl w:ilvl="7" w:tplc="A04CF82A">
      <w:start w:val="1"/>
      <w:numFmt w:val="lowerLetter"/>
      <w:lvlText w:val="%8."/>
      <w:lvlJc w:val="left"/>
      <w:pPr>
        <w:ind w:left="5749" w:hanging="360"/>
      </w:pPr>
    </w:lvl>
    <w:lvl w:ilvl="8" w:tplc="2258DBD8">
      <w:start w:val="1"/>
      <w:numFmt w:val="lowerRoman"/>
      <w:lvlText w:val="%9."/>
      <w:lvlJc w:val="right"/>
      <w:pPr>
        <w:ind w:left="6469" w:hanging="180"/>
      </w:pPr>
    </w:lvl>
  </w:abstractNum>
  <w:abstractNum w:abstractNumId="3">
    <w:nsid w:val="20935D5A"/>
    <w:multiLevelType w:val="hybridMultilevel"/>
    <w:tmpl w:val="444A4B26"/>
    <w:lvl w:ilvl="0" w:tplc="49E0A8BC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AC2C8BA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75EAC8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4E8061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08A95E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B70225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DAC953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9DC6A1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A0A224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>
    <w:nsid w:val="402C0A75"/>
    <w:multiLevelType w:val="hybridMultilevel"/>
    <w:tmpl w:val="91641B28"/>
    <w:lvl w:ilvl="0" w:tplc="55A4DD38">
      <w:start w:val="1"/>
      <w:numFmt w:val="decimal"/>
      <w:lvlText w:val="%1."/>
      <w:lvlJc w:val="left"/>
      <w:pPr>
        <w:ind w:left="709" w:hanging="360"/>
      </w:pPr>
    </w:lvl>
    <w:lvl w:ilvl="1" w:tplc="2C90E382">
      <w:start w:val="1"/>
      <w:numFmt w:val="lowerLetter"/>
      <w:lvlText w:val="%2."/>
      <w:lvlJc w:val="left"/>
      <w:pPr>
        <w:ind w:left="1429" w:hanging="360"/>
      </w:pPr>
    </w:lvl>
    <w:lvl w:ilvl="2" w:tplc="914EEB40">
      <w:start w:val="1"/>
      <w:numFmt w:val="lowerRoman"/>
      <w:lvlText w:val="%3."/>
      <w:lvlJc w:val="right"/>
      <w:pPr>
        <w:ind w:left="2149" w:hanging="180"/>
      </w:pPr>
    </w:lvl>
    <w:lvl w:ilvl="3" w:tplc="A454985A">
      <w:start w:val="1"/>
      <w:numFmt w:val="decimal"/>
      <w:lvlText w:val="%4."/>
      <w:lvlJc w:val="left"/>
      <w:pPr>
        <w:ind w:left="2869" w:hanging="360"/>
      </w:pPr>
    </w:lvl>
    <w:lvl w:ilvl="4" w:tplc="2DE4D500">
      <w:start w:val="1"/>
      <w:numFmt w:val="lowerLetter"/>
      <w:lvlText w:val="%5."/>
      <w:lvlJc w:val="left"/>
      <w:pPr>
        <w:ind w:left="3589" w:hanging="360"/>
      </w:pPr>
    </w:lvl>
    <w:lvl w:ilvl="5" w:tplc="F96060B2">
      <w:start w:val="1"/>
      <w:numFmt w:val="lowerRoman"/>
      <w:lvlText w:val="%6."/>
      <w:lvlJc w:val="right"/>
      <w:pPr>
        <w:ind w:left="4309" w:hanging="180"/>
      </w:pPr>
    </w:lvl>
    <w:lvl w:ilvl="6" w:tplc="28F2268A">
      <w:start w:val="1"/>
      <w:numFmt w:val="decimal"/>
      <w:lvlText w:val="%7."/>
      <w:lvlJc w:val="left"/>
      <w:pPr>
        <w:ind w:left="5029" w:hanging="360"/>
      </w:pPr>
    </w:lvl>
    <w:lvl w:ilvl="7" w:tplc="FED28CCE">
      <w:start w:val="1"/>
      <w:numFmt w:val="lowerLetter"/>
      <w:lvlText w:val="%8."/>
      <w:lvlJc w:val="left"/>
      <w:pPr>
        <w:ind w:left="5749" w:hanging="360"/>
      </w:pPr>
    </w:lvl>
    <w:lvl w:ilvl="8" w:tplc="642C44D6">
      <w:start w:val="1"/>
      <w:numFmt w:val="lowerRoman"/>
      <w:lvlText w:val="%9."/>
      <w:lvlJc w:val="right"/>
      <w:pPr>
        <w:ind w:left="6469" w:hanging="180"/>
      </w:pPr>
    </w:lvl>
  </w:abstractNum>
  <w:abstractNum w:abstractNumId="5">
    <w:nsid w:val="42294E02"/>
    <w:multiLevelType w:val="hybridMultilevel"/>
    <w:tmpl w:val="AA54F612"/>
    <w:lvl w:ilvl="0" w:tplc="D69A5454">
      <w:start w:val="1"/>
      <w:numFmt w:val="decimal"/>
      <w:lvlText w:val="%1."/>
      <w:lvlJc w:val="right"/>
      <w:pPr>
        <w:ind w:left="720" w:hanging="360"/>
      </w:pPr>
    </w:lvl>
    <w:lvl w:ilvl="1" w:tplc="924ACB64">
      <w:start w:val="1"/>
      <w:numFmt w:val="lowerLetter"/>
      <w:lvlText w:val="%2."/>
      <w:lvlJc w:val="left"/>
      <w:pPr>
        <w:ind w:left="1440" w:hanging="360"/>
      </w:pPr>
    </w:lvl>
    <w:lvl w:ilvl="2" w:tplc="79CAD74A">
      <w:start w:val="1"/>
      <w:numFmt w:val="lowerRoman"/>
      <w:lvlText w:val="%3."/>
      <w:lvlJc w:val="right"/>
      <w:pPr>
        <w:ind w:left="2160" w:hanging="180"/>
      </w:pPr>
    </w:lvl>
    <w:lvl w:ilvl="3" w:tplc="B6D6CCC4">
      <w:start w:val="1"/>
      <w:numFmt w:val="decimal"/>
      <w:lvlText w:val="%4."/>
      <w:lvlJc w:val="left"/>
      <w:pPr>
        <w:ind w:left="2880" w:hanging="360"/>
      </w:pPr>
    </w:lvl>
    <w:lvl w:ilvl="4" w:tplc="F0C09908">
      <w:start w:val="1"/>
      <w:numFmt w:val="lowerLetter"/>
      <w:lvlText w:val="%5."/>
      <w:lvlJc w:val="left"/>
      <w:pPr>
        <w:ind w:left="3600" w:hanging="360"/>
      </w:pPr>
    </w:lvl>
    <w:lvl w:ilvl="5" w:tplc="6F1264B2">
      <w:start w:val="1"/>
      <w:numFmt w:val="lowerRoman"/>
      <w:lvlText w:val="%6."/>
      <w:lvlJc w:val="right"/>
      <w:pPr>
        <w:ind w:left="4320" w:hanging="180"/>
      </w:pPr>
    </w:lvl>
    <w:lvl w:ilvl="6" w:tplc="76D2FAF8">
      <w:start w:val="1"/>
      <w:numFmt w:val="decimal"/>
      <w:lvlText w:val="%7."/>
      <w:lvlJc w:val="left"/>
      <w:pPr>
        <w:ind w:left="5040" w:hanging="360"/>
      </w:pPr>
    </w:lvl>
    <w:lvl w:ilvl="7" w:tplc="8D76669E">
      <w:start w:val="1"/>
      <w:numFmt w:val="lowerLetter"/>
      <w:lvlText w:val="%8."/>
      <w:lvlJc w:val="left"/>
      <w:pPr>
        <w:ind w:left="5760" w:hanging="360"/>
      </w:pPr>
    </w:lvl>
    <w:lvl w:ilvl="8" w:tplc="49D8340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D90F36"/>
    <w:multiLevelType w:val="hybridMultilevel"/>
    <w:tmpl w:val="70526AB6"/>
    <w:lvl w:ilvl="0" w:tplc="4EFC781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9F76105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6314694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84B0CD9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AAE495E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291C66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B56E0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03BC8FF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C58893D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548826BD"/>
    <w:multiLevelType w:val="hybridMultilevel"/>
    <w:tmpl w:val="A65A6E58"/>
    <w:lvl w:ilvl="0" w:tplc="9CDE569C">
      <w:start w:val="1"/>
      <w:numFmt w:val="bullet"/>
      <w:lvlText w:val="–"/>
      <w:lvlJc w:val="left"/>
      <w:pPr>
        <w:tabs>
          <w:tab w:val="num" w:pos="0"/>
        </w:tabs>
        <w:ind w:left="709" w:hanging="360"/>
      </w:pPr>
      <w:rPr>
        <w:rFonts w:ascii="Arial" w:hAnsi="Arial" w:cs="Arial" w:hint="default"/>
      </w:rPr>
    </w:lvl>
    <w:lvl w:ilvl="1" w:tplc="053047FE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 w:tplc="3970DF58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 w:tplc="F49A51C8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 w:tplc="E60054D8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 w:tplc="500EA9FC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 w:tplc="A492F6C2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 w:tplc="F392C57C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 w:tplc="B0E016B0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8">
    <w:nsid w:val="5F2F5293"/>
    <w:multiLevelType w:val="hybridMultilevel"/>
    <w:tmpl w:val="50380BAE"/>
    <w:lvl w:ilvl="0" w:tplc="96F2301C">
      <w:start w:val="1"/>
      <w:numFmt w:val="decimal"/>
      <w:lvlText w:val="%1."/>
      <w:lvlJc w:val="left"/>
      <w:pPr>
        <w:ind w:left="1069" w:hanging="360"/>
      </w:pPr>
    </w:lvl>
    <w:lvl w:ilvl="1" w:tplc="21C613D0">
      <w:start w:val="1"/>
      <w:numFmt w:val="lowerLetter"/>
      <w:lvlText w:val="%2."/>
      <w:lvlJc w:val="left"/>
      <w:pPr>
        <w:ind w:left="1789" w:hanging="360"/>
      </w:pPr>
    </w:lvl>
    <w:lvl w:ilvl="2" w:tplc="83164710">
      <w:start w:val="1"/>
      <w:numFmt w:val="lowerRoman"/>
      <w:lvlText w:val="%3."/>
      <w:lvlJc w:val="right"/>
      <w:pPr>
        <w:ind w:left="2509" w:hanging="180"/>
      </w:pPr>
    </w:lvl>
    <w:lvl w:ilvl="3" w:tplc="A7062A2E">
      <w:start w:val="1"/>
      <w:numFmt w:val="decimal"/>
      <w:lvlText w:val="%4."/>
      <w:lvlJc w:val="left"/>
      <w:pPr>
        <w:ind w:left="3229" w:hanging="360"/>
      </w:pPr>
    </w:lvl>
    <w:lvl w:ilvl="4" w:tplc="9F96DC00">
      <w:start w:val="1"/>
      <w:numFmt w:val="lowerLetter"/>
      <w:lvlText w:val="%5."/>
      <w:lvlJc w:val="left"/>
      <w:pPr>
        <w:ind w:left="3949" w:hanging="360"/>
      </w:pPr>
    </w:lvl>
    <w:lvl w:ilvl="5" w:tplc="699C1620">
      <w:start w:val="1"/>
      <w:numFmt w:val="lowerRoman"/>
      <w:lvlText w:val="%6."/>
      <w:lvlJc w:val="right"/>
      <w:pPr>
        <w:ind w:left="4669" w:hanging="180"/>
      </w:pPr>
    </w:lvl>
    <w:lvl w:ilvl="6" w:tplc="4FEEC72C">
      <w:start w:val="1"/>
      <w:numFmt w:val="decimal"/>
      <w:lvlText w:val="%7."/>
      <w:lvlJc w:val="left"/>
      <w:pPr>
        <w:ind w:left="5389" w:hanging="360"/>
      </w:pPr>
    </w:lvl>
    <w:lvl w:ilvl="7" w:tplc="667C0E98">
      <w:start w:val="1"/>
      <w:numFmt w:val="lowerLetter"/>
      <w:lvlText w:val="%8."/>
      <w:lvlJc w:val="left"/>
      <w:pPr>
        <w:ind w:left="6109" w:hanging="360"/>
      </w:pPr>
    </w:lvl>
    <w:lvl w:ilvl="8" w:tplc="2E2A822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0CA"/>
    <w:rsid w:val="0099253C"/>
    <w:rsid w:val="00AB6248"/>
    <w:rsid w:val="00FC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DengXian" w:cs="Times New Roman"/>
      <w:sz w:val="24"/>
      <w:szCs w:val="24"/>
      <w:lang w:val="en-GB" w:eastAsia="zh-CN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outlineLvl w:val="0"/>
    </w:pPr>
    <w:rPr>
      <w:rFonts w:ascii="Times New Roman" w:eastAsia="Times New Roman" w:hAnsi="Times New Roman"/>
      <w:b/>
      <w:bCs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a3">
    <w:name w:val="Название объекта Знак"/>
    <w:basedOn w:val="a0"/>
    <w:link w:val="a4"/>
    <w:uiPriority w:val="35"/>
    <w:qFormat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5">
    <w:name w:val="Название Знак"/>
    <w:basedOn w:val="a0"/>
    <w:link w:val="a6"/>
    <w:uiPriority w:val="10"/>
    <w:qFormat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9">
    <w:name w:val="Выделенная цитата Знак"/>
    <w:link w:val="aa"/>
    <w:uiPriority w:val="30"/>
    <w:qFormat/>
    <w:rPr>
      <w:i/>
    </w:rPr>
  </w:style>
  <w:style w:type="character" w:customStyle="1" w:styleId="ab">
    <w:name w:val="Верхний колонтитул Знак"/>
    <w:basedOn w:val="a0"/>
    <w:link w:val="ac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d">
    <w:name w:val="Нижний колонтитул Знак"/>
    <w:link w:val="ae"/>
    <w:uiPriority w:val="99"/>
    <w:qFormat/>
  </w:style>
  <w:style w:type="character" w:customStyle="1" w:styleId="af">
    <w:name w:val="Текст сноски Знак"/>
    <w:link w:val="af0"/>
    <w:uiPriority w:val="99"/>
    <w:qFormat/>
    <w:rPr>
      <w:sz w:val="18"/>
    </w:rPr>
  </w:style>
  <w:style w:type="character" w:customStyle="1" w:styleId="af1">
    <w:name w:val="Символ сноски"/>
    <w:uiPriority w:val="99"/>
    <w:unhideWhenUsed/>
    <w:qFormat/>
    <w:rPr>
      <w:vertAlign w:val="superscript"/>
    </w:rPr>
  </w:style>
  <w:style w:type="character" w:styleId="af2">
    <w:name w:val="footnote reference"/>
    <w:rPr>
      <w:vertAlign w:val="superscript"/>
    </w:rPr>
  </w:style>
  <w:style w:type="character" w:customStyle="1" w:styleId="af3">
    <w:name w:val="Текст концевой сноски Знак"/>
    <w:link w:val="af4"/>
    <w:uiPriority w:val="99"/>
    <w:qFormat/>
    <w:rPr>
      <w:sz w:val="20"/>
    </w:rPr>
  </w:style>
  <w:style w:type="character" w:customStyle="1" w:styleId="af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6">
    <w:name w:val="endnote reference"/>
    <w:rPr>
      <w:vertAlign w:val="superscript"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Tahoma" w:eastAsia="DengXian" w:hAnsi="Tahoma" w:cs="Tahoma"/>
      <w:sz w:val="16"/>
      <w:szCs w:val="16"/>
      <w:lang w:val="en-GB" w:eastAsia="zh-CN"/>
    </w:rPr>
  </w:style>
  <w:style w:type="character" w:styleId="af9">
    <w:name w:val="Hyperlink"/>
    <w:basedOn w:val="a0"/>
    <w:uiPriority w:val="99"/>
    <w:unhideWhenUsed/>
    <w:rPr>
      <w:rFonts w:cs="Times New Roman"/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hAnsi="Times New Roman" w:cs="Times New Roman"/>
      <w:b/>
      <w:bCs/>
      <w:sz w:val="48"/>
      <w:szCs w:val="48"/>
      <w:lang w:eastAsia="ru-RU"/>
    </w:rPr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6">
    <w:name w:val="Title"/>
    <w:basedOn w:val="a"/>
    <w:next w:val="afb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b">
    <w:name w:val="Body Text"/>
    <w:basedOn w:val="a"/>
    <w:pPr>
      <w:spacing w:after="140" w:line="276" w:lineRule="auto"/>
    </w:pPr>
  </w:style>
  <w:style w:type="paragraph" w:styleId="afc">
    <w:name w:val="List"/>
    <w:basedOn w:val="afb"/>
    <w:rPr>
      <w:rFonts w:cs="Lohit Devanagari"/>
    </w:rPr>
  </w:style>
  <w:style w:type="paragraph" w:styleId="a4">
    <w:name w:val="caption"/>
    <w:basedOn w:val="a"/>
    <w:link w:val="a3"/>
    <w:qFormat/>
    <w:pPr>
      <w:suppressLineNumbers/>
      <w:spacing w:before="120" w:after="120"/>
    </w:pPr>
    <w:rPr>
      <w:rFonts w:cs="Lohit Devanagari"/>
      <w:i/>
      <w:iCs/>
    </w:rPr>
  </w:style>
  <w:style w:type="paragraph" w:styleId="afd">
    <w:name w:val="index heading"/>
    <w:basedOn w:val="a6"/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paragraph" w:styleId="aff">
    <w:name w:val="No Spacing"/>
    <w:uiPriority w:val="1"/>
    <w:qFormat/>
  </w:style>
  <w:style w:type="paragraph" w:styleId="a8">
    <w:name w:val="Subtitle"/>
    <w:basedOn w:val="a"/>
    <w:next w:val="a"/>
    <w:link w:val="a7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a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0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paragraph" w:customStyle="1" w:styleId="caption1">
    <w:name w:val="caption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0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paragraph" w:styleId="af4">
    <w:name w:val="endnote text"/>
    <w:basedOn w:val="a"/>
    <w:link w:val="af3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qFormat/>
    <w:pPr>
      <w:spacing w:after="200" w:line="276" w:lineRule="auto"/>
    </w:pPr>
  </w:style>
  <w:style w:type="paragraph" w:styleId="aff2">
    <w:name w:val="table of figures"/>
    <w:basedOn w:val="a"/>
    <w:next w:val="a"/>
    <w:uiPriority w:val="99"/>
    <w:unhideWhenUsed/>
    <w:qFormat/>
  </w:style>
  <w:style w:type="paragraph" w:styleId="af8">
    <w:name w:val="Balloon Text"/>
    <w:basedOn w:val="a"/>
    <w:link w:val="af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ff3">
    <w:name w:val="Знак"/>
    <w:basedOn w:val="a"/>
    <w:qFormat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f4">
    <w:name w:val="Содержимое таблицы"/>
    <w:basedOn w:val="a"/>
    <w:qFormat/>
    <w:pPr>
      <w:widowControl w:val="0"/>
      <w:suppressLineNumbers/>
    </w:pPr>
  </w:style>
  <w:style w:type="paragraph" w:customStyle="1" w:styleId="aff5">
    <w:name w:val="Заголовок таблицы"/>
    <w:basedOn w:val="aff4"/>
    <w:qFormat/>
    <w:pPr>
      <w:jc w:val="center"/>
    </w:pPr>
    <w:rPr>
      <w:b/>
      <w:bCs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customStyle="1" w:styleId="aff7">
    <w:name w:val="_ТекстЦентрир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rFonts w:ascii="Times New Roman" w:hAnsi="Times New Roman" w:cs="Times New Roman"/>
      <w:color w:val="00000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DengXian" w:cs="Times New Roman"/>
      <w:sz w:val="24"/>
      <w:szCs w:val="24"/>
      <w:lang w:val="en-GB" w:eastAsia="zh-CN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outlineLvl w:val="0"/>
    </w:pPr>
    <w:rPr>
      <w:rFonts w:ascii="Times New Roman" w:eastAsia="Times New Roman" w:hAnsi="Times New Roman"/>
      <w:b/>
      <w:bCs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a3">
    <w:name w:val="Название объекта Знак"/>
    <w:basedOn w:val="a0"/>
    <w:link w:val="a4"/>
    <w:uiPriority w:val="35"/>
    <w:qFormat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5">
    <w:name w:val="Название Знак"/>
    <w:basedOn w:val="a0"/>
    <w:link w:val="a6"/>
    <w:uiPriority w:val="10"/>
    <w:qFormat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9">
    <w:name w:val="Выделенная цитата Знак"/>
    <w:link w:val="aa"/>
    <w:uiPriority w:val="30"/>
    <w:qFormat/>
    <w:rPr>
      <w:i/>
    </w:rPr>
  </w:style>
  <w:style w:type="character" w:customStyle="1" w:styleId="ab">
    <w:name w:val="Верхний колонтитул Знак"/>
    <w:basedOn w:val="a0"/>
    <w:link w:val="ac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d">
    <w:name w:val="Нижний колонтитул Знак"/>
    <w:link w:val="ae"/>
    <w:uiPriority w:val="99"/>
    <w:qFormat/>
  </w:style>
  <w:style w:type="character" w:customStyle="1" w:styleId="af">
    <w:name w:val="Текст сноски Знак"/>
    <w:link w:val="af0"/>
    <w:uiPriority w:val="99"/>
    <w:qFormat/>
    <w:rPr>
      <w:sz w:val="18"/>
    </w:rPr>
  </w:style>
  <w:style w:type="character" w:customStyle="1" w:styleId="af1">
    <w:name w:val="Символ сноски"/>
    <w:uiPriority w:val="99"/>
    <w:unhideWhenUsed/>
    <w:qFormat/>
    <w:rPr>
      <w:vertAlign w:val="superscript"/>
    </w:rPr>
  </w:style>
  <w:style w:type="character" w:styleId="af2">
    <w:name w:val="footnote reference"/>
    <w:rPr>
      <w:vertAlign w:val="superscript"/>
    </w:rPr>
  </w:style>
  <w:style w:type="character" w:customStyle="1" w:styleId="af3">
    <w:name w:val="Текст концевой сноски Знак"/>
    <w:link w:val="af4"/>
    <w:uiPriority w:val="99"/>
    <w:qFormat/>
    <w:rPr>
      <w:sz w:val="20"/>
    </w:rPr>
  </w:style>
  <w:style w:type="character" w:customStyle="1" w:styleId="af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6">
    <w:name w:val="endnote reference"/>
    <w:rPr>
      <w:vertAlign w:val="superscript"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Tahoma" w:eastAsia="DengXian" w:hAnsi="Tahoma" w:cs="Tahoma"/>
      <w:sz w:val="16"/>
      <w:szCs w:val="16"/>
      <w:lang w:val="en-GB" w:eastAsia="zh-CN"/>
    </w:rPr>
  </w:style>
  <w:style w:type="character" w:styleId="af9">
    <w:name w:val="Hyperlink"/>
    <w:basedOn w:val="a0"/>
    <w:uiPriority w:val="99"/>
    <w:unhideWhenUsed/>
    <w:rPr>
      <w:rFonts w:cs="Times New Roman"/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hAnsi="Times New Roman" w:cs="Times New Roman"/>
      <w:b/>
      <w:bCs/>
      <w:sz w:val="48"/>
      <w:szCs w:val="48"/>
      <w:lang w:eastAsia="ru-RU"/>
    </w:rPr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6">
    <w:name w:val="Title"/>
    <w:basedOn w:val="a"/>
    <w:next w:val="afb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b">
    <w:name w:val="Body Text"/>
    <w:basedOn w:val="a"/>
    <w:pPr>
      <w:spacing w:after="140" w:line="276" w:lineRule="auto"/>
    </w:pPr>
  </w:style>
  <w:style w:type="paragraph" w:styleId="afc">
    <w:name w:val="List"/>
    <w:basedOn w:val="afb"/>
    <w:rPr>
      <w:rFonts w:cs="Lohit Devanagari"/>
    </w:rPr>
  </w:style>
  <w:style w:type="paragraph" w:styleId="a4">
    <w:name w:val="caption"/>
    <w:basedOn w:val="a"/>
    <w:link w:val="a3"/>
    <w:qFormat/>
    <w:pPr>
      <w:suppressLineNumbers/>
      <w:spacing w:before="120" w:after="120"/>
    </w:pPr>
    <w:rPr>
      <w:rFonts w:cs="Lohit Devanagari"/>
      <w:i/>
      <w:iCs/>
    </w:rPr>
  </w:style>
  <w:style w:type="paragraph" w:styleId="afd">
    <w:name w:val="index heading"/>
    <w:basedOn w:val="a6"/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paragraph" w:styleId="aff">
    <w:name w:val="No Spacing"/>
    <w:uiPriority w:val="1"/>
    <w:qFormat/>
  </w:style>
  <w:style w:type="paragraph" w:styleId="a8">
    <w:name w:val="Subtitle"/>
    <w:basedOn w:val="a"/>
    <w:next w:val="a"/>
    <w:link w:val="a7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a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0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paragraph" w:customStyle="1" w:styleId="caption1">
    <w:name w:val="caption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0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paragraph" w:styleId="af4">
    <w:name w:val="endnote text"/>
    <w:basedOn w:val="a"/>
    <w:link w:val="af3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qFormat/>
    <w:pPr>
      <w:spacing w:after="200" w:line="276" w:lineRule="auto"/>
    </w:pPr>
  </w:style>
  <w:style w:type="paragraph" w:styleId="aff2">
    <w:name w:val="table of figures"/>
    <w:basedOn w:val="a"/>
    <w:next w:val="a"/>
    <w:uiPriority w:val="99"/>
    <w:unhideWhenUsed/>
    <w:qFormat/>
  </w:style>
  <w:style w:type="paragraph" w:styleId="af8">
    <w:name w:val="Balloon Text"/>
    <w:basedOn w:val="a"/>
    <w:link w:val="af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ff3">
    <w:name w:val="Знак"/>
    <w:basedOn w:val="a"/>
    <w:qFormat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f4">
    <w:name w:val="Содержимое таблицы"/>
    <w:basedOn w:val="a"/>
    <w:qFormat/>
    <w:pPr>
      <w:widowControl w:val="0"/>
      <w:suppressLineNumbers/>
    </w:pPr>
  </w:style>
  <w:style w:type="paragraph" w:customStyle="1" w:styleId="aff5">
    <w:name w:val="Заголовок таблицы"/>
    <w:basedOn w:val="aff4"/>
    <w:qFormat/>
    <w:pPr>
      <w:jc w:val="center"/>
    </w:pPr>
    <w:rPr>
      <w:b/>
      <w:bCs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customStyle="1" w:styleId="aff7">
    <w:name w:val="_ТекстЦентрир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rFonts w:ascii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9378</Words>
  <Characters>53456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Secretar8</dc:creator>
  <cp:lastModifiedBy>Гребенщикова</cp:lastModifiedBy>
  <cp:revision>2</cp:revision>
  <dcterms:created xsi:type="dcterms:W3CDTF">2026-10-08T01:24:00Z</dcterms:created>
  <dcterms:modified xsi:type="dcterms:W3CDTF">2026-10-08T01:24:00Z</dcterms:modified>
  <dc:language>ru-RU</dc:language>
</cp:coreProperties>
</file>