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right="-287" w:hanging="0"/>
        <w:jc w:val="center"/>
        <w:rPr>
          <w:b/>
          <w:b/>
        </w:rPr>
      </w:pPr>
      <w:r>
        <w:rPr>
          <w:b/>
        </w:rPr>
        <w:t>Обоснование начальной (максимальной) цены контракта</w:t>
      </w:r>
    </w:p>
    <w:p>
      <w:pPr>
        <w:pStyle w:val="Normal"/>
        <w:ind w:right="-287" w:hanging="0"/>
        <w:jc w:val="center"/>
        <w:rPr>
          <w:b/>
          <w:b/>
        </w:rPr>
      </w:pPr>
      <w:r>
        <w:rPr>
          <w:b/>
        </w:rPr>
      </w:r>
    </w:p>
    <w:p>
      <w:pPr>
        <w:pStyle w:val="Normal"/>
        <w:jc w:val="both"/>
        <w:rPr>
          <w:bCs/>
          <w:color w:val="000000"/>
        </w:rPr>
      </w:pPr>
      <w:r>
        <w:rPr>
          <w:b/>
          <w:bCs/>
        </w:rPr>
        <w:t xml:space="preserve">       </w:t>
      </w:r>
      <w:r>
        <w:rPr>
          <w:b/>
          <w:bCs/>
        </w:rPr>
        <w:t xml:space="preserve">Объект закупки: </w:t>
      </w:r>
      <w:r>
        <w:rPr/>
        <w:t>Оказание услуг по п</w:t>
      </w:r>
      <w:r>
        <w:rPr>
          <w:color w:val="000000"/>
        </w:rPr>
        <w:t>редоставлению простого (неисключительного) права на получение обновлений эксплуатируемого программного продукта медицинской информационной системы «Ариадна» (МИС «Ариадна»), а также на оказание услуг по сопровождению и технической поддержке МИС «Ариадна».</w:t>
      </w:r>
      <w:r>
        <w:rPr>
          <w:lang w:eastAsia="ar-SA"/>
        </w:rPr>
        <w:tab/>
      </w:r>
    </w:p>
    <w:p>
      <w:pPr>
        <w:pStyle w:val="Normal"/>
        <w:ind w:firstLine="567"/>
        <w:jc w:val="both"/>
        <w:rPr/>
      </w:pPr>
      <w:r>
        <w:rPr>
          <w:b/>
        </w:rPr>
        <w:t xml:space="preserve">Основные характеристики объекта закупки: </w:t>
      </w:r>
      <w:r>
        <w:rPr/>
        <w:t>в соответствии с Описанием объекта закупки (прилагается отдельным файлом к извещению об осуществлении закупки).</w:t>
      </w:r>
    </w:p>
    <w:p>
      <w:pPr>
        <w:pStyle w:val="Normal"/>
        <w:ind w:firstLine="567"/>
        <w:jc w:val="both"/>
        <w:rPr>
          <w:spacing w:val="-4"/>
        </w:rPr>
      </w:pPr>
      <w:r>
        <w:rPr>
          <w:b/>
          <w:spacing w:val="-4"/>
        </w:rPr>
        <w:t xml:space="preserve">Используемый метод определения начальной (максимальной) цены контракта </w:t>
      </w:r>
      <w:r>
        <w:rPr>
          <w:bCs/>
          <w:spacing w:val="-4"/>
        </w:rPr>
        <w:t>(далее – НМЦК): м</w:t>
      </w:r>
      <w:r>
        <w:rPr>
          <w:spacing w:val="-4"/>
        </w:rPr>
        <w:t>етод сопоставимых рыночных цен (анализа рынка).</w:t>
      </w:r>
    </w:p>
    <w:p>
      <w:pPr>
        <w:pStyle w:val="Normal"/>
        <w:widowControl w:val="false"/>
        <w:tabs>
          <w:tab w:val="clear" w:pos="708"/>
          <w:tab w:val="left" w:pos="851" w:leader="none"/>
        </w:tabs>
        <w:spacing w:lineRule="auto" w:line="228"/>
        <w:ind w:right="1134" w:hanging="0"/>
        <w:jc w:val="both"/>
        <w:rPr>
          <w:b/>
          <w:b/>
        </w:rPr>
      </w:pPr>
      <w:r>
        <w:rPr>
          <w:rFonts w:eastAsia="Andale Sans UI"/>
          <w:b/>
          <w:lang w:bidi="en-US"/>
        </w:rPr>
        <w:t xml:space="preserve">          </w:t>
      </w:r>
      <w:r>
        <w:rPr>
          <w:rFonts w:eastAsia="Andale Sans UI"/>
          <w:b/>
          <w:lang w:bidi="en-US"/>
        </w:rPr>
        <w:t xml:space="preserve">Расчет НМЦК:  </w:t>
      </w:r>
    </w:p>
    <w:p>
      <w:pPr>
        <w:pStyle w:val="Normal"/>
        <w:widowControl w:val="false"/>
        <w:ind w:firstLine="567"/>
        <w:rPr>
          <w:b/>
          <w:b/>
        </w:rPr>
      </w:pPr>
      <w:r>
        <w:rPr>
          <w:b/>
        </w:rPr>
      </w:r>
    </w:p>
    <w:tbl>
      <w:tblPr>
        <w:tblW w:w="14575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24"/>
        <w:gridCol w:w="3426"/>
        <w:gridCol w:w="913"/>
        <w:gridCol w:w="849"/>
        <w:gridCol w:w="1300"/>
        <w:gridCol w:w="1588"/>
        <w:gridCol w:w="1475"/>
        <w:gridCol w:w="1650"/>
        <w:gridCol w:w="1412"/>
        <w:gridCol w:w="1536"/>
      </w:tblGrid>
      <w:tr>
        <w:trPr>
          <w:trHeight w:val="455" w:hRule="atLeast"/>
        </w:trPr>
        <w:tc>
          <w:tcPr>
            <w:tcW w:w="4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3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 услуг</w:t>
            </w:r>
          </w:p>
        </w:tc>
        <w:tc>
          <w:tcPr>
            <w:tcW w:w="9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 изм. </w:t>
            </w:r>
          </w:p>
        </w:tc>
        <w:tc>
          <w:tcPr>
            <w:tcW w:w="8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Кол-во</w:t>
            </w:r>
          </w:p>
        </w:tc>
        <w:tc>
          <w:tcPr>
            <w:tcW w:w="288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color w:val="000000"/>
                <w:shd w:fill="auto" w:val="clear"/>
              </w:rPr>
              <w:t>Исполнитель 1, исх.№.597 03.09.2026</w:t>
            </w:r>
          </w:p>
        </w:tc>
        <w:tc>
          <w:tcPr>
            <w:tcW w:w="3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color w:val="000000"/>
                <w:shd w:fill="auto" w:val="clear"/>
              </w:rPr>
              <w:t>Исполнитель 2, исх. 313/09 от 09.09.2026</w:t>
            </w:r>
          </w:p>
        </w:tc>
        <w:tc>
          <w:tcPr>
            <w:tcW w:w="29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"/>
              <w:widowControl w:val="false"/>
              <w:spacing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Исполнитель 3, исх.б/н  от 09.09.2026</w:t>
            </w:r>
          </w:p>
        </w:tc>
      </w:tr>
      <w:tr>
        <w:trPr>
          <w:trHeight w:val="723" w:hRule="atLeast"/>
        </w:trPr>
        <w:tc>
          <w:tcPr>
            <w:tcW w:w="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34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91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84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30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color w:val="000000"/>
                <w:shd w:fill="auto" w:val="clear"/>
              </w:rPr>
              <w:t>Цена за ед. изм. в руб.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color w:val="000000"/>
                <w:shd w:fill="auto" w:val="clear"/>
              </w:rPr>
              <w:t>Сумма, руб.</w:t>
            </w:r>
          </w:p>
        </w:tc>
        <w:tc>
          <w:tcPr>
            <w:tcW w:w="1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color w:val="000000"/>
                <w:shd w:fill="auto" w:val="clear"/>
              </w:rPr>
              <w:t>Цена за ед.изм., руб.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color w:val="000000"/>
                <w:shd w:fill="auto" w:val="clear"/>
              </w:rPr>
              <w:t>Сумма, руб.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color w:val="000000"/>
                <w:shd w:fill="auto" w:val="clear"/>
              </w:rPr>
              <w:t>Цена за ед.изм., руб.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color w:val="000000"/>
                <w:shd w:fill="auto" w:val="clear"/>
              </w:rPr>
              <w:t>Сумма, руб.</w:t>
            </w:r>
          </w:p>
        </w:tc>
      </w:tr>
      <w:tr>
        <w:trPr>
          <w:trHeight w:val="267" w:hRule="atLeast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right="-2" w:hanging="0"/>
              <w:jc w:val="center"/>
              <w:rPr>
                <w:color w:val="000000"/>
              </w:rPr>
            </w:pPr>
            <w:r>
              <w:rPr>
                <w:rFonts w:eastAsia="Calibri"/>
                <w:iCs/>
                <w:color w:val="000000"/>
                <w:lang w:eastAsia="ar-SA"/>
              </w:rPr>
              <w:t>Предоставление простого (неисключительного) права на получение обновлений эксплуатируемого программного продукта медицинской информационной системы «Ариадна» (МИС «Ариадна»)</w:t>
            </w:r>
          </w:p>
        </w:tc>
        <w:tc>
          <w:tcPr>
            <w:tcW w:w="91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ind w:right="-13" w:hanging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Arial Unicode MS"/>
                <w:bCs/>
                <w:color w:val="000000"/>
                <w:shd w:fill="auto" w:val="clear"/>
              </w:rPr>
              <w:t>Усл. ед.*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color w:val="000000"/>
                <w:shd w:fill="auto" w:val="clear"/>
              </w:rPr>
              <w:t>12</w:t>
            </w:r>
          </w:p>
        </w:tc>
        <w:tc>
          <w:tcPr>
            <w:tcW w:w="130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color w:val="000000"/>
                <w:shd w:fill="auto" w:val="clear"/>
              </w:rPr>
              <w:t xml:space="preserve">130 047,40 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color w:val="000000"/>
                <w:shd w:fill="auto" w:val="clear"/>
              </w:rPr>
              <w:t>1 560 568,80</w:t>
            </w:r>
          </w:p>
        </w:tc>
        <w:tc>
          <w:tcPr>
            <w:tcW w:w="1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color w:val="000000"/>
                <w:shd w:fill="auto" w:val="clear"/>
              </w:rPr>
              <w:t>130 916,60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color w:val="000000"/>
                <w:shd w:fill="auto" w:val="clear"/>
              </w:rPr>
              <w:t>1 570 999,20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color w:val="000000"/>
                <w:shd w:fill="auto" w:val="clear"/>
              </w:rPr>
              <w:t>131 787,00</w:t>
            </w:r>
          </w:p>
        </w:tc>
        <w:tc>
          <w:tcPr>
            <w:tcW w:w="1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color w:val="000000"/>
                <w:shd w:fill="auto" w:val="clear"/>
              </w:rPr>
              <w:t>1 581 444,00</w:t>
            </w:r>
          </w:p>
        </w:tc>
      </w:tr>
      <w:tr>
        <w:trPr>
          <w:trHeight w:val="267" w:hRule="atLeast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34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right="-2" w:hanging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Оказание услуг по сопровождению и технической поддержке медицинской информационной системы МИС «Ариадна» </w:t>
            </w:r>
          </w:p>
          <w:p>
            <w:pPr>
              <w:pStyle w:val="Normal"/>
              <w:widowControl w:val="false"/>
              <w:ind w:right="-2" w:hanging="0"/>
              <w:jc w:val="center"/>
              <w:rPr>
                <w:color w:val="000000"/>
              </w:rPr>
            </w:pPr>
            <w:r>
              <w:rPr>
                <w:rFonts w:eastAsia="Calibri"/>
                <w:iCs/>
                <w:color w:val="000000"/>
                <w:lang w:eastAsia="ar-SA"/>
              </w:rPr>
              <w:t>(МИС «Ариадна»)</w:t>
            </w:r>
          </w:p>
        </w:tc>
        <w:tc>
          <w:tcPr>
            <w:tcW w:w="91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highlight w:val="cyan"/>
              </w:rPr>
            </w:pPr>
            <w:r>
              <w:rPr>
                <w:color w:val="000000"/>
              </w:rPr>
              <w:t>месяц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30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color w:val="000000"/>
                <w:shd w:fill="auto" w:val="clear"/>
              </w:rPr>
              <w:t>55 734,60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color w:val="000000"/>
                <w:shd w:fill="auto" w:val="clear"/>
              </w:rPr>
              <w:t>668 815,20</w:t>
            </w:r>
          </w:p>
        </w:tc>
        <w:tc>
          <w:tcPr>
            <w:tcW w:w="1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color w:val="000000"/>
                <w:shd w:fill="auto" w:val="clear"/>
              </w:rPr>
              <w:t>56 603,40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color w:val="000000"/>
                <w:shd w:fill="auto" w:val="clear"/>
              </w:rPr>
              <w:t>679 240,80</w:t>
            </w:r>
          </w:p>
        </w:tc>
        <w:tc>
          <w:tcPr>
            <w:tcW w:w="14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color w:val="000000"/>
                <w:shd w:fill="auto" w:val="clear"/>
              </w:rPr>
              <w:t>57 474,00</w:t>
            </w:r>
          </w:p>
        </w:tc>
        <w:tc>
          <w:tcPr>
            <w:tcW w:w="1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color w:val="000000"/>
                <w:shd w:fill="auto" w:val="clear"/>
              </w:rPr>
              <w:t>689 688,00</w:t>
            </w:r>
          </w:p>
        </w:tc>
      </w:tr>
      <w:tr>
        <w:trPr>
          <w:trHeight w:val="267" w:hRule="atLeast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  <w:bookmarkStart w:id="0" w:name="_GoBack"/>
            <w:bookmarkStart w:id="1" w:name="_GoBack"/>
            <w:bookmarkEnd w:id="1"/>
          </w:p>
        </w:tc>
        <w:tc>
          <w:tcPr>
            <w:tcW w:w="34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right="-2" w:hanging="0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91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8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hd w:fill="auto" w:val="clear"/>
              </w:rPr>
              <w:t>2 229 384,00</w:t>
            </w:r>
          </w:p>
        </w:tc>
        <w:tc>
          <w:tcPr>
            <w:tcW w:w="312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hd w:fill="auto" w:val="clear"/>
              </w:rPr>
              <w:t>2 250 240,0</w:t>
            </w:r>
          </w:p>
        </w:tc>
        <w:tc>
          <w:tcPr>
            <w:tcW w:w="294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hd w:fill="auto" w:val="clear"/>
              </w:rPr>
              <w:t>2 271 132,00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ind w:firstLine="709"/>
        <w:jc w:val="both"/>
        <w:rPr>
          <w:highlight w:val="none"/>
          <w:shd w:fill="auto" w:val="clear"/>
        </w:rPr>
      </w:pPr>
      <w:r>
        <w:rPr>
          <w:shd w:fill="auto" w:val="clear"/>
        </w:rPr>
        <w:t xml:space="preserve">* - за 1 условную единицу принимается 1 </w:t>
      </w:r>
      <w:r>
        <w:rPr>
          <w:bCs/>
          <w:iCs/>
          <w:shd w:fill="auto" w:val="clear"/>
        </w:rPr>
        <w:t>месяц оказания услуг</w:t>
      </w:r>
      <w:r>
        <w:rPr>
          <w:shd w:fill="auto" w:val="clear"/>
        </w:rPr>
        <w:t>.</w:t>
      </w:r>
    </w:p>
    <w:p>
      <w:pPr>
        <w:pStyle w:val="Normal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1"/>
        <w:spacing w:lineRule="auto" w:line="218" w:before="0" w:after="0"/>
        <w:ind w:firstLine="708"/>
        <w:contextualSpacing/>
        <w:jc w:val="both"/>
        <w:rPr>
          <w:highlight w:val="none"/>
          <w:shd w:fill="auto" w:val="clear"/>
        </w:rPr>
      </w:pPr>
      <w:r>
        <w:rPr>
          <w:sz w:val="24"/>
          <w:szCs w:val="24"/>
          <w:shd w:fill="auto" w:val="clear"/>
          <w:lang w:eastAsia="en-US"/>
        </w:rPr>
        <w:t xml:space="preserve"> </w:t>
      </w:r>
      <w:r>
        <w:rPr>
          <w:bCs/>
          <w:sz w:val="24"/>
          <w:szCs w:val="24"/>
          <w:shd w:fill="auto" w:val="clear"/>
          <w:lang w:eastAsia="en-US"/>
        </w:rPr>
        <w:t xml:space="preserve">НМЦК </w:t>
      </w:r>
      <w:r>
        <w:rPr>
          <w:sz w:val="24"/>
          <w:szCs w:val="24"/>
          <w:shd w:fill="auto" w:val="clear"/>
          <w:lang w:eastAsia="en-US"/>
        </w:rPr>
        <w:t xml:space="preserve">установлена Заказчиком </w:t>
      </w:r>
      <w:r>
        <w:rPr>
          <w:sz w:val="24"/>
          <w:szCs w:val="24"/>
          <w:shd w:fill="auto" w:val="clear"/>
        </w:rPr>
        <w:t xml:space="preserve">по минимальному предложению </w:t>
      </w:r>
      <w:r>
        <w:rPr>
          <w:sz w:val="24"/>
          <w:szCs w:val="24"/>
          <w:shd w:fill="auto" w:val="clear"/>
          <w:lang w:eastAsia="en-US"/>
        </w:rPr>
        <w:t xml:space="preserve">в размере </w:t>
      </w:r>
      <w:r>
        <w:rPr>
          <w:sz w:val="24"/>
          <w:szCs w:val="24"/>
          <w:shd w:fill="auto" w:val="clear"/>
        </w:rPr>
        <w:t>2 229 384 (Два миллиона двести двадцать девять тысяч триста восемьдесят четыре) рубля  00 копеек.</w:t>
      </w:r>
    </w:p>
    <w:p>
      <w:pPr>
        <w:pStyle w:val="Normal"/>
        <w:spacing w:lineRule="auto" w:line="218"/>
        <w:ind w:firstLine="709"/>
        <w:jc w:val="both"/>
        <w:rPr/>
      </w:pPr>
      <w:r>
        <w:rPr/>
      </w:r>
    </w:p>
    <w:p>
      <w:pPr>
        <w:pStyle w:val="Normal"/>
        <w:jc w:val="both"/>
        <w:rPr/>
      </w:pPr>
      <w:r>
        <w:rPr>
          <w:lang w:eastAsia="en-US"/>
        </w:rPr>
        <w:t xml:space="preserve">             </w:t>
      </w:r>
      <w:r>
        <w:rPr>
          <w:lang w:eastAsia="en-US"/>
        </w:rPr>
        <w:t xml:space="preserve">Дата подготовки обоснования  НМЦК: </w:t>
      </w:r>
      <w:r>
        <w:rPr/>
        <w:t>10 сентября 2026 года</w:t>
      </w:r>
    </w:p>
    <w:sectPr>
      <w:type w:val="nextPage"/>
      <w:pgSz w:orient="landscape" w:w="16838" w:h="11906"/>
      <w:pgMar w:left="1134" w:right="1134" w:gutter="0" w:header="0" w:top="850" w:footer="0" w:bottom="170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d0b60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ucida 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Style19">
    <w:name w:val="Title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Lucida Sans"/>
    </w:rPr>
  </w:style>
  <w:style w:type="paragraph" w:styleId="Style20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21" w:customStyle="1">
    <w:name w:val="Заголовок таблицы"/>
    <w:basedOn w:val="Style20"/>
    <w:qFormat/>
    <w:pPr>
      <w:jc w:val="center"/>
    </w:pPr>
    <w:rPr>
      <w:b/>
      <w:bCs/>
    </w:rPr>
  </w:style>
  <w:style w:type="paragraph" w:styleId="1" w:customStyle="1">
    <w:name w:val="Обычный1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hi-IN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Application>LibreOffice/7.3.1.3$Windows_x86 LibreOffice_project/a69ca51ded25f3eefd52d7bf9a5fad8c90b87951</Application>
  <AppVersion>15.0000</AppVersion>
  <Pages>2</Pages>
  <Words>229</Words>
  <Characters>1445</Characters>
  <CharactersWithSpaces>1670</CharactersWithSpaces>
  <Paragraphs>45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2026-10-05T06:38:00Z</dcterms:created>
  <dc:creator>эк06</dc:creator>
  <dc:description/>
  <dc:language>ru-RU</dc:language>
  <cp:lastModifiedBy/>
  <cp:lastPrinted>2026-09-11T14:31:00Z</cp:lastPrinted>
  <dcterms:modified xsi:type="dcterms:W3CDTF">2026-10-05T13:50:35Z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