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3261" w:leader="none"/>
        </w:tabs>
        <w:spacing w:lineRule="auto" w:line="240" w:before="0" w:after="0"/>
        <w:jc w:val="right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Приложение № 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к извещению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Обоснование начальной (максимальной) цены контракта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632" w:type="dxa"/>
        <w:jc w:val="left"/>
        <w:tblInd w:w="-983" w:type="dxa"/>
        <w:tblLayout w:type="fixed"/>
        <w:tblCellMar>
          <w:top w:w="28" w:type="dxa"/>
          <w:left w:w="10" w:type="dxa"/>
          <w:bottom w:w="28" w:type="dxa"/>
          <w:right w:w="18" w:type="dxa"/>
        </w:tblCellMar>
        <w:tblLook w:firstRow="1" w:noVBand="1" w:lastRow="0" w:firstColumn="1" w:lastColumn="0" w:noHBand="0" w:val="04a0"/>
      </w:tblPr>
      <w:tblGrid>
        <w:gridCol w:w="4679"/>
        <w:gridCol w:w="5952"/>
      </w:tblGrid>
      <w:tr>
        <w:trPr>
          <w:trHeight w:val="1514" w:hRule="atLeast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21"/>
              <w:widowControl w:val="false"/>
              <w:ind w:right="57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Предмет контракта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услуг технической поддержке информационных технологий (услуги по сервисному обслуживанию программных средств системы "1С: Предприятие 8")</w:t>
            </w:r>
          </w:p>
        </w:tc>
      </w:tr>
      <w:tr>
        <w:trPr/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21"/>
              <w:widowControl w:val="false"/>
              <w:ind w:right="57" w:hanging="0"/>
              <w:jc w:val="center"/>
              <w:rPr>
                <w:b/>
                <w:b/>
              </w:rPr>
            </w:pPr>
            <w:r>
              <w:rPr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 приложением к извещению «Описание объекта закупки»</w:t>
            </w:r>
          </w:p>
        </w:tc>
      </w:tr>
      <w:tr>
        <w:trPr/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21"/>
              <w:widowControl w:val="false"/>
              <w:ind w:right="57" w:hanging="0"/>
              <w:jc w:val="center"/>
              <w:rPr>
                <w:b/>
                <w:b/>
                <w:bCs/>
              </w:rPr>
            </w:pPr>
            <w:r>
              <w:rPr>
                <w:b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контракта указана в рублях Российской Федерации</w:t>
            </w:r>
          </w:p>
        </w:tc>
      </w:tr>
      <w:tr>
        <w:trPr/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21"/>
              <w:widowControl w:val="false"/>
              <w:ind w:right="57" w:hanging="0"/>
              <w:jc w:val="center"/>
              <w:rPr>
                <w:b/>
                <w:b/>
              </w:rPr>
            </w:pPr>
            <w:r>
              <w:rPr>
                <w:b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</w:tcPr>
          <w:p>
            <w:pPr>
              <w:pStyle w:val="Style81"/>
              <w:widowControl w:val="false"/>
              <w:tabs>
                <w:tab w:val="clear" w:pos="708"/>
                <w:tab w:val="left" w:pos="3402" w:leader="none"/>
                <w:tab w:val="left" w:pos="4915" w:leader="underscore"/>
              </w:tabs>
              <w:jc w:val="both"/>
              <w:rPr/>
            </w:pPr>
            <w:r>
              <w:rPr/>
              <w:t>Оплата в иностранной валюте не допускается.</w:t>
            </w:r>
          </w:p>
        </w:tc>
      </w:tr>
      <w:tr>
        <w:trPr/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  <w:tcMar>
              <w:top w:w="0" w:type="dxa"/>
              <w:left w:w="0" w:type="dxa"/>
              <w:right w:w="28" w:type="dxa"/>
            </w:tcMar>
          </w:tcPr>
          <w:p>
            <w:pPr>
              <w:pStyle w:val="Style21"/>
              <w:widowControl w:val="false"/>
              <w:ind w:right="57" w:hanging="0"/>
              <w:jc w:val="center"/>
              <w:rPr>
                <w:b/>
                <w:b/>
              </w:rPr>
            </w:pPr>
            <w:r>
              <w:rPr>
                <w:b/>
              </w:rPr>
              <w:t>Используемый метод определения с обоснованием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  <w:tcMar>
              <w:top w:w="0" w:type="dxa"/>
              <w:left w:w="0" w:type="dxa"/>
              <w:right w:w="28" w:type="dxa"/>
            </w:tcMar>
          </w:tcPr>
          <w:p>
            <w:pPr>
              <w:pStyle w:val="Style81"/>
              <w:widowControl w:val="false"/>
              <w:tabs>
                <w:tab w:val="clear" w:pos="708"/>
                <w:tab w:val="left" w:pos="3402" w:leader="none"/>
                <w:tab w:val="left" w:pos="4915" w:leader="underscore"/>
              </w:tabs>
              <w:jc w:val="both"/>
              <w:rPr/>
            </w:pPr>
            <w:r>
              <w:rPr/>
              <w:t>Обоснование начальной (максимальной) цены контракта, цен единиц товара, работы, услуги в соответствии с  Приказом Минэкономразвития РФ от 02.10.2013 №567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</w:t>
            </w:r>
          </w:p>
        </w:tc>
      </w:tr>
      <w:tr>
        <w:trPr>
          <w:trHeight w:val="1477" w:hRule="atLeast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  <w:tcMar>
              <w:top w:w="0" w:type="dxa"/>
              <w:left w:w="0" w:type="dxa"/>
              <w:right w:w="28" w:type="dxa"/>
            </w:tcMar>
          </w:tcPr>
          <w:p>
            <w:pPr>
              <w:pStyle w:val="Style21"/>
              <w:widowControl w:val="false"/>
              <w:ind w:right="57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Расчет НМЦК 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  <w:tcMar>
              <w:top w:w="0" w:type="dxa"/>
              <w:left w:w="0" w:type="dxa"/>
              <w:right w:w="28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(максимальная) цена контракта: 3</w:t>
            </w:r>
            <w:r>
              <w:rPr>
                <w:rFonts w:ascii="Times New Roman" w:hAnsi="Times New Roman"/>
                <w:sz w:val="24"/>
                <w:szCs w:val="24"/>
              </w:rPr>
              <w:t>57372</w:t>
            </w:r>
            <w:r>
              <w:rPr>
                <w:rFonts w:ascii="Times New Roman" w:hAnsi="Times New Roman"/>
                <w:sz w:val="24"/>
                <w:szCs w:val="24"/>
              </w:rPr>
              <w:t>,00 руб.</w:t>
            </w:r>
          </w:p>
          <w:p>
            <w:pPr>
              <w:pStyle w:val="Style21"/>
              <w:widowControl w:val="false"/>
              <w:jc w:val="both"/>
              <w:rPr/>
            </w:pPr>
            <w:r>
              <w:rPr/>
              <w:t>Приложение к обоснованию: Приложение №1 Расчет начальной (максимальной) цены контракта.</w:t>
            </w:r>
          </w:p>
        </w:tc>
      </w:tr>
      <w:tr>
        <w:trPr>
          <w:trHeight w:val="4689" w:hRule="atLeast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color="auto" w:fill="FFFFFF" w:val="clear"/>
            <w:tcMar>
              <w:top w:w="0" w:type="dxa"/>
              <w:left w:w="0" w:type="dxa"/>
              <w:right w:w="28" w:type="dxa"/>
            </w:tcMar>
          </w:tcPr>
          <w:p>
            <w:pPr>
              <w:pStyle w:val="Style21"/>
              <w:widowControl w:val="false"/>
              <w:spacing w:lineRule="auto" w:line="276"/>
              <w:ind w:right="57" w:hanging="0"/>
              <w:jc w:val="center"/>
              <w:rPr>
                <w:b/>
                <w:b/>
              </w:rPr>
            </w:pPr>
            <w:r>
              <w:rPr>
                <w:b/>
              </w:rPr>
              <w:t>Код вида расходов (КВР)</w:t>
            </w:r>
          </w:p>
        </w:tc>
        <w:tc>
          <w:tcPr>
            <w:tcW w:w="59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color="auto" w:fill="FFFFFF" w:val="clear"/>
            <w:tcMar>
              <w:top w:w="0" w:type="dxa"/>
              <w:left w:w="0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бюджета: средства бюджетных учреждений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КВР 244 на сумму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357372,00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руб., в том числе: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средства бюджетных учреждений (средства территориального фонда обязательного медицинского страхования; код поступлений - МС) —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348795,07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руб.;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 средства бюджетных учреждений (средства субсидии на финансовое обеспечение выполнения государственного (муниципального) задания; код поступлений - ГЗ) — 1429,49 руб.;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 средства бюджетных учреждений (средства бюджетного учреждения от приносящей доход деятельности и иные средства; код поступлений  — ПД) — 7147,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44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руб.</w:t>
            </w:r>
            <w:bookmarkStart w:id="0" w:name="_GoBack"/>
            <w:bookmarkEnd w:id="0"/>
          </w:p>
        </w:tc>
      </w:tr>
    </w:tbl>
    <w:p>
      <w:pPr>
        <w:pStyle w:val="Style17"/>
        <w:spacing w:before="0" w:after="0"/>
        <w:jc w:val="right"/>
        <w:rPr/>
      </w:pPr>
      <w:r>
        <w:rPr/>
      </w:r>
    </w:p>
    <w:sectPr>
      <w:type w:val="nextPage"/>
      <w:pgSz w:w="11906" w:h="16838"/>
      <w:pgMar w:left="1701" w:right="567" w:header="0" w:top="406" w:footer="0" w:bottom="38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4d8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sNonformat" w:customStyle="1">
    <w:name w:val="ConsNonformat Знак"/>
    <w:basedOn w:val="DefaultParagraphFont"/>
    <w:link w:val="ConsNonformat0"/>
    <w:qFormat/>
    <w:locked/>
    <w:rsid w:val="00904d84"/>
    <w:rPr>
      <w:rFonts w:ascii="Courier New" w:hAnsi="Courier New" w:cs="Courier New"/>
      <w:lang w:eastAsia="ru-RU"/>
    </w:rPr>
  </w:style>
  <w:style w:type="character" w:styleId="Style14" w:customStyle="1">
    <w:name w:val="Основной текст Знак"/>
    <w:basedOn w:val="DefaultParagraphFont"/>
    <w:link w:val="a4"/>
    <w:uiPriority w:val="99"/>
    <w:qFormat/>
    <w:rsid w:val="009205db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5" w:customStyle="1">
    <w:name w:val="Текст выноски Знак"/>
    <w:basedOn w:val="DefaultParagraphFont"/>
    <w:link w:val="a7"/>
    <w:uiPriority w:val="99"/>
    <w:semiHidden/>
    <w:qFormat/>
    <w:rsid w:val="009f6bff"/>
    <w:rPr>
      <w:rFonts w:ascii="Segoe UI" w:hAnsi="Segoe UI" w:eastAsia="Times New Roman" w:cs="Segoe UI"/>
      <w:sz w:val="18"/>
      <w:szCs w:val="18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link w:val="a5"/>
    <w:uiPriority w:val="99"/>
    <w:unhideWhenUsed/>
    <w:rsid w:val="009205db"/>
    <w:pPr>
      <w:suppressAutoHyphens w:val="true"/>
      <w:spacing w:lineRule="auto" w:line="240" w:before="0" w:after="120"/>
      <w:jc w:val="both"/>
    </w:pPr>
    <w:rPr>
      <w:rFonts w:ascii="Times New Roman" w:hAnsi="Times New Roman"/>
      <w:sz w:val="24"/>
      <w:szCs w:val="24"/>
      <w:lang w:eastAsia="zh-CN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Nonformat1" w:customStyle="1">
    <w:name w:val="ConsNonformat"/>
    <w:link w:val="ConsNonformat"/>
    <w:qFormat/>
    <w:rsid w:val="00904d84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uiPriority w:val="99"/>
    <w:qFormat/>
    <w:rsid w:val="00904d84"/>
    <w:pPr>
      <w:widowControl w:val="false"/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9205db"/>
    <w:pPr>
      <w:spacing w:lineRule="auto" w:line="240" w:beforeAutospacing="1" w:afterAutospacing="1"/>
    </w:pPr>
    <w:rPr>
      <w:rFonts w:ascii="Arial" w:hAnsi="Arial" w:cs="Arial"/>
      <w:sz w:val="20"/>
      <w:szCs w:val="20"/>
    </w:rPr>
  </w:style>
  <w:style w:type="paragraph" w:styleId="Style21" w:customStyle="1">
    <w:name w:val="Содержимое таблицы"/>
    <w:basedOn w:val="Normal"/>
    <w:uiPriority w:val="99"/>
    <w:qFormat/>
    <w:rsid w:val="009205db"/>
    <w:pPr>
      <w:suppressLineNumbers/>
      <w:suppressAutoHyphens w:val="true"/>
      <w:spacing w:lineRule="auto" w:line="240" w:before="0" w:after="0"/>
    </w:pPr>
    <w:rPr>
      <w:rFonts w:ascii="Times New Roman" w:hAnsi="Times New Roman"/>
      <w:sz w:val="24"/>
      <w:szCs w:val="24"/>
      <w:lang w:eastAsia="zh-CN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9f6bf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LibreOffice/7.1.3.2$Windows_X86_64 LibreOffice_project/47f78053abe362b9384784d31a6e56f8511eb1c1</Application>
  <AppVersion>15.0000</AppVersion>
  <Pages>1</Pages>
  <Words>222</Words>
  <Characters>1668</Characters>
  <CharactersWithSpaces>1877</CharactersWithSpaces>
  <Paragraphs>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2025-10-12T09:34:00Z</dcterms:created>
  <dc:creator>User</dc:creator>
  <dc:description/>
  <dc:language>ru-RU</dc:language>
  <cp:lastModifiedBy/>
  <cp:lastPrinted>2026-09-24T13:25:47Z</cp:lastPrinted>
  <dcterms:modified xsi:type="dcterms:W3CDTF">2026-09-24T13:26:06Z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