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23"/>
        <w:ind w:firstLine="709"/>
        <w:jc w:val="right"/>
        <w:spacing w:after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</w:rPr>
        <w:t xml:space="preserve">Проект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23"/>
        <w:ind w:firstLine="709"/>
        <w:jc w:val="center"/>
        <w:spacing w:after="0"/>
        <w:shd w:val="clear" w:color="auto" w:fill="ffffff"/>
        <w:widowControl w:val="off"/>
        <w:rPr>
          <w:rFonts w:ascii="PT Astra Serif" w:hAnsi="PT Astra Serif" w:cs="PT Astra Serif"/>
          <w:b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</w:rPr>
        <w:t xml:space="preserve">ГОСУДАРСТ</w:t>
      </w: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  <w:highlight w:val="none"/>
        </w:rPr>
        <w:t xml:space="preserve">ВЕННЫЙ КОНТРАКТ </w:t>
      </w: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  <w:highlight w:val="none"/>
        </w:rPr>
        <w:t xml:space="preserve">№ </w:t>
      </w: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  <w:highlight w:val="none"/>
        </w:rPr>
        <w:t xml:space="preserve">___________</w:t>
      </w:r>
      <w:r>
        <w:rPr>
          <w:rFonts w:ascii="PT Astra Serif" w:hAnsi="PT Astra Serif" w:cs="PT Astra Serif"/>
          <w:b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color w:val="000000" w:themeColor="text1"/>
          <w:sz w:val="24"/>
          <w:szCs w:val="24"/>
          <w:highlight w:val="none"/>
        </w:rPr>
      </w:r>
    </w:p>
    <w:p>
      <w:pPr>
        <w:pStyle w:val="1137"/>
        <w:ind w:firstLine="709"/>
        <w:jc w:val="center"/>
        <w:spacing w:before="0" w:beforeAutospacing="0" w:after="0" w:afterAutospacing="0"/>
        <w:shd w:val="clear" w:color="auto" w:fill="ffffff"/>
        <w:widowControl w:val="off"/>
        <w:rPr>
          <w:rFonts w:ascii="PT Astra Serif" w:hAnsi="PT Astra Serif" w:cs="PT Astra Serif"/>
          <w:b/>
          <w:bCs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на </w:t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выполнение работ по развитию государственной информационной системы Воронежской области «Портал Воронежской области в сети Интернет»</w:t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</w:p>
    <w:p>
      <w:pPr>
        <w:pStyle w:val="1137"/>
        <w:ind w:firstLine="709"/>
        <w:jc w:val="center"/>
        <w:spacing w:before="0" w:beforeAutospacing="0" w:after="0" w:afterAutospacing="0"/>
        <w:shd w:val="clear" w:color="auto" w:fill="ffffff"/>
        <w:widowControl w:val="off"/>
        <w:rPr>
          <w:rFonts w:ascii="PT Astra Serif" w:hAnsi="PT Astra Serif" w:cs="PT Astra Serif"/>
          <w:b/>
          <w:bCs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0" w:leader="none"/>
          <w:tab w:val="right" w:pos="9639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г. Воронеж</w:t>
        <w:tab/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        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«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___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»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_________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202_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г.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701" w:leader="none"/>
          <w:tab w:val="left" w:pos="-1560" w:leader="none"/>
          <w:tab w:val="left" w:pos="567" w:leader="none"/>
          <w:tab w:val="right" w:pos="9639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304"/>
        <w:ind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  <w:highlight w:val="none"/>
        </w:rPr>
        <w:t xml:space="preserve">Министерство цифрового развития Воронежской области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, именуемое в дальнейшем «</w:t>
      </w: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  <w:highlight w:val="none"/>
        </w:rPr>
        <w:t xml:space="preserve">Государственный заказчик»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, в лице министра цифрового развития Воронежской области Волкова Дениса Владимировича, действующего на ос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новании Положения о министерстве цифрового развития Воронежской области, утвержденного постановлением Правительства Воронежской области от 29.12.2018 № 1237 «Об утверждении Положения о министерстве цифрового развития Воронежской области», с одной стороны, 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68"/>
        <w:ind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и _________________, именуемое в дальнейшем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«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4"/>
          <w:szCs w:val="24"/>
          <w:highlight w:val="none"/>
        </w:rPr>
        <w:t xml:space="preserve">Исполнитель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4"/>
          <w:szCs w:val="24"/>
          <w:highlight w:val="none"/>
        </w:rPr>
        <w:t xml:space="preserve">»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4"/>
          <w:szCs w:val="24"/>
          <w:highlight w:val="none"/>
        </w:rPr>
        <w:t xml:space="preserve">,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в лице __________________, действующего на основании _________________________, с другой стороны, вместе именуемые в дальнейшем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«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Стороны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»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, с соблюдением требований Федерального закона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от 05.04.2013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№ 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44-ФЗ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«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»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,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приказа Минцифры России от 17.12.2020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№ 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715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«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Об утверждении типовых условий контрактов на выполнение работ по созданию и (или) развитию (модернизации) государственных (муниципальных) и (или) иных информационных систем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»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и иного законодательства Российской Федерации и Воронежской области, на основании осуществления закупки для государственных нужд путем проведения 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4"/>
          <w:szCs w:val="24"/>
          <w:highlight w:val="none"/>
        </w:rPr>
        <w:t xml:space="preserve">открытого конкурса в электронной форме 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4"/>
          <w:szCs w:val="24"/>
          <w:highlight w:val="none"/>
        </w:rPr>
        <w:t xml:space="preserve">у субъектов малого предпринимательства, социально ориентированных некоммерческих организаций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4"/>
          <w:szCs w:val="24"/>
          <w:highlight w:val="none"/>
        </w:rPr>
        <w:t xml:space="preserve"> на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выполнение работ по развитию государственной информационной системы Воронежской области «Портал Воронежской области в сети Интернет»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отраженных в протоколе _______________, заключили настоящий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государственный контракт (далее - Контракт)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 нижеследующем: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widowControl w:val="off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0"/>
          <w:numId w:val="1"/>
        </w:numPr>
        <w:ind w:left="0" w:firstLine="0"/>
        <w:jc w:val="center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b/>
          <w:bCs/>
          <w:color w:val="000000" w:themeColor="text1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ПРЕДМЕТ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КОНТРАКТА</w:t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</w:p>
    <w:p>
      <w:pPr>
        <w:pStyle w:val="1123"/>
        <w:numPr>
          <w:ilvl w:val="1"/>
          <w:numId w:val="1"/>
        </w:numPr>
        <w:ind w:left="0" w:firstLine="709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Исполнитель по заданию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Государственного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з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аказчика обязуется в установленный 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4"/>
          <w:szCs w:val="24"/>
          <w:highlight w:val="none"/>
        </w:rPr>
        <w:t xml:space="preserve">трактом срок выполнить ра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4"/>
          <w:szCs w:val="24"/>
          <w:highlight w:val="none"/>
        </w:rPr>
        <w:t xml:space="preserve">боты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sz w:val="24"/>
          <w:szCs w:val="24"/>
          <w:highlight w:val="none"/>
        </w:rPr>
        <w:t xml:space="preserve"> по развитию государственной информационной системы Воронежской области «Портал Воронежской области в сети Интернет»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(далее - работы, Система), а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Государственный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з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аказчик обязуется принять выполненные работы и оплатить их.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numPr>
          <w:ilvl w:val="1"/>
          <w:numId w:val="1"/>
        </w:numPr>
        <w:ind w:left="0" w:firstLine="709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Работы выполняются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Исполнителем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в соответствии с национальными стандартами и государственными стандартами в части требований к проектированию, стадиям создания, видам, комплектности и обозначению документов, видам испытаний при создании и (или) развитии (модернизации) госу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дарственных (муниципальных) информационных систем и (или) иных информационных систем, а также в соответствии с качественными, количественными и иными характеристиками работ, определенными в описании объекта закупки, согласно требованиям Федерального закона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от 05.04.2013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№ 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44-ФЗ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«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»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(далее - Федеральный закон от 05.04.2013 № 44-ФЗ)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, Федерального закона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от 27.07.2006 № 149˗ФЗ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«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Об информации, информационных технологиях и о защите информации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»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, а также иных нормативных правовых актов в сфере контрактной системы, информационных технологий, защиты информации, правовой защиты интересов государства в области интеллектуальной собственности, регулирующих соответствующие отношения и непосредственно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указанных в Техническом задании, являющемся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приложением № 1 к настоящему Контракту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(далее – Техническое задание).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numPr>
          <w:ilvl w:val="1"/>
          <w:numId w:val="1"/>
        </w:numPr>
        <w:ind w:left="0" w:firstLine="709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Срок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выполнения Работ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с даты заключения Контракта по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11.12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2026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 г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: 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  <w:tab w:val="left" w:pos="113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1.4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</w:t>
        <w:tab/>
        <w:t xml:space="preserve">Срок исполнения Контракта включает в себя срок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выполнения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Исполнителем в соответствии с п 1.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3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и п. 2.6. настоящего Контракта, приемку Государственным заказчиком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выполненных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(их результатов) по Контракту в соответствии с п. 5.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4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настоящего Контракта, а также оплату Государственным заказчиком Исполнителю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выполненных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по Контракту в соответствии с п. 2.7 настоящего Контракта и составляет период - с даты заключения Контракта по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31.12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.2026 г.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num" w:pos="0" w:leader="none"/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0"/>
          <w:numId w:val="2"/>
        </w:numPr>
        <w:ind w:left="0" w:firstLine="0"/>
        <w:jc w:val="center"/>
        <w:spacing w:before="0" w:beforeAutospacing="0" w:after="0" w:afterAutospacing="0"/>
        <w:shd w:val="clear" w:color="auto" w:fill="ffffff"/>
        <w:widowControl w:val="off"/>
        <w:tabs>
          <w:tab w:val="num" w:pos="0" w:leader="none"/>
          <w:tab w:val="clear" w:pos="360" w:leader="none"/>
          <w:tab w:val="left" w:pos="567" w:leader="none"/>
        </w:tabs>
        <w:rPr>
          <w:rFonts w:ascii="PT Astra Serif" w:hAnsi="PT Astra Serif" w:cs="PT Astra Serif"/>
          <w:b/>
          <w:bCs/>
          <w:color w:val="000000" w:themeColor="text1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СТОИМОСТЬ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РАБОТ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 И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ПОРЯДОК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РАСЧЕТОВ</w:t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</w:p>
    <w:p>
      <w:pPr>
        <w:pStyle w:val="1137"/>
        <w:numPr>
          <w:ilvl w:val="1"/>
          <w:numId w:val="40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num" w:pos="0" w:leader="none"/>
          <w:tab w:val="left" w:pos="567" w:leader="none"/>
        </w:tabs>
        <w:rPr>
          <w:rFonts w:ascii="PT Astra Serif" w:hAnsi="PT Astra Serif" w:cs="PT Astra Serif"/>
          <w:color w:val="auto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Общая стоимость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по настоящему Контракту составляет ___________ (_____________________) рублей ____ коп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</w:t>
      </w:r>
      <w:r>
        <w:rPr>
          <w:rFonts w:ascii="PT Astra Serif" w:hAnsi="PT Astra Serif" w:eastAsia="PT Astra Serif" w:cs="PT Astra Serif"/>
          <w:color w:val="auto"/>
          <w:sz w:val="24"/>
          <w:szCs w:val="24"/>
          <w:highlight w:val="none"/>
        </w:rPr>
        <w:t xml:space="preserve">, в том числе НДС в размере __________ рублей ___ коп.</w:t>
      </w:r>
      <w:r>
        <w:rPr>
          <w:rStyle w:val="1108"/>
          <w:rFonts w:ascii="PT Astra Serif" w:hAnsi="PT Astra Serif" w:eastAsia="PT Astra Serif" w:cs="PT Astra Serif"/>
          <w:color w:val="auto"/>
          <w:sz w:val="24"/>
          <w:szCs w:val="24"/>
          <w:highlight w:val="none"/>
        </w:rPr>
        <w:footnoteReference w:id="2"/>
      </w:r>
      <w:r>
        <w:rPr>
          <w:rFonts w:ascii="PT Astra Serif" w:hAnsi="PT Astra Serif" w:cs="PT Astra Serif"/>
          <w:color w:val="auto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auto"/>
          <w:sz w:val="24"/>
          <w:szCs w:val="24"/>
          <w:highlight w:val="none"/>
        </w:rPr>
      </w:r>
    </w:p>
    <w:p>
      <w:pPr>
        <w:pStyle w:val="1137"/>
        <w:numPr>
          <w:ilvl w:val="1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num" w:pos="0" w:leader="none"/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Цена Контракта включает все необходимые расходы для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выполнения 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, предусмотренных Техническим заданием, а также все подлежащие оплате Исполнителем в связи с исполнением Контракта налоги, сборы и другие обязательные платежи.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1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num" w:pos="0" w:leader="none"/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Цена Контракта является твердой и определяется на весь срок исполнения Контракта.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1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num" w:pos="0" w:leader="none"/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Источник финансирования указанных в п. 1.1.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- средства областного бюджета, выделенные для финансирования государственной программы Воронежской области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«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Информационное общество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»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 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bookmarkStart w:id="1" w:name="_Ref456781029"/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bookmarkStart w:id="2" w:name="_Ref432927442"/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КБК </w:t>
      </w:r>
      <w:r>
        <w:rPr>
          <w:rFonts w:ascii="Segoe UI" w:hAnsi="Segoe UI" w:eastAsia="Segoe UI" w:cs="Segoe UI"/>
          <w:color w:val="333333"/>
          <w:sz w:val="20"/>
          <w:highlight w:val="none"/>
        </w:rPr>
        <w:t xml:space="preserve">860.0410.2340171260.246.226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Идентификационный код закупки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262366408364136640100100280016201246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1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num" w:pos="0" w:leader="none"/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Оплата по Контракту осуществляется по факту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выполненных 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по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безналичному расчету платежными поручениями путем перечисления Государственным заказчиком денежных средств на расчетный счет Исполнителя, указанный в настоящем Контракте. В случае изменения его расчетного счета Исполнитель обязан в однодневный срок в пись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менной форме сообщить об этом Государственному заказчику, с указанием новых реквизитов расчетного счета. В противном случае все риски, связанные с перечислением Государственным заказчиком денежных средств на указанный в настоящем Контракте счет Исполнителя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,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несет Исполнитель.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1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num" w:pos="0" w:leader="none"/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Исполнитель представляет Государственному заказчику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документ о приемке и платежные документы за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выполненные Работы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течение 3 (трех) рабочих дней с даты окончания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срока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выполнения 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1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Государственный заказчик производит оплату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выполненных Работ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(результатов),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предусмотренны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х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онтрактом, заключенным по результатам определения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Исполнителя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, извещения об осуществлении закупки по которому размещены в единой информационной системе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 сфере закупок (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instrText xml:space="preserve"> HYPERLINK "http://www.zakupki.gov.ru" </w:instrTex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highlight w:val="none"/>
        </w:rPr>
        <w:t xml:space="preserve">www.zakupki.gov.ru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) (далее - единая информационная система)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по безналичному расчету в течение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7 (семи) рабочих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дней с даты подписания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Государственным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заказчиком документа о приемке.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1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0"/>
          <w:highlight w:val="none"/>
          <w:lang w:val="ru-RU" w:eastAsia="ru-RU"/>
        </w:rPr>
        <w:t xml:space="preserve">В случае неисполнения или ненадлежащего исполнения обязательств по Контракту Исполнителем Государственный заказчик производит оплату за вычетом неустойки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0"/>
          <w:highlight w:val="none"/>
          <w:lang w:val="ru-RU" w:eastAsia="ru-RU"/>
        </w:rPr>
        <w:t xml:space="preserve"> (штрафов, пеней)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0"/>
          <w:highlight w:val="none"/>
          <w:lang w:val="ru-RU" w:eastAsia="ru-RU"/>
        </w:rPr>
        <w:t xml:space="preserve"> в размере, определенном в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0"/>
          <w:highlight w:val="none"/>
          <w:lang w:val="ru-RU" w:eastAsia="ru-RU"/>
        </w:rPr>
        <w:t xml:space="preserve">соответствии с разделом 7 Контракта.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0"/>
          <w:highlight w:val="none"/>
          <w:lang w:val="ru-RU" w:eastAsia="ru-RU"/>
        </w:rPr>
        <w:t xml:space="preserve"> При этом документ о приемке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0"/>
          <w:highlight w:val="none"/>
          <w:lang w:val="ru-RU" w:eastAsia="ru-RU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0"/>
          <w:highlight w:val="none"/>
          <w:lang w:val="ru-RU" w:eastAsia="ru-RU"/>
        </w:rPr>
        <w:t xml:space="preserve">должен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0"/>
          <w:highlight w:val="none"/>
          <w:lang w:val="ru-RU" w:eastAsia="ru-RU"/>
        </w:rPr>
        <w:t xml:space="preserve"> содержать сумму, подлежащую оплате в соответствии с условиями Контракта, размер неустойки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0"/>
          <w:highlight w:val="none"/>
          <w:lang w:val="ru-RU" w:eastAsia="ru-RU"/>
        </w:rPr>
        <w:t xml:space="preserve"> (штрафов, пеней)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0"/>
          <w:highlight w:val="none"/>
          <w:lang w:val="ru-RU" w:eastAsia="ru-RU"/>
        </w:rPr>
        <w:t xml:space="preserve">, подлежащей взысканию, основание применения, а также итоговую сумму, подлежащую оплате Исполнителю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1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Оплата выполненных работ Государственным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з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аказчиком производится с учетом уменьшения суммы, подлежащей уплате Государственным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з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ской Федерации Государственным з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аказчиком.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1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Датой оплаты считается дата списания денежных средств с расчетного счета Государственного заказчика. Датой получения денежных средств считается дата зачисления денежных средств на расчетный счет Исполнителя.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23"/>
        <w:numPr>
          <w:ilvl w:val="0"/>
          <w:numId w:val="2"/>
        </w:numPr>
        <w:ind w:left="0" w:firstLine="0"/>
        <w:jc w:val="center"/>
        <w:spacing w:after="0"/>
        <w:shd w:val="clear" w:color="auto" w:fill="ffffff"/>
        <w:widowControl w:val="off"/>
        <w:rPr>
          <w:rFonts w:ascii="PT Astra Serif" w:hAnsi="PT Astra Serif" w:cs="PT Astra Serif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  <w:bCs/>
          <w:color w:val="000000" w:themeColor="text1"/>
          <w:sz w:val="24"/>
          <w:szCs w:val="24"/>
          <w:highlight w:val="none"/>
        </w:rPr>
        <w:t xml:space="preserve">ОБЕСПЕЧЕНИЕ 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4"/>
          <w:szCs w:val="24"/>
          <w:highlight w:val="none"/>
        </w:rPr>
        <w:t xml:space="preserve">ИСПОЛНЕНИЯ </w:t>
      </w:r>
      <w:r>
        <w:rPr>
          <w:rFonts w:ascii="PT Astra Serif" w:hAnsi="PT Astra Serif" w:eastAsia="PT Astra Serif" w:cs="PT Astra Serif"/>
          <w:b/>
          <w:bCs/>
          <w:color w:val="000000" w:themeColor="text1"/>
          <w:sz w:val="24"/>
          <w:szCs w:val="24"/>
          <w:highlight w:val="none"/>
        </w:rPr>
        <w:t xml:space="preserve">ГОСУДАРСТВЕННОГО КОНТРАКТА</w:t>
      </w:r>
      <w:r>
        <w:rPr>
          <w:rFonts w:ascii="PT Astra Serif" w:hAnsi="PT Astra Serif" w:cs="PT Astra Serif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1141"/>
        <w:ind w:left="0" w:firstLine="709"/>
        <w:spacing w:after="0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3.1. Обеспечение исполнения Контракта составляет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ru-RU"/>
        </w:rPr>
        <w:t xml:space="preserve">30% цены контракта -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_____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______ (____________) рублей ___ коп.</w:t>
      </w:r>
      <w:r>
        <w:rPr>
          <w:rStyle w:val="1108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ootnoteReference w:id="3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41"/>
        <w:ind w:left="0" w:firstLine="709"/>
        <w:spacing w:after="0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3.2.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Исполнение контракта, гарантийные обязательства могут обеспечиваться предоставлением независимой гарантии, соответствующей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 HYPERLINK "consultantplus://offline/ref=3ADE8699961F7D3EAC2FA8156C957EB00FEC01B44AADD0244BE11140D330357ED4E7B57F2061A42A7C3C403F88E7E7A22C41EE4DD8y4G"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требованиям статьи 45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Федерального закона от 05.04.2013 № 44-ФЗ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, или внесением денежных средств на указанный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Государственным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 заказчиком счет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(реквизиты: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Министерство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финансов Воронежской области (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ru-RU"/>
        </w:rPr>
        <w:t xml:space="preserve">Минцифры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ВО, л/с 05860020830), ИНН 3664083641, КПП 366401001, Единый казначейский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счет № 40102810945370000023, Казначейский счет № 03222643200000003100, Наименование банка: 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  <w:highlight w:val="none"/>
        </w:rPr>
        <w:t xml:space="preserve">ОКЦ № 2 ГУ Банка России по Центральному федеральному округу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  <w:highlight w:val="none"/>
        </w:rPr>
        <w:t xml:space="preserve">//УФК по Воронежской области г. Воронеж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, БИК 012007084, ОКТМО 20701000,  КБК 860 0000 0000000 000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ru-RU"/>
        </w:rPr>
        <w:t xml:space="preserve">510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)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. Способ обеспечения исполнения контракта, гарантийных обязательств, срок действия независимой гарантии определяются в соответствии с требованиями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Федерального закона от 05.04.2013 № 44-ФЗ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 участником закупки, с которым заключается контракт, самостоятельно. При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 HYPERLINK "consultantplus://offline/ref=3ADE8699961F7D3EAC2FA8156C957EB00FEC01B44AADD0244BE11140D330357ED4E7B57B266BF37B3162196FCCACEAA2325DEE4E98E232ABDDy2G"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статьей 95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Федерального закона от 05.04.2013 № 44-ФЗ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39"/>
        <w:contextualSpacing w:val="0"/>
        <w:ind w:left="0" w:firstLine="709"/>
        <w:spacing w:before="0" w:after="0" w:line="240" w:lineRule="auto"/>
        <w:widowControl w:val="off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3.3. </w:t>
      </w:r>
      <w:r>
        <w:rPr>
          <w:rFonts w:ascii="PT Astra Serif" w:hAnsi="PT Astra Serif" w:eastAsia="PT Astra Serif" w:cs="PT Astra Serif"/>
          <w:i/>
          <w:iCs/>
          <w:color w:val="000000" w:themeColor="text1"/>
          <w:highlight w:val="none"/>
        </w:rPr>
        <w:t xml:space="preserve">Вариант 1.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Независимая гарантия должна соответствовать требованиям, установленным Гражданским кодексом РФ, а также иным законодательством Российской Федерации. 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23"/>
        <w:ind w:firstLine="709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3.3.1. Независимая гарантия должна содержать: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1) сумму независимой гарантии, подлежащую уплате гарантом Государственному заказчику в установленных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 HYPERLINK "consultantplus://offline/ref=54F3CB5A89FBC97363A7014C089493615CAD1B67EFAA823AF277119DCE97D30393E08C0A941BC902967983D63C8F5A2F981829877705S5z4L"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статьей 44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Федерального закона от 05.04.2013 № 44-ФЗ случаях для предъявления требования об уплате денежной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суммы по независимой гарантии, предоставленной для обеспечения заявки на участие в закупке, или сумму независимой гарантии, подлежащую уплате гарантом Государственному заказчику в случае ненадлежащего исполнения обязательств принципалом в соответствии со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 HYPERLINK "consultantplus://offline/ref=54F3CB5A89FBC97363A7014C089493615CAD1B67EFAA823AF277119DCE97D30393E08C099712C30DC62393D275D956329907378469055733S3z6L"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статьей 96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Федерального закона от 05.04.2013 № 44-ФЗ, а также идентификационный код закупки, при осуществлении которой предоставляется такая независимая гарантия;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2) обязательства принципала, надлежащее исполнение которых обеспечивается независимой гарантией;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3) обязанность гаранта в случае просрочки исполнения обязательств по независимой гарантии, требование об уплате денежной суммы по которой соответствует условиям та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кой независимой гарантии и предъявлено Государственным заказчиком до окончания срока ее действия, за каждый день просрочки уплатить Государственному заказчику неустойку в размере 0,1 процента денежной суммы, подлежащей уплате по такой независимой гарантии;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4) условие, согласно которому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исполнением обязательств гаранта по независимой гарантии является фактическое поступление денежных сумм на счет, на котором в соответствии с законодательством Российской Федерации учитываются операции со средствами, поступающими Государственному заказчику;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5) срок действия независимой гарантии с учетом требований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 HYPERLINK "consultantplus://offline/ref=54F3CB5A89FBC97363A7014C089493615CAD1B67EFAA823AF277119DCE97D30393E08C099713C508C22393D275D956329907378469055733S3z6L"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статей 44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и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 HYPERLINK "consultantplus://offline/ref=54F3CB5A89FBC97363A7014C089493615CAD1B67EFAA823AF277119DCE97D30393E08C099712C30DC62393D275D956329907378469055733S3z6L"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96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Федерального закона от 05.04.2013 № 44-ФЗ;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6) отл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агательное условие, предусматривающее заключение договора предоставления независимой гарантии по обязательствам принципала, возникшим из контракта при его заключении, в случае предоставления независимой гарантии в качестве обеспечения исполнения контракта;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7) установленный Правительством Российской Федерации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 HYPERLINK "consultantplus://offline/ref=54F3CB5A89FBC97363A7014C089493615CAE1262EAAD823AF277119DCE97D30393E08C099713C008CB2393D275D956329907378469055733S3z6L"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перечень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документов, предоставляемых Государственным заказчиком гаранту одновременно с требованием об осуществлении уплаты денежной суммы по независимой гарантии.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8) условие об обязанности гаранта уплатить Государственному заказчику (бенефициару) денежную с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умму по независимой гарантии не позднее десяти рабочих дней со дня, следующего за днем получения гарантом требования Государственного заказчика (бенефициара), соответствующего условиям такой независимой гарантии, при отсутствии предусмотренных Гражданским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 HYPERLINK "consultantplus://offline/ref=EB5EC864F263D0891480719848B9B1A818F2D24B800229A691836430152ED363CD431EDF1737AF8A7A88ABB060292D28F0B7759ADEF2CEVAB9M"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кодексом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Российской Федерации оснований для отказа в удовлетворении этого требования;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9) права Государственного заказчика по передаче права требования по независимой гарантии при перемене заказчика в случаях, предусмотренных законодательством Российской Федерации, с предварительным извещением об этом гаранта.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3.3.2.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Исключение банка из перечня, предусмотренного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 HYPERLINK "consultantplus://offline/ref=74358BA563E1CE0E3BDB0D03DF50422BD9557850462726843F9F1655C665E8AD73CAAB29D4FF6D904DED3FE3EDE7C0E88BB1BA1D53k7B9H"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частью 1.2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 HYPERLINK "consultantplus://offline/ref=3ADE8699961F7D3EAC2FA8156C957EB00FEC01B44AADD0244BE11140D330357ED4E7B57F2061A42A7C3C403F88E7E7A22C41EE4DD8y4G"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статьи 45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Федерального закона от 05.04.2013 № 44-ФЗ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, региональной гарантийной организации из перечня, предусмотренного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 HYPERLINK "consultantplus://offline/ref=74358BA563E1CE0E3BDB0D03DF50422BD9557850462726843F9F1655C665E8AD73CAAB28D3FB6ECF48F82EBBE1E6DEF68AAEA61F5179k0BDH"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частью 1.7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 указанной статьи,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39"/>
        <w:contextualSpacing w:val="0"/>
        <w:ind w:left="0" w:firstLine="709"/>
        <w:spacing w:before="0" w:after="0" w:line="240" w:lineRule="auto"/>
        <w:widowControl w:val="off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iCs/>
          <w:color w:val="000000" w:themeColor="text1"/>
          <w:highlight w:val="none"/>
        </w:rPr>
        <w:t xml:space="preserve">3.4. </w:t>
      </w:r>
      <w:r>
        <w:rPr>
          <w:rFonts w:ascii="PT Astra Serif" w:hAnsi="PT Astra Serif" w:eastAsia="PT Astra Serif" w:cs="PT Astra Serif"/>
          <w:i/>
          <w:iCs/>
          <w:color w:val="000000" w:themeColor="text1"/>
          <w:highlight w:val="none"/>
        </w:rPr>
        <w:t xml:space="preserve">Вариант 2.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Денежные средства, вносимые в обеспечение исполнения Контракта, должны быть перечислены в размере, установленном в пункте 3.1 настоящего Контракта, на следующий счет: 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9"/>
        <w:contextualSpacing w:val="0"/>
        <w:ind w:left="0" w:firstLine="709"/>
        <w:spacing w:before="0" w:after="0" w:line="240" w:lineRule="auto"/>
        <w:widowControl w:val="off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Министерство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финансов Воронежской области (</w:t>
      </w:r>
      <w:r>
        <w:rPr>
          <w:rFonts w:ascii="PT Astra Serif" w:hAnsi="PT Astra Serif" w:eastAsia="PT Astra Serif" w:cs="PT Astra Serif"/>
          <w:color w:val="000000" w:themeColor="text1"/>
          <w:highlight w:val="none"/>
          <w:lang w:val="ru-RU"/>
        </w:rPr>
        <w:t xml:space="preserve">Минцифры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ВО, л/с 05860020830), ИНН 3664083641, КПП 366401001, Единый казначейский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счет № 40102810945370000023, Казначейский счет № 03222643200000003100, Наименование банка: 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  <w:highlight w:val="none"/>
        </w:rPr>
        <w:t xml:space="preserve">ОКЦ № 2 ГУ Банка России по Центральному федеральному округу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  <w:highlight w:val="none"/>
        </w:rPr>
        <w:t xml:space="preserve">//УФК по Воронежской области </w:t>
        <w:br/>
        <w:t xml:space="preserve">г. Воронеж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, БИК 012007084, ОКТМО 20701000,  КБК 860 0000 0000000 000 </w:t>
      </w:r>
      <w:r>
        <w:rPr>
          <w:rFonts w:ascii="PT Astra Serif" w:hAnsi="PT Astra Serif" w:eastAsia="PT Astra Serif" w:cs="PT Astra Serif"/>
          <w:color w:val="000000" w:themeColor="text1"/>
          <w:highlight w:val="none"/>
          <w:lang w:val="ru-RU"/>
        </w:rPr>
        <w:t xml:space="preserve">510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 Назначение платежа: «обеспечение исполнения государственного контракта №…».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9"/>
        <w:contextualSpacing w:val="0"/>
        <w:ind w:left="0" w:firstLine="709"/>
        <w:spacing w:before="0" w:after="0" w:line="240" w:lineRule="auto"/>
        <w:widowControl w:val="off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3.4.1. Факт внесения денежных средств в обеспечение исполнения настоящего Контракта подтверждается платежным поручением, соответствующим требованиям, предусмотренным законодательством и установленными в соответствии с ним банковскими правилами. С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анкции (неустойки, штрафы, пени) за неисполнение или ненадлежащее исполнение Исполнителем своих обязательств в соответствии с настоящим Контрактом могут погашаться Государственным заказчиком из сумм обеспечения с уведомлением Исполнителя в течение 10 дней.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23"/>
        <w:ind w:firstLine="709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3.4.2. Денежные средства возвращаются Исполнителю Государственным заказчиком при условии надлежащего испол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нения Исполнителем своих обязательств по настоящему Контракту, а также в случае уменьшения размера обеспечения в соответствии с частями 7, 7.1, 7.2 и 7.3 статьи 96 Федерального закона от 05.04.2013 № 44-ФЗ, в течение 15 дней со дня получения Государственны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м заказчиком соответствующего письменного требования Исполнителя, но не ранее полного завершения исполнения обязательств сторон по настоящему Контракту. Денежные средства возвращаются на банковский счет, указанный Исполнителем в этом письменном требовании.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3.4.3.</w:t>
        <w:tab/>
        <w:t xml:space="preserve">В случае отзыва в соответствии с законодательство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м Российской Федерации у банка, предоставившую независимую гарантию в качестве обеспечения исполнения контракта, лицензии на осуществление банковских операций, Исполнитель обязан предоставить новое обеспечение исполнения контракта не позднее одного месяца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со дня надлежащего уведомления Государственным заказчиком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ерального закона от 05.04.2013 № 44-ФЗ. За каждый день просрочки исполнения Исполнителем данного обязательства, исчисляется пеня в размере, определенном в порядке, установленном в соответствии с частью 7 статьи 34 Федерального закона от 05.04.2013 № 44-ФЗ.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3.4.4. В ходе исполнения Контракта Исполнитель вправе изменить способ обеспечения исполнения Контракта и (или) предоставить Государственному заказч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частями 7.2 и 7.3 статьи 96 Федерального закона от 05.04.2013 № 44-ФЗ.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en-US" w:eastAsia="en-US"/>
        </w:rPr>
        <w:t xml:space="preserve">3.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5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en-US" w:eastAsia="en-US"/>
        </w:rPr>
        <w:t xml:space="preserve">. Исполнитель обеспечивает Государственному заказчику гарантийные обязательства в форме предоставления независимой гарантии, выданной банком и соответствующей требованиям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 HYPERLINK "consultantplus://offline/ref=469AD450B52F960FB7164494608F48582748D992270567AFB97B6487879CA5367DAE969D681EC48B46E8B4701AD848983936F5A3s3k9I"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статьи 45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en-US" w:eastAsia="en-US"/>
        </w:rPr>
        <w:t xml:space="preserve">Федерального закона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№ 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en-US" w:eastAsia="en-US"/>
        </w:rPr>
        <w:t xml:space="preserve">44-фз от 05.04.2013, либо внесением денежных средств на счет Государственного заказчика (реквизиты: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Министерство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финансов Воронежской области (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Минцифры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ВО, л/с 05860020830), ИНН 3664083641, КПП 366401001, Единый казначейский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счет № 40102810945370000023, Казначейский счет № 03222643200000003100, Наименование банка: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ОКЦ № 2 ГУ Банка России по Центральному федеральному округу//УФК по Воронежской области </w:t>
        <w:br/>
        <w:t xml:space="preserve">г. Воронеж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, БИК 012007084, ОКТМО 20701000,  КБК 860 0000 0000000 000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510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en-US" w:eastAsia="en-US"/>
        </w:rPr>
        <w:t xml:space="preserve">) по выбору Исполнителя в размере 10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en-US" w:eastAsia="en-US"/>
        </w:rPr>
        <w:t xml:space="preserve">% от начальной (максимальной) цены контракта, что составляет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__________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en-US" w:eastAsia="en-US"/>
        </w:rPr>
        <w:t xml:space="preserve">(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__________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en-US" w:eastAsia="en-US"/>
        </w:rPr>
        <w:t xml:space="preserve">) рублей 00 копеек.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Обеспечение гарантийных обязательств должно быть предоставлено в срок с момента заключения Контракта, но до начала приемки результатов выполнения Работ.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en-US" w:eastAsia="en-US"/>
        </w:rPr>
        <w:t xml:space="preserve">При этом срок действия независимой гарантии должен превышать предусмотренный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настоящим 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en-US" w:eastAsia="en-US"/>
        </w:rPr>
        <w:t xml:space="preserve">онтрактом срок исполнения гарантийных обязательств, которые должны быть обеспечены такой независимой гарантией, не менее чем на один месяц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en-US"/>
        </w:rPr>
        <w:t xml:space="preserve">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val="en-US" w:eastAsia="en-US"/>
        </w:rPr>
        <w:t xml:space="preserve">Исполнитель вправе изменить способ обеспечения гарантийных обязательств и (или) предоставить Государственному заказчику взамен ранее предоставленного обеспечения гарантийных обязательств новое обеспечение гарантийных обязательств.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3.6.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Участник закупки, с которым заключается контракт по резуль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татам определения исполнителя в соответствии с пунктом 1 части 1 статьи 30 Федерального закона от 05.04.2013 № 44-ФЗ, освобождается от предоставления обеспечения исполнения контракта, в том числе с учетом положений статьи 37 Федерального закона от 05.04.20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13 № 44-ФЗ, от обеспечения гарантийных обязательств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Федерального за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кона от 05.04.2013 № 44-ФЗ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 и документации о закупке.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0"/>
          <w:numId w:val="2"/>
        </w:numPr>
        <w:ind w:left="-57" w:firstLine="0"/>
        <w:jc w:val="center"/>
        <w:spacing w:before="0" w:beforeAutospacing="0" w:after="0" w:afterAutospacing="0"/>
        <w:shd w:val="clear" w:color="auto" w:fill="ffffff"/>
        <w:widowControl w:val="off"/>
        <w:tabs>
          <w:tab w:val="clear" w:pos="360" w:leader="none"/>
        </w:tabs>
        <w:rPr>
          <w:rFonts w:ascii="PT Astra Serif" w:hAnsi="PT Astra Serif" w:cs="PT Astra Serif"/>
          <w:b/>
          <w:bCs/>
          <w:color w:val="000000" w:themeColor="text1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ОБЯЗАННОСТИ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СТОРОН</w:t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</w:p>
    <w:p>
      <w:pPr>
        <w:pStyle w:val="1137"/>
        <w:numPr>
          <w:ilvl w:val="1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bookmarkEnd w:id="1"/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bookmarkEnd w:id="2"/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При исполнении настоящего Контракта Исполнитель обязуется: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709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Качественно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выполнять Работы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в объеме, порядке и сроки, установленные п.п. 1.1, 1.2 и 1.3 настоящего Контракта;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709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Не нарушать имущественные и личные неимущественные права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Государственного з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аказчика и третьих лиц.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709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Использовать объекты интеллектуальной собственности и средства индивидуализации в соответствии с действующим законодательством Российской Федерации.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709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Не позднее 3 (трех) рабочих дней с даты подписания Контракта предоставить Государственному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заказчику заверенные копии действующих свидетельств о государственной регистрации программ для ЭВМ, выданных Федеральной службой по интеллектуальной собственности (Роспатент), подтверждающих исключительные права на программные продукты, на базе которых со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здана Система (далее - ПП), или заверенные копии действующих документов от правообладателя, подтверждающие право Исполнителя на внесение изменений в ПП, необходимых для исполнения обязательств по Контракту в соответствии с техническим заданием (Приложение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№ 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1 к настоящему Контракту).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widowControl w:val="off"/>
        <w:tabs>
          <w:tab w:val="left" w:pos="-1560" w:leader="none"/>
          <w:tab w:val="left" w:pos="709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Назначить ответственного Представителя на весь период действия настоящего Контракта для координации выполнения Работ Исполнителем и решения вопросов, возникающих на всех этапах выполнения Работ по Контракту.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num" w:pos="993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Обеспечивать Государственному заказчику возможность контроля за ходом выполнения Работ, представлять по его требованию отчеты о ходе выполнения Работ.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num" w:pos="851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Обеспечить соблюдение своими работниками правил внутреннего трудового распорядка, охраны тр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у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да, техники безопасности и противопожарной охраны на территории Государственного заказчика.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num" w:pos="851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Своими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силами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и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за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свой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счет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устранить допущенные по вине Исполнителя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процессе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выполнения Работ недостатки в сроки, определенные Государственным заказчиком, а если срок не определен, то в течение 5 (пяти) рабочих дней с момента получения уведомления Государственного заказчика с требованием об устранении недостатков.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num" w:pos="851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Без увеличения цены Контракта передать Государственному заказчику исключительное право на разработанн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ые в ходе выполнения работ по Контракту результаты в полном объеме, включая исходные коды программ для ЭВМ, библиотеки зависимостей, базы данных, а также проектную, техническую, рабочую, сопроводительную и методическую документацию к Системе или ее частям.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num" w:pos="851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Без увеличения цены Контракта передать Государственному заказчику права на использование охраняемых результатов интеллект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уальной деятельности, права на которые принадлежат Исполнителю и которые использовались при выполнении работ по Контракту, в объеме, необходимом для использования Государственным заказчиком результатов работ по Контракту по их целевому назначению и в соотв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етствии с условиями настоящего Контракта на весь срок действия использованных исключительных прав или на иной срок, установленный заказчиком. Исполнитель передает Государственному заказчику указанные права посредством заключения лицензионного договора &lt;1&gt;.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num" w:pos="851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Согласовать с Государственным заказчиком необходимость использования при выполнении работ охраняемых результатов интеллектуальной деятельности, права на которые принадлежат третьим лицам, объем и порядок приобретения прав на их использование.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num" w:pos="851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Обеспечить передачу Государственному заказчику полученных по Контракту результатов работ, не нарушающих исключительных прав других лиц и не являющихся предметом залога, ареста или иного обременения.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num" w:pos="851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 случае использования при выполнении работ по Контракту программ дл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я электронных вычислительных машин (программных комплексов или компонентов), разработанных третьими лицами, условия, на которых передаются права на их использование (исполнение), должны обеспечить отсутствие ограничений, препятствующих использованию резуль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татов работ по их назначению. При этом права, полученные Государственным заказчиком, должны позволять ему передавать, дорабатывать, развивать результаты работ, созданные в процессе исполнения Контракта, а в случае явного указания в техническом задании, явл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яющемся неотъемлемой частью Контракта, осуществлять переработку программ для электронных вычислительных машин (программных комплексов или компонентов), разработанных ранее третьими лицами в соответствии с требованиями законодательства Российской Федерации.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num" w:pos="851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Обеспечить о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тсутствие нарушений исключительных, авторских и смежных прав третьих лиц при реализации технических, программных, организационных и иных решений, предусмотренных техническим заданием на выполнение работ. 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num" w:pos="851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Обеспечить выполнение требований к порядку создания (развития) государственных (муниципальных) и (или) иных информационных систем, предусмотренных пунктом 3 части 1 статьи 13 Федерального закона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от 27.07.2006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№ 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149-ФЗ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«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Об информации, информационных технологиях и о защите информации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»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,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устанавливаемых к таким информационным системам указанным Федеральным законом и иными нормативными правовыми актами Российской Федерации.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1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Государственный заказчик обязуется: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Оплачивать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выполненные Работы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в порядке, размерах и в сроки, установленные настоящим Контрактом;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Назначить ответственного Представителя на весь период действия настоящего Контракта для координации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выполнения 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Исполнителем и решения вопросов, возникающих на всех этапах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выполнения 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по Контракту;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Обеспечить специалистам Исполнителя оперативный доступ ко всей необходимой для качественного выпо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л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нения настоящего Контракта нормативно-справочной и другой открытой информации Государственного заказчика;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Обеспечить приемку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выполненных 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в сроки, установленные настоящим Контрактом.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1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При исполнении настоящего Контракта Исполнитель имеет право: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Требовать от Государственного заказчика полного и своевременного исполнения обязательств по Контракту.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Обращаться к Государственному заказчику с запросами в целях надлежащего исполнения обязательств по Контракту.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num" w:pos="851" w:leader="none"/>
          <w:tab w:val="clear" w:pos="1224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 порядке, предусмотренном законодательством Российской Федерации, привлекать к исполнению своих обязательств по Контракту други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х лиц - соисполнителей только с согласия Государственного заказчика. Привлечение соисполнителей не влечет за собой изменения стоимости и объемов Работ по Контракту. Перечень Работ, выполненных соисполнителями, Исполнитель указывает в отчетной документации.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clear" w:pos="1224" w:leader="none"/>
          <w:tab w:val="num" w:pos="141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По согласованию с Государственным заказчиком Исполнитель впр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аве выполнить работы, услуги,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clear" w:pos="1224" w:leader="none"/>
          <w:tab w:val="num" w:pos="141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При досрочном выполнении Работ по Контракту Исполнитель в письменной форме уведомляет Государственного заказчика о готовности представить для осуществления приемки отчетную документацию в соответствии с требованиями Контракта.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1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num" w:pos="141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При исполнении настоящего Контракта Государственный заказчик имеет право: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clear" w:pos="1224" w:leader="none"/>
          <w:tab w:val="num" w:pos="141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Требовать от Исполнителя надлежащего выполнения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Работ по Контракту в соответствии с Техническим заданием, а также требовать своевременного устранения недостатков, выявленных как в ходе приемки выполненных Работ, так и в течение гарантийного периода, если гарантийный срок установлен Техническим заданием.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clear" w:pos="1224" w:leader="none"/>
          <w:tab w:val="num" w:pos="141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Требовать от Исполнителя представления надлежащим образом оформленной отчетной документации, подтверждающей выполнение Работ по Контракту.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clear" w:pos="1224" w:leader="none"/>
          <w:tab w:val="num" w:pos="141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Применять к Исполнителю меры ответственности за неисполнение или ненадлежащее исполнение обязательств по Контракту, в том числе требовать уплаты неустойки.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clear" w:pos="1224" w:leader="none"/>
          <w:tab w:val="num" w:pos="141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Принять решение об одностороннем отказе от исполнения Контракта по основаниям, предусмотренным Гражданским кодексом Российской Федерации.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2"/>
          <w:numId w:val="2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709" w:leader="none"/>
          <w:tab w:val="clear" w:pos="1224" w:leader="none"/>
          <w:tab w:val="num" w:pos="141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Проверять ход и качество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выполнения 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, предусмотренных Контрактом.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-1560" w:leader="none"/>
          <w:tab w:val="left" w:pos="567" w:leader="none"/>
          <w:tab w:val="left" w:pos="709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0"/>
          <w:numId w:val="2"/>
        </w:numPr>
        <w:ind w:left="0" w:firstLine="709"/>
        <w:jc w:val="center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b/>
          <w:bCs/>
          <w:caps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b/>
          <w:bCs/>
          <w:caps/>
          <w:color w:val="000000" w:themeColor="text1"/>
          <w:highlight w:val="none"/>
        </w:rPr>
        <w:t xml:space="preserve">Порядок приемки </w:t>
      </w:r>
      <w:bookmarkStart w:id="3" w:name="_Ref455980465"/>
      <w:r>
        <w:rPr>
          <w:rFonts w:ascii="PT Astra Serif" w:hAnsi="PT Astra Serif" w:eastAsia="PT Astra Serif" w:cs="PT Astra Serif"/>
          <w:b/>
          <w:bCs/>
          <w:caps/>
          <w:color w:val="000000" w:themeColor="text1"/>
          <w:highlight w:val="none"/>
        </w:rPr>
        <w:t xml:space="preserve">РАБОТ</w:t>
      </w:r>
      <w:r>
        <w:rPr>
          <w:rFonts w:ascii="PT Astra Serif" w:hAnsi="PT Astra Serif" w:cs="PT Astra Serif"/>
          <w:b/>
          <w:bCs/>
          <w:cap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aps/>
          <w:color w:val="000000" w:themeColor="text1"/>
          <w:highlight w:val="none"/>
        </w:rPr>
      </w:r>
    </w:p>
    <w:p>
      <w:pPr>
        <w:pStyle w:val="1139"/>
        <w:numPr>
          <w:ilvl w:val="0"/>
          <w:numId w:val="33"/>
        </w:numPr>
        <w:contextualSpacing w:val="0"/>
        <w:ind w:left="0" w:firstLine="709"/>
        <w:spacing w:before="0"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bookmarkEnd w:id="3"/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Исполнитель в срок, установленный </w:t>
      </w:r>
      <w:r>
        <w:rPr>
          <w:rFonts w:ascii="PT Astra Serif" w:hAnsi="PT Astra Serif" w:eastAsia="PT Astra Serif" w:cs="PT Astra Serif"/>
          <w:color w:val="000000" w:themeColor="text1"/>
          <w:highlight w:val="none"/>
          <w:lang w:val="ru-RU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онтрактом, формирует с использованием единой информационной системы, подписывает усиленной электронной подписью лица, имеющего право действовать от имени Исполнителя, и размещает в единой информационной системе документ о приемке.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9"/>
        <w:numPr>
          <w:ilvl w:val="0"/>
          <w:numId w:val="33"/>
        </w:numPr>
        <w:contextualSpacing w:val="0"/>
        <w:ind w:left="0" w:firstLine="709"/>
        <w:spacing w:before="0"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Оформление документа о приемке </w:t>
      </w:r>
      <w:r>
        <w:rPr>
          <w:rFonts w:ascii="PT Astra Serif" w:hAnsi="PT Astra Serif" w:eastAsia="PT Astra Serif" w:cs="PT Astra Serif"/>
          <w:color w:val="000000" w:themeColor="text1"/>
          <w:highlight w:val="none"/>
          <w:lang w:val="ru-RU"/>
        </w:rPr>
        <w:t xml:space="preserve">выполненной Работы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осуществляется после предоставления Исполнителем обеспечения гарантийных обязательств в соответствии с Федеральным законом от 05.04.2013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№ 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44-ФЗ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 порядке и в сроки, установленные разделом 3 Контракта.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9"/>
        <w:numPr>
          <w:ilvl w:val="0"/>
          <w:numId w:val="33"/>
        </w:numPr>
        <w:contextualSpacing w:val="0"/>
        <w:ind w:left="0" w:firstLine="709"/>
        <w:spacing w:before="0"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Для проверки предоставленных Исполнителем результатов выполнения </w:t>
      </w:r>
      <w:r>
        <w:rPr>
          <w:rFonts w:ascii="PT Astra Serif" w:hAnsi="PT Astra Serif" w:eastAsia="PT Astra Serif" w:cs="PT Astra Serif"/>
          <w:color w:val="000000" w:themeColor="text1"/>
          <w:highlight w:val="none"/>
          <w:lang w:val="ru-RU"/>
        </w:rPr>
        <w:t xml:space="preserve">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, предусмотре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нных Контрактом, в части их соответствия условиям Контракта Государственный заказчик проводит экспертизу. Экспертиза результатов, предусмотренных Контрактом, может проводиться Государственным заказчиком своими силами или к ее проведению могут привлекаться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instrText xml:space="preserve"> HYPERLINK "consultantplus://offline/ref=65331DC9D36037B2E461B05757D74F48178291691159DCA8BF3CE7371D5D6AF4A5A426AD4024FF2ET1zDH" </w:instrTex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fldChar w:fldCharType="separate"/>
      </w:r>
      <w:r>
        <w:rPr>
          <w:rStyle w:val="1143"/>
          <w:rFonts w:ascii="PT Astra Serif" w:hAnsi="PT Astra Serif" w:eastAsia="PT Astra Serif" w:cs="PT Astra Serif"/>
          <w:color w:val="000000" w:themeColor="text1"/>
          <w:highlight w:val="none"/>
        </w:rPr>
        <w:t xml:space="preserve">эксперты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, экспертные организации на основании контрактов.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9"/>
        <w:numPr>
          <w:ilvl w:val="0"/>
          <w:numId w:val="33"/>
        </w:numPr>
        <w:contextualSpacing w:val="0"/>
        <w:ind w:left="0" w:firstLine="709"/>
        <w:spacing w:before="0"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Государственный заказчик не позднее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трех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рабочих дней,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следующих за днем поступления документа о приемке, обязан рассмотреть его. По результатам рассмотрения Государственный заказчик подписывает и размещает в единой информационной системе документ о приемке либо форм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ирует с использованием единой информационной системы, подписывает и размещает в единой информационной системе мотивированный отказ от подписания документа о приемке с указанием причин такого отказа, в порядке, установленном ч. 13 ст. 94 Федерального закона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от 05.04.2013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№ 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44-ФЗ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9"/>
        <w:numPr>
          <w:ilvl w:val="0"/>
          <w:numId w:val="33"/>
        </w:numPr>
        <w:contextualSpacing w:val="0"/>
        <w:ind w:left="0" w:firstLine="709"/>
        <w:spacing w:before="0" w:after="0" w:line="240" w:lineRule="auto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 случае получения мотивированного отказа от подписания документа о приемке Исполнитель вправе устранить причины, указанные в таком мотивированном отказе, и направить Государственному заказчику документ о приемке.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68"/>
        <w:numPr>
          <w:ilvl w:val="0"/>
          <w:numId w:val="33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ru-RU"/>
        </w:rPr>
        <w:t xml:space="preserve">Датой приемки выполненной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ru-RU"/>
        </w:rPr>
        <w:t xml:space="preserve">Р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ru-RU"/>
        </w:rPr>
        <w:t xml:space="preserve">аботы считается дата размещения в единой информационной системе документа о приемке, подписанного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ru-RU"/>
        </w:rPr>
        <w:t xml:space="preserve">Государственным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ru-RU"/>
        </w:rPr>
        <w:t xml:space="preserve">заказчиком.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68"/>
        <w:numPr>
          <w:ilvl w:val="0"/>
          <w:numId w:val="33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ru-RU"/>
        </w:rPr>
        <w:t xml:space="preserve">Внесение исправлений в док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  <w:lang w:eastAsia="ru-RU"/>
        </w:rPr>
        <w:t xml:space="preserve">умент о приемке осуществляется путем формирования, подписания усиленными электронными подписями лиц, имеющих право действовать от имени Исполнителя, Государственного заказчика, и размещения в единой информационной системе исправленного документа о приемке.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23"/>
        <w:numPr>
          <w:ilvl w:val="0"/>
          <w:numId w:val="4"/>
        </w:numPr>
        <w:ind w:left="0" w:firstLine="0"/>
        <w:jc w:val="center"/>
        <w:spacing w:after="0"/>
        <w:widowControl w:val="off"/>
        <w:rPr>
          <w:rFonts w:ascii="PT Astra Serif" w:hAnsi="PT Astra Serif" w:cs="PT Astra Serif"/>
          <w:b/>
          <w:bCs/>
          <w:cap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  <w:bCs/>
          <w:caps/>
          <w:color w:val="000000" w:themeColor="text1"/>
          <w:sz w:val="24"/>
          <w:szCs w:val="24"/>
          <w:highlight w:val="none"/>
        </w:rPr>
        <w:t xml:space="preserve">пор</w:t>
      </w:r>
      <w:r>
        <w:rPr>
          <w:rFonts w:ascii="PT Astra Serif" w:hAnsi="PT Astra Serif" w:eastAsia="PT Astra Serif" w:cs="PT Astra Serif"/>
          <w:b/>
          <w:bCs/>
          <w:caps/>
          <w:color w:val="000000" w:themeColor="text1"/>
          <w:sz w:val="24"/>
          <w:szCs w:val="24"/>
          <w:highlight w:val="none"/>
        </w:rPr>
        <w:t xml:space="preserve">ядОК предоставления (передачи) результатов</w:t>
      </w:r>
      <w:r>
        <w:rPr>
          <w:rFonts w:ascii="PT Astra Serif" w:hAnsi="PT Astra Serif" w:cs="PT Astra Serif"/>
          <w:b/>
          <w:bCs/>
          <w:caps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caps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0"/>
        <w:jc w:val="center"/>
        <w:spacing w:after="0"/>
        <w:widowControl w:val="off"/>
        <w:rPr>
          <w:rFonts w:ascii="PT Astra Serif" w:hAnsi="PT Astra Serif" w:cs="PT Astra Serif"/>
          <w:b/>
          <w:bCs/>
          <w:cap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  <w:bCs/>
          <w:caps/>
          <w:color w:val="000000" w:themeColor="text1"/>
          <w:sz w:val="24"/>
          <w:szCs w:val="24"/>
          <w:highlight w:val="none"/>
        </w:rPr>
        <w:t xml:space="preserve">выполнения работ заказчику</w:t>
      </w:r>
      <w:r>
        <w:rPr>
          <w:rFonts w:ascii="PT Astra Serif" w:hAnsi="PT Astra Serif" w:cs="PT Astra Serif"/>
          <w:b/>
          <w:bCs/>
          <w:caps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caps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6.1. Передача исходных кодов, разработанных в ходе выполнения работ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,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программ для электронных вычислительных машин (далее - программа для ЭВМ) и дистрибутив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ов должна сопровождаться передачей всех необходимых для сборки и запуска программы для ЭВМ библиотек зависимостей, инструкций и программных сценариев (скриптов) для проведения компиляции, создания дистрибутива и установки (развертывания) программы для ЭВМ.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6.2. Для проведения компиляции, создания дистрибутив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а и установки (развертывания) программы для ЭВМ должны использоваться свободно распространяемые компиляторы, интерпретаторы и иное программное обеспечение, необходимое для указанных целей, дистрибутивы которых должны быть переданы вместе с исходными кодами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,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разработанны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ми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в ходе выполнения работ программ для ЭВМ.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6.3. В случае ис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пользования для проведения компиляции, создания дистрибутива и установки (развертывания) программы для ЭВМ компиляторов, интерпретаторов и иного программного обеспечения, права на использование, копирование и модификацию которых принадлежат третьим лицам,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сполнитель за свой счет передает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Государственному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заказчику дистрибутивы и права на использование таких компиляторов, интерпретаторов и иного программного обеспечения.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6.4.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сполнитель в процессе сдачи-приемки работ по Контракту должен пров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ести демонстрацию процесса компиляции, создания дистрибутива и установки (развертывания) разработанных программ для ЭВМ с использованием средств, указанных в пункте 6.1, а также в соответствии с инструкциями, приведенными в рабочей документации на Систему.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6.5. Документация на Систему и ее части (техническая и рабочая) должна содержать исчерпывающее описание принятых проектных решений в объеме, достаточном для ее дальнейшего развития и эксплуатации.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6.6. Техническая и рабочая документация должна содержать описание разработанных результатов работ, в том числе программ для ЭВМ, прикладных программных интерфейсов, алгоритмов и протоколов информационного взаимоде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йствия, технических требований, спецификаций и форматов обмена данными для взаимодействия с другими информационными системами, в объеме, достаточном для их установки, настройки, эксплуатации и развития в дальнейшем без привлечения подрядчика (исполнителя).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6.7. Передача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Государственному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заказчику комплекта документов, материалов и сведений, предусмотренных нормативными правовыми актами Российской Федерации в сфере информационных технол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огий, защиты информации, правовой защиты интересов государства в области интеллектуальной собственности, включая документы, подтверждающие отказ авторов (разработчиков) от исключительных прав на передаваемые объекты интеллектуальной собственности в пользу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сполнителя, с проектами заявок на государственную регистрацию в установленном порядке прав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Государственного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заказчика на результаты интеллектуальной деятельности, в том числе, но не исключая: изобретения, полезные модели, промышленные образцы, программы для электронных вычислительных машин, ба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зы данных, топологии интегральных микросхем, а также исключительные права на результаты работ, включая объекты авторских прав и потенциально патентоспособные технические решения, секреты производства (ноу-хау), созданные в рамках Контракта, осуществляется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сполнителем в составе отчетной документации, предусмотренной условиями Контракта.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37"/>
        <w:numPr>
          <w:ilvl w:val="0"/>
          <w:numId w:val="4"/>
        </w:numPr>
        <w:ind w:left="0" w:firstLine="0"/>
        <w:jc w:val="center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b/>
          <w:bCs/>
          <w:color w:val="000000" w:themeColor="text1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ОТВЕТСТВЕННОСТЬ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СТОРОН</w:t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</w:p>
    <w:p>
      <w:pPr>
        <w:pStyle w:val="1137"/>
        <w:numPr>
          <w:ilvl w:val="0"/>
          <w:numId w:val="25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Стороны несут ответственность за неисполнение или ненадлежащее исполнение своих обязательств по Контракту в соответствии с законодательством Российской Федерации. Размеры неустойки, пени, штрафов в настоящем разделе определяются в соответствии с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Федеральным законом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от 05.04.2013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№ 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44-ФЗ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и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постановлением Правительства Российской Федерации от 30.08.2017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№ 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1042. 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0"/>
          <w:numId w:val="25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Неустойка по Контракту выплачивается только на основании обоснованного письменного требования Стороны. 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23"/>
        <w:numPr>
          <w:ilvl w:val="0"/>
          <w:numId w:val="25"/>
        </w:numPr>
        <w:ind w:left="0" w:firstLine="709"/>
        <w:spacing w:after="0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Ответственность Государственного заказчика: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7.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3.1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В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случае просрочки исполнения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Государственным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заказчиком обязательств, предусмотренных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онтрактом, а также в иных случаях неисполнения или ненадлежащего исполнения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Государственным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заказчиком обязательств, предусмотренных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онтрактом,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Исполнитель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онтрактом, начиная со дня, следующего после дня истечения установленного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 срока исполнения обязательства. Такая пеня устанавливается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 в размере одной трехсотой действующей на дату уплаты пеней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HYPERLINK consultantplus://offline/ref=0978B3653DE4A48BEA9BAD5135AAA5A30FB60F2F81A212519C9226D68BAF5301E1755178321D802D68307B6FA36876F82D807CBBEFC2B1x526I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ключевой ставки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Центрального банка Российской Федерации от не уплаченной в срок суммы. Штрафы начисляются за ненадлежащее исполнение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Государственным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заказчиком обязательств, предусмотренных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онтрактом, за исключением просрочки исполнения обязательств, предусмотренных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онтрактом. Размер штрафа устанавливается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 в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HYPERLINK consultantplus://offline/ref=0978B3653DE4A48BEA9BAD5135AAA5A30DB70A2A85AD4F5B94CB2AD48CA00C16E63C5D79321C862F616F7E7AB23079F33A9E7AA3F3C0B355x42EI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порядке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, установленном Правительством Российской Федерации.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tabs>
          <w:tab w:val="left" w:pos="426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7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3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.2.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За каждый факт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устанавливается штраф в размере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__________ (____________) рублей ___ коп.</w:t>
      </w:r>
      <w:r>
        <w:rPr>
          <w:rStyle w:val="1108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ootnoteReference w:id="4"/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tabs>
          <w:tab w:val="left" w:pos="426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7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.3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.3. Общая сумма начисленн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ых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штрафов за ненадлежащее исполнение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Государственным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заказчиком обязательств, предусмотренных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онтрактом, не может превышать цену Контракта.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numPr>
          <w:ilvl w:val="0"/>
          <w:numId w:val="25"/>
        </w:numPr>
        <w:ind w:left="0" w:firstLine="709"/>
        <w:spacing w:after="0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Ответственность Исполнителя: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7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.4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.1. В случае просрочки исполнения Исполнителем обязательств, предусмотренных Контрактом, Исполнитель уплачивает Государственному заказчику неустойку (пеню).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Пеня начисляется за каждый день просрочки исполнения Исполнителем обязательства, предусмотренного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онтрактом, начиная со дня, следующего после дня истечения установленного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 срока исполнения обязательства, и устанавливается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 в размере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онтракта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, уменьшенной на сумму, пропорциональную объему обязательств, предусмотренных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tabs>
          <w:tab w:val="left" w:pos="426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7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.4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.2.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За каждый факт неисполнения или ненадлежащего исполнения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Исполнителем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обязательств, предусмотренных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онтрактом, заключенным по результатам определения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Исполнителя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в соответствии с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HYPERLINK consultantplus://offline/ref=8099808D3F2D1B08977406F27DA67E7B75FE03024B976ED3ACBAB95816CDBD86CE2B79636530952F0580E3B688900D521E76976E96F497EE481CJ 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пунктом 1 части 1 статьи 30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Федерального закона, за исключением просрочки исполнения обязательств (в том числе гарантийного обязательства), предусмотренных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онтрактом, размер штрафа устанавливается в размере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: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1 процента цены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онтракта</w:t>
      </w:r>
      <w:r>
        <w:rPr>
          <w:rStyle w:val="1108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ootnoteReference w:id="5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, что составляет: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___________ (____________) рублей ___ коп.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7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4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.3.</w:t>
      </w:r>
      <w:r>
        <w:rPr>
          <w:rStyle w:val="1108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ootnoteReference w:id="6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За каждый факт неисполн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ения или ненадлежащего исполнения Исполнителем обязательств, предусмотренных Контрактом, заключенным с победителем закупки (или с иным участником закупки в случаях, установленных Федеральным законом), предложившим наиболее высокую цену за право заключения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онтракта, за исключением просрочки исполнения обязательств (в том числе гарантийного обязательства), предусмотренных Контрактом, размер штрафа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устанавливается в размере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__ % начальной (максимальной) цены Контракта, что составляет __________ (____________) рублей ___ коп.</w:t>
      </w:r>
      <w:r>
        <w:rPr>
          <w:rStyle w:val="1108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ootnoteReference w:id="7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7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4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.4.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 (при наличии в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онтракте таких обязательств),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размер штрафа устанавливается в размере суммы __________ (____________) рублей ___ коп.</w:t>
      </w:r>
      <w:r>
        <w:rPr>
          <w:rStyle w:val="1108"/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ootnoteReference w:id="8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tabs>
          <w:tab w:val="left" w:pos="426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7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4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.5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Неустойка (штраф, пени) должна быть оплачена Исполнителем в течение 10 (десяти) рабочих дней после получения уведомления от Государственного заказчика.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tabs>
          <w:tab w:val="left" w:pos="426" w:leader="none"/>
        </w:tabs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7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4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.6. Общая сумма начисленн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ых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штрафов за неисполнение или ненадлежащее исполнение Исполнителем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бязательств, предусмотренных Контрактом, не может превышать цену Контракта.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37"/>
        <w:numPr>
          <w:ilvl w:val="0"/>
          <w:numId w:val="25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Уплата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неустойки (штрафов, пени) не освобождает Сторону от исполнения или надлежащего исполнения обязательств, установленных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онтрактом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0"/>
          <w:numId w:val="25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 случае просрочки исполнения Исполнителем обязательс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тв (в том числе гарантийного обязательства) предусмотренных Контрактом, а также в иных случаях ненадлежащего исполнения Исполнителем, предусмотренных Контрактом, Государственный заказчик направляет Исполнителю требование об уплате неустоек (штрафов, пени).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0"/>
          <w:numId w:val="25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Исполнитель обязан возместить убытки, причиненные им Государственному заказчику, вследствие неисполнения или ненадлежащего исполнения обязательств, предусмотренных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К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онтрактом.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0"/>
          <w:numId w:val="25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0"/>
          <w:numId w:val="25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  <w:tab w:val="left" w:pos="94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Расторжение Контракта допускается по соглашени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ю Сторон,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порядке, предусмотренном частями 9 - 23 статьи 95 Федерального закона от 05.04.2013 № 44-ФЗ.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0"/>
          <w:numId w:val="25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  <w:tab w:val="left" w:pos="94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Государственный заказчик вправе принять решение об одностороннем отказе от исполнения Контракта в случае: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  <w:tab w:val="left" w:pos="94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а)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выполнения 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ненадлежащего качества с недостатками, которые не могут быть устранены в приемлемый для Государственного заказчика срок, а именно несоответствие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выполненных 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требованиям настоящего Контракта.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  <w:tab w:val="left" w:pos="94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б) неоднократного нарушения Исполнителем сроков исполнения обязательств (2 и более раз).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  <w:tab w:val="left" w:pos="94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в) задержки Исполнителем начала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выполнения Работ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сроком более чем на 3 (три) рабочих дня, установленного Контрактом; 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  <w:tab w:val="left" w:pos="94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г) ненаправление Исполнителем уведомления о намерении подключения к государс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твенной информационной системе Государственного з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аказчика в соответствии с требованиями, установленными Техническим заданием;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  <w:tab w:val="left" w:pos="94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д) в иных случаях, предусмотренных гражданским законодательством.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0"/>
          <w:numId w:val="25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  <w:tab w:val="left" w:pos="948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Государственный заказчик вправе провести экспертизу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выполненных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Р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абот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с привлечением экспертов, экспертных организаций до принятия решения об одно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стороннем отказе от исполнения К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онтракта.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numPr>
          <w:ilvl w:val="0"/>
          <w:numId w:val="4"/>
        </w:numPr>
        <w:ind w:left="0" w:firstLine="0"/>
        <w:jc w:val="center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b/>
          <w:color w:val="000000" w:themeColor="text1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  <w:color w:val="000000" w:themeColor="text1"/>
          <w:highlight w:val="none"/>
        </w:rPr>
        <w:t xml:space="preserve">ИСКЛЮЧИТЕЛЬНЫЕ </w:t>
      </w:r>
      <w:r>
        <w:rPr>
          <w:rFonts w:ascii="PT Astra Serif" w:hAnsi="PT Astra Serif" w:eastAsia="PT Astra Serif" w:cs="PT Astra Serif"/>
          <w:b/>
          <w:color w:val="000000" w:themeColor="text1"/>
          <w:highlight w:val="none"/>
        </w:rPr>
        <w:t xml:space="preserve">ПРАВА</w:t>
      </w:r>
      <w:r>
        <w:rPr>
          <w:rFonts w:ascii="PT Astra Serif" w:hAnsi="PT Astra Serif" w:cs="PT Astra Serif"/>
          <w:b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color w:val="000000" w:themeColor="text1"/>
          <w:highlight w:val="none"/>
        </w:rPr>
      </w:r>
    </w:p>
    <w:p>
      <w:pPr>
        <w:pStyle w:val="1123"/>
        <w:ind w:firstLine="709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8.1.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Исключительные права на результаты интеллектуальной деятельности, в том числе, но не исключая: изобретения, полезные модели, промышленные образцы, программы для электронных вычислительных машин,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базы данных, топологии интегральных микросхем, а также исключительные права на результаты работ, включая объекты авторских прав и потенциально патентоспособные технические решения, секреты производства (ноу-хау), созданные в рамках Контракта, принадлежат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Воронежской области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в лице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Государственного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заказчика;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23"/>
        <w:ind w:firstLine="709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8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.2. Право собственности на результаты работ, отчетные документы и материалы, полученные в ходе выполнения работ по Контракту, принадлежат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Воронежской области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 считаются переданными с момента подписания Сторонами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документа о приемке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выполненных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Р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абот.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b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b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color w:val="000000" w:themeColor="text1"/>
          <w:highlight w:val="none"/>
        </w:rPr>
      </w:r>
    </w:p>
    <w:p>
      <w:pPr>
        <w:pStyle w:val="1300"/>
        <w:ind w:firstLine="0"/>
        <w:jc w:val="center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  <w:highlight w:val="none"/>
        </w:rPr>
        <w:t xml:space="preserve">9.</w:t>
      </w: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  <w:highlight w:val="none"/>
        </w:rPr>
        <w:t xml:space="preserve">УСЛОВИЯ </w:t>
      </w:r>
      <w:r>
        <w:rPr>
          <w:rFonts w:ascii="PT Astra Serif" w:hAnsi="PT Astra Serif" w:eastAsia="PT Astra Serif" w:cs="PT Astra Serif"/>
          <w:b/>
          <w:color w:val="000000" w:themeColor="text1"/>
          <w:sz w:val="24"/>
          <w:szCs w:val="24"/>
          <w:highlight w:val="none"/>
        </w:rPr>
        <w:t xml:space="preserve">КОНФИДЕНЦИАЛЬНОСТИ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300"/>
        <w:numPr>
          <w:ilvl w:val="0"/>
          <w:numId w:val="26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Д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ля целей настоящего Контракта конфиденциальной информацией считается вся предоставляемая Сторонами друг другу юридическая, финансовая и иная информация, связанная с заключением и исполнением настоящего Контракта, которая была помечена как конфиденциальная.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300"/>
        <w:numPr>
          <w:ilvl w:val="0"/>
          <w:numId w:val="26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Каждая Сторона по Контракту имеет право предоставлять доступ к конфиденциальной информации своим сотрудникам для выполнения ими своих трудовых обязанностей при условии соблюдения ее конфиденциальности.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300"/>
        <w:numPr>
          <w:ilvl w:val="0"/>
          <w:numId w:val="26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Стороны обязуются исключить доступ третьих лиц или представителей Сторон, не уполномоченных работать с конфиденциальной информацией, к конфиденциальной информации, относящейся к настоящему Контракту.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300"/>
        <w:numPr>
          <w:ilvl w:val="0"/>
          <w:numId w:val="26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Кон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фиденциальная информация не подлежит разглашению или передаче третьим лицам в течение срока действия настоящего Контракта и по окончании его действия в течение 3 (трех) лет, кроме случаев, когда это требуется в соответствии с действующим законодательством.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300"/>
        <w:numPr>
          <w:ilvl w:val="0"/>
          <w:numId w:val="26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В случае разглашения (включая неумышленное) конфиденциальной информации виновная Сторона несет ответственность перед другой Стороной в порядке, предусмотренном действующим законодательством.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300"/>
        <w:numPr>
          <w:ilvl w:val="0"/>
          <w:numId w:val="26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Стороны обязуются немедленно оповещать друг друга обо всех известных случаях и предполагаемых попытках нарушения безопасности информационных ресурсов друг друга.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300"/>
        <w:numPr>
          <w:ilvl w:val="0"/>
          <w:numId w:val="26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Нарушившая условия конфиденциальности Сторона возмещает потерпевшей Стороне убытки в размере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реального ущерба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 упущенной выгоды. Размер ущерба, объем и срок его возмещения определяет комиссия, назначаемая Государственным заказчиком из равного числа представителей Сторон.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37"/>
        <w:ind w:firstLine="709"/>
        <w:jc w:val="center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b/>
          <w:bCs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</w:p>
    <w:p>
      <w:pPr>
        <w:pStyle w:val="1137"/>
        <w:ind w:firstLine="0"/>
        <w:jc w:val="center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b/>
          <w:bCs/>
          <w:color w:val="000000" w:themeColor="text1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10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.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ОБСТОЯТЕЛЬСТВА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НЕПРЕОДОЛИМОЙ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СИЛЫ</w:t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</w:p>
    <w:p>
      <w:pPr>
        <w:pStyle w:val="1168"/>
        <w:numPr>
          <w:ilvl w:val="0"/>
          <w:numId w:val="28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Стороны не несут ответственность за полное или частичное неисполнение предусмотренных Контрактом обязательств, если такое неисполнение связано с обстоятельствами непреодолимой силы.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68"/>
        <w:numPr>
          <w:ilvl w:val="0"/>
          <w:numId w:val="28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силы, такая Сторона не позднее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10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68"/>
        <w:numPr>
          <w:ilvl w:val="0"/>
          <w:numId w:val="28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68"/>
        <w:numPr>
          <w:ilvl w:val="0"/>
          <w:numId w:val="28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0"/>
        <w:jc w:val="center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b/>
          <w:bCs/>
          <w:color w:val="000000" w:themeColor="text1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11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.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ПОРЯДОК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УРЕГУЛИРОВАНИЯ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СПОРОВ</w:t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</w:p>
    <w:p>
      <w:pPr>
        <w:pStyle w:val="1137"/>
        <w:numPr>
          <w:ilvl w:val="0"/>
          <w:numId w:val="38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  <w:lang w:eastAsia="en-US"/>
        </w:rPr>
        <w:t xml:space="preserve">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68"/>
        <w:numPr>
          <w:ilvl w:val="0"/>
          <w:numId w:val="38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Обмен документами при применении мер ответс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твенности и совершении иных действий в связи с нарушением Исполнителем или Государственным заказчиком условий Контракта осуществляется с использованием единой информационной системы путем направления электронных уведомлений. Такие уведомления формируются с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использованием единой информационной системы, подписываются усиленной электронной подписью лица, имеющего право действовать от имени Государственного заказчика, Исполнителя, и размещаются в единой информационной системе без размещения на официальном сайте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68"/>
        <w:numPr>
          <w:ilvl w:val="0"/>
          <w:numId w:val="38"/>
        </w:numPr>
        <w:ind w:left="0"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Срок рассмотрения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электронного уведомления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(претензии)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не может превышать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10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(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десять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) рабочих дней с даты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его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получения.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37"/>
        <w:numPr>
          <w:ilvl w:val="0"/>
          <w:numId w:val="38"/>
        </w:numPr>
        <w:ind w:left="0"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  <w:lang w:eastAsia="en-US"/>
        </w:rPr>
        <w:t xml:space="preserve">При не</w:t>
      </w:r>
      <w:r>
        <w:rPr>
          <w:rFonts w:ascii="PT Astra Serif" w:hAnsi="PT Astra Serif" w:eastAsia="PT Astra Serif" w:cs="PT Astra Serif"/>
          <w:color w:val="000000" w:themeColor="text1"/>
          <w:highlight w:val="none"/>
          <w:lang w:eastAsia="en-US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highlight w:val="none"/>
          <w:lang w:eastAsia="en-US"/>
        </w:rPr>
        <w:t xml:space="preserve">урегулировании Сторонами спора в досудебном порядке, спор разрешается Арбитражным судом Воронежской области.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0"/>
        <w:jc w:val="center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b/>
          <w:bCs/>
          <w:color w:val="000000" w:themeColor="text1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12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.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ОСОБЫЕ 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УСЛОВИЯ</w:t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12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.1.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Настоящий Контракт вступает в силу с момента его подписания Сторонами и действует до 31.12.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2026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 г.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Окончание срока действия Контракта не влечет прекращения неисполненных обязательств Сторон по Контракту, в том числе гарантийных обязательств Исполнителя.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Контракт должен быть зарегистрирован Государственным заказчиком в реестре контрактов, заключенных заказчиками, после его подписания обеими Сторонами.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12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.2. Во всем, что не предусмотрено Контрактом, Стороны руководствуются законодательством Российской Федерации.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1168"/>
        <w:ind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12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.3.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68"/>
        <w:ind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12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.4.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68"/>
        <w:ind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12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.5. Изменение условий Контракта при его исполнении не допускается, за исключением случаев, предусмотренных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begin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instrText xml:space="preserve">HYPERLINK "consultantplus://offline/ref=469AD450B52F960FB7164494608F48582748D992270567AFB97B6487879CA5367DAE96996E1493DA0BB6ED235A934593232AF5A8278857ECs9k2I"</w:instrTex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separate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статьей 95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fldChar w:fldCharType="end"/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Федерального закона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от 05.04.2013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№ 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44-ФЗ.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68"/>
        <w:ind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12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.6. При исполнении Контракта не допускается перемена Исполнителя, за исключением случая, если новый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Исполнитель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является правопреемником Исполнителя вследствие реорганизации юридического лица в форме преобразования, слияния или присоединения.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68"/>
        <w:ind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68"/>
        <w:ind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12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.7. Стороны обязуются обеспечить конфиденциальность сведений, относящихся к предмету Контракта, и ставших им известными в ходе исполнения Контракта.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68"/>
        <w:ind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12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.8.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Контракт составлен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в форме электронного документа, подписан усиленными электронными подписями сторон и имеет для них одинаковую юридическую силу.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68"/>
        <w:ind w:firstLine="709"/>
        <w:jc w:val="both"/>
        <w:widowControl w:val="off"/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12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9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. 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Дополнительные соглашения являются неотъемлем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ой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част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ью</w:t>
      </w:r>
      <w:r>
        <w:rPr>
          <w:rFonts w:ascii="PT Astra Serif" w:hAnsi="PT Astra Serif" w:eastAsia="PT Astra Serif" w:cs="PT Astra Serif"/>
          <w:color w:val="000000" w:themeColor="text1"/>
          <w:sz w:val="24"/>
          <w:szCs w:val="24"/>
          <w:highlight w:val="none"/>
        </w:rPr>
        <w:t xml:space="preserve"> настоящего Контракта.</w:t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eastAsia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12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10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. 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К настоящему Контракту прилагается и является его неотъемлемой частью:</w:t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b w:val="0"/>
          <w:bCs w:val="0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highlight w:val="none"/>
        </w:rPr>
        <w:t xml:space="preserve">- Приложение № 1 – </w:t>
      </w:r>
      <w:r>
        <w:rPr>
          <w:rFonts w:ascii="PT Astra Serif" w:hAnsi="PT Astra Serif" w:eastAsia="PT Astra Serif" w:cs="PT Astra Serif"/>
          <w:b w:val="0"/>
          <w:bCs w:val="0"/>
          <w:color w:val="000000" w:themeColor="text1"/>
          <w:highlight w:val="none"/>
        </w:rPr>
        <w:t xml:space="preserve">«Техническое задание </w:t>
      </w:r>
      <w:r>
        <w:rPr>
          <w:rFonts w:ascii="PT Astra Serif" w:hAnsi="PT Astra Serif" w:eastAsia="PT Astra Serif" w:cs="PT Astra Serif"/>
          <w:b w:val="0"/>
          <w:bCs w:val="0"/>
          <w:sz w:val="24"/>
          <w:szCs w:val="24"/>
          <w:highlight w:val="none"/>
        </w:rPr>
        <w:t xml:space="preserve">на выполнение работ по развитию государственной информационной системы Воронежской области «Портал Воронежской области в сети Интернет».</w:t>
      </w:r>
      <w:r>
        <w:rPr>
          <w:rFonts w:ascii="PT Astra Serif" w:hAnsi="PT Astra Serif" w:cs="PT Astra Serif"/>
          <w:b w:val="0"/>
          <w:bCs w:val="0"/>
          <w:color w:val="000000" w:themeColor="text1"/>
          <w:highlight w:val="none"/>
        </w:rPr>
      </w:r>
      <w:r>
        <w:rPr>
          <w:rFonts w:ascii="PT Astra Serif" w:hAnsi="PT Astra Serif" w:cs="PT Astra Serif"/>
          <w:b w:val="0"/>
          <w:bCs w:val="0"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b/>
          <w:bCs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</w:p>
    <w:p>
      <w:pPr>
        <w:pStyle w:val="1137"/>
        <w:ind w:firstLine="0"/>
        <w:jc w:val="center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b/>
          <w:bCs/>
          <w:color w:val="000000" w:themeColor="text1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1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3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.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ЮРИДИЧЕСКИЕ</w:t>
      </w: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  <w:t xml:space="preserve"> АДРЕСА, РЕКВИЗИТЫ СТОРОН И ПОДПИСИ СТОРОН</w:t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</w:p>
    <w:p>
      <w:pPr>
        <w:pStyle w:val="1137"/>
        <w:ind w:firstLine="709"/>
        <w:jc w:val="both"/>
        <w:spacing w:before="0" w:beforeAutospacing="0" w:after="0" w:afterAutospacing="0"/>
        <w:shd w:val="clear" w:color="auto" w:fill="ffffff"/>
        <w:widowControl w:val="off"/>
        <w:tabs>
          <w:tab w:val="left" w:pos="567" w:leader="none"/>
        </w:tabs>
        <w:rPr>
          <w:rFonts w:ascii="PT Astra Serif" w:hAnsi="PT Astra Serif" w:cs="PT Astra Serif"/>
          <w:b/>
          <w:bCs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  <w:r>
        <w:rPr>
          <w:rFonts w:ascii="PT Astra Serif" w:hAnsi="PT Astra Serif" w:cs="PT Astra Serif"/>
          <w:b/>
          <w:bCs/>
          <w:color w:val="000000" w:themeColor="text1"/>
          <w:highlight w:val="none"/>
        </w:rPr>
      </w:r>
    </w:p>
    <w:tbl>
      <w:tblPr>
        <w:tblW w:w="9634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531"/>
        <w:gridCol w:w="567"/>
        <w:gridCol w:w="4536"/>
      </w:tblGrid>
      <w:tr>
        <w:tblPrEx/>
        <w:trPr>
          <w:trHeight w:val="644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1" w:type="dxa"/>
            <w:vAlign w:val="top"/>
            <w:textDirection w:val="lrTb"/>
            <w:noWrap w:val="false"/>
          </w:tcPr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 w:themeColor="text1"/>
                <w:highlight w:val="none"/>
              </w:rPr>
              <w:t xml:space="preserve">ГОСУДАРСТВЕННЫЙ ЗАКАЗЧИК</w:t>
            </w:r>
            <w:r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r>
          </w:p>
          <w:p>
            <w:pPr>
              <w:pStyle w:val="1306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color w:val="000000" w:themeColor="text1"/>
                <w:sz w:val="24"/>
                <w:szCs w:val="24"/>
                <w:highlight w:val="none"/>
              </w:rPr>
              <w:t xml:space="preserve">Министерство цифрового развития Воронежской области (Минцифры ВО)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Адрес : 394018, г. Воронеж, пл. Ленина, 1 (юрид. и фактич. )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ИНН 3664083641, КПП 366401001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Единый казначейский счет  40102810945370000023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Казначейский счет  03221643200000003100 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Реквизиты банка: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ОКЦ № 2 ГУ Банка России по Центральному федеральному округу//УФК по Воронежской области 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г. Воронеж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БИК 012007084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widowControl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ОКТМО 20701000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л/с № 03860020830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Министр цифрового развития 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Воронежской области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306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__________________ Д.В. Волков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123"/>
              <w:jc w:val="left"/>
              <w:spacing w:after="0"/>
              <w:widowControl w:val="off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123"/>
              <w:jc w:val="left"/>
              <w:spacing w:after="0"/>
              <w:widowControl w:val="off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123"/>
              <w:jc w:val="left"/>
              <w:spacing w:after="0"/>
              <w:widowControl w:val="off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МП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6" w:type="dxa"/>
            <w:vAlign w:val="top"/>
            <w:textDirection w:val="lrTb"/>
            <w:noWrap w:val="false"/>
          </w:tcPr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  <w:t xml:space="preserve">ИСПОЛНИТЕЛЬ</w:t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pP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pPr>
            <w:r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pPr>
            <w:r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pPr>
            <w:r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bCs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137"/>
              <w:spacing w:before="0" w:beforeAutospacing="0" w:after="0" w:afterAutospacing="0"/>
              <w:widowControl w:val="off"/>
              <w:tabs>
                <w:tab w:val="left" w:pos="567" w:leader="none"/>
              </w:tabs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  <w:r>
              <w:rPr>
                <w:rFonts w:ascii="PT Astra Serif" w:hAnsi="PT Astra Serif" w:cs="PT Astra Serif"/>
                <w:b/>
                <w:color w:val="000000" w:themeColor="text1"/>
                <w:highlight w:val="none"/>
              </w:rPr>
            </w:r>
          </w:p>
          <w:p>
            <w:pPr>
              <w:pStyle w:val="1306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__________________ ФИО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123"/>
              <w:jc w:val="left"/>
              <w:spacing w:after="0"/>
              <w:widowControl w:val="off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123"/>
              <w:jc w:val="left"/>
              <w:spacing w:after="0"/>
              <w:widowControl w:val="off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1123"/>
              <w:jc w:val="left"/>
              <w:spacing w:after="0"/>
              <w:widowControl w:val="off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none"/>
              </w:rPr>
              <w:t xml:space="preserve">МП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none"/>
              </w:rPr>
            </w:r>
          </w:p>
        </w:tc>
      </w:tr>
    </w:tbl>
    <w:p>
      <w:pPr>
        <w:rPr>
          <w:rFonts w:ascii="PT Astra Serif" w:hAnsi="PT Astra Serif" w:cs="PT Astra Serif"/>
          <w:color w:val="000000" w:themeColor="text1"/>
          <w:highlight w:val="none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567" w:bottom="1134" w:left="1985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jc w:val="right"/>
        <w:shd w:val="clear" w:color="auto" w:fill="ffffff"/>
        <w:rPr>
          <w:rFonts w:ascii="PT Astra Serif" w:hAnsi="PT Astra Serif" w:cs="PT Astra Serif"/>
          <w:bCs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Приложение 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 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1</w:t>
      </w:r>
      <w:r>
        <w:rPr>
          <w:rFonts w:ascii="PT Astra Serif" w:hAnsi="PT Astra Serif" w:cs="PT Astra Serif"/>
          <w:bCs/>
          <w:color w:val="auto"/>
          <w:sz w:val="24"/>
          <w:szCs w:val="24"/>
        </w:rPr>
      </w:r>
      <w:r>
        <w:rPr>
          <w:rFonts w:ascii="PT Astra Serif" w:hAnsi="PT Astra Serif" w:cs="PT Astra Serif"/>
          <w:bCs/>
          <w:color w:val="auto"/>
          <w:sz w:val="24"/>
          <w:szCs w:val="24"/>
        </w:rPr>
      </w:r>
    </w:p>
    <w:p>
      <w:pPr>
        <w:jc w:val="right"/>
        <w:shd w:val="clear" w:color="auto" w:fill="ffffff"/>
        <w:rPr>
          <w:rFonts w:ascii="PT Astra Serif" w:hAnsi="PT Astra Serif" w:cs="PT Astra Serif"/>
          <w:bCs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к государственному контракту 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№ 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___________ </w:t>
      </w:r>
      <w:r>
        <w:rPr>
          <w:rFonts w:ascii="PT Astra Serif" w:hAnsi="PT Astra Serif" w:cs="PT Astra Serif"/>
          <w:bCs/>
          <w:color w:val="auto"/>
          <w:sz w:val="24"/>
          <w:szCs w:val="24"/>
        </w:rPr>
      </w:r>
      <w:r>
        <w:rPr>
          <w:rFonts w:ascii="PT Astra Serif" w:hAnsi="PT Astra Serif" w:cs="PT Astra Serif"/>
          <w:bCs/>
          <w:color w:val="auto"/>
          <w:sz w:val="24"/>
          <w:szCs w:val="24"/>
        </w:rPr>
      </w:r>
    </w:p>
    <w:p>
      <w:pPr>
        <w:jc w:val="right"/>
        <w:shd w:val="clear" w:color="auto" w:fill="ffffff"/>
        <w:rPr>
          <w:rFonts w:ascii="PT Astra Serif" w:hAnsi="PT Astra Serif" w:cs="PT Astra Serif"/>
          <w:bCs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от 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«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__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__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»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 ___________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202_</w:t>
      </w:r>
      <w:r>
        <w:rPr>
          <w:rFonts w:ascii="PT Astra Serif" w:hAnsi="PT Astra Serif" w:eastAsia="PT Astra Serif" w:cs="PT Astra Serif"/>
          <w:bCs/>
          <w:color w:val="auto"/>
          <w:sz w:val="24"/>
          <w:szCs w:val="24"/>
        </w:rPr>
        <w:t xml:space="preserve"> г.</w:t>
      </w:r>
      <w:r>
        <w:rPr>
          <w:rFonts w:ascii="PT Astra Serif" w:hAnsi="PT Astra Serif" w:cs="PT Astra Serif"/>
          <w:bCs/>
          <w:color w:val="auto"/>
          <w:sz w:val="24"/>
          <w:szCs w:val="24"/>
        </w:rPr>
      </w:r>
      <w:r>
        <w:rPr>
          <w:rFonts w:ascii="PT Astra Serif" w:hAnsi="PT Astra Serif" w:cs="PT Astra Serif"/>
          <w:bCs/>
          <w:color w:val="auto"/>
          <w:sz w:val="24"/>
          <w:szCs w:val="24"/>
        </w:rPr>
      </w:r>
    </w:p>
    <w:p>
      <w:pPr>
        <w:jc w:val="right"/>
        <w:shd w:val="clear" w:color="auto" w:fill="ffffff"/>
        <w:rPr>
          <w:rFonts w:ascii="PT Astra Serif" w:hAnsi="PT Astra Serif" w:cs="PT Astra Serif"/>
          <w:b/>
          <w:bCs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color w:val="auto"/>
          <w:sz w:val="24"/>
          <w:szCs w:val="24"/>
        </w:rPr>
      </w:r>
      <w:r>
        <w:rPr>
          <w:rFonts w:ascii="PT Astra Serif" w:hAnsi="PT Astra Serif" w:cs="PT Astra Serif"/>
          <w:b/>
          <w:bCs/>
          <w:color w:val="auto"/>
          <w:sz w:val="24"/>
          <w:szCs w:val="24"/>
        </w:rPr>
      </w:r>
      <w:r>
        <w:rPr>
          <w:rFonts w:ascii="PT Astra Serif" w:hAnsi="PT Astra Serif" w:cs="PT Astra Serif"/>
          <w:b/>
          <w:bCs/>
          <w:color w:val="auto"/>
          <w:sz w:val="24"/>
          <w:szCs w:val="24"/>
        </w:rPr>
      </w:r>
    </w:p>
    <w:p>
      <w:pPr>
        <w:jc w:val="center"/>
        <w:rPr>
          <w:rFonts w:ascii="PT Astra Serif" w:hAnsi="PT Astra Serif" w:cs="PT Astra Serif"/>
          <w:b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b/>
          <w:color w:val="auto"/>
          <w:sz w:val="24"/>
          <w:szCs w:val="24"/>
        </w:rPr>
      </w:r>
      <w:r>
        <w:rPr>
          <w:rFonts w:ascii="PT Astra Serif" w:hAnsi="PT Astra Serif" w:cs="PT Astra Serif"/>
          <w:b/>
          <w:color w:val="auto"/>
          <w:sz w:val="24"/>
          <w:szCs w:val="24"/>
        </w:rPr>
      </w:r>
      <w:r>
        <w:rPr>
          <w:rFonts w:ascii="PT Astra Serif" w:hAnsi="PT Astra Serif" w:cs="PT Astra Serif"/>
          <w:b/>
          <w:color w:val="auto"/>
          <w:sz w:val="24"/>
          <w:szCs w:val="24"/>
        </w:rPr>
      </w:r>
    </w:p>
    <w:p>
      <w:pPr>
        <w:jc w:val="center"/>
        <w:rPr>
          <w:rFonts w:ascii="PT Astra Serif" w:hAnsi="PT Astra Serif" w:cs="PT Astra Serif"/>
          <w:b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b/>
          <w:color w:val="auto"/>
          <w:sz w:val="24"/>
          <w:szCs w:val="24"/>
        </w:rPr>
      </w:r>
      <w:r>
        <w:rPr>
          <w:rFonts w:ascii="PT Astra Serif" w:hAnsi="PT Astra Serif" w:cs="PT Astra Serif"/>
          <w:b/>
          <w:color w:val="auto"/>
          <w:sz w:val="24"/>
          <w:szCs w:val="24"/>
        </w:rPr>
      </w:r>
      <w:r>
        <w:rPr>
          <w:rFonts w:ascii="PT Astra Serif" w:hAnsi="PT Astra Serif" w:cs="PT Astra Serif"/>
          <w:b/>
          <w:color w:val="auto"/>
          <w:sz w:val="24"/>
          <w:szCs w:val="24"/>
        </w:rPr>
      </w:r>
    </w:p>
    <w:p>
      <w:pPr>
        <w:jc w:val="center"/>
        <w:rPr>
          <w:rFonts w:ascii="PT Astra Serif" w:hAnsi="PT Astra Serif" w:cs="PT Astra Serif"/>
          <w:b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b/>
          <w:color w:val="auto"/>
          <w:sz w:val="24"/>
          <w:szCs w:val="24"/>
        </w:rPr>
      </w:r>
      <w:r>
        <w:rPr>
          <w:rFonts w:ascii="PT Astra Serif" w:hAnsi="PT Astra Serif" w:cs="PT Astra Serif"/>
          <w:b/>
          <w:color w:val="auto"/>
          <w:sz w:val="24"/>
          <w:szCs w:val="24"/>
        </w:rPr>
      </w:r>
      <w:r>
        <w:rPr>
          <w:rFonts w:ascii="PT Astra Serif" w:hAnsi="PT Astra Serif" w:cs="PT Astra Serif"/>
          <w:b/>
          <w:color w:val="auto"/>
          <w:sz w:val="24"/>
          <w:szCs w:val="24"/>
        </w:rPr>
      </w:r>
    </w:p>
    <w:p>
      <w:pPr>
        <w:jc w:val="center"/>
        <w:rPr>
          <w:rFonts w:ascii="PT Astra Serif" w:hAnsi="PT Astra Serif" w:cs="PT Astra Serif"/>
          <w:b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b/>
          <w:color w:val="auto"/>
          <w:sz w:val="24"/>
          <w:szCs w:val="24"/>
        </w:rPr>
        <w:t xml:space="preserve">Техническое задание</w:t>
      </w:r>
      <w:r>
        <w:rPr>
          <w:rFonts w:ascii="PT Astra Serif" w:hAnsi="PT Astra Serif" w:cs="PT Astra Serif"/>
          <w:b/>
          <w:color w:val="auto"/>
          <w:sz w:val="24"/>
          <w:szCs w:val="24"/>
        </w:rPr>
      </w:r>
      <w:r>
        <w:rPr>
          <w:rFonts w:ascii="PT Astra Serif" w:hAnsi="PT Astra Serif" w:cs="PT Astra Serif"/>
          <w:b/>
          <w:color w:val="auto"/>
          <w:sz w:val="24"/>
          <w:szCs w:val="24"/>
        </w:rPr>
      </w:r>
    </w:p>
    <w:p>
      <w:pPr>
        <w:jc w:val="center"/>
        <w:spacing w:after="0" w:afterAutospacing="0" w:line="276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color w:val="auto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color w:val="auto"/>
        </w:rPr>
      </w:r>
      <w:bookmarkEnd w:id="0"/>
      <w:r>
        <w:rPr>
          <w:rFonts w:ascii="PT Astra Serif" w:hAnsi="PT Astra Serif" w:eastAsia="PT Astra Serif" w:cs="PT Astra Serif"/>
          <w:b/>
          <w:bCs/>
          <w:color w:val="auto"/>
          <w:sz w:val="24"/>
          <w:szCs w:val="24"/>
        </w:rPr>
        <w:t xml:space="preserve">на </w:t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выполнение работ по развитию государственной информационной системы Воронежской области «Портал Воронежской области в сети Интернет»</w:t>
      </w:r>
      <w:r>
        <w:rPr>
          <w:rFonts w:ascii="PT Astra Serif" w:hAnsi="PT Astra Serif" w:eastAsia="PT Astra Serif" w:cs="PT Astra Serif"/>
          <w:b/>
          <w:bCs/>
          <w:color w:val="auto"/>
          <w:sz w:val="24"/>
          <w:szCs w:val="24"/>
        </w:rPr>
      </w:r>
      <w:r>
        <w:rPr>
          <w:rFonts w:ascii="PT Astra Serif" w:hAnsi="PT Astra Serif" w:cs="PT Astra Serif"/>
          <w:b/>
          <w:bCs/>
          <w:color w:val="auto"/>
          <w:sz w:val="24"/>
          <w:szCs w:val="24"/>
        </w:rPr>
      </w:r>
    </w:p>
    <w:p>
      <w:pPr>
        <w:jc w:val="center"/>
        <w:spacing w:after="0" w:afterAutospacing="0" w:line="276" w:lineRule="auto"/>
        <w:rPr>
          <w:rFonts w:ascii="PT Astra Serif" w:hAnsi="PT Astra Serif" w:cs="PT Astra Serif"/>
          <w:color w:val="auto"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color w:val="auto"/>
          <w:sz w:val="24"/>
          <w:szCs w:val="24"/>
        </w:rPr>
      </w:r>
      <w:r>
        <w:rPr>
          <w:rFonts w:ascii="PT Astra Serif" w:hAnsi="PT Astra Serif" w:cs="PT Astra Serif"/>
          <w:b/>
          <w:bCs/>
          <w:color w:val="auto"/>
          <w:sz w:val="24"/>
          <w:szCs w:val="24"/>
        </w:rPr>
      </w:r>
      <w:r>
        <w:rPr>
          <w:rFonts w:ascii="PT Astra Serif" w:hAnsi="PT Astra Serif" w:cs="PT Astra Serif"/>
          <w:b/>
          <w:bCs/>
          <w:color w:val="auto"/>
          <w:sz w:val="24"/>
          <w:szCs w:val="24"/>
        </w:rPr>
      </w:r>
    </w:p>
    <w:p>
      <w:pPr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sectPr>
      <w:footnotePr/>
      <w:endnotePr/>
      <w:type w:val="nextPage"/>
      <w:pgSz w:w="11906" w:h="16838" w:orient="portrait"/>
      <w:pgMar w:top="1134" w:right="567" w:bottom="1134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20202030204"/>
  </w:font>
  <w:font w:name="Tahoma">
    <w:panose1 w:val="020B0604030504040204"/>
  </w:font>
  <w:font w:name="Wingdings">
    <w:panose1 w:val="05010000000000000000"/>
  </w:font>
  <w:font w:name="Mangal">
    <w:panose1 w:val="02040503050306020203"/>
  </w:font>
  <w:font w:name="OpenSymbol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 CYR">
    <w:panose1 w:val="02000603000000000000"/>
  </w:font>
  <w:font w:name="Segoe UI">
    <w:panose1 w:val="020B0502040504020204"/>
  </w:font>
  <w:font w:name="Times New Roman">
    <w:panose1 w:val="02020603050405020304"/>
  </w:font>
  <w:font w:name="Cambria">
    <w:panose1 w:val="02040503050406030204"/>
  </w:font>
  <w:font w:name="PT Astra Serif">
    <w:panose1 w:val="020A060304050502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106"/>
        <w:jc w:val="both"/>
        <w:rPr>
          <w:rFonts w:ascii="PT Astra Serif" w:hAnsi="PT Astra Serif" w:cs="PT Astra Serif"/>
          <w:color w:val="auto"/>
          <w:sz w:val="20"/>
          <w:szCs w:val="20"/>
        </w:rPr>
      </w:pPr>
      <w:r>
        <w:rPr>
          <w:rStyle w:val="1108"/>
          <w:rFonts w:ascii="PT Astra Serif" w:hAnsi="PT Astra Serif" w:eastAsia="PT Astra Serif" w:cs="PT Astra Serif"/>
          <w:color w:val="auto"/>
          <w:sz w:val="20"/>
          <w:szCs w:val="20"/>
        </w:rPr>
        <w:footnoteRef/>
      </w:r>
      <w:r>
        <w:rPr>
          <w:rFonts w:ascii="PT Astra Serif" w:hAnsi="PT Astra Serif" w:eastAsia="PT Astra Serif" w:cs="PT Astra Serif"/>
          <w:color w:val="auto"/>
          <w:sz w:val="20"/>
          <w:szCs w:val="20"/>
        </w:rPr>
        <w:t xml:space="preserve"> В случае, если Исполнитель не является плательщиком НДС, указывается «НДС не облагается»</w:t>
      </w:r>
      <w:r>
        <w:rPr>
          <w:rFonts w:ascii="PT Astra Serif" w:hAnsi="PT Astra Serif" w:eastAsia="PT Astra Serif" w:cs="PT Astra Serif"/>
          <w:color w:val="auto"/>
          <w:sz w:val="20"/>
          <w:szCs w:val="20"/>
        </w:rPr>
        <w:t xml:space="preserve">.</w:t>
      </w:r>
      <w:r>
        <w:rPr>
          <w:rFonts w:ascii="PT Astra Serif" w:hAnsi="PT Astra Serif" w:cs="PT Astra Serif"/>
          <w:color w:val="auto"/>
          <w:sz w:val="20"/>
          <w:szCs w:val="20"/>
        </w:rPr>
      </w:r>
      <w:r>
        <w:rPr>
          <w:rFonts w:ascii="PT Astra Serif" w:hAnsi="PT Astra Serif" w:cs="PT Astra Serif"/>
          <w:color w:val="auto"/>
          <w:sz w:val="20"/>
          <w:szCs w:val="20"/>
        </w:rPr>
      </w:r>
    </w:p>
  </w:footnote>
  <w:footnote w:id="3">
    <w:p>
      <w:pPr>
        <w:pStyle w:val="1106"/>
        <w:jc w:val="both"/>
        <w:rPr>
          <w:rFonts w:ascii="PT Astra Serif" w:hAnsi="PT Astra Serif" w:cs="PT Astra Serif"/>
          <w:sz w:val="20"/>
          <w:szCs w:val="20"/>
        </w:rPr>
      </w:pPr>
      <w:r>
        <w:rPr>
          <w:rStyle w:val="1108"/>
          <w:rFonts w:ascii="PT Astra Serif" w:hAnsi="PT Astra Serif" w:eastAsia="PT Astra Serif" w:cs="PT Astra Serif"/>
          <w:sz w:val="20"/>
          <w:szCs w:val="20"/>
        </w:rPr>
        <w:footnoteRef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В случае, если предложенная участником закупки цена Контракта снижена на 25% и более по отношению к начальной (максимальной) цене Контракта, обеспечение исполнения Контракта предоставляется в соответствии со статьей 37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Федерального закона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от 05.04.2013 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№ 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44-ФЗ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.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</w:footnote>
  <w:footnote w:id="4">
    <w:p>
      <w:pPr>
        <w:pStyle w:val="1123"/>
        <w:ind w:left="0" w:right="0" w:firstLine="0"/>
        <w:jc w:val="both"/>
        <w:spacing w:after="0"/>
        <w:widowControl w:val="off"/>
        <w:tabs>
          <w:tab w:val="left" w:pos="426" w:leader="none"/>
        </w:tabs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Style w:val="1108"/>
          <w:rFonts w:ascii="PT Astra Serif" w:hAnsi="PT Astra Serif" w:eastAsia="PT Astra Serif" w:cs="PT Astra Serif"/>
          <w:sz w:val="20"/>
          <w:szCs w:val="20"/>
        </w:rPr>
        <w:footnoteRef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Размер штрафа определяется в следующем порядке: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23"/>
        <w:ind w:left="0" w:right="0" w:firstLine="0"/>
        <w:jc w:val="both"/>
        <w:spacing w:after="0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а) 1000 (одна тысяча) рублей, если цена Контракта не превышает 3 млн. рублей (включительно);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23"/>
        <w:ind w:left="0" w:right="0" w:firstLine="0"/>
        <w:jc w:val="both"/>
        <w:spacing w:after="0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б) 5000 (пять тысяч) рублей, если цена Контракта составляет от 3 млн. рублей до 50 млн. рублей (включительно)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;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06"/>
        <w:ind w:left="0" w:right="0" w:firstLine="0"/>
        <w:jc w:val="both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в) 10000 рублей, если цена контракта составляет от 50 млн. рублей до 100 млн. рублей (включительно)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.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</w:footnote>
  <w:footnote w:id="5">
    <w:p>
      <w:pPr>
        <w:pStyle w:val="1106"/>
        <w:jc w:val="both"/>
        <w:rPr>
          <w:rFonts w:ascii="PT Astra Serif" w:hAnsi="PT Astra Serif" w:cs="PT Astra Serif"/>
          <w:sz w:val="20"/>
          <w:szCs w:val="20"/>
        </w:rPr>
      </w:pPr>
      <w:r>
        <w:rPr>
          <w:rStyle w:val="1108"/>
          <w:rFonts w:ascii="PT Astra Serif" w:hAnsi="PT Astra Serif" w:eastAsia="PT Astra Serif" w:cs="PT Astra Serif"/>
          <w:sz w:val="20"/>
          <w:szCs w:val="20"/>
        </w:rPr>
        <w:footnoteRef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Размер штрафа не может быть</w:t>
      </w:r>
      <w:r>
        <w:rPr>
          <w:rFonts w:ascii="PT Astra Serif" w:hAnsi="PT Astra Serif" w:eastAsia="PT Astra Serif" w:cs="PT Astra Serif"/>
          <w:color w:val="auto"/>
          <w:sz w:val="20"/>
          <w:szCs w:val="20"/>
        </w:rPr>
        <w:t xml:space="preserve"> более 5 тыс. </w:t>
      </w:r>
      <w:r>
        <w:rPr>
          <w:rFonts w:ascii="PT Astra Serif" w:hAnsi="PT Astra Serif" w:eastAsia="PT Astra Serif" w:cs="PT Astra Serif"/>
          <w:color w:val="auto"/>
          <w:sz w:val="20"/>
          <w:szCs w:val="20"/>
        </w:rPr>
        <w:t xml:space="preserve">рублей и менее 1 тыс. рублей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.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</w:footnote>
  <w:footnote w:id="6">
    <w:p>
      <w:pPr>
        <w:pStyle w:val="1106"/>
        <w:jc w:val="both"/>
        <w:rPr>
          <w:rFonts w:ascii="PT Astra Serif" w:hAnsi="PT Astra Serif" w:cs="PT Astra Serif"/>
          <w:sz w:val="20"/>
          <w:szCs w:val="20"/>
        </w:rPr>
      </w:pPr>
      <w:r>
        <w:rPr>
          <w:rStyle w:val="1108"/>
          <w:rFonts w:ascii="PT Astra Serif" w:hAnsi="PT Astra Serif" w:eastAsia="PT Astra Serif" w:cs="PT Astra Serif"/>
          <w:sz w:val="20"/>
          <w:szCs w:val="20"/>
        </w:rPr>
        <w:footnoteRef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auto"/>
          <w:sz w:val="20"/>
          <w:szCs w:val="20"/>
        </w:rPr>
        <w:t xml:space="preserve">П</w:t>
      </w:r>
      <w:r>
        <w:rPr>
          <w:rFonts w:ascii="PT Astra Serif" w:hAnsi="PT Astra Serif" w:eastAsia="PT Astra Serif" w:cs="PT Astra Serif"/>
          <w:color w:val="auto"/>
          <w:sz w:val="20"/>
          <w:szCs w:val="20"/>
        </w:rPr>
        <w:t xml:space="preserve">ункт</w:t>
      </w:r>
      <w:r>
        <w:rPr>
          <w:rFonts w:ascii="PT Astra Serif" w:hAnsi="PT Astra Serif" w:eastAsia="PT Astra Serif" w:cs="PT Astra Serif"/>
          <w:color w:val="auto"/>
          <w:sz w:val="20"/>
          <w:szCs w:val="20"/>
        </w:rPr>
        <w:t xml:space="preserve"> 7.4.3</w:t>
      </w:r>
      <w:r>
        <w:rPr>
          <w:rFonts w:ascii="PT Astra Serif" w:hAnsi="PT Astra Serif" w:eastAsia="PT Astra Serif" w:cs="PT Astra Serif"/>
          <w:color w:val="auto"/>
          <w:sz w:val="20"/>
          <w:szCs w:val="20"/>
        </w:rPr>
        <w:t xml:space="preserve"> включается в текст Контракта в случае, если Контракт заключается с победителем закупки (или с иным участником закупки в случаях, установленных Федеральным законом </w:t>
      </w:r>
      <w:r>
        <w:rPr>
          <w:rFonts w:ascii="PT Astra Serif" w:hAnsi="PT Astra Serif" w:eastAsia="PT Astra Serif" w:cs="PT Astra Serif"/>
          <w:color w:val="auto"/>
          <w:sz w:val="20"/>
          <w:szCs w:val="20"/>
          <w:lang w:val="en-US" w:eastAsia="en-US"/>
        </w:rPr>
        <w:t xml:space="preserve">от </w:t>
      </w:r>
      <w:r>
        <w:rPr>
          <w:rFonts w:ascii="PT Astra Serif" w:hAnsi="PT Astra Serif" w:eastAsia="PT Astra Serif" w:cs="PT Astra Serif"/>
          <w:color w:val="auto"/>
          <w:sz w:val="20"/>
          <w:szCs w:val="20"/>
        </w:rPr>
        <w:t xml:space="preserve">05.04.2013 </w:t>
      </w:r>
      <w:r>
        <w:rPr>
          <w:rFonts w:ascii="PT Astra Serif" w:hAnsi="PT Astra Serif" w:eastAsia="PT Astra Serif" w:cs="PT Astra Serif"/>
          <w:color w:val="auto"/>
          <w:sz w:val="20"/>
          <w:szCs w:val="20"/>
        </w:rPr>
        <w:t xml:space="preserve">№ 44-ФЗ), предложившим наиболее высокую цену за право заключения </w:t>
      </w:r>
      <w:r>
        <w:rPr>
          <w:rFonts w:ascii="PT Astra Serif" w:hAnsi="PT Astra Serif" w:eastAsia="PT Astra Serif" w:cs="PT Astra Serif"/>
          <w:color w:val="auto"/>
          <w:sz w:val="20"/>
          <w:szCs w:val="20"/>
        </w:rPr>
        <w:t xml:space="preserve">К</w:t>
      </w:r>
      <w:r>
        <w:rPr>
          <w:rFonts w:ascii="PT Astra Serif" w:hAnsi="PT Astra Serif" w:eastAsia="PT Astra Serif" w:cs="PT Astra Serif"/>
          <w:color w:val="auto"/>
          <w:sz w:val="20"/>
          <w:szCs w:val="20"/>
        </w:rPr>
        <w:t xml:space="preserve">онтракта.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</w:footnote>
  <w:footnote w:id="7">
    <w:p>
      <w:pPr>
        <w:pStyle w:val="1123"/>
        <w:ind w:left="0" w:right="0" w:firstLine="0"/>
        <w:jc w:val="both"/>
        <w:spacing w:after="0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Style w:val="1108"/>
          <w:rFonts w:ascii="PT Astra Serif" w:hAnsi="PT Astra Serif" w:eastAsia="PT Astra Serif" w:cs="PT Astra Serif"/>
          <w:sz w:val="20"/>
          <w:szCs w:val="20"/>
        </w:rPr>
        <w:footnoteRef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Размер штрафа определяется в следующем порядке: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23"/>
        <w:ind w:left="0" w:right="0" w:firstLine="0"/>
        <w:jc w:val="both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а) в случае, если цена контракта не превышает начальную (максимальную) цену контракта: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23"/>
        <w:ind w:left="0" w:right="0" w:firstLine="0"/>
        <w:jc w:val="both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10 процентов начальной (максимальной) цены контракта, если цена контракта не превышает 3 млн. рублей;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23"/>
        <w:ind w:left="0" w:right="0" w:firstLine="0"/>
        <w:jc w:val="both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5 процентов начальной (максимальной) цены контракта, если цена контракта составляет от 3 млн. рублей до 50 млн. рублей (включительно);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23"/>
        <w:ind w:left="0" w:right="0" w:firstLine="0"/>
        <w:jc w:val="both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1 процент начальной (максимальной) цены контракта, если цена контракта составляет от 50 млн. рублей до 100 млн. рублей (включительно);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23"/>
        <w:ind w:left="0" w:right="0" w:firstLine="0"/>
        <w:jc w:val="both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б) в случае, если цена контракта превышает начальную (максимальную) цену контракта: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23"/>
        <w:ind w:left="0" w:right="0" w:firstLine="0"/>
        <w:jc w:val="both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10 процентов цены контракта, если цена контракта не превышает 3 млн. рублей;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23"/>
        <w:ind w:left="0" w:right="0" w:firstLine="0"/>
        <w:jc w:val="both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5 процентов цены контракта, если цена контракта составляет от 3 млн. рублей до 50 млн. рублей (включительно);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06"/>
        <w:ind w:left="0" w:right="0" w:firstLine="0"/>
        <w:jc w:val="both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1 процент цены контракта, если цена контракта составляет от 50 млн. рублей до 100 млн. рублей (включительно).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</w:footnote>
  <w:footnote w:id="8">
    <w:p>
      <w:pPr>
        <w:pStyle w:val="1123"/>
        <w:ind w:left="0" w:right="0" w:firstLine="0"/>
        <w:spacing w:after="0"/>
        <w:shd w:val="clear" w:color="auto" w:fill="ffffff"/>
        <w:widowControl w:val="off"/>
        <w:tabs>
          <w:tab w:val="left" w:pos="0" w:leader="none"/>
        </w:tabs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Style w:val="1108"/>
          <w:rFonts w:ascii="PT Astra Serif" w:hAnsi="PT Astra Serif" w:eastAsia="PT Astra Serif" w:cs="PT Astra Serif"/>
          <w:sz w:val="20"/>
          <w:szCs w:val="20"/>
        </w:rPr>
        <w:footnoteRef/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Размер штрафа определяется в следующем порядке: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23"/>
        <w:ind w:left="0" w:right="0" w:firstLine="0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а) 1000 рублей, если цена контракта не превышает 3 млн. рублей;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23"/>
        <w:ind w:left="0" w:right="0" w:firstLine="0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б) 5000 рублей, если цена контракта составляет от 3 млн. рублей до 50 млн. рублей (включительно);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23"/>
        <w:ind w:left="0" w:right="0" w:firstLine="0"/>
        <w:spacing w:after="0"/>
        <w:widowControl w:val="off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в) 10000 рублей, если цена контракта составляет от 50 млн. рублей до 100 млн. рублей (включительно);</w:t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  <w:r>
        <w:rPr>
          <w:rFonts w:ascii="PT Astra Serif" w:hAnsi="PT Astra Serif" w:cs="PT Astra Serif"/>
          <w:color w:val="000000" w:themeColor="text1"/>
          <w:sz w:val="24"/>
          <w:szCs w:val="24"/>
        </w:rPr>
      </w:r>
    </w:p>
    <w:p>
      <w:pPr>
        <w:pStyle w:val="1106"/>
        <w:ind w:left="0" w:right="0" w:firstLine="0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color w:val="000000" w:themeColor="text1"/>
          <w:sz w:val="20"/>
          <w:szCs w:val="20"/>
        </w:rPr>
        <w:t xml:space="preserve">г) 100000 рублей, если цена контракта превышает 100 млн. рублей.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4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4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169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pStyle w:val="1286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</w:pPr>
    </w:lvl>
  </w:abstractNum>
  <w:abstractNum w:abstractNumId="3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4.%2."/>
      <w:lvlJc w:val="left"/>
      <w:pPr>
        <w:ind w:left="720" w:hanging="360"/>
      </w:pPr>
      <w:rPr>
        <w:sz w:val="24"/>
        <w:szCs w:val="24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10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5.%2"/>
      <w:lvlJc w:val="left"/>
      <w:pPr>
        <w:ind w:left="720" w:hanging="360"/>
      </w:pPr>
    </w:lvl>
    <w:lvl w:ilvl="2">
      <w:start w:val="6"/>
      <w:numFmt w:val="decimal"/>
      <w:isLgl w:val="false"/>
      <w:suff w:val="tab"/>
      <w:lvlText w:val="10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</w:pPr>
    </w:lvl>
  </w:abstractNum>
  <w:abstractNum w:abstractNumId="6">
    <w:multiLevelType w:val="hybridMultilevel"/>
    <w:lvl w:ilvl="0">
      <w:start w:val="11"/>
      <w:numFmt w:val="decimal"/>
      <w:isLgl w:val="false"/>
      <w:suff w:val="tab"/>
      <w:lvlText w:val="%1"/>
      <w:lvlJc w:val="left"/>
      <w:pPr>
        <w:ind w:left="42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49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57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4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1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8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85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3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0025" w:hanging="180"/>
      </w:pPr>
    </w:lvl>
  </w:abstractNum>
  <w:abstractNum w:abstractNumId="7">
    <w:multiLevelType w:val="hybridMultilevel"/>
    <w:lvl w:ilvl="0">
      <w:start w:val="1"/>
      <w:numFmt w:val="decimal"/>
      <w:pStyle w:val="1161"/>
      <w:isLgl w:val="false"/>
      <w:suff w:val="tab"/>
      <w:lvlText w:val="%1"/>
      <w:lvlJc w:val="left"/>
      <w:pPr>
        <w:ind w:left="432" w:hanging="432"/>
        <w:tabs>
          <w:tab w:val="num" w:pos="432" w:leader="none"/>
        </w:tabs>
      </w:pPr>
      <w:rPr>
        <w:rFonts w:cs="Times New Roman"/>
      </w:rPr>
    </w:lvl>
    <w:lvl w:ilvl="1">
      <w:start w:val="1"/>
      <w:numFmt w:val="decimal"/>
      <w:pStyle w:val="1162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pStyle w:val="1163"/>
      <w:isLgl w:val="false"/>
      <w:suff w:val="tab"/>
      <w:lvlText w:val="%1.%2.%3"/>
      <w:lvlJc w:val="left"/>
      <w:pPr>
        <w:ind w:left="720" w:firstLine="74"/>
        <w:tabs>
          <w:tab w:val="num" w:pos="720" w:leader="none"/>
        </w:tabs>
      </w:pPr>
      <w:rPr>
        <w:rFonts w:cs="Times New Roman"/>
      </w:rPr>
    </w:lvl>
    <w:lvl w:ilvl="3">
      <w:start w:val="1"/>
      <w:numFmt w:val="decimal"/>
      <w:pStyle w:val="1127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cs="Times New Roman"/>
      </w:rPr>
    </w:lvl>
    <w:lvl w:ilvl="4">
      <w:start w:val="1"/>
      <w:numFmt w:val="decimal"/>
      <w:pStyle w:val="1128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cs="Times New Roman"/>
      </w:rPr>
    </w:lvl>
    <w:lvl w:ilvl="5">
      <w:start w:val="1"/>
      <w:numFmt w:val="decimal"/>
      <w:pStyle w:val="1129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cs="Times New Roman"/>
      </w:rPr>
    </w:lvl>
    <w:lvl w:ilvl="6">
      <w:start w:val="1"/>
      <w:numFmt w:val="decimal"/>
      <w:pStyle w:val="1130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cs="Times New Roman"/>
      </w:rPr>
    </w:lvl>
    <w:lvl w:ilvl="7">
      <w:start w:val="1"/>
      <w:numFmt w:val="decimal"/>
      <w:pStyle w:val="1131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pStyle w:val="1132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11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9.%2."/>
      <w:lvlJc w:val="left"/>
      <w:pPr>
        <w:ind w:left="644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572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0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14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8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72" w:hanging="180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540" w:hanging="540"/>
      </w:pPr>
      <w:rPr>
        <w:u w:val="none"/>
      </w:rPr>
    </w:lvl>
    <w:lvl w:ilvl="1">
      <w:start w:val="4"/>
      <w:numFmt w:val="decimal"/>
      <w:isLgl w:val="false"/>
      <w:suff w:val="tab"/>
      <w:lvlText w:val="%1.%2."/>
      <w:lvlJc w:val="left"/>
      <w:pPr>
        <w:ind w:left="1216" w:hanging="540"/>
      </w:pPr>
      <w:rPr>
        <w:u w:val="no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072" w:hanging="720"/>
      </w:pPr>
      <w:rPr>
        <w:u w:val="no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48" w:hanging="720"/>
      </w:pPr>
      <w:rPr>
        <w:u w:val="no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784" w:hanging="1080"/>
      </w:pPr>
      <w:rPr>
        <w:u w:val="no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460" w:hanging="1080"/>
      </w:pPr>
      <w:rPr>
        <w:u w:val="non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496" w:hanging="1440"/>
      </w:pPr>
      <w:rPr>
        <w:u w:val="non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172" w:hanging="1440"/>
      </w:pPr>
      <w:rPr>
        <w:u w:val="non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208" w:hanging="1800"/>
      </w:pPr>
      <w:rPr>
        <w:u w:val="none"/>
      </w:rPr>
    </w:lvl>
  </w:abstractNum>
  <w:abstractNum w:abstractNumId="14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90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4189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4833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11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761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04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689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973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617" w:hanging="1800"/>
      </w:pPr>
    </w:lvl>
  </w:abstractNum>
  <w:abstractNum w:abstractNumId="1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2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2204" w:hanging="360"/>
        <w:tabs>
          <w:tab w:val="num" w:pos="2204" w:leader="none"/>
        </w:tabs>
      </w:pPr>
      <w:rPr>
        <w:rFonts w:ascii="Symbol" w:hAnsi="Symbol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2924" w:hanging="360"/>
        <w:tabs>
          <w:tab w:val="num" w:pos="2924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644" w:hanging="360"/>
        <w:tabs>
          <w:tab w:val="num" w:pos="3644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64" w:hanging="360"/>
        <w:tabs>
          <w:tab w:val="num" w:pos="4364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84" w:hanging="360"/>
        <w:tabs>
          <w:tab w:val="num" w:pos="5084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804" w:hanging="360"/>
        <w:tabs>
          <w:tab w:val="num" w:pos="5804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524" w:hanging="360"/>
        <w:tabs>
          <w:tab w:val="num" w:pos="6524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244" w:hanging="360"/>
        <w:tabs>
          <w:tab w:val="num" w:pos="7244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64" w:hanging="360"/>
        <w:tabs>
          <w:tab w:val="num" w:pos="7964" w:leader="none"/>
        </w:tabs>
      </w:pPr>
      <w:rPr>
        <w:rFonts w:ascii="Wingdings" w:hAnsi="Wingdings"/>
      </w:rPr>
    </w:lvl>
  </w:abstractNum>
  <w:abstractNum w:abstractNumId="21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5.%2"/>
      <w:lvlJc w:val="left"/>
      <w:pPr>
        <w:ind w:left="72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</w:pPr>
    </w:lvl>
  </w:abstractNum>
  <w:abstractNum w:abstractNumId="24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9"/>
      <w:numFmt w:val="decimal"/>
      <w:isLgl w:val="false"/>
      <w:suff w:val="tab"/>
      <w:lvlText w:val="%1.%2."/>
      <w:lvlJc w:val="left"/>
      <w:pPr>
        <w:ind w:left="72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5"/>
      <w:numFmt w:val="decimal"/>
      <w:isLgl w:val="false"/>
      <w:suff w:val="tab"/>
      <w:lvlText w:val="%1.%2."/>
      <w:lvlJc w:val="left"/>
      <w:pPr>
        <w:ind w:left="162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32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50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1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73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90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26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1880" w:hanging="180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10.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8014" w:hanging="360"/>
        <w:tabs>
          <w:tab w:val="num" w:pos="8014" w:leader="none"/>
        </w:tabs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0">
    <w:multiLevelType w:val="hybridMultilevel"/>
    <w:lvl w:ilvl="0">
      <w:start w:val="1"/>
      <w:numFmt w:val="bullet"/>
      <w:pStyle w:val="1175"/>
      <w:isLgl w:val="false"/>
      <w:suff w:val="tab"/>
      <w:lvlText w:val=""/>
      <w:lvlJc w:val="left"/>
      <w:pPr>
        <w:ind w:left="1209" w:hanging="360"/>
      </w:pPr>
      <w:rPr>
        <w:rFonts w:ascii="Symbol" w:hAnsi="Symbol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92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4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6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8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0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2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4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69" w:hanging="360"/>
      </w:pPr>
      <w:rPr>
        <w:rFonts w:ascii="Wingdings" w:hAnsi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  <w:tabs>
          <w:tab w:val="num" w:pos="1146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720" w:hanging="720"/>
        <w:tabs>
          <w:tab w:val="num" w:pos="7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80" w:hanging="1080"/>
        <w:tabs>
          <w:tab w:val="num" w:pos="108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4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72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2"/>
  </w:num>
  <w:num w:numId="4">
    <w:abstractNumId w:val="23"/>
  </w:num>
  <w:num w:numId="5">
    <w:abstractNumId w:val="24"/>
  </w:num>
  <w:num w:numId="6">
    <w:abstractNumId w:val="34"/>
  </w:num>
  <w:num w:numId="7">
    <w:abstractNumId w:val="14"/>
  </w:num>
  <w:num w:numId="8">
    <w:abstractNumId w:val="7"/>
  </w:num>
  <w:num w:numId="9">
    <w:abstractNumId w:val="0"/>
  </w:num>
  <w:num w:numId="10">
    <w:abstractNumId w:val="30"/>
  </w:num>
  <w:num w:numId="11">
    <w:abstractNumId w:val="12"/>
  </w:num>
  <w:num w:numId="12">
    <w:abstractNumId w:val="8"/>
  </w:num>
  <w:num w:numId="13">
    <w:abstractNumId w:val="19"/>
  </w:num>
  <w:num w:numId="14">
    <w:abstractNumId w:val="1"/>
  </w:num>
  <w:num w:numId="15">
    <w:abstractNumId w:val="20"/>
  </w:num>
  <w:num w:numId="16">
    <w:abstractNumId w:val="21"/>
  </w:num>
  <w:num w:numId="17">
    <w:abstractNumId w:val="28"/>
  </w:num>
  <w:num w:numId="18">
    <w:abstractNumId w:val="22"/>
  </w:num>
  <w:num w:numId="19">
    <w:abstractNumId w:val="29"/>
  </w:num>
  <w:num w:numId="20">
    <w:abstractNumId w:val="31"/>
  </w:num>
  <w:num w:numId="21">
    <w:abstractNumId w:val="17"/>
  </w:num>
  <w:num w:numId="22">
    <w:abstractNumId w:val="11"/>
  </w:num>
  <w:num w:numId="23">
    <w:abstractNumId w:val="4"/>
  </w:num>
  <w:num w:numId="24">
    <w:abstractNumId w:val="6"/>
  </w:num>
  <w:num w:numId="25">
    <w:abstractNumId w:val="18"/>
  </w:num>
  <w:num w:numId="26">
    <w:abstractNumId w:val="9"/>
  </w:num>
  <w:num w:numId="27">
    <w:abstractNumId w:val="5"/>
  </w:num>
  <w:num w:numId="28">
    <w:abstractNumId w:val="27"/>
  </w:num>
  <w:num w:numId="29">
    <w:abstractNumId w:val="10"/>
  </w:num>
  <w:num w:numId="30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</w:num>
  <w:num w:numId="35">
    <w:abstractNumId w:val="26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46">
    <w:name w:val="Heading 1"/>
    <w:basedOn w:val="1123"/>
    <w:next w:val="1123"/>
    <w:link w:val="94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947">
    <w:name w:val="Heading 1 Char"/>
    <w:link w:val="946"/>
    <w:uiPriority w:val="9"/>
    <w:rPr>
      <w:rFonts w:ascii="Arial" w:hAnsi="Arial" w:eastAsia="Arial" w:cs="Arial"/>
      <w:sz w:val="40"/>
      <w:szCs w:val="40"/>
    </w:rPr>
  </w:style>
  <w:style w:type="paragraph" w:styleId="948">
    <w:name w:val="Heading 2"/>
    <w:basedOn w:val="1123"/>
    <w:next w:val="1123"/>
    <w:link w:val="94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949">
    <w:name w:val="Heading 2 Char"/>
    <w:link w:val="948"/>
    <w:uiPriority w:val="9"/>
    <w:rPr>
      <w:rFonts w:ascii="Arial" w:hAnsi="Arial" w:eastAsia="Arial" w:cs="Arial"/>
      <w:sz w:val="34"/>
    </w:rPr>
  </w:style>
  <w:style w:type="paragraph" w:styleId="950">
    <w:name w:val="Heading 3"/>
    <w:basedOn w:val="1123"/>
    <w:next w:val="1123"/>
    <w:link w:val="95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951">
    <w:name w:val="Heading 3 Char"/>
    <w:link w:val="950"/>
    <w:uiPriority w:val="9"/>
    <w:rPr>
      <w:rFonts w:ascii="Arial" w:hAnsi="Arial" w:eastAsia="Arial" w:cs="Arial"/>
      <w:sz w:val="30"/>
      <w:szCs w:val="30"/>
    </w:rPr>
  </w:style>
  <w:style w:type="paragraph" w:styleId="952">
    <w:name w:val="Heading 4"/>
    <w:basedOn w:val="1123"/>
    <w:next w:val="1123"/>
    <w:link w:val="95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953">
    <w:name w:val="Heading 4 Char"/>
    <w:link w:val="952"/>
    <w:uiPriority w:val="9"/>
    <w:rPr>
      <w:rFonts w:ascii="Arial" w:hAnsi="Arial" w:eastAsia="Arial" w:cs="Arial"/>
      <w:b/>
      <w:bCs/>
      <w:sz w:val="26"/>
      <w:szCs w:val="26"/>
    </w:rPr>
  </w:style>
  <w:style w:type="paragraph" w:styleId="954">
    <w:name w:val="Heading 5"/>
    <w:basedOn w:val="1123"/>
    <w:next w:val="1123"/>
    <w:link w:val="95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955">
    <w:name w:val="Heading 5 Char"/>
    <w:link w:val="954"/>
    <w:uiPriority w:val="9"/>
    <w:rPr>
      <w:rFonts w:ascii="Arial" w:hAnsi="Arial" w:eastAsia="Arial" w:cs="Arial"/>
      <w:b/>
      <w:bCs/>
      <w:sz w:val="24"/>
      <w:szCs w:val="24"/>
    </w:rPr>
  </w:style>
  <w:style w:type="paragraph" w:styleId="956">
    <w:name w:val="Heading 6"/>
    <w:basedOn w:val="1123"/>
    <w:next w:val="1123"/>
    <w:link w:val="95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957">
    <w:name w:val="Heading 6 Char"/>
    <w:link w:val="956"/>
    <w:uiPriority w:val="9"/>
    <w:rPr>
      <w:rFonts w:ascii="Arial" w:hAnsi="Arial" w:eastAsia="Arial" w:cs="Arial"/>
      <w:b/>
      <w:bCs/>
      <w:sz w:val="22"/>
      <w:szCs w:val="22"/>
    </w:rPr>
  </w:style>
  <w:style w:type="paragraph" w:styleId="958">
    <w:name w:val="Heading 7"/>
    <w:basedOn w:val="1123"/>
    <w:next w:val="1123"/>
    <w:link w:val="95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59">
    <w:name w:val="Heading 7 Char"/>
    <w:link w:val="9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960">
    <w:name w:val="Heading 8"/>
    <w:basedOn w:val="1123"/>
    <w:next w:val="1123"/>
    <w:link w:val="96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961">
    <w:name w:val="Heading 8 Char"/>
    <w:link w:val="960"/>
    <w:uiPriority w:val="9"/>
    <w:rPr>
      <w:rFonts w:ascii="Arial" w:hAnsi="Arial" w:eastAsia="Arial" w:cs="Arial"/>
      <w:i/>
      <w:iCs/>
      <w:sz w:val="22"/>
      <w:szCs w:val="22"/>
    </w:rPr>
  </w:style>
  <w:style w:type="paragraph" w:styleId="962">
    <w:name w:val="Heading 9"/>
    <w:basedOn w:val="1123"/>
    <w:next w:val="1123"/>
    <w:link w:val="96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63">
    <w:name w:val="Heading 9 Char"/>
    <w:link w:val="962"/>
    <w:uiPriority w:val="9"/>
    <w:rPr>
      <w:rFonts w:ascii="Arial" w:hAnsi="Arial" w:eastAsia="Arial" w:cs="Arial"/>
      <w:i/>
      <w:iCs/>
      <w:sz w:val="21"/>
      <w:szCs w:val="21"/>
    </w:rPr>
  </w:style>
  <w:style w:type="paragraph" w:styleId="964">
    <w:name w:val="No Spacing"/>
    <w:uiPriority w:val="1"/>
    <w:qFormat/>
    <w:pPr>
      <w:spacing w:before="0" w:after="0" w:line="240" w:lineRule="auto"/>
    </w:pPr>
  </w:style>
  <w:style w:type="paragraph" w:styleId="965">
    <w:name w:val="Title"/>
    <w:basedOn w:val="1123"/>
    <w:next w:val="1123"/>
    <w:link w:val="96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966">
    <w:name w:val="Title Char"/>
    <w:link w:val="965"/>
    <w:uiPriority w:val="10"/>
    <w:rPr>
      <w:sz w:val="48"/>
      <w:szCs w:val="48"/>
    </w:rPr>
  </w:style>
  <w:style w:type="paragraph" w:styleId="967">
    <w:name w:val="Subtitle"/>
    <w:basedOn w:val="1123"/>
    <w:next w:val="1123"/>
    <w:link w:val="968"/>
    <w:uiPriority w:val="11"/>
    <w:qFormat/>
    <w:pPr>
      <w:spacing w:before="200" w:after="200"/>
    </w:pPr>
    <w:rPr>
      <w:sz w:val="24"/>
      <w:szCs w:val="24"/>
    </w:rPr>
  </w:style>
  <w:style w:type="character" w:styleId="968">
    <w:name w:val="Subtitle Char"/>
    <w:link w:val="967"/>
    <w:uiPriority w:val="11"/>
    <w:rPr>
      <w:sz w:val="24"/>
      <w:szCs w:val="24"/>
    </w:rPr>
  </w:style>
  <w:style w:type="paragraph" w:styleId="969">
    <w:name w:val="Quote"/>
    <w:basedOn w:val="1123"/>
    <w:next w:val="1123"/>
    <w:link w:val="970"/>
    <w:uiPriority w:val="29"/>
    <w:qFormat/>
    <w:pPr>
      <w:ind w:left="720" w:right="720"/>
    </w:pPr>
    <w:rPr>
      <w:i/>
    </w:rPr>
  </w:style>
  <w:style w:type="character" w:styleId="970">
    <w:name w:val="Quote Char"/>
    <w:link w:val="969"/>
    <w:uiPriority w:val="29"/>
    <w:rPr>
      <w:i/>
    </w:rPr>
  </w:style>
  <w:style w:type="paragraph" w:styleId="971">
    <w:name w:val="Intense Quote"/>
    <w:basedOn w:val="1123"/>
    <w:next w:val="1123"/>
    <w:link w:val="97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72">
    <w:name w:val="Intense Quote Char"/>
    <w:link w:val="971"/>
    <w:uiPriority w:val="30"/>
    <w:rPr>
      <w:i/>
    </w:rPr>
  </w:style>
  <w:style w:type="paragraph" w:styleId="973">
    <w:name w:val="Header"/>
    <w:basedOn w:val="1123"/>
    <w:link w:val="97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74">
    <w:name w:val="Header Char"/>
    <w:link w:val="973"/>
    <w:uiPriority w:val="99"/>
  </w:style>
  <w:style w:type="paragraph" w:styleId="975">
    <w:name w:val="Footer"/>
    <w:basedOn w:val="1123"/>
    <w:link w:val="97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76">
    <w:name w:val="Footer Char"/>
    <w:link w:val="975"/>
    <w:uiPriority w:val="99"/>
  </w:style>
  <w:style w:type="paragraph" w:styleId="977">
    <w:name w:val="Caption"/>
    <w:basedOn w:val="1123"/>
    <w:next w:val="1123"/>
    <w:link w:val="97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78">
    <w:name w:val="Caption Char"/>
    <w:basedOn w:val="977"/>
    <w:link w:val="975"/>
    <w:uiPriority w:val="99"/>
  </w:style>
  <w:style w:type="table" w:styleId="97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8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8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0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00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01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01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01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01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01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01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01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01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01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01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02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02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02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02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02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02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02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02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02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04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04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04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04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04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04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04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7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07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7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07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07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07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07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07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07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07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08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08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08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08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08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8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8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8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8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8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9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9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9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9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9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9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9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9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9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9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10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10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10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10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10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105">
    <w:name w:val="Hyperlink"/>
    <w:uiPriority w:val="99"/>
    <w:unhideWhenUsed/>
    <w:rPr>
      <w:color w:val="0000ff" w:themeColor="hyperlink"/>
      <w:u w:val="single"/>
    </w:rPr>
  </w:style>
  <w:style w:type="paragraph" w:styleId="1106">
    <w:name w:val="footnote text"/>
    <w:basedOn w:val="1123"/>
    <w:link w:val="1107"/>
    <w:uiPriority w:val="99"/>
    <w:semiHidden/>
    <w:unhideWhenUsed/>
    <w:pPr>
      <w:spacing w:after="40" w:line="240" w:lineRule="auto"/>
    </w:pPr>
    <w:rPr>
      <w:sz w:val="18"/>
    </w:rPr>
  </w:style>
  <w:style w:type="character" w:styleId="1107">
    <w:name w:val="Footnote Text Char"/>
    <w:link w:val="1106"/>
    <w:uiPriority w:val="99"/>
    <w:rPr>
      <w:sz w:val="18"/>
    </w:rPr>
  </w:style>
  <w:style w:type="character" w:styleId="1108">
    <w:name w:val="footnote reference"/>
    <w:uiPriority w:val="99"/>
    <w:unhideWhenUsed/>
    <w:rPr>
      <w:vertAlign w:val="superscript"/>
    </w:rPr>
  </w:style>
  <w:style w:type="paragraph" w:styleId="1109">
    <w:name w:val="endnote text"/>
    <w:basedOn w:val="1123"/>
    <w:link w:val="1110"/>
    <w:uiPriority w:val="99"/>
    <w:semiHidden/>
    <w:unhideWhenUsed/>
    <w:pPr>
      <w:spacing w:after="0" w:line="240" w:lineRule="auto"/>
    </w:pPr>
    <w:rPr>
      <w:sz w:val="20"/>
    </w:rPr>
  </w:style>
  <w:style w:type="character" w:styleId="1110">
    <w:name w:val="Endnote Text Char"/>
    <w:link w:val="1109"/>
    <w:uiPriority w:val="99"/>
    <w:rPr>
      <w:sz w:val="20"/>
    </w:rPr>
  </w:style>
  <w:style w:type="character" w:styleId="1111">
    <w:name w:val="endnote reference"/>
    <w:uiPriority w:val="99"/>
    <w:semiHidden/>
    <w:unhideWhenUsed/>
    <w:rPr>
      <w:vertAlign w:val="superscript"/>
    </w:rPr>
  </w:style>
  <w:style w:type="paragraph" w:styleId="1112">
    <w:name w:val="toc 1"/>
    <w:basedOn w:val="1123"/>
    <w:next w:val="1123"/>
    <w:uiPriority w:val="39"/>
    <w:unhideWhenUsed/>
    <w:pPr>
      <w:ind w:left="0" w:right="0" w:firstLine="0"/>
      <w:spacing w:after="57"/>
    </w:pPr>
  </w:style>
  <w:style w:type="paragraph" w:styleId="1113">
    <w:name w:val="toc 2"/>
    <w:basedOn w:val="1123"/>
    <w:next w:val="1123"/>
    <w:uiPriority w:val="39"/>
    <w:unhideWhenUsed/>
    <w:pPr>
      <w:ind w:left="283" w:right="0" w:firstLine="0"/>
      <w:spacing w:after="57"/>
    </w:pPr>
  </w:style>
  <w:style w:type="paragraph" w:styleId="1114">
    <w:name w:val="toc 3"/>
    <w:basedOn w:val="1123"/>
    <w:next w:val="1123"/>
    <w:uiPriority w:val="39"/>
    <w:unhideWhenUsed/>
    <w:pPr>
      <w:ind w:left="567" w:right="0" w:firstLine="0"/>
      <w:spacing w:after="57"/>
    </w:pPr>
  </w:style>
  <w:style w:type="paragraph" w:styleId="1115">
    <w:name w:val="toc 4"/>
    <w:basedOn w:val="1123"/>
    <w:next w:val="1123"/>
    <w:uiPriority w:val="39"/>
    <w:unhideWhenUsed/>
    <w:pPr>
      <w:ind w:left="850" w:right="0" w:firstLine="0"/>
      <w:spacing w:after="57"/>
    </w:pPr>
  </w:style>
  <w:style w:type="paragraph" w:styleId="1116">
    <w:name w:val="toc 5"/>
    <w:basedOn w:val="1123"/>
    <w:next w:val="1123"/>
    <w:uiPriority w:val="39"/>
    <w:unhideWhenUsed/>
    <w:pPr>
      <w:ind w:left="1134" w:right="0" w:firstLine="0"/>
      <w:spacing w:after="57"/>
    </w:pPr>
  </w:style>
  <w:style w:type="paragraph" w:styleId="1117">
    <w:name w:val="toc 6"/>
    <w:basedOn w:val="1123"/>
    <w:next w:val="1123"/>
    <w:uiPriority w:val="39"/>
    <w:unhideWhenUsed/>
    <w:pPr>
      <w:ind w:left="1417" w:right="0" w:firstLine="0"/>
      <w:spacing w:after="57"/>
    </w:pPr>
  </w:style>
  <w:style w:type="paragraph" w:styleId="1118">
    <w:name w:val="toc 7"/>
    <w:basedOn w:val="1123"/>
    <w:next w:val="1123"/>
    <w:uiPriority w:val="39"/>
    <w:unhideWhenUsed/>
    <w:pPr>
      <w:ind w:left="1701" w:right="0" w:firstLine="0"/>
      <w:spacing w:after="57"/>
    </w:pPr>
  </w:style>
  <w:style w:type="paragraph" w:styleId="1119">
    <w:name w:val="toc 8"/>
    <w:basedOn w:val="1123"/>
    <w:next w:val="1123"/>
    <w:uiPriority w:val="39"/>
    <w:unhideWhenUsed/>
    <w:pPr>
      <w:ind w:left="1984" w:right="0" w:firstLine="0"/>
      <w:spacing w:after="57"/>
    </w:pPr>
  </w:style>
  <w:style w:type="paragraph" w:styleId="1120">
    <w:name w:val="toc 9"/>
    <w:basedOn w:val="1123"/>
    <w:next w:val="1123"/>
    <w:uiPriority w:val="39"/>
    <w:unhideWhenUsed/>
    <w:pPr>
      <w:ind w:left="2268" w:right="0" w:firstLine="0"/>
      <w:spacing w:after="57"/>
    </w:pPr>
  </w:style>
  <w:style w:type="paragraph" w:styleId="1121">
    <w:name w:val="TOC Heading"/>
    <w:uiPriority w:val="39"/>
    <w:unhideWhenUsed/>
  </w:style>
  <w:style w:type="paragraph" w:styleId="1122">
    <w:name w:val="table of figures"/>
    <w:basedOn w:val="1123"/>
    <w:next w:val="1123"/>
    <w:uiPriority w:val="99"/>
    <w:unhideWhenUsed/>
    <w:pPr>
      <w:spacing w:after="0" w:afterAutospacing="0"/>
    </w:pPr>
  </w:style>
  <w:style w:type="paragraph" w:styleId="1123" w:default="1">
    <w:name w:val="Normal"/>
    <w:next w:val="1123"/>
    <w:link w:val="1123"/>
    <w:qFormat/>
    <w:pPr>
      <w:jc w:val="both"/>
      <w:spacing w:after="60"/>
    </w:pPr>
    <w:rPr>
      <w:rFonts w:ascii="Arial" w:hAnsi="Arial" w:cs="Arial"/>
      <w:color w:val="333333"/>
      <w:lang w:val="ru-RU" w:eastAsia="ru-RU" w:bidi="ar-SA"/>
    </w:rPr>
  </w:style>
  <w:style w:type="paragraph" w:styleId="1124">
    <w:name w:val="Заголовок 1"/>
    <w:basedOn w:val="1123"/>
    <w:next w:val="1123"/>
    <w:link w:val="1150"/>
    <w:qFormat/>
    <w:pPr>
      <w:keepNext/>
      <w:spacing w:before="240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1125">
    <w:name w:val="Заголовок 2"/>
    <w:basedOn w:val="1123"/>
    <w:next w:val="1123"/>
    <w:link w:val="1151"/>
    <w:qFormat/>
    <w:pPr>
      <w:ind w:firstLine="709"/>
      <w:keepNext/>
      <w:spacing w:before="240" w:after="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1126">
    <w:name w:val="Заголовок 3"/>
    <w:basedOn w:val="1123"/>
    <w:next w:val="1123"/>
    <w:link w:val="1152"/>
    <w:qFormat/>
    <w:pPr>
      <w:keepNext/>
      <w:spacing w:before="24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1127">
    <w:name w:val="Заголовок 4"/>
    <w:basedOn w:val="1123"/>
    <w:next w:val="1123"/>
    <w:link w:val="1153"/>
    <w:qFormat/>
    <w:pPr>
      <w:numPr>
        <w:ilvl w:val="3"/>
        <w:numId w:val="8"/>
      </w:numPr>
      <w:keepNext/>
      <w:spacing w:before="240"/>
      <w:outlineLvl w:val="3"/>
    </w:pPr>
    <w:rPr>
      <w:rFonts w:ascii="Times New Roman" w:hAnsi="Times New Roman" w:cs="Times New Roman"/>
      <w:b/>
      <w:bCs/>
      <w:color w:val="000000"/>
      <w:sz w:val="28"/>
      <w:szCs w:val="28"/>
      <w:lang w:eastAsia="ar-SA"/>
    </w:rPr>
  </w:style>
  <w:style w:type="paragraph" w:styleId="1128">
    <w:name w:val="Заголовок 5"/>
    <w:basedOn w:val="1123"/>
    <w:next w:val="1123"/>
    <w:link w:val="1154"/>
    <w:qFormat/>
    <w:pPr>
      <w:numPr>
        <w:ilvl w:val="4"/>
        <w:numId w:val="8"/>
      </w:numPr>
      <w:spacing w:before="240"/>
      <w:outlineLvl w:val="4"/>
    </w:pPr>
    <w:rPr>
      <w:rFonts w:ascii="Times New Roman" w:hAnsi="Times New Roman" w:cs="Times New Roman"/>
      <w:b/>
      <w:bCs/>
      <w:i/>
      <w:iCs/>
      <w:color w:val="000000"/>
      <w:sz w:val="26"/>
      <w:szCs w:val="26"/>
      <w:lang w:eastAsia="ar-SA"/>
    </w:rPr>
  </w:style>
  <w:style w:type="paragraph" w:styleId="1129">
    <w:name w:val="Заголовок 6"/>
    <w:basedOn w:val="1123"/>
    <w:next w:val="1123"/>
    <w:link w:val="1155"/>
    <w:qFormat/>
    <w:pPr>
      <w:numPr>
        <w:ilvl w:val="5"/>
        <w:numId w:val="8"/>
      </w:numPr>
      <w:spacing w:before="240"/>
      <w:outlineLvl w:val="5"/>
    </w:pPr>
    <w:rPr>
      <w:rFonts w:ascii="Times New Roman" w:hAnsi="Times New Roman" w:cs="Times New Roman"/>
      <w:b/>
      <w:bCs/>
      <w:color w:val="000000"/>
      <w:sz w:val="22"/>
      <w:szCs w:val="22"/>
      <w:lang w:eastAsia="ar-SA"/>
    </w:rPr>
  </w:style>
  <w:style w:type="paragraph" w:styleId="1130">
    <w:name w:val="Заголовок 7"/>
    <w:basedOn w:val="1123"/>
    <w:next w:val="1123"/>
    <w:link w:val="1156"/>
    <w:qFormat/>
    <w:pPr>
      <w:numPr>
        <w:ilvl w:val="6"/>
        <w:numId w:val="8"/>
      </w:numPr>
      <w:spacing w:before="240"/>
      <w:outlineLvl w:val="6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styleId="1131">
    <w:name w:val="Заголовок 8"/>
    <w:basedOn w:val="1123"/>
    <w:next w:val="1123"/>
    <w:link w:val="1157"/>
    <w:qFormat/>
    <w:pPr>
      <w:numPr>
        <w:ilvl w:val="7"/>
        <w:numId w:val="8"/>
      </w:numPr>
      <w:spacing w:before="240"/>
      <w:outlineLvl w:val="7"/>
    </w:pPr>
    <w:rPr>
      <w:rFonts w:ascii="Times New Roman" w:hAnsi="Times New Roman" w:cs="Times New Roman"/>
      <w:i/>
      <w:iCs/>
      <w:color w:val="000000"/>
      <w:sz w:val="24"/>
      <w:szCs w:val="24"/>
      <w:lang w:eastAsia="ar-SA"/>
    </w:rPr>
  </w:style>
  <w:style w:type="paragraph" w:styleId="1132">
    <w:name w:val="Заголовок 9"/>
    <w:basedOn w:val="1123"/>
    <w:next w:val="1123"/>
    <w:link w:val="1158"/>
    <w:qFormat/>
    <w:pPr>
      <w:numPr>
        <w:ilvl w:val="8"/>
        <w:numId w:val="8"/>
      </w:numPr>
      <w:spacing w:before="240"/>
      <w:outlineLvl w:val="8"/>
    </w:pPr>
    <w:rPr>
      <w:rFonts w:cs="Times New Roman"/>
      <w:color w:val="000000"/>
      <w:sz w:val="22"/>
      <w:szCs w:val="22"/>
      <w:lang w:eastAsia="ar-SA"/>
    </w:rPr>
  </w:style>
  <w:style w:type="character" w:styleId="1133">
    <w:name w:val="Основной шрифт абзаца"/>
    <w:next w:val="1133"/>
    <w:link w:val="1123"/>
    <w:semiHidden/>
  </w:style>
  <w:style w:type="table" w:styleId="1134">
    <w:name w:val="Обычная таблица"/>
    <w:next w:val="1134"/>
    <w:link w:val="1123"/>
    <w:semiHidden/>
    <w:tblPr/>
  </w:style>
  <w:style w:type="numbering" w:styleId="1135">
    <w:name w:val="Нет списка"/>
    <w:next w:val="1135"/>
    <w:link w:val="1123"/>
    <w:uiPriority w:val="99"/>
    <w:semiHidden/>
  </w:style>
  <w:style w:type="paragraph" w:styleId="1136">
    <w:name w:val="заголовок 13"/>
    <w:basedOn w:val="1123"/>
    <w:next w:val="1123"/>
    <w:link w:val="1123"/>
    <w:uiPriority w:val="99"/>
    <w:pPr>
      <w:jc w:val="center"/>
      <w:keepNext/>
      <w:spacing w:before="240"/>
    </w:pPr>
    <w:rPr>
      <w:rFonts w:ascii="Times New Roman" w:hAnsi="Times New Roman" w:cs="Times New Roman"/>
      <w:b/>
      <w:caps/>
      <w:color w:val="000000"/>
      <w:sz w:val="24"/>
    </w:rPr>
  </w:style>
  <w:style w:type="paragraph" w:styleId="1137">
    <w:name w:val="msonormalcxspmiddle"/>
    <w:basedOn w:val="1123"/>
    <w:next w:val="1137"/>
    <w:link w:val="1123"/>
    <w:pPr>
      <w:jc w:val="left"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styleId="1138">
    <w:name w:val="msonormalcxsplast"/>
    <w:basedOn w:val="1123"/>
    <w:next w:val="1138"/>
    <w:link w:val="1123"/>
    <w:uiPriority w:val="99"/>
    <w:pPr>
      <w:jc w:val="left"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styleId="1139">
    <w:name w:val="Абзац списка,Bullet List,FooterText,numbered,Paragraphe de liste1,lp1,Bullet 1,Use Case List Paragraph,List Paragraph,Абзац списка1,Маркер,ТЗ список,Абзац списка литеральный,Цветной список - Акцент 11,ПС - Нумерованный"/>
    <w:basedOn w:val="1123"/>
    <w:next w:val="1139"/>
    <w:link w:val="1140"/>
    <w:uiPriority w:val="99"/>
    <w:qFormat/>
    <w:pPr>
      <w:contextualSpacing/>
      <w:ind w:left="720"/>
      <w:spacing w:before="60" w:line="312" w:lineRule="auto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character" w:styleId="1140">
    <w:name w:val="Абзац списка Знак,Bullet List Знак,FooterText Знак,numbered Знак,Paragraphe de liste1 Знак,lp1 Знак,Bullet 1 Знак,Use Case List Paragraph Знак,List Paragraph Знак,Абзац списка1 Знак,Маркер Знак,ТЗ список Знак,Абзац списка литеральный Знак"/>
    <w:next w:val="1140"/>
    <w:link w:val="1139"/>
    <w:uiPriority w:val="99"/>
    <w:rPr>
      <w:sz w:val="24"/>
      <w:szCs w:val="24"/>
    </w:rPr>
  </w:style>
  <w:style w:type="paragraph" w:styleId="1141">
    <w:name w:val="Основной текст с отступом 3"/>
    <w:basedOn w:val="1123"/>
    <w:next w:val="1141"/>
    <w:link w:val="1142"/>
    <w:uiPriority w:val="99"/>
    <w:unhideWhenUsed/>
    <w:pPr>
      <w:ind w:left="283"/>
      <w:spacing w:after="120"/>
    </w:pPr>
    <w:rPr>
      <w:rFonts w:cs="Times New Roman"/>
      <w:sz w:val="16"/>
      <w:szCs w:val="16"/>
      <w:lang w:val="en-US" w:eastAsia="en-US"/>
    </w:rPr>
  </w:style>
  <w:style w:type="character" w:styleId="1142">
    <w:name w:val="Основной текст с отступом 3 Знак"/>
    <w:next w:val="1142"/>
    <w:link w:val="1141"/>
    <w:uiPriority w:val="99"/>
    <w:rPr>
      <w:rFonts w:ascii="Arial" w:hAnsi="Arial"/>
      <w:color w:val="333333"/>
      <w:sz w:val="16"/>
      <w:szCs w:val="16"/>
    </w:rPr>
  </w:style>
  <w:style w:type="character" w:styleId="1143">
    <w:name w:val="Гиперссылка"/>
    <w:next w:val="1143"/>
    <w:link w:val="1123"/>
    <w:uiPriority w:val="99"/>
    <w:unhideWhenUsed/>
    <w:rPr>
      <w:color w:val="0000ff"/>
      <w:u w:val="single"/>
    </w:rPr>
  </w:style>
  <w:style w:type="paragraph" w:styleId="1144">
    <w:name w:val="Текст выноски"/>
    <w:basedOn w:val="1123"/>
    <w:next w:val="1144"/>
    <w:link w:val="1145"/>
    <w:pPr>
      <w:spacing w:after="0"/>
    </w:pPr>
    <w:rPr>
      <w:rFonts w:ascii="Segoe UI" w:hAnsi="Segoe UI" w:cs="Times New Roman"/>
      <w:sz w:val="18"/>
      <w:szCs w:val="18"/>
      <w:lang w:val="en-US" w:eastAsia="en-US"/>
    </w:rPr>
  </w:style>
  <w:style w:type="character" w:styleId="1145">
    <w:name w:val="Текст выноски Знак"/>
    <w:next w:val="1145"/>
    <w:link w:val="1144"/>
    <w:rPr>
      <w:rFonts w:ascii="Segoe UI" w:hAnsi="Segoe UI" w:cs="Segoe UI"/>
      <w:color w:val="333333"/>
      <w:sz w:val="18"/>
      <w:szCs w:val="18"/>
    </w:rPr>
  </w:style>
  <w:style w:type="paragraph" w:styleId="1146">
    <w:name w:val="Верхний колонтитул"/>
    <w:basedOn w:val="1123"/>
    <w:next w:val="1146"/>
    <w:link w:val="1147"/>
    <w:uiPriority w:val="99"/>
    <w:pPr>
      <w:tabs>
        <w:tab w:val="center" w:pos="4677" w:leader="none"/>
        <w:tab w:val="right" w:pos="9355" w:leader="none"/>
      </w:tabs>
    </w:pPr>
    <w:rPr>
      <w:rFonts w:cs="Times New Roman"/>
      <w:lang w:val="en-US" w:eastAsia="en-US"/>
    </w:rPr>
  </w:style>
  <w:style w:type="character" w:styleId="1147">
    <w:name w:val="Верхний колонтитул Знак"/>
    <w:next w:val="1147"/>
    <w:link w:val="1146"/>
    <w:uiPriority w:val="99"/>
    <w:rPr>
      <w:rFonts w:ascii="Arial" w:hAnsi="Arial" w:cs="Arial"/>
      <w:color w:val="333333"/>
    </w:rPr>
  </w:style>
  <w:style w:type="paragraph" w:styleId="1148">
    <w:name w:val="Нижний колонтитул"/>
    <w:basedOn w:val="1123"/>
    <w:next w:val="1148"/>
    <w:link w:val="1149"/>
    <w:uiPriority w:val="99"/>
    <w:pPr>
      <w:tabs>
        <w:tab w:val="center" w:pos="4677" w:leader="none"/>
        <w:tab w:val="right" w:pos="9355" w:leader="none"/>
      </w:tabs>
    </w:pPr>
    <w:rPr>
      <w:rFonts w:cs="Times New Roman"/>
      <w:lang w:val="en-US" w:eastAsia="en-US"/>
    </w:rPr>
  </w:style>
  <w:style w:type="character" w:styleId="1149">
    <w:name w:val="Нижний колонтитул Знак"/>
    <w:next w:val="1149"/>
    <w:link w:val="1148"/>
    <w:uiPriority w:val="99"/>
    <w:rPr>
      <w:rFonts w:ascii="Arial" w:hAnsi="Arial" w:cs="Arial"/>
      <w:color w:val="333333"/>
    </w:rPr>
  </w:style>
  <w:style w:type="character" w:styleId="1150">
    <w:name w:val="Заголовок 1 Знак"/>
    <w:next w:val="1150"/>
    <w:link w:val="1124"/>
    <w:rPr>
      <w:rFonts w:ascii="Cambria" w:hAnsi="Cambria"/>
      <w:b/>
      <w:bCs/>
      <w:color w:val="333333"/>
      <w:sz w:val="32"/>
      <w:szCs w:val="32"/>
    </w:rPr>
  </w:style>
  <w:style w:type="character" w:styleId="1151">
    <w:name w:val="Заголовок 2 Знак"/>
    <w:next w:val="1151"/>
    <w:link w:val="1125"/>
    <w:rPr>
      <w:rFonts w:ascii="Cambria" w:hAnsi="Cambria"/>
      <w:b/>
      <w:bCs/>
      <w:i/>
      <w:iCs/>
      <w:color w:val="333333"/>
      <w:sz w:val="28"/>
      <w:szCs w:val="28"/>
    </w:rPr>
  </w:style>
  <w:style w:type="character" w:styleId="1152">
    <w:name w:val="Заголовок 3 Знак"/>
    <w:next w:val="1152"/>
    <w:link w:val="1126"/>
    <w:rPr>
      <w:rFonts w:ascii="Cambria" w:hAnsi="Cambria"/>
      <w:b/>
      <w:bCs/>
      <w:color w:val="333333"/>
      <w:sz w:val="26"/>
      <w:szCs w:val="26"/>
    </w:rPr>
  </w:style>
  <w:style w:type="character" w:styleId="1153">
    <w:name w:val="Заголовок 4 Знак"/>
    <w:next w:val="1153"/>
    <w:link w:val="1127"/>
    <w:rPr>
      <w:b/>
      <w:bCs/>
      <w:sz w:val="28"/>
      <w:szCs w:val="28"/>
      <w:lang w:eastAsia="ar-SA"/>
    </w:rPr>
  </w:style>
  <w:style w:type="character" w:styleId="1154">
    <w:name w:val="Заголовок 5 Знак"/>
    <w:next w:val="1154"/>
    <w:link w:val="1128"/>
    <w:rPr>
      <w:b/>
      <w:bCs/>
      <w:i/>
      <w:iCs/>
      <w:sz w:val="26"/>
      <w:szCs w:val="26"/>
      <w:lang w:eastAsia="ar-SA"/>
    </w:rPr>
  </w:style>
  <w:style w:type="character" w:styleId="1155">
    <w:name w:val="Заголовок 6 Знак"/>
    <w:next w:val="1155"/>
    <w:link w:val="1129"/>
    <w:rPr>
      <w:b/>
      <w:bCs/>
      <w:sz w:val="22"/>
      <w:szCs w:val="22"/>
      <w:lang w:eastAsia="ar-SA"/>
    </w:rPr>
  </w:style>
  <w:style w:type="character" w:styleId="1156">
    <w:name w:val="Заголовок 7 Знак"/>
    <w:next w:val="1156"/>
    <w:link w:val="1130"/>
    <w:rPr>
      <w:sz w:val="24"/>
      <w:szCs w:val="24"/>
      <w:lang w:eastAsia="ar-SA"/>
    </w:rPr>
  </w:style>
  <w:style w:type="character" w:styleId="1157">
    <w:name w:val="Заголовок 8 Знак"/>
    <w:next w:val="1157"/>
    <w:link w:val="1131"/>
    <w:rPr>
      <w:i/>
      <w:iCs/>
      <w:sz w:val="24"/>
      <w:szCs w:val="24"/>
      <w:lang w:eastAsia="ar-SA"/>
    </w:rPr>
  </w:style>
  <w:style w:type="character" w:styleId="1158">
    <w:name w:val="Заголовок 9 Знак"/>
    <w:next w:val="1158"/>
    <w:link w:val="1132"/>
    <w:rPr>
      <w:rFonts w:ascii="Arial" w:hAnsi="Arial"/>
      <w:sz w:val="22"/>
      <w:szCs w:val="22"/>
      <w:lang w:eastAsia="ar-SA"/>
    </w:rPr>
  </w:style>
  <w:style w:type="character" w:styleId="1159">
    <w:name w:val="List Paragraph Char1,Bullet List Char2,FooterText Char2,numbered Char2,Paragraphe de liste1 Char1,lp1 Char1,Bullet 1 Char1,Use Case List Paragraph Char1,Абзац списка1 Char,Маркер Char2,ТЗ список Char2,Абзац списка литеральный Char2"/>
    <w:next w:val="1159"/>
    <w:link w:val="1123"/>
    <w:rPr>
      <w:sz w:val="24"/>
    </w:rPr>
  </w:style>
  <w:style w:type="paragraph" w:styleId="1160">
    <w:name w:val="ConsPlusCell"/>
    <w:next w:val="1160"/>
    <w:link w:val="1123"/>
    <w:pPr>
      <w:jc w:val="center"/>
    </w:pPr>
    <w:rPr>
      <w:rFonts w:ascii="Arial" w:hAnsi="Arial" w:cs="Arial"/>
      <w:lang w:val="ru-RU" w:eastAsia="en-US" w:bidi="ar-SA"/>
    </w:rPr>
  </w:style>
  <w:style w:type="paragraph" w:styleId="1161">
    <w:name w:val="КН_1"/>
    <w:basedOn w:val="1124"/>
    <w:next w:val="1161"/>
    <w:link w:val="1123"/>
    <w:pPr>
      <w:numPr>
        <w:ilvl w:val="0"/>
        <w:numId w:val="8"/>
      </w:numPr>
      <w:ind w:left="0" w:firstLine="0"/>
      <w:tabs>
        <w:tab w:val="num" w:pos="360" w:leader="none"/>
        <w:tab w:val="clear" w:pos="432" w:leader="none"/>
      </w:tabs>
    </w:pPr>
    <w:rPr>
      <w:rFonts w:ascii="Arial" w:hAnsi="Arial" w:cs="Arial"/>
      <w:caps/>
      <w:color w:val="000000"/>
      <w:sz w:val="24"/>
      <w:szCs w:val="24"/>
      <w:lang w:eastAsia="ar-SA"/>
    </w:rPr>
  </w:style>
  <w:style w:type="paragraph" w:styleId="1162">
    <w:name w:val="КН_2"/>
    <w:basedOn w:val="1123"/>
    <w:next w:val="1162"/>
    <w:link w:val="1123"/>
    <w:pPr>
      <w:numPr>
        <w:ilvl w:val="1"/>
        <w:numId w:val="8"/>
      </w:numPr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styleId="1163">
    <w:name w:val="КН_3"/>
    <w:basedOn w:val="1126"/>
    <w:next w:val="1163"/>
    <w:link w:val="1123"/>
    <w:pPr>
      <w:numPr>
        <w:ilvl w:val="2"/>
        <w:numId w:val="8"/>
      </w:numPr>
      <w:ind w:left="0" w:firstLine="0"/>
      <w:tabs>
        <w:tab w:val="num" w:pos="360" w:leader="none"/>
        <w:tab w:val="clear" w:pos="720" w:leader="none"/>
      </w:tabs>
    </w:pPr>
    <w:rPr>
      <w:rFonts w:ascii="Times New Roman" w:hAnsi="Times New Roman" w:cs="Arial"/>
      <w:b w:val="0"/>
      <w:color w:val="000000"/>
      <w:sz w:val="24"/>
      <w:lang w:eastAsia="ar-SA"/>
    </w:rPr>
  </w:style>
  <w:style w:type="paragraph" w:styleId="1164">
    <w:name w:val="Основной текст"/>
    <w:basedOn w:val="1123"/>
    <w:next w:val="1164"/>
    <w:link w:val="1165"/>
    <w:uiPriority w:val="99"/>
    <w:pPr>
      <w:spacing w:after="120"/>
    </w:pPr>
    <w:rPr>
      <w:rFonts w:cs="Times New Roman"/>
    </w:rPr>
  </w:style>
  <w:style w:type="character" w:styleId="1165">
    <w:name w:val="Основной текст Знак"/>
    <w:next w:val="1165"/>
    <w:link w:val="1164"/>
    <w:uiPriority w:val="99"/>
    <w:rPr>
      <w:rFonts w:ascii="Arial" w:hAnsi="Arial"/>
      <w:color w:val="333333"/>
    </w:rPr>
  </w:style>
  <w:style w:type="character" w:styleId="1166">
    <w:name w:val="List Paragraph Char,Bullet List Char,FooterText Char,numbered Char,Paragraphe de liste1 Char,lp1 Char,Bullet 1 Char,Use Case List Paragraph Char,Маркер Char,ТЗ список Char,Абзац списка литеральный Char,Цветной список - Акцент 11 Char"/>
    <w:next w:val="1166"/>
    <w:link w:val="1123"/>
    <w:rPr>
      <w:sz w:val="24"/>
      <w:lang w:val="ru-RU" w:eastAsia="ru-RU"/>
    </w:rPr>
  </w:style>
  <w:style w:type="paragraph" w:styleId="1167">
    <w:name w:val="msonormal_mailru_css_attribute_postfix"/>
    <w:basedOn w:val="1123"/>
    <w:next w:val="1167"/>
    <w:link w:val="1123"/>
    <w:pPr>
      <w:ind w:firstLine="709"/>
      <w:jc w:val="left"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styleId="1168">
    <w:name w:val="ConsPlusNormal"/>
    <w:next w:val="1168"/>
    <w:link w:val="1302"/>
    <w:rPr>
      <w:rFonts w:ascii="Arial" w:hAnsi="Arial" w:cs="Arial"/>
      <w:lang w:val="ru-RU" w:eastAsia="en-US" w:bidi="ar-SA"/>
    </w:rPr>
  </w:style>
  <w:style w:type="paragraph" w:styleId="1169">
    <w:name w:val="Маркированный список 4"/>
    <w:basedOn w:val="1123"/>
    <w:next w:val="1169"/>
    <w:link w:val="1123"/>
    <w:pPr>
      <w:numPr>
        <w:ilvl w:val="0"/>
        <w:numId w:val="9"/>
      </w:numPr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paragraph" w:styleId="1170">
    <w:name w:val="Основной текст с красной строки"/>
    <w:basedOn w:val="1123"/>
    <w:next w:val="1170"/>
    <w:link w:val="1123"/>
    <w:pPr>
      <w:ind w:firstLine="851"/>
      <w:spacing w:before="60" w:after="0" w:line="36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1171">
    <w:name w:val="Основной текст ГОСТ"/>
    <w:basedOn w:val="1123"/>
    <w:next w:val="1171"/>
    <w:link w:val="1123"/>
    <w:pPr>
      <w:ind w:firstLine="567"/>
      <w:spacing w:after="0" w:line="360" w:lineRule="auto"/>
      <w:widowControl w:val="off"/>
    </w:pPr>
    <w:rPr>
      <w:rFonts w:ascii="Times New Roman" w:hAnsi="Times New Roman" w:cs="Times New Roman"/>
      <w:color w:val="000000"/>
      <w:sz w:val="24"/>
      <w:szCs w:val="24"/>
    </w:rPr>
  </w:style>
  <w:style w:type="paragraph" w:styleId="1172">
    <w:name w:val="Default"/>
    <w:next w:val="1172"/>
    <w:link w:val="1123"/>
    <w:rPr>
      <w:rFonts w:ascii="Arial" w:hAnsi="Arial"/>
      <w:color w:val="000000"/>
      <w:sz w:val="24"/>
      <w:szCs w:val="24"/>
      <w:lang w:val="ru-RU" w:eastAsia="ru-RU" w:bidi="ar-SA"/>
    </w:rPr>
  </w:style>
  <w:style w:type="paragraph" w:styleId="1173">
    <w:name w:val="Схема документа"/>
    <w:basedOn w:val="1123"/>
    <w:next w:val="1173"/>
    <w:link w:val="1174"/>
    <w:pPr>
      <w:ind w:firstLine="709"/>
      <w:spacing w:after="0"/>
      <w:shd w:val="clear" w:color="auto" w:fill="000080"/>
    </w:pPr>
    <w:rPr>
      <w:rFonts w:ascii="Times New Roman" w:hAnsi="Times New Roman" w:cs="Times New Roman"/>
      <w:sz w:val="2"/>
      <w:szCs w:val="2"/>
    </w:rPr>
  </w:style>
  <w:style w:type="character" w:styleId="1174">
    <w:name w:val="Схема документа Знак"/>
    <w:next w:val="1174"/>
    <w:link w:val="1173"/>
    <w:rPr>
      <w:color w:val="333333"/>
      <w:sz w:val="2"/>
      <w:szCs w:val="2"/>
      <w:shd w:val="clear" w:color="auto" w:fill="000080"/>
    </w:rPr>
  </w:style>
  <w:style w:type="paragraph" w:styleId="1175">
    <w:name w:val="Маркированный список 2"/>
    <w:basedOn w:val="1123"/>
    <w:next w:val="1175"/>
    <w:link w:val="1123"/>
    <w:pPr>
      <w:numPr>
        <w:ilvl w:val="0"/>
        <w:numId w:val="10"/>
      </w:numPr>
      <w:ind w:left="643"/>
      <w:spacing w:after="0"/>
      <w:tabs>
        <w:tab w:val="num" w:pos="643" w:leader="none"/>
      </w:tabs>
    </w:pPr>
    <w:rPr>
      <w:rFonts w:ascii="Times New Roman" w:hAnsi="Times New Roman" w:cs="Times New Roman"/>
      <w:sz w:val="24"/>
      <w:szCs w:val="24"/>
    </w:rPr>
  </w:style>
  <w:style w:type="paragraph" w:styleId="1176">
    <w:name w:val="Обычный (веб)"/>
    <w:basedOn w:val="1123"/>
    <w:next w:val="1176"/>
    <w:link w:val="1177"/>
    <w:uiPriority w:val="99"/>
    <w:pPr>
      <w:ind w:firstLine="709"/>
      <w:jc w:val="left"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character" w:styleId="1177">
    <w:name w:val="Обычный (веб) Знак"/>
    <w:next w:val="1177"/>
    <w:link w:val="1176"/>
    <w:uiPriority w:val="99"/>
    <w:rPr>
      <w:sz w:val="24"/>
      <w:szCs w:val="24"/>
    </w:rPr>
  </w:style>
  <w:style w:type="character" w:styleId="1178">
    <w:name w:val="List Paragraph Char2,Маркер Char1,Bullet List Char1,FooterText Char1,numbered Char1,ТЗ список Char1,Абзац списка литеральный Char1,Цветной список - Акцент 11 Char1,ПС - Нумерованный Char1"/>
    <w:next w:val="1178"/>
    <w:link w:val="1123"/>
    <w:rPr>
      <w:rFonts w:ascii="Times New Roman CYR" w:hAnsi="Times New Roman CYR"/>
      <w:sz w:val="24"/>
      <w:lang w:val="en-US" w:eastAsia="ru-RU"/>
    </w:rPr>
  </w:style>
  <w:style w:type="character" w:styleId="1179">
    <w:name w:val="Выделение"/>
    <w:next w:val="1179"/>
    <w:link w:val="1123"/>
    <w:qFormat/>
    <w:rPr>
      <w:i/>
    </w:rPr>
  </w:style>
  <w:style w:type="character" w:styleId="1180">
    <w:name w:val="Строгий"/>
    <w:next w:val="1180"/>
    <w:link w:val="1123"/>
    <w:qFormat/>
    <w:rPr>
      <w:b/>
    </w:rPr>
  </w:style>
  <w:style w:type="character" w:styleId="1181">
    <w:name w:val="Знак примечания"/>
    <w:next w:val="1181"/>
    <w:link w:val="1123"/>
    <w:uiPriority w:val="99"/>
    <w:rPr>
      <w:sz w:val="16"/>
    </w:rPr>
  </w:style>
  <w:style w:type="paragraph" w:styleId="1182">
    <w:name w:val="Текст примечания"/>
    <w:basedOn w:val="1123"/>
    <w:next w:val="1182"/>
    <w:link w:val="1183"/>
    <w:uiPriority w:val="99"/>
    <w:pPr>
      <w:ind w:firstLine="709"/>
      <w:spacing w:after="0"/>
    </w:pPr>
    <w:rPr>
      <w:rFonts w:cs="Times New Roman"/>
    </w:rPr>
  </w:style>
  <w:style w:type="character" w:styleId="1183">
    <w:name w:val="Текст примечания Знак"/>
    <w:next w:val="1183"/>
    <w:link w:val="1182"/>
    <w:uiPriority w:val="99"/>
    <w:rPr>
      <w:rFonts w:ascii="Arial" w:hAnsi="Arial"/>
      <w:color w:val="333333"/>
    </w:rPr>
  </w:style>
  <w:style w:type="paragraph" w:styleId="1184">
    <w:name w:val="Тема примечания"/>
    <w:basedOn w:val="1182"/>
    <w:next w:val="1182"/>
    <w:link w:val="1185"/>
    <w:rPr>
      <w:b/>
      <w:bCs/>
    </w:rPr>
  </w:style>
  <w:style w:type="character" w:styleId="1185">
    <w:name w:val="Тема примечания Знак"/>
    <w:next w:val="1185"/>
    <w:link w:val="1184"/>
    <w:rPr>
      <w:rFonts w:ascii="Arial" w:hAnsi="Arial"/>
      <w:b/>
      <w:bCs/>
      <w:color w:val="333333"/>
    </w:rPr>
  </w:style>
  <w:style w:type="character" w:styleId="1186">
    <w:name w:val="Normal (Web) Char"/>
    <w:next w:val="1186"/>
    <w:link w:val="1123"/>
    <w:rPr>
      <w:rFonts w:ascii="Times New Roman" w:hAnsi="Times New Roman"/>
      <w:sz w:val="24"/>
      <w:lang w:val="en-US" w:eastAsia="ru-RU"/>
    </w:rPr>
  </w:style>
  <w:style w:type="paragraph" w:styleId="1187">
    <w:name w:val="Текст сноски"/>
    <w:basedOn w:val="1123"/>
    <w:next w:val="1187"/>
    <w:link w:val="1189"/>
    <w:pPr>
      <w:ind w:firstLine="709"/>
      <w:jc w:val="left"/>
      <w:spacing w:after="120"/>
      <w:widowControl w:val="off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character" w:styleId="1188">
    <w:name w:val="Текст сноски Знак"/>
    <w:next w:val="1188"/>
    <w:link w:val="1187"/>
    <w:rPr>
      <w:rFonts w:ascii="Arial" w:hAnsi="Arial" w:cs="Arial"/>
      <w:color w:val="333333"/>
    </w:rPr>
  </w:style>
  <w:style w:type="character" w:styleId="1189">
    <w:name w:val="Текст сноски Знак1"/>
    <w:next w:val="1189"/>
    <w:link w:val="1187"/>
    <w:rPr>
      <w:sz w:val="24"/>
      <w:szCs w:val="24"/>
    </w:rPr>
  </w:style>
  <w:style w:type="character" w:styleId="1190">
    <w:name w:val="with-breadcrumbs"/>
    <w:next w:val="1190"/>
    <w:link w:val="1123"/>
  </w:style>
  <w:style w:type="paragraph" w:styleId="1191">
    <w:name w:val="List Paragraph"/>
    <w:basedOn w:val="1123"/>
    <w:next w:val="1191"/>
    <w:link w:val="1123"/>
    <w:pPr>
      <w:ind w:firstLine="709"/>
      <w:jc w:val="left"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character" w:styleId="1192">
    <w:name w:val="jira-issue resolved"/>
    <w:next w:val="1192"/>
    <w:link w:val="1123"/>
  </w:style>
  <w:style w:type="paragraph" w:styleId="1193">
    <w:name w:val="Оглавление 1"/>
    <w:basedOn w:val="1123"/>
    <w:next w:val="1123"/>
    <w:link w:val="1123"/>
    <w:uiPriority w:val="39"/>
    <w:pPr>
      <w:ind w:firstLine="709"/>
      <w:spacing w:after="0"/>
    </w:pPr>
    <w:rPr>
      <w:rFonts w:ascii="Times New Roman" w:hAnsi="Times New Roman" w:cs="Times New Roman"/>
      <w:sz w:val="24"/>
      <w:szCs w:val="24"/>
    </w:rPr>
  </w:style>
  <w:style w:type="paragraph" w:styleId="1194">
    <w:name w:val="Название объекта"/>
    <w:basedOn w:val="1123"/>
    <w:next w:val="1123"/>
    <w:link w:val="1123"/>
    <w:qFormat/>
    <w:pPr>
      <w:ind w:firstLine="709"/>
      <w:spacing w:after="0"/>
    </w:pPr>
    <w:rPr>
      <w:rFonts w:ascii="Times New Roman" w:hAnsi="Times New Roman" w:cs="Times New Roman"/>
      <w:b/>
      <w:bCs/>
      <w:sz w:val="24"/>
      <w:szCs w:val="24"/>
    </w:rPr>
  </w:style>
  <w:style w:type="paragraph" w:styleId="1195">
    <w:name w:val="Название"/>
    <w:basedOn w:val="1137"/>
    <w:next w:val="1123"/>
    <w:link w:val="1196"/>
    <w:qFormat/>
    <w:pPr>
      <w:ind w:firstLine="709"/>
      <w:jc w:val="center"/>
      <w:spacing w:after="0"/>
      <w:tabs>
        <w:tab w:val="left" w:pos="567" w:leader="none"/>
      </w:tabs>
      <w:outlineLvl w:val="0"/>
    </w:pPr>
    <w:rPr>
      <w:rFonts w:ascii="Arial" w:hAnsi="Arial"/>
      <w:b/>
      <w:bCs/>
      <w:spacing w:val="12"/>
    </w:rPr>
  </w:style>
  <w:style w:type="character" w:styleId="1196">
    <w:name w:val="Название Знак"/>
    <w:next w:val="1196"/>
    <w:link w:val="1195"/>
    <w:rPr>
      <w:rFonts w:ascii="Arial" w:hAnsi="Arial"/>
      <w:b/>
      <w:bCs/>
      <w:spacing w:val="12"/>
      <w:sz w:val="24"/>
      <w:szCs w:val="24"/>
    </w:rPr>
  </w:style>
  <w:style w:type="paragraph" w:styleId="1197">
    <w:name w:val="Оглавление 2"/>
    <w:basedOn w:val="1123"/>
    <w:next w:val="1123"/>
    <w:link w:val="1123"/>
    <w:uiPriority w:val="39"/>
    <w:pPr>
      <w:ind w:left="240" w:firstLine="709"/>
      <w:spacing w:after="0"/>
    </w:pPr>
    <w:rPr>
      <w:rFonts w:ascii="Times New Roman" w:hAnsi="Times New Roman" w:cs="Times New Roman"/>
      <w:sz w:val="24"/>
      <w:szCs w:val="24"/>
    </w:rPr>
  </w:style>
  <w:style w:type="paragraph" w:styleId="1198">
    <w:name w:val="Абзац списка2"/>
    <w:basedOn w:val="1123"/>
    <w:next w:val="1198"/>
    <w:link w:val="1123"/>
    <w:pPr>
      <w:ind w:left="720"/>
      <w:jc w:val="left"/>
      <w:spacing w:after="160" w:line="259" w:lineRule="auto"/>
    </w:pPr>
    <w:rPr>
      <w:rFonts w:ascii="Calibri" w:hAnsi="Calibri" w:cs="Times New Roman"/>
      <w:color w:val="000000"/>
      <w:sz w:val="22"/>
      <w:szCs w:val="22"/>
      <w:lang w:eastAsia="en-US"/>
    </w:rPr>
  </w:style>
  <w:style w:type="character" w:styleId="1199">
    <w:name w:val="WW8Num1z0"/>
    <w:next w:val="1199"/>
    <w:link w:val="1123"/>
    <w:rPr>
      <w:rFonts w:ascii="Symbol" w:hAnsi="Symbol"/>
    </w:rPr>
  </w:style>
  <w:style w:type="character" w:styleId="1200">
    <w:name w:val="WW8Num2z0"/>
    <w:next w:val="1200"/>
    <w:link w:val="1123"/>
    <w:rPr>
      <w:rFonts w:ascii="Symbol" w:hAnsi="Symbol"/>
    </w:rPr>
  </w:style>
  <w:style w:type="character" w:styleId="1201">
    <w:name w:val="WW8Num3z0"/>
    <w:next w:val="1201"/>
    <w:link w:val="1123"/>
    <w:rPr>
      <w:rFonts w:ascii="Symbol" w:hAnsi="Symbol"/>
    </w:rPr>
  </w:style>
  <w:style w:type="character" w:styleId="1202">
    <w:name w:val="WW8Num4z0"/>
    <w:next w:val="1202"/>
    <w:link w:val="1123"/>
    <w:rPr>
      <w:rFonts w:ascii="Symbol" w:hAnsi="Symbol"/>
    </w:rPr>
  </w:style>
  <w:style w:type="character" w:styleId="1203">
    <w:name w:val="Absatz-Standardschriftart"/>
    <w:next w:val="1203"/>
    <w:link w:val="1123"/>
  </w:style>
  <w:style w:type="character" w:styleId="1204">
    <w:name w:val="WW-Absatz-Standardschriftart"/>
    <w:next w:val="1204"/>
    <w:link w:val="1123"/>
  </w:style>
  <w:style w:type="character" w:styleId="1205">
    <w:name w:val="WW-Absatz-Standardschriftart1"/>
    <w:next w:val="1205"/>
    <w:link w:val="1123"/>
  </w:style>
  <w:style w:type="character" w:styleId="1206">
    <w:name w:val="WW8Num5z0"/>
    <w:next w:val="1206"/>
    <w:link w:val="1123"/>
    <w:rPr>
      <w:rFonts w:ascii="Symbol" w:hAnsi="Symbol"/>
    </w:rPr>
  </w:style>
  <w:style w:type="character" w:styleId="1207">
    <w:name w:val="WW-Absatz-Standardschriftart11"/>
    <w:next w:val="1207"/>
    <w:link w:val="1123"/>
  </w:style>
  <w:style w:type="character" w:styleId="1208">
    <w:name w:val="WW8Num7z0"/>
    <w:next w:val="1208"/>
    <w:link w:val="1123"/>
    <w:rPr>
      <w:rFonts w:ascii="Symbol" w:hAnsi="Symbol"/>
    </w:rPr>
  </w:style>
  <w:style w:type="character" w:styleId="1209">
    <w:name w:val="WW8Num8z0"/>
    <w:next w:val="1209"/>
    <w:link w:val="1123"/>
    <w:rPr>
      <w:rFonts w:ascii="Symbol" w:hAnsi="Symbol"/>
    </w:rPr>
  </w:style>
  <w:style w:type="character" w:styleId="1210">
    <w:name w:val="WW8Num9z0"/>
    <w:next w:val="1210"/>
    <w:link w:val="1123"/>
    <w:rPr>
      <w:rFonts w:ascii="Symbol" w:hAnsi="Symbol"/>
    </w:rPr>
  </w:style>
  <w:style w:type="character" w:styleId="1211">
    <w:name w:val="WW8Num10z0"/>
    <w:next w:val="1211"/>
    <w:link w:val="1123"/>
    <w:rPr>
      <w:rFonts w:ascii="Symbol" w:hAnsi="Symbol"/>
    </w:rPr>
  </w:style>
  <w:style w:type="character" w:styleId="1212">
    <w:name w:val="WW8Num10z1"/>
    <w:next w:val="1212"/>
    <w:link w:val="1123"/>
    <w:rPr>
      <w:rFonts w:ascii="Courier New" w:hAnsi="Courier New"/>
    </w:rPr>
  </w:style>
  <w:style w:type="character" w:styleId="1213">
    <w:name w:val="WW8Num10z2"/>
    <w:next w:val="1213"/>
    <w:link w:val="1123"/>
    <w:rPr>
      <w:rFonts w:ascii="Wingdings" w:hAnsi="Wingdings"/>
    </w:rPr>
  </w:style>
  <w:style w:type="character" w:styleId="1214">
    <w:name w:val="Основной шрифт абзаца4"/>
    <w:next w:val="1214"/>
    <w:link w:val="1123"/>
  </w:style>
  <w:style w:type="character" w:styleId="1215">
    <w:name w:val="WW8Num6z0"/>
    <w:next w:val="1215"/>
    <w:link w:val="1123"/>
    <w:rPr>
      <w:rFonts w:ascii="Symbol" w:hAnsi="Symbol"/>
    </w:rPr>
  </w:style>
  <w:style w:type="character" w:styleId="1216">
    <w:name w:val="WW-Absatz-Standardschriftart111"/>
    <w:next w:val="1216"/>
    <w:link w:val="1123"/>
  </w:style>
  <w:style w:type="character" w:styleId="1217">
    <w:name w:val="WW-Absatz-Standardschriftart1111"/>
    <w:next w:val="1217"/>
    <w:link w:val="1123"/>
  </w:style>
  <w:style w:type="character" w:styleId="1218">
    <w:name w:val="WW-Absatz-Standardschriftart11111"/>
    <w:next w:val="1218"/>
    <w:link w:val="1123"/>
  </w:style>
  <w:style w:type="character" w:styleId="1219">
    <w:name w:val="WW-Absatz-Standardschriftart111111"/>
    <w:next w:val="1219"/>
    <w:link w:val="1123"/>
  </w:style>
  <w:style w:type="character" w:styleId="1220">
    <w:name w:val="WW-Absatz-Standardschriftart1111111"/>
    <w:next w:val="1220"/>
    <w:link w:val="1123"/>
  </w:style>
  <w:style w:type="character" w:styleId="1221">
    <w:name w:val="WW-Absatz-Standardschriftart11111111"/>
    <w:next w:val="1221"/>
    <w:link w:val="1123"/>
  </w:style>
  <w:style w:type="character" w:styleId="1222">
    <w:name w:val="WW-Absatz-Standardschriftart111111111"/>
    <w:next w:val="1222"/>
    <w:link w:val="1123"/>
  </w:style>
  <w:style w:type="character" w:styleId="1223">
    <w:name w:val="WW-Absatz-Standardschriftart1111111111"/>
    <w:next w:val="1223"/>
    <w:link w:val="1123"/>
  </w:style>
  <w:style w:type="character" w:styleId="1224">
    <w:name w:val="WW-Absatz-Standardschriftart11111111111"/>
    <w:next w:val="1224"/>
    <w:link w:val="1123"/>
  </w:style>
  <w:style w:type="character" w:styleId="1225">
    <w:name w:val="WW-Absatz-Standardschriftart111111111111"/>
    <w:next w:val="1225"/>
    <w:link w:val="1123"/>
  </w:style>
  <w:style w:type="character" w:styleId="1226">
    <w:name w:val="WW-Absatz-Standardschriftart1111111111111"/>
    <w:next w:val="1226"/>
    <w:link w:val="1123"/>
  </w:style>
  <w:style w:type="character" w:styleId="1227">
    <w:name w:val="WW-Absatz-Standardschriftart11111111111111"/>
    <w:next w:val="1227"/>
    <w:link w:val="1123"/>
  </w:style>
  <w:style w:type="character" w:styleId="1228">
    <w:name w:val="WW-Absatz-Standardschriftart111111111111111"/>
    <w:next w:val="1228"/>
    <w:link w:val="1123"/>
  </w:style>
  <w:style w:type="character" w:styleId="1229">
    <w:name w:val="WW-Absatz-Standardschriftart1111111111111111"/>
    <w:next w:val="1229"/>
    <w:link w:val="1123"/>
  </w:style>
  <w:style w:type="character" w:styleId="1230">
    <w:name w:val="WW-Absatz-Standardschriftart11111111111111111"/>
    <w:next w:val="1230"/>
    <w:link w:val="1123"/>
  </w:style>
  <w:style w:type="character" w:styleId="1231">
    <w:name w:val="WW-Absatz-Standardschriftart111111111111111111"/>
    <w:next w:val="1231"/>
    <w:link w:val="1123"/>
  </w:style>
  <w:style w:type="character" w:styleId="1232">
    <w:name w:val="WW-Absatz-Standardschriftart1111111111111111111"/>
    <w:next w:val="1232"/>
    <w:link w:val="1123"/>
  </w:style>
  <w:style w:type="character" w:styleId="1233">
    <w:name w:val="WW-Absatz-Standardschriftart11111111111111111111"/>
    <w:next w:val="1233"/>
    <w:link w:val="1123"/>
  </w:style>
  <w:style w:type="character" w:styleId="1234">
    <w:name w:val="WW-Absatz-Standardschriftart111111111111111111111"/>
    <w:next w:val="1234"/>
    <w:link w:val="1123"/>
  </w:style>
  <w:style w:type="character" w:styleId="1235">
    <w:name w:val="WW8Num6z1"/>
    <w:next w:val="1235"/>
    <w:link w:val="1123"/>
    <w:rPr>
      <w:rFonts w:ascii="Courier New" w:hAnsi="Courier New"/>
    </w:rPr>
  </w:style>
  <w:style w:type="character" w:styleId="1236">
    <w:name w:val="WW8Num6z2"/>
    <w:next w:val="1236"/>
    <w:link w:val="1123"/>
    <w:rPr>
      <w:rFonts w:ascii="Wingdings" w:hAnsi="Wingdings"/>
    </w:rPr>
  </w:style>
  <w:style w:type="character" w:styleId="1237">
    <w:name w:val="WW8Num7z1"/>
    <w:next w:val="1237"/>
    <w:link w:val="1123"/>
    <w:rPr>
      <w:rFonts w:ascii="Courier New" w:hAnsi="Courier New"/>
    </w:rPr>
  </w:style>
  <w:style w:type="character" w:styleId="1238">
    <w:name w:val="WW8Num7z2"/>
    <w:next w:val="1238"/>
    <w:link w:val="1123"/>
    <w:rPr>
      <w:rFonts w:ascii="Wingdings" w:hAnsi="Wingdings"/>
    </w:rPr>
  </w:style>
  <w:style w:type="character" w:styleId="1239">
    <w:name w:val="Основной шрифт абзаца3"/>
    <w:next w:val="1239"/>
    <w:link w:val="1123"/>
  </w:style>
  <w:style w:type="character" w:styleId="1240">
    <w:name w:val="Основной шрифт абзаца2"/>
    <w:next w:val="1240"/>
    <w:link w:val="1123"/>
  </w:style>
  <w:style w:type="character" w:styleId="1241">
    <w:name w:val="WW-Absatz-Standardschriftart1111111111111111111111"/>
    <w:next w:val="1241"/>
    <w:link w:val="1123"/>
  </w:style>
  <w:style w:type="character" w:styleId="1242">
    <w:name w:val="WW-Absatz-Standardschriftart11111111111111111111111"/>
    <w:next w:val="1242"/>
    <w:link w:val="1123"/>
  </w:style>
  <w:style w:type="character" w:styleId="1243">
    <w:name w:val="WW8Num4z1"/>
    <w:next w:val="1243"/>
    <w:link w:val="1123"/>
    <w:rPr>
      <w:rFonts w:ascii="Courier New" w:hAnsi="Courier New"/>
    </w:rPr>
  </w:style>
  <w:style w:type="character" w:styleId="1244">
    <w:name w:val="WW8Num4z2"/>
    <w:next w:val="1244"/>
    <w:link w:val="1123"/>
    <w:rPr>
      <w:rFonts w:ascii="Wingdings" w:hAnsi="Wingdings"/>
    </w:rPr>
  </w:style>
  <w:style w:type="character" w:styleId="1245">
    <w:name w:val="WW8Num5z1"/>
    <w:next w:val="1245"/>
    <w:link w:val="1123"/>
    <w:rPr>
      <w:rFonts w:ascii="Courier New" w:hAnsi="Courier New"/>
    </w:rPr>
  </w:style>
  <w:style w:type="character" w:styleId="1246">
    <w:name w:val="WW8Num5z2"/>
    <w:next w:val="1246"/>
    <w:link w:val="1123"/>
    <w:rPr>
      <w:rFonts w:ascii="Wingdings" w:hAnsi="Wingdings"/>
    </w:rPr>
  </w:style>
  <w:style w:type="character" w:styleId="1247">
    <w:name w:val="Основной шрифт абзаца1"/>
    <w:next w:val="1247"/>
    <w:link w:val="1123"/>
  </w:style>
  <w:style w:type="character" w:styleId="1248">
    <w:name w:val="Знак примечания1"/>
    <w:next w:val="1248"/>
    <w:link w:val="1123"/>
    <w:rPr>
      <w:sz w:val="16"/>
    </w:rPr>
  </w:style>
  <w:style w:type="character" w:styleId="1249">
    <w:name w:val="Маркеры списка"/>
    <w:next w:val="1249"/>
    <w:link w:val="1123"/>
    <w:rPr>
      <w:rFonts w:ascii="OpenSymbol" w:hAnsi="OpenSymbol" w:eastAsia="Times New Roman"/>
    </w:rPr>
  </w:style>
  <w:style w:type="character" w:styleId="1250">
    <w:name w:val="Символ нумерации"/>
    <w:next w:val="1250"/>
    <w:link w:val="1123"/>
  </w:style>
  <w:style w:type="character" w:styleId="1251">
    <w:name w:val="Footnote Characters"/>
    <w:next w:val="1251"/>
    <w:link w:val="1123"/>
    <w:rPr>
      <w:vertAlign w:val="superscript"/>
    </w:rPr>
  </w:style>
  <w:style w:type="character" w:styleId="1252">
    <w:name w:val="Знак примечания2"/>
    <w:next w:val="1252"/>
    <w:link w:val="1123"/>
    <w:rPr>
      <w:sz w:val="16"/>
    </w:rPr>
  </w:style>
  <w:style w:type="character" w:styleId="1253">
    <w:name w:val="Символ сноски"/>
    <w:next w:val="1253"/>
    <w:link w:val="1123"/>
    <w:rPr>
      <w:vertAlign w:val="superscript"/>
    </w:rPr>
  </w:style>
  <w:style w:type="character" w:styleId="1254">
    <w:name w:val="WW-Символ сноски"/>
    <w:next w:val="1254"/>
    <w:link w:val="1123"/>
  </w:style>
  <w:style w:type="character" w:styleId="1255">
    <w:name w:val="Символы концевой сноски"/>
    <w:next w:val="1255"/>
    <w:link w:val="1123"/>
    <w:rPr>
      <w:vertAlign w:val="superscript"/>
    </w:rPr>
  </w:style>
  <w:style w:type="character" w:styleId="1256">
    <w:name w:val="WW-Символы концевой сноски"/>
    <w:next w:val="1256"/>
    <w:link w:val="1123"/>
  </w:style>
  <w:style w:type="character" w:styleId="1257">
    <w:name w:val="Знак сноски"/>
    <w:next w:val="1257"/>
    <w:link w:val="1123"/>
    <w:rPr>
      <w:vertAlign w:val="superscript"/>
    </w:rPr>
  </w:style>
  <w:style w:type="character" w:styleId="1258">
    <w:name w:val="Знак концевой сноски"/>
    <w:next w:val="1258"/>
    <w:link w:val="1123"/>
    <w:rPr>
      <w:vertAlign w:val="superscript"/>
    </w:rPr>
  </w:style>
  <w:style w:type="paragraph" w:styleId="1259">
    <w:name w:val="Список"/>
    <w:basedOn w:val="1164"/>
    <w:next w:val="1259"/>
    <w:link w:val="1123"/>
    <w:pPr>
      <w:jc w:val="left"/>
    </w:pPr>
    <w:rPr>
      <w:rFonts w:ascii="Times New Roman" w:hAnsi="Times New Roman" w:cs="Tahoma"/>
      <w:color w:val="000000"/>
      <w:sz w:val="24"/>
      <w:szCs w:val="24"/>
      <w:lang w:eastAsia="ar-SA"/>
    </w:rPr>
  </w:style>
  <w:style w:type="paragraph" w:styleId="1260">
    <w:name w:val="Название4"/>
    <w:basedOn w:val="1123"/>
    <w:next w:val="1260"/>
    <w:link w:val="1123"/>
    <w:pPr>
      <w:jc w:val="left"/>
      <w:spacing w:before="120" w:after="120"/>
      <w:suppressLineNumbers/>
    </w:pPr>
    <w:rPr>
      <w:rFonts w:cs="Mangal"/>
      <w:i/>
      <w:iCs/>
      <w:color w:val="000000"/>
      <w:szCs w:val="24"/>
      <w:lang w:eastAsia="ar-SA"/>
    </w:rPr>
  </w:style>
  <w:style w:type="paragraph" w:styleId="1261">
    <w:name w:val="Указатель4"/>
    <w:basedOn w:val="1123"/>
    <w:next w:val="1261"/>
    <w:link w:val="1123"/>
    <w:pPr>
      <w:jc w:val="left"/>
      <w:spacing w:after="0"/>
      <w:suppressLineNumbers/>
    </w:pPr>
    <w:rPr>
      <w:rFonts w:cs="Mangal"/>
      <w:color w:val="000000"/>
      <w:sz w:val="24"/>
      <w:szCs w:val="24"/>
      <w:lang w:eastAsia="ar-SA"/>
    </w:rPr>
  </w:style>
  <w:style w:type="paragraph" w:styleId="1262">
    <w:name w:val="Название3"/>
    <w:basedOn w:val="1123"/>
    <w:next w:val="1262"/>
    <w:link w:val="1123"/>
    <w:pPr>
      <w:jc w:val="left"/>
      <w:spacing w:before="120" w:after="120"/>
      <w:suppressLineNumbers/>
    </w:pPr>
    <w:rPr>
      <w:rFonts w:cs="Tahoma"/>
      <w:i/>
      <w:iCs/>
      <w:color w:val="000000"/>
      <w:szCs w:val="24"/>
      <w:lang w:eastAsia="ar-SA"/>
    </w:rPr>
  </w:style>
  <w:style w:type="paragraph" w:styleId="1263">
    <w:name w:val="Указатель3"/>
    <w:basedOn w:val="1123"/>
    <w:next w:val="1263"/>
    <w:link w:val="1123"/>
    <w:pPr>
      <w:jc w:val="left"/>
      <w:spacing w:after="0"/>
      <w:suppressLineNumbers/>
    </w:pPr>
    <w:rPr>
      <w:rFonts w:cs="Tahoma"/>
      <w:color w:val="000000"/>
      <w:sz w:val="24"/>
      <w:szCs w:val="24"/>
      <w:lang w:eastAsia="ar-SA"/>
    </w:rPr>
  </w:style>
  <w:style w:type="paragraph" w:styleId="1264">
    <w:name w:val="Название2"/>
    <w:basedOn w:val="1123"/>
    <w:next w:val="1264"/>
    <w:link w:val="1123"/>
    <w:pPr>
      <w:jc w:val="left"/>
      <w:spacing w:before="120" w:after="120"/>
      <w:suppressLineNumbers/>
    </w:pPr>
    <w:rPr>
      <w:rFonts w:cs="Tahoma"/>
      <w:i/>
      <w:iCs/>
      <w:color w:val="000000"/>
      <w:szCs w:val="24"/>
      <w:lang w:eastAsia="ar-SA"/>
    </w:rPr>
  </w:style>
  <w:style w:type="paragraph" w:styleId="1265">
    <w:name w:val="Указатель2"/>
    <w:basedOn w:val="1123"/>
    <w:next w:val="1265"/>
    <w:link w:val="1123"/>
    <w:pPr>
      <w:jc w:val="left"/>
      <w:spacing w:after="0"/>
      <w:suppressLineNumbers/>
    </w:pPr>
    <w:rPr>
      <w:rFonts w:cs="Tahoma"/>
      <w:color w:val="000000"/>
      <w:sz w:val="24"/>
      <w:szCs w:val="24"/>
      <w:lang w:eastAsia="ar-SA"/>
    </w:rPr>
  </w:style>
  <w:style w:type="paragraph" w:styleId="1266">
    <w:name w:val="Название1"/>
    <w:basedOn w:val="1123"/>
    <w:next w:val="1266"/>
    <w:link w:val="1123"/>
    <w:pPr>
      <w:jc w:val="left"/>
      <w:spacing w:before="120" w:after="120"/>
      <w:suppressLineNumbers/>
    </w:pPr>
    <w:rPr>
      <w:rFonts w:ascii="Times New Roman" w:hAnsi="Times New Roman" w:cs="Tahoma"/>
      <w:i/>
      <w:iCs/>
      <w:color w:val="000000"/>
      <w:sz w:val="24"/>
      <w:szCs w:val="24"/>
      <w:lang w:eastAsia="ar-SA"/>
    </w:rPr>
  </w:style>
  <w:style w:type="paragraph" w:styleId="1267">
    <w:name w:val="Указатель1"/>
    <w:basedOn w:val="1123"/>
    <w:next w:val="1267"/>
    <w:link w:val="1123"/>
    <w:pPr>
      <w:jc w:val="left"/>
      <w:spacing w:after="0"/>
      <w:suppressLineNumbers/>
    </w:pPr>
    <w:rPr>
      <w:rFonts w:ascii="Times New Roman" w:hAnsi="Times New Roman" w:cs="Tahoma"/>
      <w:color w:val="000000"/>
      <w:sz w:val="24"/>
      <w:szCs w:val="24"/>
      <w:lang w:eastAsia="ar-SA"/>
    </w:rPr>
  </w:style>
  <w:style w:type="paragraph" w:styleId="1268">
    <w:name w:val="Договор раздел текст"/>
    <w:basedOn w:val="1123"/>
    <w:next w:val="1268"/>
    <w:link w:val="1123"/>
    <w:pPr>
      <w:ind w:firstLine="709"/>
      <w:spacing w:after="240"/>
    </w:pPr>
    <w:rPr>
      <w:color w:val="000000"/>
      <w:lang w:eastAsia="ar-SA"/>
    </w:rPr>
  </w:style>
  <w:style w:type="paragraph" w:styleId="1269">
    <w:name w:val="Д. Прил. название"/>
    <w:basedOn w:val="1123"/>
    <w:next w:val="1269"/>
    <w:link w:val="1123"/>
    <w:pPr>
      <w:jc w:val="center"/>
      <w:spacing w:before="480" w:after="360"/>
    </w:pPr>
    <w:rPr>
      <w:b/>
      <w:bCs/>
      <w:caps/>
      <w:color w:val="000000"/>
      <w:sz w:val="32"/>
      <w:szCs w:val="32"/>
      <w:lang w:eastAsia="ar-SA"/>
    </w:rPr>
  </w:style>
  <w:style w:type="paragraph" w:styleId="1270">
    <w:name w:val="Д.Прил.текст"/>
    <w:basedOn w:val="1123"/>
    <w:next w:val="1270"/>
    <w:link w:val="1123"/>
    <w:pPr>
      <w:ind w:firstLine="709"/>
      <w:spacing w:after="0"/>
    </w:pPr>
    <w:rPr>
      <w:color w:val="000000"/>
      <w:lang w:eastAsia="ar-SA"/>
    </w:rPr>
  </w:style>
  <w:style w:type="paragraph" w:styleId="1271">
    <w:name w:val="Договор конец"/>
    <w:basedOn w:val="1123"/>
    <w:next w:val="1271"/>
    <w:link w:val="1123"/>
    <w:pPr>
      <w:ind w:firstLine="709"/>
      <w:spacing w:after="0"/>
      <w:pBdr>
        <w:top w:val="single" w:color="000000" w:sz="4" w:space="18"/>
      </w:pBdr>
    </w:pPr>
    <w:rPr>
      <w:color w:val="000000"/>
      <w:lang w:eastAsia="ar-SA"/>
    </w:rPr>
  </w:style>
  <w:style w:type="paragraph" w:styleId="1272">
    <w:name w:val="Договор преамбула"/>
    <w:basedOn w:val="1123"/>
    <w:next w:val="1272"/>
    <w:link w:val="1123"/>
    <w:pPr>
      <w:spacing w:before="480" w:after="240"/>
    </w:pPr>
    <w:rPr>
      <w:color w:val="000000"/>
      <w:lang w:eastAsia="ar-SA"/>
    </w:rPr>
  </w:style>
  <w:style w:type="paragraph" w:styleId="1273">
    <w:name w:val="Договор раздел"/>
    <w:basedOn w:val="1123"/>
    <w:next w:val="1273"/>
    <w:link w:val="1123"/>
    <w:pPr>
      <w:jc w:val="center"/>
      <w:spacing w:before="600" w:after="240"/>
      <w:tabs>
        <w:tab w:val="left" w:pos="454" w:leader="none"/>
      </w:tabs>
      <w:pBdr>
        <w:top w:val="single" w:color="000000" w:sz="4" w:space="24"/>
      </w:pBdr>
    </w:pPr>
    <w:rPr>
      <w:b/>
      <w:bCs/>
      <w:caps/>
      <w:color w:val="000000"/>
      <w:sz w:val="32"/>
      <w:szCs w:val="32"/>
      <w:lang w:eastAsia="ar-SA"/>
    </w:rPr>
  </w:style>
  <w:style w:type="paragraph" w:styleId="1274">
    <w:name w:val="Договор текст1.1.1."/>
    <w:basedOn w:val="1268"/>
    <w:next w:val="1274"/>
    <w:link w:val="1123"/>
    <w:pPr>
      <w:ind w:left="709" w:firstLine="11"/>
    </w:pPr>
    <w:rPr>
      <w:lang w:val="en-US"/>
    </w:rPr>
  </w:style>
  <w:style w:type="paragraph" w:styleId="1275">
    <w:name w:val="Договор шапка"/>
    <w:basedOn w:val="1123"/>
    <w:next w:val="1123"/>
    <w:link w:val="1123"/>
    <w:pPr>
      <w:jc w:val="center"/>
      <w:spacing w:before="120" w:after="360"/>
    </w:pPr>
    <w:rPr>
      <w:b/>
      <w:bCs/>
      <w:caps/>
      <w:color w:val="000000"/>
      <w:spacing w:val="-20"/>
      <w:sz w:val="36"/>
      <w:szCs w:val="36"/>
      <w:lang w:eastAsia="ar-SA"/>
    </w:rPr>
  </w:style>
  <w:style w:type="paragraph" w:styleId="1276">
    <w:name w:val="Текст таблицы"/>
    <w:basedOn w:val="1123"/>
    <w:next w:val="1276"/>
    <w:link w:val="1123"/>
    <w:pPr>
      <w:keepLines/>
      <w:keepNext/>
      <w:spacing w:before="40" w:after="120" w:line="200" w:lineRule="exact"/>
    </w:pPr>
    <w:rPr>
      <w:rFonts w:cs="Times New Roman"/>
      <w:color w:val="000000"/>
      <w:lang w:eastAsia="ar-SA"/>
    </w:rPr>
  </w:style>
  <w:style w:type="paragraph" w:styleId="1277">
    <w:name w:val="Основной текст с отступом"/>
    <w:basedOn w:val="1123"/>
    <w:next w:val="1277"/>
    <w:link w:val="1278"/>
    <w:pPr>
      <w:ind w:firstLine="709"/>
      <w:spacing w:after="0"/>
    </w:pPr>
    <w:rPr>
      <w:rFonts w:cs="Times New Roman"/>
      <w:color w:val="000000"/>
      <w:szCs w:val="24"/>
      <w:lang w:eastAsia="ar-SA"/>
    </w:rPr>
  </w:style>
  <w:style w:type="character" w:styleId="1278">
    <w:name w:val="Основной текст с отступом Знак"/>
    <w:next w:val="1278"/>
    <w:link w:val="1277"/>
    <w:rPr>
      <w:rFonts w:ascii="Arial" w:hAnsi="Arial"/>
      <w:szCs w:val="24"/>
      <w:lang w:eastAsia="ar-SA"/>
    </w:rPr>
  </w:style>
  <w:style w:type="paragraph" w:styleId="1279">
    <w:name w:val="Основной текст с отступом 21"/>
    <w:basedOn w:val="1123"/>
    <w:next w:val="1279"/>
    <w:link w:val="1123"/>
    <w:pPr>
      <w:ind w:firstLine="720"/>
      <w:spacing w:after="0"/>
    </w:pPr>
    <w:rPr>
      <w:color w:val="000000"/>
      <w:szCs w:val="24"/>
      <w:lang w:eastAsia="ar-SA"/>
    </w:rPr>
  </w:style>
  <w:style w:type="paragraph" w:styleId="1280">
    <w:name w:val="Текст примечания1"/>
    <w:basedOn w:val="1123"/>
    <w:next w:val="1280"/>
    <w:link w:val="1123"/>
    <w:pPr>
      <w:jc w:val="left"/>
      <w:spacing w:after="0"/>
    </w:pPr>
    <w:rPr>
      <w:rFonts w:ascii="Times New Roman" w:hAnsi="Times New Roman" w:cs="Times New Roman"/>
      <w:color w:val="000000"/>
      <w:lang w:eastAsia="ar-SA"/>
    </w:rPr>
  </w:style>
  <w:style w:type="paragraph" w:styleId="1281">
    <w:name w:val="Содержимое таблицы"/>
    <w:basedOn w:val="1123"/>
    <w:next w:val="1281"/>
    <w:link w:val="1123"/>
    <w:pPr>
      <w:jc w:val="left"/>
      <w:spacing w:after="0"/>
      <w:suppressLineNumbers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styleId="1282">
    <w:name w:val="Заголовок таблицы"/>
    <w:basedOn w:val="1281"/>
    <w:next w:val="1282"/>
    <w:link w:val="1123"/>
    <w:pPr>
      <w:jc w:val="center"/>
    </w:pPr>
    <w:rPr>
      <w:b/>
      <w:bCs/>
    </w:rPr>
  </w:style>
  <w:style w:type="paragraph" w:styleId="1283">
    <w:name w:val="Схема документа1"/>
    <w:basedOn w:val="1123"/>
    <w:next w:val="1283"/>
    <w:link w:val="1123"/>
    <w:pPr>
      <w:jc w:val="left"/>
      <w:spacing w:after="0"/>
      <w:shd w:val="clear" w:color="auto" w:fill="000080"/>
    </w:pPr>
    <w:rPr>
      <w:rFonts w:ascii="Tahoma" w:hAnsi="Tahoma" w:cs="Tahoma"/>
      <w:color w:val="000000"/>
      <w:lang w:eastAsia="ar-SA"/>
    </w:rPr>
  </w:style>
  <w:style w:type="paragraph" w:styleId="1284">
    <w:name w:val="Текст примечания2"/>
    <w:basedOn w:val="1123"/>
    <w:next w:val="1284"/>
    <w:link w:val="1123"/>
    <w:pPr>
      <w:jc w:val="left"/>
      <w:spacing w:after="0"/>
    </w:pPr>
    <w:rPr>
      <w:rFonts w:ascii="Times New Roman" w:hAnsi="Times New Roman" w:cs="Times New Roman"/>
      <w:color w:val="000000"/>
      <w:lang w:eastAsia="ar-SA"/>
    </w:rPr>
  </w:style>
  <w:style w:type="character" w:styleId="1285">
    <w:name w:val="apple-converted-space"/>
    <w:next w:val="1285"/>
    <w:link w:val="1123"/>
    <w:rPr>
      <w:rFonts w:cs="Times New Roman"/>
    </w:rPr>
  </w:style>
  <w:style w:type="paragraph" w:styleId="1286">
    <w:name w:val="Маркированный список"/>
    <w:basedOn w:val="1123"/>
    <w:next w:val="1286"/>
    <w:link w:val="1123"/>
    <w:pPr>
      <w:numPr>
        <w:ilvl w:val="0"/>
        <w:numId w:val="14"/>
      </w:numPr>
      <w:jc w:val="left"/>
      <w:spacing w:after="0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character" w:styleId="1287">
    <w:name w:val="Просмотренная гиперссылка"/>
    <w:next w:val="1287"/>
    <w:link w:val="1123"/>
    <w:rPr>
      <w:color w:val="800080"/>
      <w:u w:val="single"/>
    </w:rPr>
  </w:style>
  <w:style w:type="table" w:styleId="1288">
    <w:name w:val="Сетка таблицы"/>
    <w:basedOn w:val="1134"/>
    <w:next w:val="1288"/>
    <w:link w:val="1123"/>
    <w:uiPriority w:val="99"/>
    <w:tblPr/>
  </w:style>
  <w:style w:type="paragraph" w:styleId="1289">
    <w:name w:val="Оглавление 3"/>
    <w:basedOn w:val="1123"/>
    <w:next w:val="1123"/>
    <w:link w:val="1123"/>
    <w:uiPriority w:val="39"/>
    <w:pPr>
      <w:ind w:left="480" w:firstLine="709"/>
      <w:spacing w:after="100"/>
    </w:pPr>
    <w:rPr>
      <w:rFonts w:ascii="Times New Roman" w:hAnsi="Times New Roman" w:cs="Times New Roman"/>
      <w:sz w:val="24"/>
      <w:szCs w:val="24"/>
    </w:rPr>
  </w:style>
  <w:style w:type="character" w:styleId="1290">
    <w:name w:val="Заголовок 1 Знак1"/>
    <w:next w:val="1290"/>
    <w:link w:val="1123"/>
    <w:rPr>
      <w:rFonts w:ascii="Cambria" w:hAnsi="Cambria"/>
      <w:b/>
      <w:sz w:val="32"/>
      <w:lang w:val="en-US" w:eastAsia="ar-SA" w:bidi="ar-SA"/>
    </w:rPr>
  </w:style>
  <w:style w:type="character" w:styleId="1291">
    <w:name w:val="Заголовок 2 Знак1"/>
    <w:next w:val="1291"/>
    <w:link w:val="1123"/>
    <w:rPr>
      <w:b/>
      <w:i/>
      <w:sz w:val="28"/>
      <w:lang w:val="en-US" w:eastAsia="hi-IN" w:bidi="hi-IN"/>
    </w:rPr>
  </w:style>
  <w:style w:type="paragraph" w:styleId="1292">
    <w:name w:val="Заголовок1"/>
    <w:basedOn w:val="1123"/>
    <w:next w:val="1164"/>
    <w:link w:val="1123"/>
    <w:pPr>
      <w:jc w:val="left"/>
      <w:keepNext/>
      <w:spacing w:before="240" w:after="120"/>
    </w:pPr>
    <w:rPr>
      <w:color w:val="000000"/>
      <w:sz w:val="28"/>
      <w:szCs w:val="28"/>
      <w:lang w:eastAsia="ar-SA"/>
    </w:rPr>
  </w:style>
  <w:style w:type="paragraph" w:styleId="1293">
    <w:name w:val="ЗаголовокОсн"/>
    <w:basedOn w:val="1164"/>
    <w:next w:val="1164"/>
    <w:link w:val="1123"/>
    <w:pPr>
      <w:jc w:val="left"/>
      <w:keepLines/>
      <w:keepNext/>
      <w:spacing w:after="0" w:line="240" w:lineRule="atLeast"/>
    </w:pPr>
    <w:rPr>
      <w:color w:val="000000"/>
    </w:rPr>
  </w:style>
  <w:style w:type="paragraph" w:styleId="1294">
    <w:name w:val="Оглавление 4"/>
    <w:basedOn w:val="1123"/>
    <w:next w:val="1123"/>
    <w:link w:val="1123"/>
    <w:uiPriority w:val="39"/>
    <w:unhideWhenUsed/>
    <w:pPr>
      <w:ind w:left="660"/>
      <w:jc w:val="left"/>
      <w:spacing w:after="100" w:line="276" w:lineRule="auto"/>
    </w:pPr>
    <w:rPr>
      <w:rFonts w:ascii="Calibri" w:hAnsi="Calibri" w:cs="Times New Roman"/>
      <w:color w:val="000000"/>
      <w:sz w:val="22"/>
      <w:szCs w:val="22"/>
    </w:rPr>
  </w:style>
  <w:style w:type="paragraph" w:styleId="1295">
    <w:name w:val="Оглавление 5"/>
    <w:basedOn w:val="1123"/>
    <w:next w:val="1123"/>
    <w:link w:val="1123"/>
    <w:uiPriority w:val="39"/>
    <w:unhideWhenUsed/>
    <w:pPr>
      <w:ind w:left="880"/>
      <w:jc w:val="left"/>
      <w:spacing w:after="100" w:line="276" w:lineRule="auto"/>
    </w:pPr>
    <w:rPr>
      <w:rFonts w:ascii="Calibri" w:hAnsi="Calibri" w:cs="Times New Roman"/>
      <w:color w:val="000000"/>
      <w:sz w:val="22"/>
      <w:szCs w:val="22"/>
    </w:rPr>
  </w:style>
  <w:style w:type="paragraph" w:styleId="1296">
    <w:name w:val="Оглавление 6"/>
    <w:basedOn w:val="1123"/>
    <w:next w:val="1123"/>
    <w:link w:val="1123"/>
    <w:uiPriority w:val="39"/>
    <w:unhideWhenUsed/>
    <w:pPr>
      <w:ind w:left="1100"/>
      <w:jc w:val="left"/>
      <w:spacing w:after="100" w:line="276" w:lineRule="auto"/>
    </w:pPr>
    <w:rPr>
      <w:rFonts w:ascii="Calibri" w:hAnsi="Calibri" w:cs="Times New Roman"/>
      <w:color w:val="000000"/>
      <w:sz w:val="22"/>
      <w:szCs w:val="22"/>
    </w:rPr>
  </w:style>
  <w:style w:type="paragraph" w:styleId="1297">
    <w:name w:val="Оглавление 7"/>
    <w:basedOn w:val="1123"/>
    <w:next w:val="1123"/>
    <w:link w:val="1123"/>
    <w:uiPriority w:val="39"/>
    <w:unhideWhenUsed/>
    <w:pPr>
      <w:ind w:left="1320"/>
      <w:jc w:val="left"/>
      <w:spacing w:after="100" w:line="276" w:lineRule="auto"/>
    </w:pPr>
    <w:rPr>
      <w:rFonts w:ascii="Calibri" w:hAnsi="Calibri" w:cs="Times New Roman"/>
      <w:color w:val="000000"/>
      <w:sz w:val="22"/>
      <w:szCs w:val="22"/>
    </w:rPr>
  </w:style>
  <w:style w:type="paragraph" w:styleId="1298">
    <w:name w:val="Оглавление 8"/>
    <w:basedOn w:val="1123"/>
    <w:next w:val="1123"/>
    <w:link w:val="1123"/>
    <w:uiPriority w:val="39"/>
    <w:unhideWhenUsed/>
    <w:pPr>
      <w:ind w:left="1540"/>
      <w:jc w:val="left"/>
      <w:spacing w:after="100" w:line="276" w:lineRule="auto"/>
    </w:pPr>
    <w:rPr>
      <w:rFonts w:ascii="Calibri" w:hAnsi="Calibri" w:cs="Times New Roman"/>
      <w:color w:val="000000"/>
      <w:sz w:val="22"/>
      <w:szCs w:val="22"/>
    </w:rPr>
  </w:style>
  <w:style w:type="paragraph" w:styleId="1299">
    <w:name w:val="Оглавление 9"/>
    <w:basedOn w:val="1123"/>
    <w:next w:val="1123"/>
    <w:link w:val="1123"/>
    <w:uiPriority w:val="39"/>
    <w:unhideWhenUsed/>
    <w:pPr>
      <w:ind w:left="1760"/>
      <w:jc w:val="left"/>
      <w:spacing w:after="100" w:line="276" w:lineRule="auto"/>
    </w:pPr>
    <w:rPr>
      <w:rFonts w:ascii="Calibri" w:hAnsi="Calibri" w:cs="Times New Roman"/>
      <w:color w:val="000000"/>
      <w:sz w:val="22"/>
      <w:szCs w:val="22"/>
    </w:rPr>
  </w:style>
  <w:style w:type="paragraph" w:styleId="1300">
    <w:name w:val="Текст"/>
    <w:basedOn w:val="1123"/>
    <w:next w:val="1300"/>
    <w:link w:val="1301"/>
    <w:uiPriority w:val="99"/>
    <w:unhideWhenUsed/>
    <w:pPr>
      <w:jc w:val="left"/>
      <w:spacing w:after="0"/>
    </w:pPr>
    <w:rPr>
      <w:rFonts w:ascii="Consolas" w:hAnsi="Consolas" w:eastAsia="Calibri" w:cs="Times New Roman"/>
      <w:color w:val="000000"/>
      <w:sz w:val="21"/>
      <w:szCs w:val="21"/>
      <w:lang w:eastAsia="en-US"/>
    </w:rPr>
  </w:style>
  <w:style w:type="character" w:styleId="1301">
    <w:name w:val="Текст Знак"/>
    <w:next w:val="1301"/>
    <w:link w:val="1300"/>
    <w:uiPriority w:val="99"/>
    <w:rPr>
      <w:rFonts w:ascii="Consolas" w:hAnsi="Consolas" w:eastAsia="Calibri" w:cs="Times New Roman"/>
      <w:sz w:val="21"/>
      <w:szCs w:val="21"/>
      <w:lang w:eastAsia="en-US"/>
    </w:rPr>
  </w:style>
  <w:style w:type="character" w:styleId="1302">
    <w:name w:val="ConsPlusNormal Знак"/>
    <w:next w:val="1302"/>
    <w:link w:val="1168"/>
    <w:rPr>
      <w:rFonts w:ascii="Arial" w:hAnsi="Arial" w:cs="Arial"/>
      <w:lang w:eastAsia="en-US" w:bidi="ar-SA"/>
    </w:rPr>
  </w:style>
  <w:style w:type="paragraph" w:styleId="1303">
    <w:name w:val="msonormalcxspmiddlecxspmiddle"/>
    <w:basedOn w:val="1123"/>
    <w:next w:val="1303"/>
    <w:link w:val="1123"/>
    <w:pPr>
      <w:jc w:val="left"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styleId="1304">
    <w:name w:val="Стандартный HTML"/>
    <w:basedOn w:val="1123"/>
    <w:next w:val="1304"/>
    <w:link w:val="1305"/>
    <w:uiPriority w:val="99"/>
    <w:unhideWhenUsed/>
    <w:pPr>
      <w:jc w:val="left"/>
      <w:spacing w:after="0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color w:val="000000"/>
    </w:rPr>
  </w:style>
  <w:style w:type="character" w:styleId="1305">
    <w:name w:val="Стандартный HTML Знак"/>
    <w:next w:val="1305"/>
    <w:link w:val="1304"/>
    <w:uiPriority w:val="99"/>
    <w:rPr>
      <w:rFonts w:ascii="Courier New" w:hAnsi="Courier New" w:cs="Courier New"/>
    </w:rPr>
  </w:style>
  <w:style w:type="paragraph" w:styleId="1306">
    <w:name w:val="ConsNonformat"/>
    <w:next w:val="1306"/>
    <w:link w:val="1123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1307" w:default="1">
    <w:name w:val="Default Paragraph Font"/>
    <w:uiPriority w:val="1"/>
    <w:semiHidden/>
    <w:unhideWhenUsed/>
  </w:style>
  <w:style w:type="numbering" w:styleId="1308" w:default="1">
    <w:name w:val="No List"/>
    <w:uiPriority w:val="99"/>
    <w:semiHidden/>
    <w:unhideWhenUsed/>
  </w:style>
  <w:style w:type="table" w:styleId="1309" w:default="1">
    <w:name w:val="Normal Table"/>
    <w:uiPriority w:val="99"/>
    <w:semiHidden/>
    <w:unhideWhenUsed/>
    <w:tblPr/>
  </w:style>
  <w:style w:type="paragraph" w:styleId="1310" w:customStyle="1">
    <w:name w:val="Body Text Indent 3"/>
    <w:basedOn w:val="1094"/>
    <w:link w:val="1129"/>
    <w:uiPriority w:val="99"/>
    <w:unhideWhenUsed/>
    <w:pPr>
      <w:contextualSpacing w:val="0"/>
      <w:ind w:left="283" w:right="0" w:firstLine="0"/>
      <w:jc w:val="both"/>
      <w:keepLines w:val="0"/>
      <w:keepNext w:val="0"/>
      <w:pageBreakBefore w:val="0"/>
      <w:spacing w:before="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333333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AVO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</dc:title>
  <dc:creator>user</dc:creator>
  <cp:lastModifiedBy>izelenina</cp:lastModifiedBy>
  <cp:revision>96</cp:revision>
  <dcterms:created xsi:type="dcterms:W3CDTF">2022-01-10T06:48:00Z</dcterms:created>
  <dcterms:modified xsi:type="dcterms:W3CDTF">2026-10-05T13:35:35Z</dcterms:modified>
  <cp:version>1048576</cp:version>
</cp:coreProperties>
</file>