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emf" ContentType="image/x-emf"/>
  <Default Extension="rtf" ContentType="application/rtf"/>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1"/>
        <w:tblW w:w="0" w:type="dxa"/>
        <w:tblLayout w:type="fixed"/>
        <w:tblCellMar>
          <w:top w:w="0" w:type="dxa"/>
          <w:left w:w="0" w:type="dxa"/>
          <w:bottom w:w="0" w:type="dxa"/>
          <w:right w:w="0" w:type="dxa"/>
        </w:tblCellMar>
        <w:tblLook w:val="04A0"/>
      </w:tblPr>
      <w:tblGrid>
        <w:gridCol w:w="10603"/>
      </w:tblGrid>
      <w:tr>
        <w:trPr/>
        <w:tc>
          <w:tcPr>
            <w:tcW w:w="10603" w:type="dxa"/>
            <w:vMerge w:val="restart"/>
          </w:tcPr>
          <w:p>
            <w:pPr>
              <w:rPr>
                <w:rFonts w:ascii="Times New Roman" w:hAnsi="Times New Roman" w:eastAsia="Times New Roman" w:cs="Times New Roman"/>
                <w:color w:val="000000"/>
                <w:sz w:val="24"/>
              </w:rPr>
              <w:spacing w:line="237"/>
              <w:jc w:val="center"/>
            </w:pPr>
            <w:r>
              <w:rPr>
                <w:color w:val="000000"/>
                <w:sz w:val="24"/>
                <w:rFonts w:ascii="Times New Roman" w:hAnsi="Times New Roman" w:eastAsia="Times New Roman" w:cs="Times New Roman"/>
              </w:rPr>
              <w:t xml:space="preserve">	</w:t>
            </w:r>
            <w:r>
              <w:rPr>
                <w:b/>
                <w:color w:val="000000"/>
                <w:sz w:val="24"/>
                <w:rFonts w:ascii="Times New Roman" w:hAnsi="Times New Roman" w:eastAsia="Times New Roman" w:cs="Times New Roman"/>
              </w:rPr>
              <w:t xml:space="preserve">Порядок внесения денежных средств в качестве обеспечения заявки на участие в закупке</w:t>
            </w:r>
            <w:r>
              <w:rPr>
                <w:color w:val="000000"/>
                <w:sz w:val="24"/>
                <w:rFonts w:ascii="Times New Roman" w:hAnsi="Times New Roman" w:eastAsia="Times New Roman" w:cs="Times New Roman"/>
              </w:rPr>
              <w:t xml:space="preserve"> </w:t>
            </w:r>
          </w:p>
          <w:p>
            <w:pPr>
              <w:rPr>
                <w:rFonts w:ascii="Times New Roman" w:hAnsi="Times New Roman" w:eastAsia="Times New Roman" w:cs="Times New Roman"/>
                <w:color w:val="000000"/>
                <w:sz w:val="24"/>
              </w:rPr>
              <w:spacing w:line="237"/>
              <w:jc w:val="center"/>
            </w:pP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 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2. 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3. Обеспечение заявки на участие в закупке предоставляется одним из следующих способов: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путем предоставления независимой гарантии, соответствующей требованиям статьи 45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4.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 в сфере закупок.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5. В случае предоставления обеспечения заявки на участие в закупке в виде денежных средств: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банк не позднее сорока минут с момента получения информации, предусмотренной подпунктом «б»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6.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в сфере закупок,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 </w:t>
            </w:r>
            <w:r>
              <w:rPr>
                <w:color w:val="000000"/>
                <w:sz w:val="24"/>
                <w:rFonts w:ascii="Times New Roman" w:hAnsi="Times New Roman" w:eastAsia="Times New Roman" w:cs="Times New Roman"/>
              </w:rPr>
              <w:t xml:space="preserve"/>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7. В случае выявления обстоятельств, свидетельствующих о соответствии банка, не включенного в перечень, предусмотренный подпунктом «а» пункта 3 настоящего раздела,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8. Каждый оператор электронной площадки заключает соглашение о взаимодействии с каждым из банков, включенных в перечень, предусмотренный подпунктом «а» пункта 3 настоящегораздела. Требования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настоящегораздела осуществляется в электронной форме.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9.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настоящим разделом. На денежные средства, заблокированные в соответствии с настоящим разделом,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10.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блокирование и прекращение блокирования денежных средств в соответствии с требованиями настоящего раздела.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Законом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перевод в случаях, предусмотренных настоящим разделом, заблокированных денежных средств в размере обеспечения соответствующей заявки: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на счет, на котором в соответствии с законодательством Российской Федерации учитываются операции со средствами, поступающими заказчику;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соответствующий бюджет бюджетной системы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11.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пунктом 10 настоящего раздела, в течение одного часа с момента наступления следующих случаев: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отклонение заявки на участие в закупке (за исключением случая, предусмотренного пунктом 14 настоящего раздела), отстранение участника закупки от участия в определении поставщика (подрядчика, исполнителя) в соответствии с Законом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отзыв заявки участником закупки в соответствии с Законом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заключение контракта в соответствии с Законом № 44-ФЗ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Законом № 44-ФЗ, за исключением участников закупки, признанных в соответствии с Законом № 44-ФЗ уклонившимися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отмена закупки в соответствии со статьей 36 Закона № 44-ФЗ.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д)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е) получение предусмотренного Законом № 44-ФЗ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ж) включение информации об участнике закупки в реестр недобросовестных поставщиков</w:t>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(подрядчиков, исполнителей) в соответствии со статьей 104 Закона № 44-ФЗ в связи с его уклонением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12. Банк не позднее одного часа с момента получения информации, предусмотренной подпунктами «а» - «е» пункта 11 настоящего раздела, прекращает осуществленное в соответствии с подпунктом «в» пункта 5 настоящего раздела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площадки.Не позднее одного часа с момента получения информации, предусмотренной подпунктом «ж» пункта 11 настоящего раздела, банк осуществляет перевод заблокированных в соответствии с подпунктом «в» пункта 5 настоящего раздела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13. Возврат независимой гарантии, предоставленной для обеспечения заявки на участие в закупке, в случаях, предусмотренных подпунктами «а» - «е» пункта 11 настоящего раздела, заказчиком лицу или гаранту, предоставившим независимую гарантию, не осуществляется, взыскание по ней не производится. В случае, предусмотренном подпунктом «ж» пункта 11 настоящего раздела,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14.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Закона № 44-ФЗ, в порядке, предусмотренном пунктом15 настоящего раздела,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пунктом 16 настоящего раздела, предъявляется требование об уплате денежной суммы по независимой гарантии, предоставленной для обеспечения каждой третьей такой заявки.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15. Если в случае, предусмотренном пунктом 14 настоящего раздела, обеспечение заявки на участие в закупке, являющейся третьей заявкой, предоставлено в виде денежных средств: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Закона № 44-ФЗ,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Закона № 44-ФЗ) в банк информацию о реквизитах специального счета участника закупки, подавшего такую заявку;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банк не позднее одного часа с момента получения информации, предусмотренной подпунктом «а» настоящего пункта,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оператор электронной площадки не позднее одного часа с момента получения от банка информации о перечислении, предусмотренной подпунктом «б» настоящего пункта, направляет участнику закупки информацию о таком перечислении.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16. Если в случае, предусмотренном пунктом 14 настоящего раздела, обеспечение заявки на участие в закупке, являющейся третьей заявкой, предоставлено в виде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а)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Закона № 44-ФЗ,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Закона № 44-ФЗ) заказчику, разместившему такой соответствующий протокол, информацию о наступлении случая, предусмотренного пунктом 14 настоящего раздела, и об</w:t>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участнике закупки, подавшем такую заявку;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заказчик не позднее трех рабочих дней со дня, следующего за днем получения информации, предусмотренной подпунктом «а» настоящего пункта, предъявляет требование об уплате денежной суммы по независимой гарантии, предоставленной таким участником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17.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денежные средства вносятся участниками закупки на счет, указанный заказчиком (уполномоченным органом)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 44-ФЗ. Возврат таких денежных средств участнику закупки не осуществляется в случае, предусмотренном пунктом 7 части 10 статьи 44 Закона № 44-ФЗ. </w:t>
            </w:r>
          </w:p>
          <w:p>
            <w:pPr>
              <w:rPr>
                <w:rFonts w:ascii="Times New Roman" w:hAnsi="Times New Roman" w:eastAsia="Times New Roman" w:cs="Times New Roman"/>
                <w:color w:val="000000"/>
                <w:sz w:val="24"/>
              </w:rPr>
              <w:spacing w:line="237"/>
              <w:jc w:val="both"/>
            </w:pPr>
          </w:p>
          <w:p>
            <w:pPr>
              <w:rPr>
                <w:rFonts w:ascii="Times New Roman" w:hAnsi="Times New Roman" w:eastAsia="Times New Roman" w:cs="Times New Roman"/>
                <w:color w:val="000000"/>
                <w:sz w:val="24"/>
              </w:rPr>
              <w:spacing w:line="237"/>
              <w:jc w:val="center"/>
            </w:pPr>
            <w:r>
              <w:rPr>
                <w:color w:val="000000"/>
                <w:sz w:val="24"/>
                <w:rFonts w:ascii="Times New Roman" w:hAnsi="Times New Roman" w:eastAsia="Times New Roman" w:cs="Times New Roman"/>
              </w:rPr>
              <w:t xml:space="preserve">	</w:t>
            </w:r>
            <w:r>
              <w:rPr>
                <w:b/>
                <w:color w:val="000000"/>
                <w:sz w:val="24"/>
                <w:rFonts w:ascii="Times New Roman" w:hAnsi="Times New Roman" w:eastAsia="Times New Roman" w:cs="Times New Roman"/>
              </w:rPr>
              <w:t xml:space="preserve">Условия независимой гарантии для целей обеспечения заявки</w:t>
            </w:r>
            <w:r>
              <w:rPr>
                <w:color w:val="000000"/>
                <w:sz w:val="24"/>
                <w:rFonts w:ascii="Times New Roman" w:hAnsi="Times New Roman" w:eastAsia="Times New Roman" w:cs="Times New Roman"/>
              </w:rPr>
              <w:t xml:space="preserve"> </w:t>
            </w:r>
          </w:p>
          <w:p>
            <w:pPr>
              <w:rPr>
                <w:rFonts w:ascii="Times New Roman" w:hAnsi="Times New Roman" w:eastAsia="Times New Roman" w:cs="Times New Roman"/>
                <w:color w:val="000000"/>
                <w:sz w:val="24"/>
              </w:rPr>
              <w:spacing w:line="237"/>
              <w:jc w:val="center"/>
            </w:pP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 Заказчики в качестве обеспечения заявок принимают независимые гарантии, выданные: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государственной корпорацией развития «ВЭБ.РФ»;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24.07.2007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 части 1 статьи 30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2. Независимая гарантия должна быть безотзывной и должна содержать: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обязательства принципала, надлежащее исполнение которых обеспечивается независимой гарантией; </w:t>
            </w:r>
            <w:r>
              <w:rPr>
                <w:color w:val="000000"/>
                <w:sz w:val="24"/>
                <w:rFonts w:ascii="Times New Roman" w:hAnsi="Times New Roman" w:eastAsia="Times New Roman" w:cs="Times New Roman"/>
              </w:rPr>
              <w:t xml:space="preserve"/>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val="restart"/>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д) срок действия независимой гарантии с учетом требований статьи 44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е)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ж)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5.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6. Основанием для отказа в принятии независимой гарантии заказчиком является: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отсутствие информации о независимой гарантии в предусмотренных статьей 45 Закона № 44-ФЗ реестрах независимых гарантий;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несоответствие независимой гарантии требованиям, предусмотренным частями 2, 3 и 8.2 статьи 45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несоответствие независимой гарантии требованиям, содержащимся в извещении об осуществлении закупки.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7. В случае отказа в принятии независимой гарантии заказчик в срок, установленный частью 5 статьи 45 Закона №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8. Независимая гарантия, используемая для целей Закона № 44-ФЗ, информация о ней и документы, предусмотренные частью 9 статьи 45 Закона № 44-ФЗ, должны быть включены в реестр независимых гарантий, размещенный в единой информационной системе в сфере закупок.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9. Дополнительные требования к независимой гарантии, используемой для целей Закона № 44-ФЗ, порядок ведения и размещения в единой информационной системе в сфере закупок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 44-ФЗ, форма требования об уплате денежной суммы по независимой гарантии устанавливаются Правительством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10. В реестр независимых гарантий включаются следующие информация и документы: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а)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б)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w:t>
            </w:r>
            <w:r>
              <w:rPr>
                <w:color w:val="000000"/>
                <w:sz w:val="24"/>
                <w:rFonts w:ascii="Times New Roman" w:hAnsi="Times New Roman" w:eastAsia="Times New Roman" w:cs="Times New Roman"/>
              </w:rPr>
              <w:t xml:space="preserve"/>
            </w: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vMerge/>
          </w:tcPr>
          <w:p/>
        </w:tc>
      </w:tr>
      <w:tr>
        <w:trPr/>
        <w:tc>
          <w:tcPr>
            <w:tcW w:w="10603" w:type="dxa"/>
          </w:tcPr>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в)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Закона № 44-ФЗ;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г) срок действия независимой гарантии;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д) иные информация и документы, перечень которых установлен Правительством Российской Федерации. </w:t>
            </w:r>
          </w:p>
          <w:p>
            <w:pPr>
              <w:rPr>
                <w:rFonts w:ascii="Times New Roman" w:hAnsi="Times New Roman" w:eastAsia="Times New Roman" w:cs="Times New Roman"/>
                <w:color w:val="000000"/>
                <w:sz w:val="24"/>
              </w:rPr>
              <w:spacing w:line="237"/>
              <w:jc w:val="both"/>
            </w:pPr>
            <w:r>
              <w:rPr>
                <w:color w:val="000000"/>
                <w:sz w:val="24"/>
                <w:rFonts w:ascii="Times New Roman" w:hAnsi="Times New Roman" w:eastAsia="Times New Roman" w:cs="Times New Roman"/>
              </w:rPr>
              <w:t xml:space="preserve">	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статьи 45 Закона № 44-ФЗ информацию и документы в реестр независимых гарантий. </w:t>
            </w:r>
          </w:p>
        </w:tc>
      </w:tr>
    </w:tbl>
    <w:sectPr>
      <w:pgSz w:w="11906" w:h="16790"/>
      <w:pgMar w:top="567" w:right="567" w:bottom="517" w:left="567" w:header="226" w:footer="206" w:gutter="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Calibri"/>
  <w:font w:name="Times New Roman"/>
  <w:font w:name="Cambria"/>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themeFontLang w:val="en-E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0" w:type="dxa"/>
        <w:bottom w:w="0" w:type="dxa"/>
        <w:right w:w="0" w:type="dxa"/>
      </w:tblCellMar>
    </w:tblPr>
  </w:style>
  <w:style w:type="numbering" w:default="1" w:styleId="a2">
    <w:name w:val="No List"/>
    <w:uiPriority w:val="99"/>
    <w:semiHidden/>
    <w:unhideWhenUsed/>
  </w:style>
  <w:style w:type="paragraph" w:styleId="a3">
    <w:name w:val="header"/>
    <w:basedOn w:val="a"/>
    <w:uiPriority w:val="99"/>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docProps/app.xml><?xml version="1.0" encoding="utf-8"?>
<Properties xmlns="http://schemas.openxmlformats.org/officeDocument/2006/extended-properties" xmlns:vt="http://schemas.openxmlformats.org/officeDocument/2006/docPropsVTypes">
  <Application>Stimulsoft Reports 2026.2.3 from 19 May 2026, .NET 8.0</Application>
  <Company>Stimulsoft</Company>
  <Template>Normal.dotm</Template>
  <TotalTime>0</TotalTime>
  <Pages>1</Pages>
  <Words>1</Words>
  <Characters>1</Characters>
  <DocSecurity>0</DocSecurity>
  <Lines>1</Lines>
  <Paragraphs>1</Paragraphs>
  <ScaleCrop>false</ScaleCrop>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report_MeansInsertSupportOrder_(Sti)</dc:title>
  <dc:subject>report_MeansInsertSupportOrder_(Sti)</dc:subject>
  <dc:creator>gba</dc:creator>
  <cp:keywords/>
  <dc:description>Порядок внес ден ср в качестве ОЗ</dc:description>
  <cp:revision>1</cp:revision>
  <dcterms:created xsi:type="dcterms:W3CDTF">2026-10-15T03:54:14Z</dcterms:created>
  <dcterms:modified xsi:type="dcterms:W3CDTF">2026-10-15T03:54:14Z</dcterms:modified>
</cp:coreProperties>
</file>