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DE6" w:rsidRPr="00561E86" w:rsidRDefault="00821DE6" w:rsidP="004A5B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61E86">
        <w:rPr>
          <w:rFonts w:ascii="Times New Roman" w:hAnsi="Times New Roman" w:cs="Times New Roman"/>
          <w:b/>
          <w:i/>
          <w:sz w:val="24"/>
          <w:szCs w:val="24"/>
        </w:rPr>
        <w:t xml:space="preserve">На поступивший запрос о даче разъяснений положений </w:t>
      </w:r>
      <w:r w:rsidR="0048573A" w:rsidRPr="00561E86">
        <w:rPr>
          <w:rFonts w:ascii="Times New Roman" w:hAnsi="Times New Roman" w:cs="Times New Roman"/>
          <w:b/>
          <w:i/>
          <w:sz w:val="24"/>
          <w:szCs w:val="24"/>
        </w:rPr>
        <w:t xml:space="preserve">извещения об осуществлении закупки </w:t>
      </w:r>
      <w:r w:rsidRPr="00561E86">
        <w:rPr>
          <w:rFonts w:ascii="Times New Roman" w:hAnsi="Times New Roman" w:cs="Times New Roman"/>
          <w:b/>
          <w:i/>
          <w:sz w:val="24"/>
          <w:szCs w:val="24"/>
        </w:rPr>
        <w:t>направляем следующий ответ Заказчика.</w:t>
      </w:r>
    </w:p>
    <w:p w:rsidR="0012204A" w:rsidRPr="00561E86" w:rsidRDefault="0012204A" w:rsidP="009E46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2142" w:rsidRPr="00561E86" w:rsidRDefault="00412142" w:rsidP="0086018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1EE" w:rsidRPr="00561E86" w:rsidRDefault="0048573A" w:rsidP="003121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E86"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r w:rsidR="005174EE" w:rsidRPr="00561E86">
        <w:rPr>
          <w:rFonts w:ascii="Times New Roman" w:hAnsi="Times New Roman" w:cs="Times New Roman"/>
          <w:b/>
          <w:sz w:val="28"/>
          <w:szCs w:val="28"/>
          <w:u w:val="single"/>
        </w:rPr>
        <w:t>прос</w:t>
      </w:r>
      <w:r w:rsidR="001904E1" w:rsidRPr="00561E8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256515" w:rsidRPr="00561E86" w:rsidRDefault="00256515" w:rsidP="001A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28"/>
        </w:rPr>
      </w:pP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Извещение № 0145200000426001424. Объект закупки: выполнение работ по развитию региональной государственной информационной системы жилищно-коммунального хозяйства Ленинградской области в части развития Подсистемы «Учет потребления коммунальных ресурсов Ленинградской области».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В соответствии с частью 5 статьи 42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просим разъяснить следующие положения извещения об осуществлении закупки, Описания объекта закупки (далее — ООЗ) и проекта контракта.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1. Сроки этапов испытаний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Таблица 9.1 ООЗ устанавливает календарные даты: подготовка к испытаниям — до 06.11.2026, предварительные испытания — 06.11–20.11.2026, опытная эксплуатация — 23.11–02.12.2026. Согласно п. 4.1 проекта контракта Подрядчик приступает к выполнению работ с момента заключения Контракта, дата которого определится по итогам процедуры.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1.1. Правильно ли мы понимаем, что даты этапов 1–3 таблицы 9.1 ООЗ уточняются в частном техническом задании с учетом даты заключения Контракта?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1.2. Правильно ли мы понимаем, что несоблюдение дат этапов 1–3 таблицы 9.1 ООЗ при соблюдении срока окончания работ, установленного п. 4.2 проекта контракта, не является нарушением обязательств Подрядчика?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2. Срок представления отчета по уязвимостям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9.5.6.3 ООЗ требует представить Отчет по результатам устранения уязвимостей не позднее чем за 14 календарных дней до направления уведомления о готовности к предварительным испытаниям, при этом сканирование проводит Заказчик (п. 9.5.6.2), срок сканирования не установлен.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2.1. В какой срок с даты передачи Подрядчиком исходного кода Заказчик проводит сканирование и направляет перечень выявленных уязвимостей?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2.2. Правильно ли мы понимаем, что срок, указанный в п. 9.5.6.3 ООЗ, продлевается на период просрочки Заказчиком направления перечня уязвимостей?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3. Исходный код и документация действующей Подсистемы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ООЗ не устанавливает обязанность и срок передачи Исполнителю исходного кода, документации и сведений о текущей версии Подсистемы, без которых доработка невозможна.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lastRenderedPageBreak/>
        <w:t>3.1. В какой срок с даты заключения Контракта Заказчик передает Исполнителю исходные коды всех компонентов Подсистемы, инструкции по сборке и действующую эксплуатационную и техническую документацию?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3.2. Просим указать перечень имеющейся у Заказчика документации на Подсистему (наименования документов и даты их последней актуализации).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4. Права на исходный код Подсистемы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На структурной схеме Подсистемы (рисунок 3.1 ООЗ) отражено взаимодействие с сервисом telemetry.aisgorod.ru, компоненты обозначены как «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Web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>-Сервер ПУ» и «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Web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>-Сервер ЖКХ ID».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4.1. Правильно ли мы понимаем, что исключительные права на программный код всех компонентов Подсистемы, подлежащих доработке, принадлежат Ленинградской области, и их доработка третьим лицом не требует согласия иных правообладателей?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4.2. Если нет — просим указать компоненты, права на которые принадлежат третьим лицам, и условия их доработки.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5. Технологический стек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 xml:space="preserve">Таблица 3.1 ООЗ указывает .NET 8, 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jQuery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 xml:space="preserve"> 3.6.0 и 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PostgreSQL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 xml:space="preserve"> 14; на рисунке 3.1 отражены протоколы RDP и 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MSDeploy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>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 xml:space="preserve">Просим указать полный перечень языков программирования,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фреймворков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>, библиотек и их версий, фактически используемых в исходном коде каждого компонента Подсистемы (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Web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 xml:space="preserve">-Сервер ПУ, Сервер опроса, Служба обработки показаний, Адресный сервис,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Web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>-Сервер ЖКХ ID), а также операционные системы серверов, на которых они функционируют.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 xml:space="preserve">6. Лицензии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Postgres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Pro</w:t>
      </w:r>
      <w:proofErr w:type="spellEnd"/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 xml:space="preserve">Пункт 8.9 и пункт 9 таблицы 8.1 ООЗ предусматривают перенос данных в СУБД 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Postgres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Pro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>; спецификация не содержит позиции на поставку лицензий.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 xml:space="preserve">6.1. Правильно ли мы понимаем, что лицензии СУБД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Postgres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Pro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 xml:space="preserve"> для всех сред Подсистемы обеспечивает Заказчик и их приобретение не входит в цену Контракта?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 xml:space="preserve">6.2. Просим указать редакцию и версию СУБД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Postgres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Pro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>, на которую осуществляется перенос.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7. Объем логики в базе данных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9 таблицы 8.1 ООЗ предусматривает перенос хранимых процедур, функций и триггеров.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7.1. Просим указать объем базы данных Подсистемы в гигабайтах.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7.2. Просим указать количество хранимых процедур, функций и триггеров, подлежащих переносу.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lastRenderedPageBreak/>
        <w:t>8. Среда разработки и тестирования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Таблица 9.1 ООЗ предусматривает «Развертывание доработанной версии ПО на боевой системе» и одновременно содержит мероприятие «Проверка корректности установки и настройки ПО на тестовом контуре».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В какой срок с даты заключения Контракта Заказчик предоставляет Исполнителю доступ к тестовому контуру Подсистемы, отдельному от среды эксплуатации?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9. Тестовые среды интеграций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5.1.2 ООЗ предусматривает предоставление Заказчиком тестовых площадок и учетных данных смежных систем; таблица 9.1 предусматривает проверку взаимодействия с РГИС «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Энергоэффективность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 xml:space="preserve"> ЛО», ФГИС «Аршин» и другими системами.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В какой срок с даты заключения Контракта Заказчик предоставляет тестовые площадки и учетные данные РГИС «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Энергоэффективность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 xml:space="preserve"> ЛО», подсистемы «ТЭК ЛО» и РГИС ЖКХ ЛО?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10. Аттестат объекта информатизации Исполнителя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 xml:space="preserve">Пункт 9.5.1 ООЗ устанавливает, что доступ Исполнителя к ГИС ЛО осуществляется при наличии аттестатов соответствия объектов информатизации требованиям информационной безопасности не ниже требований, предъявляемым к ГИС ЛО. Пункт 9.5.3 предусматривает удаленный доступ через ЕСПД ЛО с использованием </w:t>
      </w:r>
      <w:proofErr w:type="spellStart"/>
      <w:r w:rsidRPr="00EB6E26">
        <w:rPr>
          <w:rFonts w:ascii="Times New Roman" w:hAnsi="Times New Roman" w:cs="Times New Roman"/>
          <w:i/>
          <w:sz w:val="24"/>
          <w:szCs w:val="24"/>
        </w:rPr>
        <w:t>ViPNet</w:t>
      </w:r>
      <w:proofErr w:type="spellEnd"/>
      <w:r w:rsidRPr="00EB6E26">
        <w:rPr>
          <w:rFonts w:ascii="Times New Roman" w:hAnsi="Times New Roman" w:cs="Times New Roman"/>
          <w:i/>
          <w:sz w:val="24"/>
          <w:szCs w:val="24"/>
        </w:rPr>
        <w:t>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 xml:space="preserve">10.1. Правильно ли мы понимаем, что для удаленного доступа Исполнителя в порядке п. 9.5.3 ООЗ достаточно подключения к ЕСПД ЛО с использованием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ViPNet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 xml:space="preserve"> и аттестат объекта информатизации Исполнителя не требуется?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10.2. Если аттестат требуется — просим указать класс защищенности ГИС, которому должен соответствовать объект информатизации Исполнителя.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11. Состав обрабатываемой информации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Приложение № 5 к ООЗ относит все перечисленные сведения к публичной информации, тогда как п. 9.5.5 ООЗ указывает на обработку персональных данных.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11.1. Просим указать категории информации ограниченного доступа, обрабатываемой в Подсистеме.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11.2. Если в Подсистеме обрабатываются персональные данные — просим указать установленный уровень их защищенности.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12. Согласование модели угроз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9.5.5 ООЗ предусматривает, что Комитет цифрового развития Ленинградской области по результатам рассмотрения Заключения принимает решение о направлении модели угроз на согласование в Уполномоченные органы, а Исполнитель устраняет полученные от них замечания; срок такого согласования от Исполнителя не зависит.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lastRenderedPageBreak/>
        <w:t>Правильно ли мы понимаем, что надлежащим исполнением обязательства является представление актуализированной модели угроз и Заключения в Комитет цифрового развития Ленинградской области, а согласование модели угроз Уполномоченными органами, если Комитет примет решение о ее направлении, не является условием приемки работ по Контракту?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13. Работа по пункту 5 таблицы 8.1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5 таблицы 8.1 ООЗ «Разработка экранной формы «Контроль температурного графика» по коммунальной услуге на уровне объекта потребления» не имеет детального описания в разделе 8 ООЗ, в отличие от остальных работ.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Просим указать требования к экранной форме по пункту 5 таблицы 8.1 ООЗ: перечень отображаемых показателей, правила подбора данных и вид диаграммы.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14. Расчет рекомендуемого расхода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8.6.1 ООЗ задает формулу расчета рекомендуемого расхода М2рек через функцию h(</w:t>
      </w:r>
      <w:proofErr w:type="spellStart"/>
      <w:proofErr w:type="gramStart"/>
      <w:r w:rsidRPr="00EB6E26">
        <w:rPr>
          <w:rFonts w:ascii="Times New Roman" w:hAnsi="Times New Roman" w:cs="Times New Roman"/>
          <w:i/>
          <w:sz w:val="24"/>
          <w:szCs w:val="24"/>
        </w:rPr>
        <w:t>t;P</w:t>
      </w:r>
      <w:proofErr w:type="spellEnd"/>
      <w:proofErr w:type="gramEnd"/>
      <w:r w:rsidRPr="00EB6E26">
        <w:rPr>
          <w:rFonts w:ascii="Times New Roman" w:hAnsi="Times New Roman" w:cs="Times New Roman"/>
          <w:i/>
          <w:sz w:val="24"/>
          <w:szCs w:val="24"/>
        </w:rPr>
        <w:t>) и текст уведомления «Рекомендуемый расход получился меньше и его надо снизить до 52 т/ч.».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14.1. Просим указать методику (таблицы, стандарт) определения функции h(</w:t>
      </w:r>
      <w:proofErr w:type="spellStart"/>
      <w:proofErr w:type="gramStart"/>
      <w:r w:rsidRPr="00EB6E26">
        <w:rPr>
          <w:rFonts w:ascii="Times New Roman" w:hAnsi="Times New Roman" w:cs="Times New Roman"/>
          <w:b/>
          <w:sz w:val="24"/>
          <w:szCs w:val="24"/>
        </w:rPr>
        <w:t>t;P</w:t>
      </w:r>
      <w:proofErr w:type="spellEnd"/>
      <w:proofErr w:type="gramEnd"/>
      <w:r w:rsidRPr="00EB6E26">
        <w:rPr>
          <w:rFonts w:ascii="Times New Roman" w:hAnsi="Times New Roman" w:cs="Times New Roman"/>
          <w:b/>
          <w:sz w:val="24"/>
          <w:szCs w:val="24"/>
        </w:rPr>
        <w:t>), которую должен использовать Исполнитель.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14.2. Правильно ли мы понимаем, что значение «52 т/ч» в тексте уведомления является примером и подставляется расчетным значением М2рек?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15. Границы приемки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Таблица 9.1 ООЗ предусматривает на этапе приемочных испытаний мероприятие «Комплексная проверка системы в полном объеме», а разделы 4–6 ООЗ содержат требования к Подсистеме в целом (отказоустойчивость, автоматическое восстановление, локальное кэширование и др.).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15.1. Правильно ли мы понимаем, что предметом приемки являются только работы, перечисленные в таблице 8.1 ООЗ и спецификации?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15.2. Правильно ли мы понимаем, что несоответствие Подсистемы требованиям разделов 4–6 ООЗ в части, не затронутой доработками, не является основанием для отказа в приемке?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16. Работы раздела 4.2 и пункта 6.1 ООЗ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Раздел 4.2 ООЗ перечисляет обучение пользователей, разработку стратегического плана развития Подсистемы, регулярное резервное копирование; п. 6.1 — периодическое тестирование сценариев отказа. Эти работы не включены в спецификацию.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16.1. Правильно ли мы понимаем, что работы, перечисленные в разделе 4.2 и п. 6.1 ООЗ, выполняются только в объеме, необходимом для работ таблицы 8.1 ООЗ?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lastRenderedPageBreak/>
        <w:t>16.2. Правильно ли мы понимаем, что обучение пользователей ограничивается консультациями в период опытной эксплуатации?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17. Повторная приемка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9.4 ООЗ предусматривает устранение недостатков «в согласованный с Заказчиком срок» и назначение даты повторной приемки; число повторных приемок не ограничено.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Правильно ли мы понимаем, что при повторной приемке проверяется только устранение недостатков, зафиксированных в протоколе предыдущей приемки?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18. Ответственность за правомерность компонентов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6.7 ООЗ устанавливает полную ответственность Исполнителя за правомерность использования всех программных компонентов, применённых в рамках Контракта.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Правильно ли мы понимаем, что эта ответственность распространяется только на компоненты, включенные в Подсистему Исполнителем при выполнении работ по Контракту, и не распространяется на программное обеспечение Подсистемы, созданное или приобретенное до заключения Контракта?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19. Гарантийные обязательства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7.2 ООЗ распространяет гарантию на все компоненты Подсистемы, «включая интеграции с внешними системами, разработанные или доработанные в рамках исполнения Контракта», и по-разному определяет начало гарантийного срока; п. 3.4.6 проекта контракта — с даты подписания документа о приемке.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19.1. Правильно ли мы понимаем, что гарантийные обязательства распространяются только на результаты работ, выполненных Исполнителем по Контракту?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19.2. Правильно ли мы понимаем, что гарантийный срок исчисляется с даты подписания Заказчиком документа о приемке в ЕИС?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20. Границы устранения уязвимостей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9.5.6.4 ООЗ предоставляет Заказчику право на внеплановое сканирование Системы, а п. 9.5.6.6 определяет результат как подтверждение отсутствия уязвимостей в Системе. Поддержка платформы .NET 8, указанной в таблице 3.1 ООЗ, прекращается производителем 10.11.2026.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20.1. Правильно ли мы понимаем, что по результатам любого сканирования, в том числе внепланового, Исполнитель обязан устранять только уязвимости функционала, разработанного или доработанного по Контракту?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20.2. Правильно ли мы понимаем, что уязвимости платформы .NET 8 и иного общесистемного программного обеспечения, не изменявшегося Исполнителем, не подлежат устранению Исполнителем в рамках Контракта?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21. Срок приемки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lastRenderedPageBreak/>
        <w:t>Пункт 4.2 проекта контракта устанавливает окончание работ не позднее 14.12.2026, пункты 6.7 и 6.10 — размещение документа о приемке в течение 2 рабочих дней после выполнения работ и его рассмотрение приемочной комиссией до 20 рабочих дней, тогда как таблица 9.1 ООЗ относит размещение документа о приемке в ЕИС к этапу, завершающемуся 14.12.2026.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 xml:space="preserve">Правильно ли мы понимаем, что обязательство Подрядчика по сроку считается исполненным, если документ о приемке размещен в ЕИС в сроки, установленные </w:t>
      </w:r>
      <w:proofErr w:type="spellStart"/>
      <w:r w:rsidRPr="00EB6E26">
        <w:rPr>
          <w:rFonts w:ascii="Times New Roman" w:hAnsi="Times New Roman" w:cs="Times New Roman"/>
          <w:b/>
          <w:sz w:val="24"/>
          <w:szCs w:val="24"/>
        </w:rPr>
        <w:t>пп</w:t>
      </w:r>
      <w:proofErr w:type="spellEnd"/>
      <w:r w:rsidRPr="00EB6E26">
        <w:rPr>
          <w:rFonts w:ascii="Times New Roman" w:hAnsi="Times New Roman" w:cs="Times New Roman"/>
          <w:b/>
          <w:sz w:val="24"/>
          <w:szCs w:val="24"/>
        </w:rPr>
        <w:t>. 4.2 и 6.7 проекта контракта, независимо от даты завершения приемки Заказчиком?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22. Требования доступности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7.3 ООЗ устанавливает, что Подсистема должна удовлетворять ГОСТ Р 52872-2019.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Правильно ли мы понимаем, что требование ГОСТ Р 52872-2019 распространяется только на экранные формы, создаваемые или изменяемые по Контракту?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23. Ссылка на порядок приемки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i/>
          <w:sz w:val="24"/>
          <w:szCs w:val="24"/>
        </w:rPr>
        <w:t>Пункт 9.4 ООЗ указывает, что приемка осуществляется в соответствии с разделом 7 ООЗ, который содержит требования к составу работ.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b/>
          <w:sz w:val="24"/>
          <w:szCs w:val="24"/>
        </w:rPr>
        <w:t>Правильно ли мы понимаем, что порядок приемки определяется разделом 9 ООЗ и разделом 6 проекта контракта?</w:t>
      </w:r>
    </w:p>
    <w:p w:rsidR="00EB6E26" w:rsidRPr="00EB6E26" w:rsidRDefault="00EB6E26" w:rsidP="00EB6E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6E26" w:rsidRDefault="00EB6E26" w:rsidP="00EB6E26">
      <w:pPr>
        <w:jc w:val="both"/>
      </w:pPr>
      <w:r w:rsidRPr="00EB6E26">
        <w:rPr>
          <w:rFonts w:ascii="Times New Roman" w:hAnsi="Times New Roman" w:cs="Times New Roman"/>
          <w:sz w:val="24"/>
          <w:szCs w:val="24"/>
        </w:rPr>
        <w:t>Ответ просим разместить в единой информационной системе в сфере закупок в сроки, установленные частью 5 статьи 42 Федерального закона № 44-ФЗ.</w:t>
      </w:r>
    </w:p>
    <w:p w:rsidR="002A45E6" w:rsidRDefault="002A45E6" w:rsidP="001A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B6E26" w:rsidRPr="00561E86" w:rsidRDefault="00EB6E26" w:rsidP="001A76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1A760D" w:rsidRPr="00561E86" w:rsidRDefault="00223A6A" w:rsidP="001A76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61E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Разъяснения заказчика</w:t>
      </w:r>
      <w:r w:rsidR="00C0362C" w:rsidRPr="00561E8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2C25D0" w:rsidRPr="00561E86" w:rsidRDefault="002C25D0" w:rsidP="002C25D0">
      <w:pPr>
        <w:pStyle w:val="Default"/>
        <w:jc w:val="both"/>
        <w:rPr>
          <w:color w:val="auto"/>
          <w:sz w:val="20"/>
        </w:rPr>
      </w:pP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1.1. Даты этапов определены в описании объекта закупки, уточнение дат в рамках частного технического задания не предусмотрено.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1.2. Сокращение сроков испытаний, предусмотренных описанием объекта закупки не допускается. Поэтому соблюдение срока, установленного в п. 4.2 при несоблюдении сроков, установленных ООЗ не представляется возможным.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2.1. В течении 2-х рабочих дней.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2.2. П. 9.5.6.3 ООЗ будет скорректирован.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3.1. Передача исходных кодов на внешнем носителе не предусмотрена. Исходные коды предоставляются в рамках предоставления доступа согласно п. 9.5 ООЗ.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3.2. Документация в рамках государственных контрактов, которые находятся в общем доступе (</w:t>
      </w:r>
      <w:hyperlink r:id="rId7" w:history="1">
        <w:r w:rsidRPr="00EB6E26">
          <w:rPr>
            <w:rStyle w:val="ad"/>
            <w:rFonts w:ascii="Times New Roman" w:hAnsi="Times New Roman" w:cs="Times New Roman"/>
            <w:sz w:val="24"/>
            <w:szCs w:val="24"/>
          </w:rPr>
          <w:t>https://zakupki.kontur.ru/0145200000425001548</w:t>
        </w:r>
      </w:hyperlink>
      <w:r w:rsidRPr="00EB6E26">
        <w:rPr>
          <w:rFonts w:ascii="Times New Roman" w:hAnsi="Times New Roman" w:cs="Times New Roman"/>
          <w:sz w:val="24"/>
          <w:szCs w:val="24"/>
        </w:rPr>
        <w:t>).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lastRenderedPageBreak/>
        <w:t>4.1. Исключительные права программного кода всех компонентов принадлежат Ленинградской области и не требуют согласия иных правообладателей.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4.2. Не требуется.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5. PG SQL. Языки программирования: .</w:t>
      </w:r>
      <w:proofErr w:type="spellStart"/>
      <w:r w:rsidRPr="00EB6E26">
        <w:rPr>
          <w:rFonts w:ascii="Times New Roman" w:hAnsi="Times New Roman" w:cs="Times New Roman"/>
          <w:sz w:val="24"/>
          <w:szCs w:val="24"/>
        </w:rPr>
        <w:t>net</w:t>
      </w:r>
      <w:proofErr w:type="spellEnd"/>
      <w:r w:rsidRPr="00EB6E26">
        <w:rPr>
          <w:rFonts w:ascii="Times New Roman" w:hAnsi="Times New Roman" w:cs="Times New Roman"/>
          <w:sz w:val="24"/>
          <w:szCs w:val="24"/>
        </w:rPr>
        <w:t xml:space="preserve">, C#, </w:t>
      </w:r>
      <w:proofErr w:type="spellStart"/>
      <w:r w:rsidRPr="00EB6E26">
        <w:rPr>
          <w:rFonts w:ascii="Times New Roman" w:hAnsi="Times New Roman" w:cs="Times New Roman"/>
          <w:sz w:val="24"/>
          <w:szCs w:val="24"/>
        </w:rPr>
        <w:t>JavaScript</w:t>
      </w:r>
      <w:proofErr w:type="spellEnd"/>
      <w:r w:rsidRPr="00EB6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E26">
        <w:rPr>
          <w:rFonts w:ascii="Times New Roman" w:hAnsi="Times New Roman" w:cs="Times New Roman"/>
          <w:sz w:val="24"/>
          <w:szCs w:val="24"/>
        </w:rPr>
        <w:t>TypeScript</w:t>
      </w:r>
      <w:proofErr w:type="spellEnd"/>
      <w:r w:rsidRPr="00EB6E26">
        <w:rPr>
          <w:rFonts w:ascii="Times New Roman" w:hAnsi="Times New Roman" w:cs="Times New Roman"/>
          <w:sz w:val="24"/>
          <w:szCs w:val="24"/>
        </w:rPr>
        <w:t>, SQL.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 xml:space="preserve">6.1. Приобретение СУБД </w:t>
      </w:r>
      <w:proofErr w:type="spellStart"/>
      <w:r w:rsidRPr="00EB6E26">
        <w:rPr>
          <w:rFonts w:ascii="Times New Roman" w:hAnsi="Times New Roman" w:cs="Times New Roman"/>
          <w:sz w:val="24"/>
          <w:szCs w:val="24"/>
        </w:rPr>
        <w:t>Postgres</w:t>
      </w:r>
      <w:proofErr w:type="spellEnd"/>
      <w:r w:rsidRPr="00EB6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E26">
        <w:rPr>
          <w:rFonts w:ascii="Times New Roman" w:hAnsi="Times New Roman" w:cs="Times New Roman"/>
          <w:sz w:val="24"/>
          <w:szCs w:val="24"/>
        </w:rPr>
        <w:t>Pro</w:t>
      </w:r>
      <w:proofErr w:type="spellEnd"/>
      <w:r w:rsidRPr="00EB6E26">
        <w:rPr>
          <w:rFonts w:ascii="Times New Roman" w:hAnsi="Times New Roman" w:cs="Times New Roman"/>
          <w:sz w:val="24"/>
          <w:szCs w:val="24"/>
        </w:rPr>
        <w:t xml:space="preserve"> не входит в сумму контракта.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6.2. По требованию заказчика. В процессе работ требуется обновлять, т.к. могут быть исправления критических уязвимостей.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7.1. Данные в контракте не фиксируются по причине постоянных обновлений. Кроме того, объем данных не влияет на исполнение контракта.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7.2. Считаем нецелесообразным указывать конкретные данные в контракте, т.к. количество хранимых процедур, функций и триггеров - меняется в ходе оказания услуг по договору информационно-технического сопровождения.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8. Тестовый контур разворачивает Исполнитель на серверах, предоставленных Заказчиком. Доступ к серверам осуществляется в течение 3-х рабочих дней после заключения Контракта.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 xml:space="preserve">9. Для интеграции с РГИС ЭЭ Исполнителю требуется самостоятельно согласовать доступ к площадке с государственным казённым учреждением Ленинградской области «Оператор „электронного </w:t>
      </w:r>
      <w:proofErr w:type="gramStart"/>
      <w:r w:rsidRPr="00EB6E26">
        <w:rPr>
          <w:rFonts w:ascii="Times New Roman" w:hAnsi="Times New Roman" w:cs="Times New Roman"/>
          <w:sz w:val="24"/>
          <w:szCs w:val="24"/>
        </w:rPr>
        <w:t>правительства“</w:t>
      </w:r>
      <w:proofErr w:type="gramEnd"/>
      <w:r w:rsidRPr="00EB6E26">
        <w:rPr>
          <w:rFonts w:ascii="Times New Roman" w:hAnsi="Times New Roman" w:cs="Times New Roman"/>
          <w:sz w:val="24"/>
          <w:szCs w:val="24"/>
        </w:rPr>
        <w:t>» доступ до ФГИС Аршин - открыт из сети интернет.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10.1. Аттестат обязателен по требованиям к подключению к ЕСПД ЛО.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10.2. Класс защищенности К3.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 xml:space="preserve">11.1. Персональные данные сотрудников, персональные данные пользователей, объемы потребления </w:t>
      </w:r>
      <w:proofErr w:type="spellStart"/>
      <w:r w:rsidRPr="00EB6E26">
        <w:rPr>
          <w:rFonts w:ascii="Times New Roman" w:hAnsi="Times New Roman" w:cs="Times New Roman"/>
          <w:sz w:val="24"/>
          <w:szCs w:val="24"/>
        </w:rPr>
        <w:t>гвс</w:t>
      </w:r>
      <w:proofErr w:type="spellEnd"/>
      <w:r w:rsidRPr="00EB6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E26">
        <w:rPr>
          <w:rFonts w:ascii="Times New Roman" w:hAnsi="Times New Roman" w:cs="Times New Roman"/>
          <w:sz w:val="24"/>
          <w:szCs w:val="24"/>
        </w:rPr>
        <w:t>хвс</w:t>
      </w:r>
      <w:proofErr w:type="spellEnd"/>
      <w:r w:rsidRPr="00EB6E26">
        <w:rPr>
          <w:rFonts w:ascii="Times New Roman" w:hAnsi="Times New Roman" w:cs="Times New Roman"/>
          <w:sz w:val="24"/>
          <w:szCs w:val="24"/>
        </w:rPr>
        <w:t>, тепла.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11.2. УЗ-3.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12. Устранение замечаний производится в рамках гарантийных обязательств, в случае поступления замечаний по истечении срока исполнения Контракта. ООЗ будет скорректирован в новой редакции.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13. Требования к форме “Контроль температурного графика” в Приказе Министерства энергетики РФ от 5 марта 2019 г. № 212 "Об утверждении Методических указаний по разработке схем теплоснабжения".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14.1. Постановление Правительства РФ № 1034, Приказ Минстроя России № 99/пр.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14.2.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15.1.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15.2. При этом не должна быть нарушена работоспособность системы в целом.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lastRenderedPageBreak/>
        <w:t>16.1.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16.2.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17. Нет. Повторная приемка работ осуществляется в рамках полного объема доработок.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18.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19.1.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19.2.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20.1.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20.2. Да.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21. Срок 14.12 включает в себя срок проведения испытаний, указанных в ООЗ, размещение документа подрядчика в ЕИС. Дальнейшие действия заказчика определены в п. 6.9. Контракта.</w:t>
      </w:r>
    </w:p>
    <w:p w:rsidR="00EB6E26" w:rsidRPr="00EB6E26" w:rsidRDefault="00EB6E26" w:rsidP="00EB6E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22. Да.</w:t>
      </w:r>
    </w:p>
    <w:p w:rsidR="00677975" w:rsidRPr="00EB6E26" w:rsidRDefault="00EB6E26" w:rsidP="00EB6E26">
      <w:pPr>
        <w:pStyle w:val="af4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EB6E26">
        <w:rPr>
          <w:rFonts w:ascii="Times New Roman" w:hAnsi="Times New Roman" w:cs="Times New Roman"/>
          <w:sz w:val="24"/>
          <w:szCs w:val="24"/>
        </w:rPr>
        <w:t>23. Да. ООЗ будет скорректирован в новой редакции.</w:t>
      </w:r>
      <w:bookmarkStart w:id="0" w:name="_GoBack"/>
      <w:bookmarkEnd w:id="0"/>
    </w:p>
    <w:sectPr w:rsidR="00677975" w:rsidRPr="00EB6E26" w:rsidSect="008A1859">
      <w:headerReference w:type="default" r:id="rId8"/>
      <w:pgSz w:w="11906" w:h="16838"/>
      <w:pgMar w:top="1276" w:right="992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BC0" w:rsidRDefault="00FA0BC0" w:rsidP="001904E1">
      <w:pPr>
        <w:spacing w:after="0" w:line="240" w:lineRule="auto"/>
      </w:pPr>
      <w:r>
        <w:separator/>
      </w:r>
    </w:p>
  </w:endnote>
  <w:endnote w:type="continuationSeparator" w:id="0">
    <w:p w:rsidR="00FA0BC0" w:rsidRDefault="00FA0BC0" w:rsidP="00190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5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BC0" w:rsidRDefault="00FA0BC0" w:rsidP="001904E1">
      <w:pPr>
        <w:spacing w:after="0" w:line="240" w:lineRule="auto"/>
      </w:pPr>
      <w:r>
        <w:separator/>
      </w:r>
    </w:p>
  </w:footnote>
  <w:footnote w:type="continuationSeparator" w:id="0">
    <w:p w:rsidR="00FA0BC0" w:rsidRDefault="00FA0BC0" w:rsidP="00190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4E1" w:rsidRPr="00FC6E9F" w:rsidRDefault="001904E1" w:rsidP="002C21FE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1904E1">
      <w:rPr>
        <w:rFonts w:ascii="Times New Roman" w:hAnsi="Times New Roman" w:cs="Times New Roman"/>
        <w:sz w:val="20"/>
        <w:szCs w:val="20"/>
      </w:rPr>
      <w:t xml:space="preserve">Ответ на запрос </w:t>
    </w:r>
    <w:r w:rsidR="00C83904">
      <w:rPr>
        <w:rFonts w:ascii="Times New Roman" w:hAnsi="Times New Roman" w:cs="Times New Roman"/>
        <w:sz w:val="20"/>
        <w:szCs w:val="20"/>
      </w:rPr>
      <w:t>№</w:t>
    </w:r>
    <w:r w:rsidR="00553E6D" w:rsidRPr="00553E6D">
      <w:rPr>
        <w:rFonts w:ascii="Times New Roman" w:hAnsi="Times New Roman" w:cs="Times New Roman"/>
        <w:sz w:val="20"/>
        <w:szCs w:val="20"/>
      </w:rPr>
      <w:t xml:space="preserve"> </w:t>
    </w:r>
    <w:r w:rsidR="00EB6E26" w:rsidRPr="00EB6E26">
      <w:rPr>
        <w:rFonts w:ascii="Times New Roman" w:hAnsi="Times New Roman" w:cs="Times New Roman"/>
        <w:sz w:val="20"/>
        <w:szCs w:val="20"/>
      </w:rPr>
      <w:t>16969</w:t>
    </w:r>
  </w:p>
  <w:p w:rsidR="001904E1" w:rsidRDefault="001904E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B6FE1"/>
    <w:multiLevelType w:val="hybridMultilevel"/>
    <w:tmpl w:val="37700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818D3"/>
    <w:multiLevelType w:val="hybridMultilevel"/>
    <w:tmpl w:val="5B72B23A"/>
    <w:lvl w:ilvl="0" w:tplc="64B028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A03206"/>
    <w:multiLevelType w:val="multilevel"/>
    <w:tmpl w:val="BBEA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77D71"/>
    <w:multiLevelType w:val="hybridMultilevel"/>
    <w:tmpl w:val="A15817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017F"/>
    <w:multiLevelType w:val="multilevel"/>
    <w:tmpl w:val="965A84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abstractNum w:abstractNumId="5" w15:restartNumberingAfterBreak="0">
    <w:nsid w:val="387774C0"/>
    <w:multiLevelType w:val="hybridMultilevel"/>
    <w:tmpl w:val="21028B5A"/>
    <w:lvl w:ilvl="0" w:tplc="E11C9A12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B49324C"/>
    <w:multiLevelType w:val="hybridMultilevel"/>
    <w:tmpl w:val="0BF4077A"/>
    <w:lvl w:ilvl="0" w:tplc="31CEF9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0451C">
      <w:start w:val="1"/>
      <w:numFmt w:val="lowerLetter"/>
      <w:lvlText w:val="%2."/>
      <w:lvlJc w:val="left"/>
      <w:pPr>
        <w:ind w:left="1647" w:hanging="360"/>
      </w:pPr>
    </w:lvl>
    <w:lvl w:ilvl="2" w:tplc="A712F98C">
      <w:start w:val="1"/>
      <w:numFmt w:val="lowerRoman"/>
      <w:lvlText w:val="%3."/>
      <w:lvlJc w:val="right"/>
      <w:pPr>
        <w:ind w:left="2367" w:hanging="180"/>
      </w:pPr>
    </w:lvl>
    <w:lvl w:ilvl="3" w:tplc="255E12B2">
      <w:start w:val="1"/>
      <w:numFmt w:val="decimal"/>
      <w:lvlText w:val="%4."/>
      <w:lvlJc w:val="left"/>
      <w:pPr>
        <w:ind w:left="3087" w:hanging="360"/>
      </w:pPr>
    </w:lvl>
    <w:lvl w:ilvl="4" w:tplc="BC164A32">
      <w:start w:val="1"/>
      <w:numFmt w:val="lowerLetter"/>
      <w:lvlText w:val="%5."/>
      <w:lvlJc w:val="left"/>
      <w:pPr>
        <w:ind w:left="3807" w:hanging="360"/>
      </w:pPr>
    </w:lvl>
    <w:lvl w:ilvl="5" w:tplc="B62662BA">
      <w:start w:val="1"/>
      <w:numFmt w:val="lowerRoman"/>
      <w:lvlText w:val="%6."/>
      <w:lvlJc w:val="right"/>
      <w:pPr>
        <w:ind w:left="4527" w:hanging="180"/>
      </w:pPr>
    </w:lvl>
    <w:lvl w:ilvl="6" w:tplc="050C04B4">
      <w:start w:val="1"/>
      <w:numFmt w:val="decimal"/>
      <w:lvlText w:val="%7."/>
      <w:lvlJc w:val="left"/>
      <w:pPr>
        <w:ind w:left="5247" w:hanging="360"/>
      </w:pPr>
    </w:lvl>
    <w:lvl w:ilvl="7" w:tplc="EC9E00E2">
      <w:start w:val="1"/>
      <w:numFmt w:val="lowerLetter"/>
      <w:lvlText w:val="%8."/>
      <w:lvlJc w:val="left"/>
      <w:pPr>
        <w:ind w:left="5967" w:hanging="360"/>
      </w:pPr>
    </w:lvl>
    <w:lvl w:ilvl="8" w:tplc="19A4FDB8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0385837"/>
    <w:multiLevelType w:val="hybridMultilevel"/>
    <w:tmpl w:val="F296166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FA264B"/>
    <w:multiLevelType w:val="hybridMultilevel"/>
    <w:tmpl w:val="C54A3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87FE4"/>
    <w:multiLevelType w:val="hybridMultilevel"/>
    <w:tmpl w:val="894A40E0"/>
    <w:lvl w:ilvl="0" w:tplc="92B262E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E0550D3"/>
    <w:multiLevelType w:val="hybridMultilevel"/>
    <w:tmpl w:val="0BF4077A"/>
    <w:lvl w:ilvl="0" w:tplc="31CEF9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0451C">
      <w:start w:val="1"/>
      <w:numFmt w:val="lowerLetter"/>
      <w:lvlText w:val="%2."/>
      <w:lvlJc w:val="left"/>
      <w:pPr>
        <w:ind w:left="1647" w:hanging="360"/>
      </w:pPr>
    </w:lvl>
    <w:lvl w:ilvl="2" w:tplc="A712F98C">
      <w:start w:val="1"/>
      <w:numFmt w:val="lowerRoman"/>
      <w:lvlText w:val="%3."/>
      <w:lvlJc w:val="right"/>
      <w:pPr>
        <w:ind w:left="2367" w:hanging="180"/>
      </w:pPr>
    </w:lvl>
    <w:lvl w:ilvl="3" w:tplc="255E12B2">
      <w:start w:val="1"/>
      <w:numFmt w:val="decimal"/>
      <w:lvlText w:val="%4."/>
      <w:lvlJc w:val="left"/>
      <w:pPr>
        <w:ind w:left="3087" w:hanging="360"/>
      </w:pPr>
    </w:lvl>
    <w:lvl w:ilvl="4" w:tplc="BC164A32">
      <w:start w:val="1"/>
      <w:numFmt w:val="lowerLetter"/>
      <w:lvlText w:val="%5."/>
      <w:lvlJc w:val="left"/>
      <w:pPr>
        <w:ind w:left="3807" w:hanging="360"/>
      </w:pPr>
    </w:lvl>
    <w:lvl w:ilvl="5" w:tplc="B62662BA">
      <w:start w:val="1"/>
      <w:numFmt w:val="lowerRoman"/>
      <w:lvlText w:val="%6."/>
      <w:lvlJc w:val="right"/>
      <w:pPr>
        <w:ind w:left="4527" w:hanging="180"/>
      </w:pPr>
    </w:lvl>
    <w:lvl w:ilvl="6" w:tplc="050C04B4">
      <w:start w:val="1"/>
      <w:numFmt w:val="decimal"/>
      <w:lvlText w:val="%7."/>
      <w:lvlJc w:val="left"/>
      <w:pPr>
        <w:ind w:left="5247" w:hanging="360"/>
      </w:pPr>
    </w:lvl>
    <w:lvl w:ilvl="7" w:tplc="EC9E00E2">
      <w:start w:val="1"/>
      <w:numFmt w:val="lowerLetter"/>
      <w:lvlText w:val="%8."/>
      <w:lvlJc w:val="left"/>
      <w:pPr>
        <w:ind w:left="5967" w:hanging="360"/>
      </w:pPr>
    </w:lvl>
    <w:lvl w:ilvl="8" w:tplc="19A4FDB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E4439C1"/>
    <w:multiLevelType w:val="hybridMultilevel"/>
    <w:tmpl w:val="CB4478B2"/>
    <w:lvl w:ilvl="0" w:tplc="BDAE39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E1"/>
    <w:rsid w:val="00000316"/>
    <w:rsid w:val="00000498"/>
    <w:rsid w:val="00000D38"/>
    <w:rsid w:val="000126F0"/>
    <w:rsid w:val="00015053"/>
    <w:rsid w:val="000259DD"/>
    <w:rsid w:val="000322A7"/>
    <w:rsid w:val="000406B5"/>
    <w:rsid w:val="000541F4"/>
    <w:rsid w:val="0006457A"/>
    <w:rsid w:val="000909B0"/>
    <w:rsid w:val="00091F50"/>
    <w:rsid w:val="000B3EFA"/>
    <w:rsid w:val="000C50CF"/>
    <w:rsid w:val="000D25CB"/>
    <w:rsid w:val="000F4B6F"/>
    <w:rsid w:val="00102117"/>
    <w:rsid w:val="0012204A"/>
    <w:rsid w:val="0012270B"/>
    <w:rsid w:val="001278F0"/>
    <w:rsid w:val="001310B5"/>
    <w:rsid w:val="0013706F"/>
    <w:rsid w:val="00141DBA"/>
    <w:rsid w:val="00152F9B"/>
    <w:rsid w:val="001543A0"/>
    <w:rsid w:val="0016072B"/>
    <w:rsid w:val="00183077"/>
    <w:rsid w:val="00186A49"/>
    <w:rsid w:val="001904E1"/>
    <w:rsid w:val="00192206"/>
    <w:rsid w:val="00192A97"/>
    <w:rsid w:val="001A219C"/>
    <w:rsid w:val="001A760D"/>
    <w:rsid w:val="001E1EE6"/>
    <w:rsid w:val="001F1070"/>
    <w:rsid w:val="001F107F"/>
    <w:rsid w:val="00200378"/>
    <w:rsid w:val="002029C9"/>
    <w:rsid w:val="00223A6A"/>
    <w:rsid w:val="00246B7C"/>
    <w:rsid w:val="002521F5"/>
    <w:rsid w:val="00253908"/>
    <w:rsid w:val="00256515"/>
    <w:rsid w:val="002873A9"/>
    <w:rsid w:val="00291C4A"/>
    <w:rsid w:val="002A45E6"/>
    <w:rsid w:val="002B6307"/>
    <w:rsid w:val="002C21FE"/>
    <w:rsid w:val="002C25D0"/>
    <w:rsid w:val="002C4A6D"/>
    <w:rsid w:val="002C5BFA"/>
    <w:rsid w:val="002C7E35"/>
    <w:rsid w:val="002D7425"/>
    <w:rsid w:val="002E0613"/>
    <w:rsid w:val="002E722C"/>
    <w:rsid w:val="002F1952"/>
    <w:rsid w:val="002F3E39"/>
    <w:rsid w:val="003121EE"/>
    <w:rsid w:val="00317C3A"/>
    <w:rsid w:val="00330A81"/>
    <w:rsid w:val="00336271"/>
    <w:rsid w:val="0034512A"/>
    <w:rsid w:val="0036113E"/>
    <w:rsid w:val="003655A5"/>
    <w:rsid w:val="0037322C"/>
    <w:rsid w:val="0037504C"/>
    <w:rsid w:val="00380AB2"/>
    <w:rsid w:val="003A64F0"/>
    <w:rsid w:val="003B63E4"/>
    <w:rsid w:val="003C251D"/>
    <w:rsid w:val="003C7E4F"/>
    <w:rsid w:val="00411EA6"/>
    <w:rsid w:val="00412142"/>
    <w:rsid w:val="00437DDB"/>
    <w:rsid w:val="0046382B"/>
    <w:rsid w:val="00466BC7"/>
    <w:rsid w:val="00476616"/>
    <w:rsid w:val="0048573A"/>
    <w:rsid w:val="0048597F"/>
    <w:rsid w:val="00486C7F"/>
    <w:rsid w:val="0048701F"/>
    <w:rsid w:val="00494FBC"/>
    <w:rsid w:val="004A5B54"/>
    <w:rsid w:val="004C56DC"/>
    <w:rsid w:val="004D3FE4"/>
    <w:rsid w:val="00500C77"/>
    <w:rsid w:val="00507488"/>
    <w:rsid w:val="005174EE"/>
    <w:rsid w:val="00530028"/>
    <w:rsid w:val="00531746"/>
    <w:rsid w:val="00536839"/>
    <w:rsid w:val="005518C1"/>
    <w:rsid w:val="00553E6D"/>
    <w:rsid w:val="00557790"/>
    <w:rsid w:val="00561E86"/>
    <w:rsid w:val="00562F7B"/>
    <w:rsid w:val="005741FE"/>
    <w:rsid w:val="005872BD"/>
    <w:rsid w:val="00597A14"/>
    <w:rsid w:val="005B0C89"/>
    <w:rsid w:val="005D64DA"/>
    <w:rsid w:val="005E15E2"/>
    <w:rsid w:val="005E3263"/>
    <w:rsid w:val="005E531E"/>
    <w:rsid w:val="006043E7"/>
    <w:rsid w:val="00617C93"/>
    <w:rsid w:val="006402C1"/>
    <w:rsid w:val="00672FE5"/>
    <w:rsid w:val="006739E4"/>
    <w:rsid w:val="00674823"/>
    <w:rsid w:val="00677975"/>
    <w:rsid w:val="00691AE0"/>
    <w:rsid w:val="00694F02"/>
    <w:rsid w:val="006E3338"/>
    <w:rsid w:val="006F5D07"/>
    <w:rsid w:val="007138DB"/>
    <w:rsid w:val="00726E0C"/>
    <w:rsid w:val="00730154"/>
    <w:rsid w:val="00747A21"/>
    <w:rsid w:val="00762B4E"/>
    <w:rsid w:val="0077174F"/>
    <w:rsid w:val="00775C58"/>
    <w:rsid w:val="00784F45"/>
    <w:rsid w:val="00791847"/>
    <w:rsid w:val="007A64F2"/>
    <w:rsid w:val="007B0956"/>
    <w:rsid w:val="007D6ACE"/>
    <w:rsid w:val="007E72BE"/>
    <w:rsid w:val="007F79A1"/>
    <w:rsid w:val="00821DE6"/>
    <w:rsid w:val="0086018A"/>
    <w:rsid w:val="00863D66"/>
    <w:rsid w:val="00870924"/>
    <w:rsid w:val="00880E3F"/>
    <w:rsid w:val="00890EB4"/>
    <w:rsid w:val="008A1859"/>
    <w:rsid w:val="008A59E7"/>
    <w:rsid w:val="008A6C7B"/>
    <w:rsid w:val="008B2342"/>
    <w:rsid w:val="008C57BC"/>
    <w:rsid w:val="00915994"/>
    <w:rsid w:val="00961996"/>
    <w:rsid w:val="00975910"/>
    <w:rsid w:val="00994213"/>
    <w:rsid w:val="009A38C8"/>
    <w:rsid w:val="009A40DD"/>
    <w:rsid w:val="009B0A05"/>
    <w:rsid w:val="009B378D"/>
    <w:rsid w:val="009C0027"/>
    <w:rsid w:val="009C6C34"/>
    <w:rsid w:val="009D6196"/>
    <w:rsid w:val="009D7859"/>
    <w:rsid w:val="009E468F"/>
    <w:rsid w:val="009E6EFF"/>
    <w:rsid w:val="009F7484"/>
    <w:rsid w:val="009F7984"/>
    <w:rsid w:val="00A0389E"/>
    <w:rsid w:val="00A07F34"/>
    <w:rsid w:val="00A1344F"/>
    <w:rsid w:val="00A20590"/>
    <w:rsid w:val="00A254A1"/>
    <w:rsid w:val="00A51B3A"/>
    <w:rsid w:val="00A75940"/>
    <w:rsid w:val="00A779E8"/>
    <w:rsid w:val="00A83345"/>
    <w:rsid w:val="00A907FF"/>
    <w:rsid w:val="00A93221"/>
    <w:rsid w:val="00AA2C14"/>
    <w:rsid w:val="00AB498F"/>
    <w:rsid w:val="00AD3E78"/>
    <w:rsid w:val="00AF471E"/>
    <w:rsid w:val="00B003E3"/>
    <w:rsid w:val="00B02640"/>
    <w:rsid w:val="00B10CA4"/>
    <w:rsid w:val="00B15472"/>
    <w:rsid w:val="00B40F98"/>
    <w:rsid w:val="00B758E3"/>
    <w:rsid w:val="00B918EA"/>
    <w:rsid w:val="00B9367E"/>
    <w:rsid w:val="00BA45CB"/>
    <w:rsid w:val="00BB16FC"/>
    <w:rsid w:val="00BB6527"/>
    <w:rsid w:val="00BC4636"/>
    <w:rsid w:val="00BE3DF5"/>
    <w:rsid w:val="00C0362C"/>
    <w:rsid w:val="00C0497D"/>
    <w:rsid w:val="00C07B1E"/>
    <w:rsid w:val="00C12696"/>
    <w:rsid w:val="00C20AF3"/>
    <w:rsid w:val="00C21D76"/>
    <w:rsid w:val="00C3094A"/>
    <w:rsid w:val="00C338E2"/>
    <w:rsid w:val="00C559DC"/>
    <w:rsid w:val="00C65891"/>
    <w:rsid w:val="00C7385A"/>
    <w:rsid w:val="00C83904"/>
    <w:rsid w:val="00C92A25"/>
    <w:rsid w:val="00CB2E4D"/>
    <w:rsid w:val="00CC4244"/>
    <w:rsid w:val="00CD79AD"/>
    <w:rsid w:val="00CE4883"/>
    <w:rsid w:val="00CF4412"/>
    <w:rsid w:val="00D01E11"/>
    <w:rsid w:val="00D04D16"/>
    <w:rsid w:val="00D103BD"/>
    <w:rsid w:val="00D1442B"/>
    <w:rsid w:val="00D21005"/>
    <w:rsid w:val="00D234E9"/>
    <w:rsid w:val="00D23E43"/>
    <w:rsid w:val="00D62795"/>
    <w:rsid w:val="00D85BD0"/>
    <w:rsid w:val="00DB0D8F"/>
    <w:rsid w:val="00DC5500"/>
    <w:rsid w:val="00DC7CF2"/>
    <w:rsid w:val="00DE012D"/>
    <w:rsid w:val="00DE0C8A"/>
    <w:rsid w:val="00DF4EB5"/>
    <w:rsid w:val="00E2236D"/>
    <w:rsid w:val="00E2716B"/>
    <w:rsid w:val="00E27783"/>
    <w:rsid w:val="00E4029B"/>
    <w:rsid w:val="00E42934"/>
    <w:rsid w:val="00E55713"/>
    <w:rsid w:val="00E6509D"/>
    <w:rsid w:val="00E65B78"/>
    <w:rsid w:val="00E7343D"/>
    <w:rsid w:val="00E77A65"/>
    <w:rsid w:val="00E80AC5"/>
    <w:rsid w:val="00EB1CC7"/>
    <w:rsid w:val="00EB6E26"/>
    <w:rsid w:val="00EC65E4"/>
    <w:rsid w:val="00ED0B16"/>
    <w:rsid w:val="00ED1D0D"/>
    <w:rsid w:val="00ED530F"/>
    <w:rsid w:val="00EF1B44"/>
    <w:rsid w:val="00F93D8C"/>
    <w:rsid w:val="00FA0BC0"/>
    <w:rsid w:val="00FA270D"/>
    <w:rsid w:val="00FC4FB1"/>
    <w:rsid w:val="00FC6E9F"/>
    <w:rsid w:val="00FD24DD"/>
    <w:rsid w:val="00FE5371"/>
    <w:rsid w:val="00FE7ADC"/>
    <w:rsid w:val="00FE7CE1"/>
    <w:rsid w:val="00FF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1DCEC9-8003-4CB0-BA18-4DA730A0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758E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5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0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04E1"/>
  </w:style>
  <w:style w:type="paragraph" w:styleId="a5">
    <w:name w:val="footer"/>
    <w:basedOn w:val="a"/>
    <w:link w:val="a6"/>
    <w:uiPriority w:val="99"/>
    <w:unhideWhenUsed/>
    <w:rsid w:val="00190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04E1"/>
  </w:style>
  <w:style w:type="paragraph" w:styleId="a7">
    <w:name w:val="Balloon Text"/>
    <w:basedOn w:val="a"/>
    <w:link w:val="a8"/>
    <w:uiPriority w:val="99"/>
    <w:semiHidden/>
    <w:unhideWhenUsed/>
    <w:rsid w:val="00190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04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909B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C21D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21D7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907F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rsid w:val="00A9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rsid w:val="00A90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Знак"/>
    <w:basedOn w:val="a0"/>
    <w:link w:val="ab"/>
    <w:rsid w:val="00A907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758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691AE0"/>
    <w:rPr>
      <w:color w:val="0000FF" w:themeColor="hyperlink"/>
      <w:u w:val="single"/>
    </w:rPr>
  </w:style>
  <w:style w:type="character" w:customStyle="1" w:styleId="ae">
    <w:name w:val="Гипертекстовая ссылка"/>
    <w:uiPriority w:val="99"/>
    <w:rsid w:val="00C559DC"/>
    <w:rPr>
      <w:rFonts w:ascii="Times New Roman" w:hAnsi="Times New Roman" w:cs="Times New Roman" w:hint="default"/>
      <w:b w:val="0"/>
      <w:bCs w:val="0"/>
      <w:color w:val="106BBE"/>
    </w:rPr>
  </w:style>
  <w:style w:type="paragraph" w:styleId="af">
    <w:name w:val="footnote text"/>
    <w:basedOn w:val="a"/>
    <w:link w:val="af0"/>
    <w:uiPriority w:val="99"/>
    <w:unhideWhenUsed/>
    <w:rsid w:val="00C8390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C83904"/>
    <w:rPr>
      <w:sz w:val="20"/>
      <w:szCs w:val="20"/>
    </w:rPr>
  </w:style>
  <w:style w:type="character" w:styleId="af1">
    <w:name w:val="footnote reference"/>
    <w:basedOn w:val="a0"/>
    <w:uiPriority w:val="99"/>
    <w:unhideWhenUsed/>
    <w:rsid w:val="00C83904"/>
    <w:rPr>
      <w:vertAlign w:val="superscript"/>
    </w:rPr>
  </w:style>
  <w:style w:type="character" w:styleId="af2">
    <w:name w:val="Strong"/>
    <w:basedOn w:val="a0"/>
    <w:uiPriority w:val="99"/>
    <w:qFormat/>
    <w:rsid w:val="00C83904"/>
    <w:rPr>
      <w:b/>
      <w:bCs/>
    </w:rPr>
  </w:style>
  <w:style w:type="paragraph" w:customStyle="1" w:styleId="af3">
    <w:name w:val="Содержимое таблицы"/>
    <w:basedOn w:val="a"/>
    <w:rsid w:val="00FC6E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"/>
    <w:rsid w:val="00FC6E9F"/>
    <w:pPr>
      <w:suppressAutoHyphens/>
      <w:spacing w:after="0" w:line="100" w:lineRule="atLeast"/>
    </w:pPr>
    <w:rPr>
      <w:rFonts w:ascii="Calibri" w:eastAsia="SimSun" w:hAnsi="Calibri" w:cs="font295"/>
      <w:lang w:eastAsia="ar-SA"/>
    </w:rPr>
  </w:style>
  <w:style w:type="paragraph" w:styleId="af4">
    <w:name w:val="List Paragraph"/>
    <w:aliases w:val="Bullet List,FooterText,numbered,ТЗ список,Абзац списка литеральный,Абзац списка с маркерами,Medium Grid 1 Accent 2,Цветной список - Акцент 11,Таблица - текст,Наименование столбцов,Medium Grid 1 - Accent 21,Маркер,Bullet 1,lp1,リスト段落,列出段落"/>
    <w:basedOn w:val="a"/>
    <w:link w:val="af5"/>
    <w:uiPriority w:val="34"/>
    <w:qFormat/>
    <w:rsid w:val="003C7E4F"/>
    <w:pPr>
      <w:ind w:left="720"/>
    </w:pPr>
    <w:rPr>
      <w:rFonts w:ascii="Calibri" w:eastAsia="Calibri" w:hAnsi="Calibri" w:cs="Calibri"/>
    </w:rPr>
  </w:style>
  <w:style w:type="paragraph" w:customStyle="1" w:styleId="12">
    <w:name w:val="Абзац списка1"/>
    <w:basedOn w:val="a"/>
    <w:uiPriority w:val="99"/>
    <w:rsid w:val="003C7E4F"/>
    <w:pPr>
      <w:ind w:left="720"/>
    </w:pPr>
    <w:rPr>
      <w:rFonts w:ascii="Calibri" w:eastAsia="Times New Roman" w:hAnsi="Calibri" w:cs="Calibri"/>
    </w:rPr>
  </w:style>
  <w:style w:type="paragraph" w:customStyle="1" w:styleId="msonormalmailrucssattributepostfixmailrucssattributepostfix">
    <w:name w:val="msonormal_mailru_css_attribute_postfix_mailru_css_attribute_postfix"/>
    <w:basedOn w:val="a"/>
    <w:uiPriority w:val="99"/>
    <w:rsid w:val="00FE7CE1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NoSpacingChar">
    <w:name w:val="No Spacing Char"/>
    <w:link w:val="NoSpacing1"/>
    <w:locked/>
    <w:rsid w:val="00E77A65"/>
    <w:rPr>
      <w:rFonts w:ascii="Calibri" w:hAnsi="Calibri"/>
    </w:rPr>
  </w:style>
  <w:style w:type="paragraph" w:customStyle="1" w:styleId="NoSpacing1">
    <w:name w:val="No Spacing1"/>
    <w:link w:val="NoSpacingChar"/>
    <w:rsid w:val="00E77A65"/>
    <w:pPr>
      <w:spacing w:after="0" w:line="240" w:lineRule="auto"/>
    </w:pPr>
    <w:rPr>
      <w:rFonts w:ascii="Calibri" w:hAnsi="Calibri"/>
    </w:rPr>
  </w:style>
  <w:style w:type="table" w:customStyle="1" w:styleId="13">
    <w:name w:val="Сетка таблицы1"/>
    <w:basedOn w:val="a1"/>
    <w:uiPriority w:val="39"/>
    <w:rsid w:val="00D23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154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39"/>
    <w:rsid w:val="0015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BGovstyle2">
    <w:name w:val="LB Gov style 2"/>
    <w:rsid w:val="00D04D16"/>
    <w:pPr>
      <w:suppressAutoHyphens/>
      <w:autoSpaceDN w:val="0"/>
      <w:spacing w:before="120" w:after="120" w:line="240" w:lineRule="auto"/>
      <w:jc w:val="both"/>
    </w:pPr>
    <w:rPr>
      <w:rFonts w:ascii="Times New Roman" w:eastAsia="Calibri" w:hAnsi="Times New Roman" w:cs="Times New Roman"/>
      <w:lang w:val="en-US"/>
    </w:rPr>
  </w:style>
  <w:style w:type="paragraph" w:customStyle="1" w:styleId="Default">
    <w:name w:val="Default"/>
    <w:qFormat/>
    <w:rsid w:val="002C25D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1">
    <w:name w:val="s_1"/>
    <w:basedOn w:val="a"/>
    <w:rsid w:val="002C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2C25D0"/>
    <w:rPr>
      <w:i/>
      <w:iCs/>
    </w:rPr>
  </w:style>
  <w:style w:type="paragraph" w:customStyle="1" w:styleId="empty">
    <w:name w:val="empty"/>
    <w:basedOn w:val="a"/>
    <w:rsid w:val="002C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ctioninfo">
    <w:name w:val="section__info"/>
    <w:basedOn w:val="a0"/>
    <w:rsid w:val="002C25D0"/>
  </w:style>
  <w:style w:type="character" w:customStyle="1" w:styleId="af5">
    <w:name w:val="Абзац списка Знак"/>
    <w:aliases w:val="Bullet List Знак,FooterText Знак,numbered Знак,ТЗ список Знак,Абзац списка литеральный Знак,Абзац списка с маркерами Знак,Medium Grid 1 Accent 2 Знак,Цветной список - Акцент 11 Знак,Таблица - текст Знак,Наименование столбцов Знак"/>
    <w:link w:val="af4"/>
    <w:uiPriority w:val="34"/>
    <w:locked/>
    <w:rsid w:val="002C25D0"/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uiPriority w:val="9"/>
    <w:semiHidden/>
    <w:rsid w:val="002A45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nsPlusNormal0">
    <w:name w:val="ConsPlusNormal Знак"/>
    <w:link w:val="ConsPlusNormal"/>
    <w:qFormat/>
    <w:locked/>
    <w:rsid w:val="002A45E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778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92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99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60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74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66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750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725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060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874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860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097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038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4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upki.kontur.ru/01452000004250015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</Pages>
  <Words>2295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Суздалева</dc:creator>
  <cp:lastModifiedBy>Петелина Анна Евгеньевна</cp:lastModifiedBy>
  <cp:revision>163</cp:revision>
  <cp:lastPrinted>2019-04-16T12:32:00Z</cp:lastPrinted>
  <dcterms:created xsi:type="dcterms:W3CDTF">2015-11-20T10:01:00Z</dcterms:created>
  <dcterms:modified xsi:type="dcterms:W3CDTF">2026-10-05T15:36:00Z</dcterms:modified>
</cp:coreProperties>
</file>