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theme/theme1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1.xml" ContentType="application/xml"/>
  <Override PartName="/customXml/itemProps11.xml" ContentType="application/vnd.openxmlformats-officedocument.customXmlProperties+xml"/>
  <Override PartName="/word/webSettings.xml" ContentType="application/vnd.openxmlformats-officedocument.wordprocessingml.webSettings+xml"/>
  <Override PartName="/word/footnotes.xml" ContentType="application/vnd.openxmlformats-officedocument.wordprocessingml.footnot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B2BE7" w:rsidR="00F13C42" w:rsidP="00F13C42" w:rsidRDefault="00F13C42" w14:paraId="73B3E527" w14:textId="77777777">
      <w:pPr>
        <w:pStyle w:val="ConsPlusNormal"/>
        <w:jc w:val="right"/>
        <w:rPr>
          <w:rFonts w:ascii="Times New Roman" w:hAnsi="Times New Roman" w:cs="Times New Roman"/>
        </w:rPr>
      </w:pPr>
    </w:p>
    <w:tbl>
      <w:tblPr>
        <w:tblW w:w="0" w:type="dxa"/>
        <w:tblLayout w:type="fixed"/>
        <w:tblCellMar>
          <w:top w:w="102" w:type="dxa"/>
          <w:left w:w="62" w:type="dxa"/>
          <w:bottom w:w="102" w:type="dxa"/>
          <w:right w:w="62" w:type="dxa"/>
        </w:tblCellMar>
        <w:tblLook w:val="04A0" w:firstRow="1" w:lastRow="0" w:firstColumn="1" w:lastColumn="0" w:noHBand="0" w:noVBand="1"/>
      </w:tblPr>
      <w:tblGrid>
        <w:gridCol w:w="9014"/>
      </w:tblGrid>
      <w:tr w:rsidRPr="00EB2BE7" w:rsidR="00F13C42" w:rsidTr="00E46085" w14:paraId="5F01D2B6" w14:textId="77777777">
        <w:tc>
          <w:tcPr>
            <w:tcW w:w="9014" w:type="dxa"/>
            <w:tcBorders>
              <w:top w:val="nil"/>
              <w:left w:val="nil"/>
              <w:bottom w:val="nil"/>
              <w:right w:val="nil"/>
            </w:tcBorders>
            <w:vAlign w:val="bottom"/>
          </w:tcPr>
          <w:p w:rsidRPr="00041A98" w:rsidR="00F13C42" w:rsidP="00E46085" w:rsidRDefault="00F13C42" w14:paraId="1E3BAD34" w14:textId="77777777">
            <w:pPr>
              <w:pStyle w:val="ConsPlusNormal"/>
              <w:jc w:val="center"/>
              <w:rPr>
                <w:rFonts w:ascii="Times New Roman" w:hAnsi="Times New Roman" w:cs="Times New Roman"/>
                <w:b/>
                <w:bCs/>
              </w:rPr>
            </w:pPr>
            <w:r w:rsidRPr="00041A98">
              <w:rPr>
                <w:rFonts w:ascii="Times New Roman" w:hAnsi="Times New Roman" w:cs="Times New Roman"/>
                <w:b/>
                <w:bCs/>
              </w:rPr>
              <w:t>ПОРЯДОК</w:t>
            </w:r>
          </w:p>
          <w:p w:rsidRPr="00041A98" w:rsidR="00F13C42" w:rsidP="00E46085" w:rsidRDefault="00F13C42" w14:paraId="7270733D" w14:textId="77777777">
            <w:pPr>
              <w:pStyle w:val="ConsPlusNormal"/>
              <w:jc w:val="center"/>
              <w:rPr>
                <w:rFonts w:ascii="Times New Roman" w:hAnsi="Times New Roman" w:cs="Times New Roman"/>
                <w:b/>
                <w:bCs/>
              </w:rPr>
            </w:pPr>
            <w:r w:rsidRPr="00041A98">
              <w:rPr>
                <w:rFonts w:ascii="Times New Roman" w:hAnsi="Times New Roman" w:cs="Times New Roman"/>
                <w:b/>
                <w:bCs/>
              </w:rPr>
              <w:t>рассмотрения и оценки заявок на участие в конкурсе</w:t>
            </w:r>
          </w:p>
        </w:tc>
      </w:tr>
      <w:tr w:rsidRPr="00EB2BE7" w:rsidR="00F13C42" w:rsidTr="00E46085" w14:paraId="0C04AB9C" w14:textId="77777777">
        <w:tc>
          <w:tcPr>
            <w:tcW w:w="9014" w:type="dxa"/>
            <w:tcBorders>
              <w:top w:val="nil"/>
              <w:left w:val="nil"/>
              <w:bottom w:val="nil"/>
              <w:right w:val="nil"/>
            </w:tcBorders>
          </w:tcPr>
          <w:p w:rsidRPr="00041A98" w:rsidR="00F13C42" w:rsidP="00E46085" w:rsidRDefault="00F13C42" w14:paraId="63FD6B27" w14:textId="77777777">
            <w:pPr>
              <w:pStyle w:val="ConsPlusNormal"/>
              <w:jc w:val="center"/>
              <w:outlineLvl w:val="2"/>
              <w:rPr>
                <w:rFonts w:ascii="Times New Roman" w:hAnsi="Times New Roman" w:cs="Times New Roman"/>
                <w:b/>
                <w:bCs/>
              </w:rPr>
            </w:pPr>
            <w:r w:rsidRPr="00041A98">
              <w:rPr>
                <w:rFonts w:ascii="Times New Roman" w:hAnsi="Times New Roman" w:cs="Times New Roman"/>
                <w:b/>
                <w:bCs/>
              </w:rPr>
              <w:t>I. Информация о заказчике и закупке товаров, работ, услуг для обеспечения государственных и муниципальных нужд (далее - закупка)</w:t>
            </w:r>
          </w:p>
        </w:tc>
      </w:tr>
    </w:tbl>
    <w:p w:rsidRPr="00EB2BE7" w:rsidR="00F13C42" w:rsidP="00F13C42" w:rsidRDefault="00F13C42" w14:paraId="2A383D7D" w14:textId="77777777">
      <w:pPr>
        <w:pStyle w:val="ConsPlusNormal"/>
        <w:jc w:val="both"/>
        <w:rPr>
          <w:rFonts w:ascii="Times New Roman" w:hAnsi="Times New Roman" w:cs="Times New Roman"/>
        </w:rPr>
      </w:pPr>
    </w:p>
    <w:tbl>
      <w:tblPr>
        <w:tblW w:w="9014" w:type="dxa"/>
        <w:tblBorders>
          <w:bottom w:val="single" w:color="auto" w:sz="4" w:space="0"/>
          <w:right w:val="nil"/>
        </w:tblBorders>
        <w:tblLayout w:type="fixed"/>
        <w:tblCellMar>
          <w:top w:w="102" w:type="dxa"/>
          <w:left w:w="62" w:type="dxa"/>
          <w:bottom w:w="102" w:type="dxa"/>
          <w:right w:w="62" w:type="dxa"/>
        </w:tblCellMar>
        <w:tblLook w:val="04A0" w:firstRow="1" w:lastRow="0" w:firstColumn="1" w:lastColumn="0" w:noHBand="0" w:noVBand="1"/>
      </w:tblPr>
      <w:tblGrid>
        <w:gridCol w:w="3855"/>
        <w:gridCol w:w="2778"/>
        <w:gridCol w:w="1361"/>
        <w:gridCol w:w="1020"/>
      </w:tblGrid>
      <w:tr w:rsidRPr="00EB2BE7" w:rsidR="00F13C42" w:rsidTr="00F13C42" w14:paraId="29E74846" w14:textId="77777777">
        <w:tc>
          <w:tcPr>
            <w:tcW w:w="3855" w:type="dxa"/>
            <w:tcBorders>
              <w:top w:val="nil"/>
              <w:left w:val="nil"/>
              <w:bottom w:val="nil"/>
              <w:right w:val="nil"/>
            </w:tcBorders>
          </w:tcPr>
          <w:p w:rsidRPr="00EB2BE7" w:rsidR="00F13C42" w:rsidP="00E46085" w:rsidRDefault="00F13C42" w14:paraId="4A9BB8A1" w14:textId="77777777">
            <w:pPr>
              <w:pStyle w:val="ConsPlusNormal"/>
              <w:rPr>
                <w:rFonts w:ascii="Times New Roman" w:hAnsi="Times New Roman" w:cs="Times New Roman"/>
              </w:rPr>
            </w:pPr>
          </w:p>
        </w:tc>
        <w:tc>
          <w:tcPr>
            <w:tcW w:w="2778" w:type="dxa"/>
            <w:tcBorders>
              <w:top w:val="nil"/>
              <w:left w:val="nil"/>
              <w:bottom w:val="nil"/>
              <w:right w:val="nil"/>
            </w:tcBorders>
          </w:tcPr>
          <w:p w:rsidRPr="00EB2BE7" w:rsidR="00F13C42" w:rsidP="00E46085" w:rsidRDefault="00F13C42" w14:paraId="5306D89F" w14:textId="77777777">
            <w:pPr>
              <w:pStyle w:val="ConsPlusNormal"/>
              <w:rPr>
                <w:rFonts w:ascii="Times New Roman" w:hAnsi="Times New Roman" w:cs="Times New Roman"/>
              </w:rPr>
            </w:pPr>
          </w:p>
        </w:tc>
        <w:tc>
          <w:tcPr>
            <w:tcW w:w="1361" w:type="dxa"/>
            <w:tcBorders>
              <w:top w:val="nil"/>
              <w:left w:val="nil"/>
              <w:bottom w:val="nil"/>
              <w:right w:val="nil"/>
            </w:tcBorders>
          </w:tcPr>
          <w:p w:rsidRPr="00EB2BE7" w:rsidR="00F13C42" w:rsidP="00E46085" w:rsidRDefault="00F13C42" w14:paraId="48B12753" w14:textId="77777777">
            <w:pPr>
              <w:pStyle w:val="ConsPlusNormal"/>
              <w:rPr>
                <w:rFonts w:ascii="Times New Roman" w:hAnsi="Times New Roman" w:cs="Times New Roman"/>
              </w:rPr>
            </w:pPr>
          </w:p>
        </w:tc>
        <w:tc>
          <w:tcPr>
            <w:tcW w:w="1020" w:type="dxa"/>
            <w:tcBorders>
              <w:top w:val="nil"/>
              <w:left w:val="nil"/>
              <w:bottom w:val="single" w:color="auto" w:sz="4" w:space="0"/>
              <w:right w:val="nil"/>
            </w:tcBorders>
          </w:tcPr>
          <w:p w:rsidRPr="00EB2BE7" w:rsidR="00F13C42" w:rsidP="00E46085" w:rsidRDefault="00F13C42" w14:paraId="4F3E73A4" w14:textId="77777777">
            <w:pPr>
              <w:pStyle w:val="ConsPlusNormal"/>
              <w:rPr>
                <w:rFonts w:ascii="Times New Roman" w:hAnsi="Times New Roman" w:cs="Times New Roman"/>
              </w:rPr>
            </w:pPr>
          </w:p>
        </w:tc>
      </w:tr>
      <w:tr w:rsidRPr="00EB2BE7" w:rsidR="00F13C42" w:rsidTr="00F13C42" w14:paraId="307B5245" w14:textId="77777777">
        <w:tblPrEx>
          <w:tblBorders>
            <w:right w:val="single" w:color="auto" w:sz="4" w:space="0"/>
          </w:tblBorders>
        </w:tblPrEx>
        <w:tc>
          <w:tcPr>
            <w:tcW w:w="3855" w:type="dxa"/>
            <w:tcBorders>
              <w:top w:val="nil"/>
              <w:left w:val="nil"/>
              <w:bottom w:val="nil"/>
              <w:right w:val="nil"/>
            </w:tcBorders>
          </w:tcPr>
          <w:p w:rsidRPr="00EB2BE7" w:rsidR="00F13C42" w:rsidP="00E46085" w:rsidRDefault="00F13C42" w14:paraId="28CC7C46" w14:textId="77777777">
            <w:pPr>
              <w:pStyle w:val="ConsPlusNormal"/>
              <w:rPr>
                <w:rFonts w:ascii="Times New Roman" w:hAnsi="Times New Roman" w:cs="Times New Roman"/>
              </w:rPr>
            </w:pPr>
          </w:p>
        </w:tc>
        <w:tc>
          <w:tcPr>
            <w:tcW w:w="2778" w:type="dxa"/>
            <w:tcBorders>
              <w:top w:val="nil"/>
              <w:left w:val="nil"/>
              <w:bottom w:val="nil"/>
              <w:right w:val="nil"/>
            </w:tcBorders>
          </w:tcPr>
          <w:p w:rsidRPr="00EB2BE7" w:rsidR="00F13C42" w:rsidP="00E46085" w:rsidRDefault="00F13C42" w14:paraId="47C850E9" w14:textId="77777777">
            <w:pPr>
              <w:pStyle w:val="ConsPlusNormal"/>
              <w:rPr>
                <w:rFonts w:ascii="Times New Roman" w:hAnsi="Times New Roman" w:cs="Times New Roman"/>
              </w:rPr>
            </w:pPr>
          </w:p>
        </w:tc>
        <w:tc>
          <w:tcPr>
            <w:tcW w:w="1361" w:type="dxa"/>
            <w:tcBorders>
              <w:top w:val="nil"/>
              <w:left w:val="nil"/>
              <w:bottom w:val="nil"/>
              <w:right w:val="single" w:color="auto" w:sz="4" w:space="0"/>
            </w:tcBorders>
          </w:tcPr>
          <w:p w:rsidRPr="00EB2BE7" w:rsidR="00F13C42" w:rsidP="00E46085" w:rsidRDefault="00F13C42" w14:paraId="6AD4DF6C" w14:textId="77777777">
            <w:pPr>
              <w:pStyle w:val="ConsPlusNormal"/>
              <w:rPr>
                <w:rFonts w:ascii="Times New Roman" w:hAnsi="Times New Roman" w:cs="Times New Roman"/>
              </w:rPr>
            </w:pPr>
          </w:p>
        </w:tc>
        <w:tc>
          <w:tcPr>
            <w:tcW w:w="1020" w:type="dxa"/>
            <w:tcBorders>
              <w:top w:val="single" w:color="auto" w:sz="4" w:space="0"/>
              <w:left w:val="single" w:color="auto" w:sz="4" w:space="0"/>
              <w:bottom w:val="single" w:color="auto" w:sz="4" w:space="0"/>
              <w:right w:val="single" w:color="auto" w:sz="4" w:space="0"/>
            </w:tcBorders>
            <w:vAlign w:val="bottom"/>
          </w:tcPr>
          <w:p w:rsidRPr="00EB2BE7" w:rsidR="00F13C42" w:rsidP="00F13C42" w:rsidRDefault="00F13C42" w14:paraId="038C17D7" w14:textId="77777777">
            <w:pPr>
              <w:pStyle w:val="ConsPlusNormal"/>
              <w:jc w:val="center"/>
              <w:rPr>
                <w:rFonts w:ascii="Times New Roman" w:hAnsi="Times New Roman" w:cs="Times New Roman"/>
              </w:rPr>
            </w:pPr>
            <w:r w:rsidRPr="00EB2BE7">
              <w:rPr>
                <w:rFonts w:ascii="Times New Roman" w:hAnsi="Times New Roman" w:cs="Times New Roman"/>
              </w:rPr>
              <w:t>Коды</w:t>
            </w:r>
          </w:p>
        </w:tc>
      </w:tr>
      <w:tr w:rsidRPr="00EB2BE7" w:rsidR="00F13C42" w:rsidTr="008B4923" w14:paraId="33E87E5A" w14:textId="77777777">
        <w:tblPrEx>
          <w:tblBorders>
            <w:right w:val="single" w:color="auto" w:sz="4" w:space="0"/>
          </w:tblBorders>
        </w:tblPrEx>
        <w:tc>
          <w:tcPr>
            <w:tcW w:w="3855" w:type="dxa"/>
            <w:tcBorders>
              <w:top w:val="nil"/>
              <w:left w:val="nil"/>
              <w:bottom w:val="nil"/>
              <w:right w:val="nil"/>
            </w:tcBorders>
          </w:tcPr>
          <w:p w:rsidRPr="00F13D14" w:rsidR="00F13C42" w:rsidP="00E46085" w:rsidRDefault="00F13D14" w14:paraId="060FFFA1" w14:textId="4AE33EFC">
            <w:pPr>
              <w:pStyle w:val="ConsPlusNormal"/>
              <w:rPr>
                <w:rFonts w:ascii="Times New Roman" w:hAnsi="Times New Roman" w:cs="Times New Roman"/>
              </w:rPr>
            </w:pPr>
            <w:r>
              <w:rPr>
                <w:rFonts w:ascii="Times New Roman" w:hAnsi="Times New Roman" w:cs="Times New Roman"/>
              </w:rPr>
              <w:t>Полное наименование</w:t>
            </w:r>
            <w:r>
              <w:rPr>
                <w:rFonts w:ascii="Times New Roman" w:hAnsi="Times New Roman" w:cs="Times New Roman"/>
                <w:lang w:val="en-US"/>
              </w:rPr>
              <w:t>:</w:t>
            </w:r>
          </w:p>
        </w:tc>
        <w:tc>
          <w:tcPr>
            <w:tcW w:w="2778" w:type="dxa"/>
            <w:vMerge w:val="restart"/>
            <w:tcBorders>
              <w:top w:val="nil"/>
              <w:left w:val="nil"/>
              <w:right w:val="nil"/>
            </w:tcBorders>
          </w:tcPr>
          <w:p w:rsidRPr="00EB2BE7" w:rsidR="00F13C42" w:rsidP="00E46085" w:rsidRDefault="00F13D14" w14:paraId="2ECE7FCF" w14:textId="53A94D69">
            <w:pPr>
              <w:pStyle w:val="ConsPlusNormal"/>
              <w:rPr>
                <w:rFonts w:ascii="Times New Roman" w:hAnsi="Times New Roman" w:cs="Times New Roman"/>
              </w:rPr>
            </w:pPr>
            <w:r>
              <w:rPr>
                <w:rFonts w:ascii="Times New Roman" w:hAnsi="Times New Roman" w:cs="Times New Roman"/>
                <w:lang w:val="en-US"/>
              </w:rPr>
              <w:t/>
              <w:rPr>
                <w:rFonts w:ascii="Times New Roman" w:hAnsi="Times New Roman" w:eastAsia="Times New Roman" w:cs="Times New Roman"/>
                <w:sz w:val="22"/>
              </w:rPr>
              <w:t xml:space="preserve">МИНИСТЕРСТВО ГОСУДАРСТВЕННОГО УПРАВЛЕНИЯ, ИНФОРМАЦИОННЫХ ТЕХНОЛОГИЙ И СВЯЗИ МОСКОВСКОЙ ОБЛАСТИ</w:t>
              <w:t xml:space="preserve"/>
              <w:rPr>
                <w:rFonts w:ascii="Times New Roman" w:hAnsi="Times New Roman" w:cs="Times New Roman"/>
                <w:lang w:val="en-US"/>
              </w:rPr>
            </w:r>
          </w:p>
        </w:tc>
        <w:tc>
          <w:tcPr>
            <w:tcW w:w="1361" w:type="dxa"/>
            <w:tcBorders>
              <w:top w:val="nil"/>
              <w:left w:val="nil"/>
              <w:bottom w:val="nil"/>
              <w:right w:val="single" w:color="auto" w:sz="4" w:space="0"/>
            </w:tcBorders>
            <w:vAlign w:val="bottom"/>
          </w:tcPr>
          <w:p w:rsidRPr="00F13D14" w:rsidR="00F13C42" w:rsidP="00F13C42" w:rsidRDefault="00F13D14" w14:paraId="4309E424" w14:textId="320E7217">
            <w:pPr>
              <w:pStyle w:val="ConsPlusNormal"/>
              <w:jc w:val="center"/>
              <w:rPr>
                <w:rFonts w:ascii="Times New Roman" w:hAnsi="Times New Roman" w:cs="Times New Roman"/>
              </w:rPr>
            </w:pPr>
            <w:r>
              <w:rPr>
                <w:rFonts w:ascii="Times New Roman" w:hAnsi="Times New Roman" w:cs="Times New Roman"/>
              </w:rPr>
              <w:t>ИНН</w:t>
            </w:r>
          </w:p>
        </w:tc>
        <w:tc>
          <w:tcPr>
            <w:tcW w:w="1020" w:type="dxa"/>
            <w:tcBorders>
              <w:top w:val="single" w:color="auto" w:sz="4" w:space="0"/>
              <w:left w:val="single" w:color="auto" w:sz="4" w:space="0"/>
              <w:bottom w:val="single" w:color="auto" w:sz="4" w:space="0"/>
              <w:right w:val="single" w:color="auto" w:sz="4" w:space="0"/>
            </w:tcBorders>
          </w:tcPr>
          <w:p w:rsidRPr="00E0201D" w:rsidR="00F13C42" w:rsidP="00F13C42" w:rsidRDefault="00F13D14" w14:paraId="6D821EE7" w14:textId="1DEAB428">
            <w:pPr>
              <w:pStyle w:val="ConsPlusNormal"/>
              <w:jc w:val="center"/>
              <w:rPr>
                <w:rFonts w:ascii="Times New Roman" w:hAnsi="Times New Roman" w:cs="Times New Roman"/>
              </w:rPr>
            </w:pPr>
            <w:r>
              <w:rPr>
                <w:rFonts w:ascii="Times New Roman" w:hAnsi="Times New Roman" w:cs="Times New Roman"/>
                <w:lang w:val="en-US"/>
              </w:rPr>
              <w:t/>
              <w:rPr>
                <w:rFonts w:ascii="Times New Roman" w:hAnsi="Times New Roman" w:eastAsia="Times New Roman" w:cs="Times New Roman"/>
                <w:sz w:val="22"/>
              </w:rPr>
              <w:t xml:space="preserve">5024085154</w:t>
              <w:t xml:space="preserve"/>
              <w:rPr>
                <w:rFonts w:ascii="Times New Roman" w:hAnsi="Times New Roman" w:cs="Times New Roman"/>
                <w:lang w:val="en-US"/>
              </w:rPr>
            </w:r>
          </w:p>
        </w:tc>
      </w:tr>
      <w:tr w:rsidRPr="00EB2BE7" w:rsidR="00F13C42" w:rsidTr="008B4923" w14:paraId="7BC36C6D" w14:textId="77777777">
        <w:tblPrEx>
          <w:tblBorders>
            <w:right w:val="single" w:color="auto" w:sz="4" w:space="0"/>
          </w:tblBorders>
        </w:tblPrEx>
        <w:tc>
          <w:tcPr>
            <w:tcW w:w="3855" w:type="dxa"/>
            <w:tcBorders>
              <w:top w:val="nil"/>
              <w:left w:val="nil"/>
              <w:bottom w:val="nil"/>
              <w:right w:val="nil"/>
            </w:tcBorders>
          </w:tcPr>
          <w:p w:rsidRPr="00EB2BE7" w:rsidR="00F13C42" w:rsidP="00E46085" w:rsidRDefault="00F13C42" w14:paraId="7944150A" w14:textId="77777777">
            <w:pPr>
              <w:pStyle w:val="ConsPlusNormal"/>
              <w:rPr>
                <w:rFonts w:ascii="Times New Roman" w:hAnsi="Times New Roman" w:cs="Times New Roman"/>
              </w:rPr>
            </w:pPr>
          </w:p>
        </w:tc>
        <w:tc>
          <w:tcPr>
            <w:tcW w:w="2778" w:type="dxa"/>
            <w:vMerge/>
            <w:tcBorders>
              <w:left w:val="nil"/>
              <w:bottom w:val="single" w:color="auto" w:sz="4" w:space="0"/>
              <w:right w:val="nil"/>
            </w:tcBorders>
          </w:tcPr>
          <w:p w:rsidRPr="00EB2BE7" w:rsidR="00F13C42" w:rsidP="00E46085" w:rsidRDefault="00F13C42" w14:paraId="43E81260" w14:textId="77777777">
            <w:pPr>
              <w:pStyle w:val="ConsPlusNormal"/>
              <w:rPr>
                <w:rFonts w:ascii="Times New Roman" w:hAnsi="Times New Roman" w:cs="Times New Roman"/>
              </w:rPr>
            </w:pPr>
          </w:p>
        </w:tc>
        <w:tc>
          <w:tcPr>
            <w:tcW w:w="1361" w:type="dxa"/>
            <w:tcBorders>
              <w:top w:val="nil"/>
              <w:left w:val="nil"/>
              <w:bottom w:val="nil"/>
              <w:right w:val="single" w:color="auto" w:sz="4" w:space="0"/>
            </w:tcBorders>
            <w:vAlign w:val="bottom"/>
          </w:tcPr>
          <w:p w:rsidRPr="00EB2BE7" w:rsidR="00F13C42" w:rsidP="00F13C42" w:rsidRDefault="00F13C42" w14:paraId="3915BC86" w14:textId="77777777">
            <w:pPr>
              <w:pStyle w:val="ConsPlusNormal"/>
              <w:jc w:val="center"/>
              <w:rPr>
                <w:rFonts w:ascii="Times New Roman" w:hAnsi="Times New Roman" w:cs="Times New Roman"/>
              </w:rPr>
            </w:pPr>
            <w:r w:rsidRPr="00EB2BE7">
              <w:rPr>
                <w:rFonts w:ascii="Times New Roman" w:hAnsi="Times New Roman" w:cs="Times New Roman"/>
              </w:rPr>
              <w:t>КПП</w:t>
            </w:r>
          </w:p>
        </w:tc>
        <w:tc>
          <w:tcPr>
            <w:tcW w:w="1020" w:type="dxa"/>
            <w:tcBorders>
              <w:top w:val="single" w:color="auto" w:sz="4" w:space="0"/>
              <w:left w:val="single" w:color="auto" w:sz="4" w:space="0"/>
              <w:bottom w:val="single" w:color="auto" w:sz="4" w:space="0"/>
              <w:right w:val="single" w:color="auto" w:sz="4" w:space="0"/>
            </w:tcBorders>
          </w:tcPr>
          <w:p w:rsidRPr="00F13D14" w:rsidR="00F13C42" w:rsidP="00F13C42" w:rsidRDefault="00F13D14" w14:paraId="11EE3DBE" w14:textId="53F3E1A6">
            <w:pPr>
              <w:pStyle w:val="ConsPlusNormal"/>
              <w:jc w:val="center"/>
              <w:rPr>
                <w:rFonts w:ascii="Times New Roman" w:hAnsi="Times New Roman" w:cs="Times New Roman"/>
                <w:lang w:val="en-US"/>
              </w:rPr>
            </w:pPr>
            <w:r>
              <w:rPr>
                <w:rFonts w:ascii="Times New Roman" w:hAnsi="Times New Roman" w:cs="Times New Roman"/>
                <w:lang w:val="en-US"/>
              </w:rPr>
              <w:t/>
              <w:rPr>
                <w:rFonts w:ascii="Times New Roman" w:hAnsi="Times New Roman" w:eastAsia="Times New Roman" w:cs="Times New Roman"/>
                <w:sz w:val="22"/>
              </w:rPr>
              <w:t xml:space="preserve">502401001</w:t>
              <w:t xml:space="preserve"/>
              <w:rPr>
                <w:rFonts w:ascii="Times New Roman" w:hAnsi="Times New Roman" w:cs="Times New Roman"/>
                <w:lang w:val="en-US"/>
              </w:rPr>
            </w:r>
          </w:p>
        </w:tc>
      </w:tr>
      <w:tr w:rsidRPr="00EB2BE7" w:rsidR="00F13C42" w:rsidTr="00F13C42" w14:paraId="0B3815E1" w14:textId="77777777">
        <w:tblPrEx>
          <w:tblBorders>
            <w:right w:val="single" w:color="auto" w:sz="4" w:space="0"/>
          </w:tblBorders>
        </w:tblPrEx>
        <w:tc>
          <w:tcPr>
            <w:tcW w:w="3855" w:type="dxa"/>
            <w:tcBorders>
              <w:top w:val="nil"/>
              <w:left w:val="nil"/>
              <w:bottom w:val="nil"/>
              <w:right w:val="nil"/>
            </w:tcBorders>
          </w:tcPr>
          <w:p w:rsidRPr="00EB2BE7" w:rsidR="00F13C42" w:rsidP="00E46085" w:rsidRDefault="00F13C42" w14:paraId="1323799A" w14:textId="77777777">
            <w:pPr>
              <w:pStyle w:val="ConsPlusNormal"/>
              <w:rPr>
                <w:rFonts w:ascii="Times New Roman" w:hAnsi="Times New Roman" w:cs="Times New Roman"/>
              </w:rPr>
            </w:pPr>
            <w:r w:rsidRPr="00EB2BE7">
              <w:rPr>
                <w:rFonts w:ascii="Times New Roman" w:hAnsi="Times New Roman" w:cs="Times New Roman"/>
              </w:rPr>
              <w:t>Место нахождения, телефон, адрес электронной почты</w:t>
            </w:r>
          </w:p>
        </w:tc>
        <w:tc>
          <w:tcPr>
            <w:tcW w:w="2778" w:type="dxa"/>
            <w:tcBorders>
              <w:top w:val="single" w:color="auto" w:sz="4" w:space="0"/>
              <w:left w:val="nil"/>
              <w:bottom w:val="single" w:color="auto" w:sz="4" w:space="0"/>
              <w:right w:val="nil"/>
            </w:tcBorders>
          </w:tcPr>
          <w:p w:rsidRPr="00B133AD" w:rsidR="00F13C42" w:rsidP="00E46085" w:rsidRDefault="00B133AD" w14:paraId="52FCC0EA" w14:textId="08BBCBFC">
            <w:pPr>
              <w:pStyle w:val="ConsPlusNormal"/>
              <w:rPr>
                <w:rFonts w:ascii="Times New Roman" w:hAnsi="Times New Roman" w:cs="Times New Roman"/>
                <w:lang w:val="en-US"/>
              </w:rPr>
            </w:pPr>
            <w:r>
              <w:rPr>
                <w:rFonts w:ascii="Times New Roman" w:hAnsi="Times New Roman" w:cs="Times New Roman"/>
                <w:lang w:val="en-US"/>
              </w:rPr>
              <w:t/>
              <w:rPr>
                <w:rFonts w:ascii="Times New Roman" w:hAnsi="Times New Roman" w:eastAsia="Times New Roman" w:cs="Times New Roman"/>
                <w:sz w:val="22"/>
              </w:rPr>
              <w:t xml:space="preserve">Российская Федерация, 143407, Московская область, г. Красногорск, бульвар Строителей, д.1 zakupki_mitsmo@mosreg.ru 74986028417</w:t>
              <w:t xml:space="preserve"/>
              <w:rPr>
                <w:rFonts w:ascii="Times New Roman" w:hAnsi="Times New Roman" w:cs="Times New Roman"/>
                <w:lang w:val="en-US"/>
              </w:rPr>
            </w:r>
          </w:p>
        </w:tc>
        <w:tc>
          <w:tcPr>
            <w:tcW w:w="1361" w:type="dxa"/>
            <w:tcBorders>
              <w:top w:val="nil"/>
              <w:left w:val="nil"/>
              <w:bottom w:val="nil"/>
              <w:right w:val="single" w:color="auto" w:sz="4" w:space="0"/>
            </w:tcBorders>
            <w:vAlign w:val="bottom"/>
          </w:tcPr>
          <w:p w:rsidRPr="00041A98" w:rsidR="00F13C42" w:rsidP="00F13C42" w:rsidRDefault="00F13C42" w14:paraId="4581C526" w14:textId="77777777">
            <w:pPr>
              <w:pStyle w:val="ConsPlusNormal"/>
              <w:jc w:val="center"/>
              <w:rPr>
                <w:rFonts w:ascii="Times New Roman" w:hAnsi="Times New Roman" w:cs="Times New Roman"/>
              </w:rPr>
            </w:pPr>
            <w:r w:rsidRPr="00041A98">
              <w:rPr>
                <w:rFonts w:ascii="Times New Roman" w:hAnsi="Times New Roman" w:cs="Times New Roman"/>
              </w:rPr>
              <w:t xml:space="preserve">по </w:t>
            </w:r>
            <w:hyperlink w:history="1" r:id="rId5">
              <w:r w:rsidRPr="00041A98">
                <w:rPr>
                  <w:rFonts w:ascii="Times New Roman" w:hAnsi="Times New Roman" w:cs="Times New Roman"/>
                </w:rPr>
                <w:t>ОКТМО</w:t>
              </w:r>
            </w:hyperlink>
          </w:p>
        </w:tc>
        <w:tc>
          <w:tcPr>
            <w:tcW w:w="1020" w:type="dxa"/>
            <w:tcBorders>
              <w:top w:val="single" w:color="auto" w:sz="4" w:space="0"/>
              <w:left w:val="single" w:color="auto" w:sz="4" w:space="0"/>
              <w:bottom w:val="single" w:color="auto" w:sz="4" w:space="0"/>
              <w:right w:val="single" w:color="auto" w:sz="4" w:space="0"/>
            </w:tcBorders>
          </w:tcPr>
          <w:p w:rsidRPr="00F13D14" w:rsidR="00F13C42" w:rsidP="00F13C42" w:rsidRDefault="00F13D14" w14:paraId="1E750B1D" w14:textId="440A080D">
            <w:pPr>
              <w:pStyle w:val="ConsPlusNormal"/>
              <w:jc w:val="center"/>
              <w:rPr>
                <w:rFonts w:ascii="Times New Roman" w:hAnsi="Times New Roman" w:cs="Times New Roman"/>
                <w:lang w:val="en-US"/>
              </w:rPr>
            </w:pPr>
            <w:r>
              <w:rPr>
                <w:rFonts w:ascii="Times New Roman" w:hAnsi="Times New Roman" w:cs="Times New Roman"/>
                <w:lang w:val="en-US"/>
              </w:rPr>
              <w:t/>
              <w:rPr>
                <w:rFonts w:ascii="Times New Roman" w:hAnsi="Times New Roman" w:eastAsia="Times New Roman" w:cs="Times New Roman"/>
                <w:sz w:val="22"/>
              </w:rPr>
              <w:t xml:space="preserve">46744000001</w:t>
              <w:t xml:space="preserve"/>
              <w:rPr>
                <w:rFonts w:ascii="Times New Roman" w:hAnsi="Times New Roman" w:cs="Times New Roman"/>
                <w:lang w:val="en-US"/>
              </w:rPr>
            </w:r>
          </w:p>
        </w:tc>
      </w:tr>
      <w:tr w:rsidRPr="00EB2BE7" w:rsidR="00F13C42" w:rsidTr="00F13C42" w14:paraId="2CBCB897" w14:textId="77777777">
        <w:tblPrEx>
          <w:tblBorders>
            <w:right w:val="single" w:color="auto" w:sz="4" w:space="0"/>
          </w:tblBorders>
        </w:tblPrEx>
        <w:tc>
          <w:tcPr>
            <w:tcW w:w="3855" w:type="dxa"/>
            <w:tcBorders>
              <w:top w:val="nil"/>
              <w:left w:val="nil"/>
              <w:bottom w:val="nil"/>
              <w:right w:val="nil"/>
            </w:tcBorders>
          </w:tcPr>
          <w:p w:rsidRPr="00C71EAC" w:rsidR="00F13C42" w:rsidP="00E46085" w:rsidRDefault="00F13C42" w14:paraId="01AC1103" w14:textId="77777777">
            <w:pPr>
              <w:pStyle w:val="ConsPlusNormal"/>
              <w:rPr>
                <w:rFonts w:ascii="Times New Roman" w:hAnsi="Times New Roman" w:cs="Times New Roman"/>
                <w:lang w:val="en-US"/>
              </w:rPr>
            </w:pPr>
          </w:p>
        </w:tc>
        <w:tc>
          <w:tcPr>
            <w:tcW w:w="2778" w:type="dxa"/>
            <w:tcBorders>
              <w:top w:val="single" w:color="auto" w:sz="4" w:space="0"/>
              <w:left w:val="nil"/>
              <w:bottom w:val="nil"/>
              <w:right w:val="nil"/>
            </w:tcBorders>
          </w:tcPr>
          <w:p w:rsidRPr="00EB2BE7" w:rsidR="00F13C42" w:rsidP="00E46085" w:rsidRDefault="00F13C42" w14:paraId="41156360" w14:textId="77777777">
            <w:pPr>
              <w:pStyle w:val="ConsPlusNormal"/>
              <w:rPr>
                <w:rFonts w:ascii="Times New Roman" w:hAnsi="Times New Roman" w:cs="Times New Roman"/>
              </w:rPr>
            </w:pPr>
          </w:p>
        </w:tc>
        <w:tc>
          <w:tcPr>
            <w:tcW w:w="1361" w:type="dxa"/>
            <w:tcBorders>
              <w:top w:val="nil"/>
              <w:left w:val="nil"/>
              <w:bottom w:val="nil"/>
              <w:right w:val="single" w:color="auto" w:sz="4" w:space="0"/>
            </w:tcBorders>
            <w:vAlign w:val="bottom"/>
          </w:tcPr>
          <w:p w:rsidRPr="00EB2BE7" w:rsidR="00F13C42" w:rsidP="00F13C42" w:rsidRDefault="00F13C42" w14:paraId="6C92380F" w14:textId="77777777">
            <w:pPr>
              <w:pStyle w:val="ConsPlusNormal"/>
              <w:jc w:val="center"/>
              <w:rPr>
                <w:rFonts w:ascii="Times New Roman" w:hAnsi="Times New Roman" w:cs="Times New Roman"/>
              </w:rPr>
            </w:pPr>
            <w:r w:rsidRPr="00EB2BE7">
              <w:rPr>
                <w:rFonts w:ascii="Times New Roman" w:hAnsi="Times New Roman" w:cs="Times New Roman"/>
              </w:rPr>
              <w:t>ИНН</w:t>
            </w:r>
          </w:p>
        </w:tc>
        <w:tc>
          <w:tcPr>
            <w:tcW w:w="1020" w:type="dxa"/>
            <w:tcBorders>
              <w:top w:val="single" w:color="auto" w:sz="4" w:space="0"/>
              <w:left w:val="single" w:color="auto" w:sz="4" w:space="0"/>
              <w:bottom w:val="single" w:color="auto" w:sz="4" w:space="0"/>
              <w:right w:val="single" w:color="auto" w:sz="4" w:space="0"/>
            </w:tcBorders>
          </w:tcPr>
          <w:p w:rsidRPr="00F13D14" w:rsidR="00F13C42" w:rsidP="00F13C42" w:rsidRDefault="00F13C42" w14:paraId="407D94A8" w14:textId="635DE4E4">
            <w:pPr>
              <w:pStyle w:val="ConsPlusNormal"/>
              <w:jc w:val="center"/>
              <w:rPr>
                <w:rFonts w:ascii="Times New Roman" w:hAnsi="Times New Roman" w:cs="Times New Roman"/>
                <w:lang w:val="en-US"/>
              </w:rPr>
            </w:pPr>
          </w:p>
        </w:tc>
      </w:tr>
      <w:tr w:rsidRPr="00EB2BE7" w:rsidR="00F13C42" w:rsidTr="00F13C42" w14:paraId="6E39C448" w14:textId="77777777">
        <w:tblPrEx>
          <w:tblBorders>
            <w:right w:val="single" w:color="auto" w:sz="4" w:space="0"/>
          </w:tblBorders>
        </w:tblPrEx>
        <w:tc>
          <w:tcPr>
            <w:tcW w:w="3855" w:type="dxa"/>
            <w:tcBorders>
              <w:top w:val="nil"/>
              <w:left w:val="nil"/>
              <w:bottom w:val="nil"/>
              <w:right w:val="nil"/>
            </w:tcBorders>
          </w:tcPr>
          <w:p w:rsidRPr="00EB2BE7" w:rsidR="00F13C42" w:rsidP="00E46085" w:rsidRDefault="00F13C42" w14:paraId="5F023E3D" w14:textId="77777777">
            <w:pPr>
              <w:pStyle w:val="ConsPlusNormal"/>
              <w:rPr>
                <w:rFonts w:ascii="Times New Roman" w:hAnsi="Times New Roman" w:cs="Times New Roman"/>
              </w:rPr>
            </w:pPr>
            <w:r w:rsidRPr="00EB2BE7">
              <w:rPr>
                <w:rFonts w:ascii="Times New Roman" w:hAnsi="Times New Roman" w:cs="Times New Roman"/>
              </w:rPr>
              <w:t xml:space="preserve">Наименование бюджетного, автономного учреждения </w:t>
            </w:r>
            <w:r w:rsidRPr="00C71EAC">
              <w:rPr>
                <w:rFonts w:ascii="Times New Roman" w:hAnsi="Times New Roman" w:cs="Times New Roman"/>
              </w:rPr>
              <w:t xml:space="preserve"> </w:t>
            </w:r>
            <w:r w:rsidRPr="00EB2BE7">
              <w:rPr>
                <w:rFonts w:ascii="Times New Roman" w:hAnsi="Times New Roman" w:cs="Times New Roman"/>
              </w:rPr>
              <w:t xml:space="preserve">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w:t>
            </w:r>
          </w:p>
        </w:tc>
        <w:tc>
          <w:tcPr>
            <w:tcW w:w="2778" w:type="dxa"/>
            <w:tcBorders>
              <w:top w:val="nil"/>
              <w:left w:val="nil"/>
              <w:bottom w:val="single" w:color="auto" w:sz="4" w:space="0"/>
              <w:right w:val="nil"/>
            </w:tcBorders>
          </w:tcPr>
          <w:p w:rsidRPr="006B4A43" w:rsidR="00F13C42" w:rsidP="00E46085" w:rsidRDefault="00F13C42" w14:paraId="741A8BA4" w14:textId="5B13A228">
            <w:pPr>
              <w:pStyle w:val="ConsPlusNormal"/>
              <w:rPr>
                <w:rFonts w:ascii="Times New Roman" w:hAnsi="Times New Roman" w:cs="Times New Roman"/>
              </w:rPr>
            </w:pPr>
          </w:p>
        </w:tc>
        <w:tc>
          <w:tcPr>
            <w:tcW w:w="1361" w:type="dxa"/>
            <w:tcBorders>
              <w:top w:val="nil"/>
              <w:left w:val="nil"/>
              <w:bottom w:val="nil"/>
              <w:right w:val="single" w:color="auto" w:sz="4" w:space="0"/>
            </w:tcBorders>
          </w:tcPr>
          <w:p w:rsidRPr="00EB2BE7" w:rsidR="00F13C42" w:rsidP="00F13C42" w:rsidRDefault="00F13C42" w14:paraId="396BF87B" w14:textId="77777777">
            <w:pPr>
              <w:pStyle w:val="ConsPlusNormal"/>
              <w:jc w:val="center"/>
              <w:rPr>
                <w:rFonts w:ascii="Times New Roman" w:hAnsi="Times New Roman" w:cs="Times New Roman"/>
              </w:rPr>
            </w:pPr>
            <w:r w:rsidRPr="00EB2BE7">
              <w:rPr>
                <w:rFonts w:ascii="Times New Roman" w:hAnsi="Times New Roman" w:cs="Times New Roman"/>
              </w:rPr>
              <w:t>КПП</w:t>
            </w:r>
          </w:p>
        </w:tc>
        <w:tc>
          <w:tcPr>
            <w:tcW w:w="1020" w:type="dxa"/>
            <w:tcBorders>
              <w:top w:val="single" w:color="auto" w:sz="4" w:space="0"/>
              <w:left w:val="single" w:color="auto" w:sz="4" w:space="0"/>
              <w:bottom w:val="single" w:color="auto" w:sz="4" w:space="0"/>
              <w:right w:val="single" w:color="auto" w:sz="4" w:space="0"/>
            </w:tcBorders>
          </w:tcPr>
          <w:p w:rsidRPr="00EB2BE7" w:rsidR="00F13C42" w:rsidP="00E46085" w:rsidRDefault="00F13C42" w14:paraId="7E2861B8" w14:textId="407C7947">
            <w:pPr>
              <w:pStyle w:val="ConsPlusNormal"/>
              <w:rPr>
                <w:rFonts w:ascii="Times New Roman" w:hAnsi="Times New Roman" w:cs="Times New Roman"/>
              </w:rPr>
            </w:pPr>
          </w:p>
        </w:tc>
      </w:tr>
      <w:tr w:rsidRPr="00EB2BE7" w:rsidR="00F13C42" w:rsidTr="00F13C42" w14:paraId="7BA956BE" w14:textId="77777777">
        <w:tblPrEx>
          <w:tblBorders>
            <w:right w:val="single" w:color="auto" w:sz="4" w:space="0"/>
            <w:insideH w:val="single" w:color="auto" w:sz="4" w:space="0"/>
          </w:tblBorders>
        </w:tblPrEx>
        <w:tc>
          <w:tcPr>
            <w:tcW w:w="3855" w:type="dxa"/>
            <w:tcBorders>
              <w:top w:val="nil"/>
              <w:left w:val="nil"/>
              <w:bottom w:val="nil"/>
              <w:right w:val="nil"/>
            </w:tcBorders>
          </w:tcPr>
          <w:p w:rsidRPr="00EB2BE7" w:rsidR="00F13C42" w:rsidP="00E46085" w:rsidRDefault="00F13C42" w14:paraId="392BE27C" w14:textId="77777777">
            <w:pPr>
              <w:pStyle w:val="ConsPlusNormal"/>
              <w:rPr>
                <w:rFonts w:ascii="Times New Roman" w:hAnsi="Times New Roman" w:cs="Times New Roman"/>
              </w:rPr>
            </w:pPr>
            <w:r w:rsidRPr="00EB2BE7">
              <w:rPr>
                <w:rFonts w:ascii="Times New Roman" w:hAnsi="Times New Roman" w:cs="Times New Roman"/>
              </w:rPr>
              <w:t xml:space="preserve">Место нахождения, телефон, адрес электронной почты </w:t>
            </w:r>
          </w:p>
        </w:tc>
        <w:tc>
          <w:tcPr>
            <w:tcW w:w="2778" w:type="dxa"/>
            <w:tcBorders>
              <w:top w:val="single" w:color="auto" w:sz="4" w:space="0"/>
              <w:left w:val="nil"/>
              <w:bottom w:val="single" w:color="auto" w:sz="4" w:space="0"/>
              <w:right w:val="nil"/>
            </w:tcBorders>
          </w:tcPr>
          <w:p w:rsidRPr="00EB2BE7" w:rsidR="00F13C42" w:rsidP="00E46085" w:rsidRDefault="00F13C42" w14:paraId="639C9147" w14:textId="77777777">
            <w:pPr>
              <w:pStyle w:val="ConsPlusNormal"/>
              <w:rPr>
                <w:rFonts w:ascii="Times New Roman" w:hAnsi="Times New Roman" w:cs="Times New Roman"/>
              </w:rPr>
            </w:pPr>
          </w:p>
        </w:tc>
        <w:tc>
          <w:tcPr>
            <w:tcW w:w="1361" w:type="dxa"/>
            <w:tcBorders>
              <w:top w:val="nil"/>
              <w:left w:val="nil"/>
              <w:bottom w:val="single" w:color="auto" w:sz="4" w:space="0"/>
              <w:right w:val="single" w:color="auto" w:sz="4" w:space="0"/>
            </w:tcBorders>
            <w:vAlign w:val="bottom"/>
          </w:tcPr>
          <w:p w:rsidRPr="00EB2BE7" w:rsidR="00F13C42" w:rsidP="00F13C42" w:rsidRDefault="00F13C42" w14:paraId="087E2FA8" w14:textId="77777777">
            <w:pPr>
              <w:pStyle w:val="ConsPlusNormal"/>
              <w:jc w:val="center"/>
              <w:rPr>
                <w:rFonts w:ascii="Times New Roman" w:hAnsi="Times New Roman" w:cs="Times New Roman"/>
              </w:rPr>
            </w:pPr>
            <w:r w:rsidRPr="00041A98">
              <w:rPr>
                <w:rFonts w:ascii="Times New Roman" w:hAnsi="Times New Roman" w:cs="Times New Roman"/>
              </w:rPr>
              <w:t xml:space="preserve">по </w:t>
            </w:r>
            <w:hyperlink w:history="1" r:id="rId6">
              <w:r w:rsidRPr="00041A98">
                <w:rPr>
                  <w:rFonts w:ascii="Times New Roman" w:hAnsi="Times New Roman" w:cs="Times New Roman"/>
                </w:rPr>
                <w:t>ОКТМО</w:t>
              </w:r>
            </w:hyperlink>
          </w:p>
        </w:tc>
        <w:tc>
          <w:tcPr>
            <w:tcW w:w="1020" w:type="dxa"/>
            <w:tcBorders>
              <w:top w:val="single" w:color="auto" w:sz="4" w:space="0"/>
              <w:left w:val="single" w:color="auto" w:sz="4" w:space="0"/>
              <w:bottom w:val="single" w:color="auto" w:sz="4" w:space="0"/>
              <w:right w:val="single" w:color="auto" w:sz="4" w:space="0"/>
            </w:tcBorders>
          </w:tcPr>
          <w:p w:rsidRPr="00C71EAC" w:rsidR="00F13C42" w:rsidP="00E46085" w:rsidRDefault="00F13C42" w14:paraId="6BF6F1DB" w14:textId="77777777">
            <w:pPr>
              <w:pStyle w:val="ConsPlusNormal"/>
              <w:rPr>
                <w:rFonts w:ascii="Times New Roman" w:hAnsi="Times New Roman" w:cs="Times New Roman"/>
                <w:lang w:val="en-US"/>
              </w:rPr>
            </w:pPr>
          </w:p>
        </w:tc>
      </w:tr>
      <w:tr w:rsidRPr="00EB2BE7" w:rsidR="000F3768" w:rsidTr="00607802" w14:paraId="65A7864E" w14:textId="77777777">
        <w:tblPrEx>
          <w:tblBorders>
            <w:right w:val="single" w:color="auto" w:sz="4" w:space="0"/>
            <w:insideH w:val="single" w:color="auto" w:sz="4" w:space="0"/>
          </w:tblBorders>
        </w:tblPrEx>
        <w:tc>
          <w:tcPr>
            <w:tcW w:w="3855" w:type="dxa"/>
            <w:tcBorders>
              <w:top w:val="nil"/>
              <w:left w:val="nil"/>
              <w:bottom w:val="nil"/>
              <w:right w:val="nil"/>
            </w:tcBorders>
            <w:vAlign w:val="bottom"/>
          </w:tcPr>
          <w:p w:rsidRPr="00EB2BE7" w:rsidR="000F3768" w:rsidP="00E46085" w:rsidRDefault="000F3768" w14:paraId="2A719E5A" w14:textId="77777777">
            <w:pPr>
              <w:pStyle w:val="ConsPlusNormal"/>
              <w:rPr>
                <w:rFonts w:ascii="Times New Roman" w:hAnsi="Times New Roman" w:cs="Times New Roman"/>
              </w:rPr>
            </w:pPr>
            <w:r w:rsidRPr="00EB2BE7">
              <w:rPr>
                <w:rFonts w:ascii="Times New Roman" w:hAnsi="Times New Roman" w:cs="Times New Roman"/>
              </w:rPr>
              <w:t>Наименование объекта закупки</w:t>
            </w:r>
          </w:p>
        </w:tc>
        <w:tc>
          <w:tcPr>
            <w:tcW w:w="5159" w:type="dxa"/>
            <w:gridSpan w:val="3"/>
            <w:tcBorders>
              <w:top w:val="single" w:color="auto" w:sz="4" w:space="0"/>
              <w:left w:val="nil"/>
              <w:bottom w:val="single" w:color="auto" w:sz="4" w:space="0"/>
              <w:right w:val="single" w:color="auto" w:sz="4" w:space="0"/>
            </w:tcBorders>
          </w:tcPr>
          <w:p w:rsidRPr="00EB2BE7" w:rsidR="000F3768" w:rsidP="00E46085" w:rsidRDefault="000F3768" w14:paraId="705AC795" w14:textId="4FEEC826">
            <w:pPr>
              <w:pStyle w:val="ConsPlusNormal"/>
              <w:rPr>
                <w:rFonts w:ascii="Times New Roman" w:hAnsi="Times New Roman" w:cs="Times New Roman"/>
              </w:rPr>
            </w:pPr>
            <w:r>
              <w:rPr>
                <w:rFonts w:ascii="Times New Roman" w:hAnsi="Times New Roman" w:cs="Times New Roman"/>
                <w:lang w:val="en-US"/>
              </w:rPr>
              <w:t/>
              <w:rPr>
                <w:rFonts w:ascii="Times New Roman" w:hAnsi="Times New Roman" w:eastAsia="Times New Roman" w:cs="Times New Roman"/>
                <w:sz w:val="22"/>
              </w:rPr>
              <w:t xml:space="preserve">Оказание услуг по техническому сопровождению специального программного обеспечения государственной информационной системы планирования и контроля деятельности центральных исполнительных органов государственной власти Московской области и органов местного самоуправления муниципальных образований Московской области при размещении ими информации в социальных медиа и реагирования на жалобы жителей Московской области в социальных медиа</w:t>
              <w:t xml:space="preserve"/>
              <w:rPr>
                <w:rFonts w:ascii="Times New Roman" w:hAnsi="Times New Roman" w:cs="Times New Roman"/>
                <w:lang w:val="en-US"/>
              </w:rPr>
            </w:r>
          </w:p>
        </w:tc>
      </w:tr>
    </w:tbl>
    <w:p w:rsidR="00B72EB7" w:rsidRDefault="00B72EB7" w14:paraId="56B00D8B" w14:textId="5D3E0406"/>
    <w:p w:rsidRPr="00EB2BE7" w:rsidR="00B52256" w:rsidP="00F13C42" w:rsidRDefault="00B52256" w14:paraId="4A5955CC" w14:textId="5C03C6A0">
      <w:pPr>
        <w:rPr>
          <w:rFonts w:ascii="Times New Roman" w:hAnsi="Times New Roman" w:cs="Times New Roman"/>
        </w:rPr>
        <w:sectPr w:rsidRPr="00EB2BE7" w:rsidR="00B52256" w:rsidSect="00CE5671">
          <w:pgSz w:w="11906" w:h="16838"/>
          <w:pgMar w:top="568" w:right="850" w:bottom="1134" w:left="1701" w:header="708" w:footer="708" w:gutter="0"/>
          <w:cols w:space="708"/>
          <w:docGrid w:linePitch="360"/>
        </w:sectPr>
      </w:pPr>
    </w:p>
    <w:p w:rsidR="00826A71" w:rsidP="00826A71" w:rsidRDefault="0036091C" w14:paraId="18118388" w14:textId="6402A5FC">
      <w:pPr>
        <w:spacing w:after="480"/>
        <w:jc w:val="center"/>
        <w:rPr>
          <w:rFonts w:ascii="Times New Roman" w:hAnsi="Times New Roman" w:cs="Times New Roman"/>
          <w:b/>
          <w:bCs/>
        </w:rPr>
      </w:pPr>
      <w:bookmarkStart w:name="GENERALTABLE" w:id="0"/>
      <w:bookmarkStart w:name="_Hlk107583158" w:id="1"/>
      <w:bookmarkEnd w:id="0"/>
      <w:r w:rsidRPr="001D12C4">
        <w:rPr>
          <w:rFonts w:ascii="Times New Roman" w:hAnsi="Times New Roman" w:cs="Times New Roman"/>
          <w:b/>
          <w:bCs/>
        </w:rPr>
        <w:lastRenderedPageBreak/>
        <w:t>II. Критерии и показатели оценки заявок на участие в закупке</w:t>
      </w:r>
      <w:bookmarkEnd w:id="1"/>
    </w:p>
    <w:tbl>
      <w:tblPr>
        <w:tblBorders>
          <w:top w:val="single"/>
          <w:left w:val="single"/>
          <w:bottom w:val="single"/>
          <w:right w:val="single"/>
          <w:insideH w:val="single"/>
          <w:insideV w:val="single"/>
        </w:tblBorders>
        <w:tblW w:w="5000" w:type="pct"/>
        <w:tblLayout w:type="autofit"/>
        <w:tblInd w:w="0" w:type="dxa"/>
      </w:tblPr>
      <w:tr>
        <w:tc>
          <w:p>
            <w:pPr/>
            <w:r>
              <w:rPr>
                <w:rFonts w:ascii="Times New Roman" w:hAnsi="Times New Roman" w:eastAsia="Times New Roman" w:cs="Times New Roman"/>
                <w:sz w:val="22"/>
              </w:rPr>
              <w:t xml:space="preserve">N</w:t>
            </w:r>
          </w:p>
        </w:tc>
        <w:tc>
          <w:p>
            <w:pPr/>
            <w:r>
              <w:rPr>
                <w:rFonts w:ascii="Times New Roman" w:hAnsi="Times New Roman" w:eastAsia="Times New Roman" w:cs="Times New Roman"/>
                <w:sz w:val="22"/>
              </w:rPr>
              <w:t xml:space="preserve">Критерий оценки</w:t>
            </w:r>
          </w:p>
        </w:tc>
        <w:tc>
          <w:p>
            <w:pPr/>
            <w:r>
              <w:rPr>
                <w:rFonts w:ascii="Times New Roman" w:hAnsi="Times New Roman" w:eastAsia="Times New Roman" w:cs="Times New Roman"/>
                <w:sz w:val="22"/>
              </w:rPr>
              <w:t xml:space="preserve">Значимость критерия оценки, процентов</w:t>
            </w:r>
          </w:p>
        </w:tc>
        <w:tc>
          <w:p>
            <w:pPr/>
            <w:r>
              <w:rPr>
                <w:rFonts w:ascii="Times New Roman" w:hAnsi="Times New Roman" w:eastAsia="Times New Roman" w:cs="Times New Roman"/>
                <w:sz w:val="22"/>
              </w:rPr>
              <w:t xml:space="preserve">Показатель оценки</w:t>
            </w:r>
          </w:p>
        </w:tc>
        <w:tc>
          <w:p>
            <w:pPr/>
            <w:r>
              <w:rPr>
                <w:rFonts w:ascii="Times New Roman" w:hAnsi="Times New Roman" w:eastAsia="Times New Roman" w:cs="Times New Roman"/>
                <w:sz w:val="22"/>
              </w:rPr>
              <w:t xml:space="preserve">Значимость показателя оценки, процентов</w:t>
            </w:r>
          </w:p>
        </w:tc>
        <w:tc>
          <w:p>
            <w:pPr/>
            <w:r>
              <w:rPr>
                <w:rFonts w:ascii="Times New Roman" w:hAnsi="Times New Roman" w:eastAsia="Times New Roman" w:cs="Times New Roman"/>
                <w:sz w:val="22"/>
              </w:rPr>
              <w:t xml:space="preserve">Показатель оценки, детализирующий показатель оценки</w:t>
            </w:r>
          </w:p>
        </w:tc>
        <w:tc>
          <w:p>
            <w:pPr/>
            <w:r>
              <w:rPr>
                <w:rFonts w:ascii="Times New Roman" w:hAnsi="Times New Roman" w:eastAsia="Times New Roman" w:cs="Times New Roman"/>
                <w:sz w:val="22"/>
              </w:rPr>
              <w:t xml:space="preserve">Значимость показателя, детализирующего показатель оценки, процентов</w:t>
            </w:r>
          </w:p>
        </w:tc>
        <w:tc>
          <w:p>
            <w:pPr/>
            <w:r>
              <w:rPr>
                <w:rFonts w:ascii="Times New Roman" w:hAnsi="Times New Roman" w:eastAsia="Times New Roman" w:cs="Times New Roman"/>
                <w:sz w:val="22"/>
              </w:rPr>
              <w:t xml:space="preserve">Формула оценки или шкала оценки</w:t>
            </w:r>
          </w:p>
        </w:tc>
      </w:tr>
      <w:tr>
        <w:tc>
          <w:p>
            <w:pPr/>
            <w:r>
              <w:rPr>
                <w:rFonts w:ascii="Times New Roman" w:hAnsi="Times New Roman" w:eastAsia="Times New Roman" w:cs="Times New Roman"/>
                <w:sz w:val="22"/>
              </w:rPr>
              <w:t xml:space="preserve">1.</w:t>
            </w:r>
          </w:p>
        </w:tc>
        <w:tc>
          <w:p>
            <w:pPr/>
            <w:r>
              <w:rPr>
                <w:rFonts w:ascii="Times New Roman" w:hAnsi="Times New Roman" w:eastAsia="Times New Roman" w:cs="Times New Roman"/>
                <w:sz w:val="22"/>
              </w:rPr>
              <w:t xml:space="preserve">Цена контракта, сумма цен единиц товара, работы, услуги</w:t>
            </w:r>
          </w:p>
        </w:tc>
        <w:tc>
          <w:p>
            <w:pPr/>
            <w:r>
              <w:rPr>
                <w:rFonts w:ascii="Times New Roman" w:hAnsi="Times New Roman" w:eastAsia="Times New Roman" w:cs="Times New Roman"/>
                <w:sz w:val="22"/>
              </w:rPr>
              <w:t xml:space="preserve">30,00</w:t>
            </w:r>
          </w:p>
        </w:tc>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Оценка заявок осуществляется по одной из формул, предусмотренной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N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(далее - Положение).</w:t>
              <w:br/>
              <w:t xml:space="preserve"/>
              <w:br/>
              <w:t xml:space="preserve">а) за исключением случаев, предусмотренных подпунктом «б» пункта 9 Положения и пунктом 10 Положения, по формуле:</w:t>
              <w:br/>
              <w:t xml:space="preserve"/>
            </w:r>
          </w:p>
          <w:p>
            <w:r>
              <m:oMathPara>
                <m:oMath>
                  <m:sSub>
                    <m:sSubPr>
                      <m:ctrlPr>
                        <w:rPr>
                          <w:rFonts w:ascii="Cambria Math" w:hAnsi="Cambria Math"/>
                          <w:i/>
                        </w:rPr>
                      </m:ctrlPr>
                    </m:sSubPr>
                    <m:e>
                      <m:r>
                        <w:rPr>
                          <w:rFonts w:ascii="Cambria Math" w:hAnsi="Cambria Math"/>
                        </w:rPr>
                        <m:t>БЦ</m:t>
                      </m:r>
                    </m:e>
                    <m:sub>
                      <m:r>
                        <w:rPr>
                          <w:rFonts w:ascii="Cambria Math" w:hAnsi="Cambria Math"/>
                        </w:rPr>
                        <m:t>i</m:t>
                      </m:r>
                    </m:sub>
                  </m:sSub>
                  <m:r>
                    <w:rPr>
                      <w:rFonts w:ascii="Cambria Math" w:hAnsi="Cambria Math"/>
                    </w:rPr>
                    <m:t>=100-</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Ц</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Ц</m:t>
                              </m:r>
                            </m:e>
                            <m:sub>
                              <m:r>
                                <w:rPr>
                                  <w:rFonts w:ascii="Cambria Math" w:hAnsi="Cambria Math"/>
                                </w:rPr>
                                <m:t>л</m:t>
                              </m:r>
                            </m:sub>
                          </m:sSub>
                        </m:num>
                        <m:den>
                          <m:sSub>
                            <m:sSubPr>
                              <m:ctrlPr>
                                <w:rPr>
                                  <w:rFonts w:ascii="Cambria Math" w:hAnsi="Cambria Math"/>
                                  <w:i/>
                                </w:rPr>
                              </m:ctrlPr>
                            </m:sSubPr>
                            <m:e>
                              <m:r>
                                <w:rPr>
                                  <w:rFonts w:ascii="Cambria Math" w:hAnsi="Cambria Math"/>
                                </w:rPr>
                                <m:t>Ц</m:t>
                              </m:r>
                            </m:e>
                            <m:sub>
                              <m:r>
                                <w:rPr>
                                  <w:rFonts w:ascii="Cambria Math" w:hAnsi="Cambria Math"/>
                                </w:rPr>
                                <m:t>л</m:t>
                              </m:r>
                            </m:sub>
                          </m:sSub>
                        </m:den>
                      </m:f>
                    </m:e>
                  </m:d>
                  <m:r>
                    <w:rPr>
                      <w:rFonts w:ascii="Cambria Math" w:hAnsi="Cambria Math"/>
                    </w:rPr>
                    <m:t>*100</m:t>
                  </m:r>
                </m:oMath>
              </m:oMathPara>
            </w:r>
          </w:p>
          <w:p>
            <w:pPr/>
            <w:r>
              <w:rPr>
                <w:rFonts w:ascii="Times New Roman" w:hAnsi="Times New Roman" w:eastAsia="Times New Roman" w:cs="Times New Roman"/>
                <w:sz w:val="22"/>
              </w:rPr>
              <w:t xml:space="preserve">где:</w:t>
              <w:br/>
              <w:t xml:space="preserve">Цi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Федерального закона №44-ФЗ, в том числе при проведении в этом случае совместного конкурса), заявка (часть заявки) которого подлежит в соответствии с Федеральным законом №44-ФЗ оценке по критерию оценки "цена контракта, сумма цен единиц товара, работы, услуги" (далее - ценовое предложение);</w:t>
              <w:br/>
              <w:t xml:space="preserve">Цл - наилучшее ценовое предложение из числа предложенных в соответствии с Федеральным законом участниками закупки, заявки (части заявки) которых подлежат оценке по критерию оценки "цена контракта, сумма цен единиц товара, работы, услуги".</w:t>
              <w:br/>
              <w:t xml:space="preserve"/>
              <w:br/>
              <w:t xml:space="preserve">б) в случае если по результатам применения формулы, предусмотренной подпунктом "а" пункта 9 Положения,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законом № 44-ФЗ оценке по указанному критерию оценки (БЦi), определяется по формуле: </w:t>
              <w:br/>
              <w:t xml:space="preserve"/>
            </w:r>
          </w:p>
          <w:p>
            <w:r>
              <m:oMathPara>
                <m:oMath>
                  <m:r>
                    <w:rPr>
                      <w:rFonts w:ascii="Cambria Math" w:hAnsi="Cambria Math"/>
                      <w:sz w:val="24"/>
                      <w:szCs w:val="24"/>
                    </w:rPr>
                    <m:t>Б</m:t>
                  </m:r>
                  <m:sSub>
                    <m:sSubPr>
                      <m:ctrlPr>
                        <w:rPr>
                          <w:rFonts w:ascii="Cambria Math" w:hAnsi="Cambria Math"/>
                          <w:i/>
                          <w:sz w:val="24"/>
                          <w:szCs w:val="24"/>
                          <w:lang w:val="en-US"/>
                        </w:rPr>
                      </m:ctrlPr>
                    </m:sSubPr>
                    <m:e>
                      <m:r>
                        <w:rPr>
                          <w:rFonts w:ascii="Cambria Math" w:hAnsi="Cambria Math"/>
                          <w:sz w:val="24"/>
                          <w:szCs w:val="24"/>
                        </w:rPr>
                        <m:t>Ц</m:t>
                      </m:r>
                      <m:ctrlPr>
                        <w:rPr>
                          <w:rFonts w:ascii="Cambria Math" w:hAnsi="Cambria Math"/>
                          <w:i/>
                          <w:sz w:val="24"/>
                          <w:szCs w:val="24"/>
                        </w:rPr>
                      </m:ctrlPr>
                    </m:e>
                    <m:sub>
                      <m:r>
                        <w:rPr>
                          <w:rFonts w:ascii="Cambria Math" w:hAnsi="Cambria Math"/>
                          <w:sz w:val="24"/>
                          <w:szCs w:val="24"/>
                          <w:lang w:val="en-US"/>
                        </w:rPr>
                        <m:t>i</m:t>
                      </m:r>
                    </m:sub>
                  </m:sSub>
                  <m:r>
                    <w:rPr>
                      <w:rFonts w:ascii="Cambria Math" w:hAnsi="Cambria Math"/>
                      <w:sz w:val="24"/>
                      <w:szCs w:val="24"/>
                      <w:lang w:val="en-US"/>
                    </w:rPr>
                    <m:t>=</m:t>
                  </m:r>
                  <m:d>
                    <m:dPr>
                      <m:ctrlPr>
                        <w:rPr>
                          <w:rFonts w:ascii="Cambria Math" w:hAnsi="Cambria Math"/>
                          <w:i/>
                          <w:sz w:val="24"/>
                          <w:szCs w:val="24"/>
                          <w:lang w:val="en-US"/>
                        </w:rPr>
                      </m:ctrlPr>
                    </m:dPr>
                    <m:e>
                      <m:sSub>
                        <m:sSubPr>
                          <m:ctrlPr>
                            <w:rPr>
                              <w:rFonts w:ascii="Cambria Math" w:hAnsi="Cambria Math"/>
                              <w:i/>
                              <w:sz w:val="24"/>
                              <w:szCs w:val="24"/>
                            </w:rPr>
                          </m:ctrlPr>
                        </m:sSubPr>
                        <m:e>
                          <m:r>
                            <w:rPr>
                              <w:rFonts w:ascii="Cambria Math" w:hAnsi="Cambria Math"/>
                              <w:sz w:val="24"/>
                              <w:szCs w:val="24"/>
                            </w:rPr>
                            <m:t>Ц</m:t>
                          </m:r>
                          <m:ctrlPr>
                            <w:rPr>
                              <w:rFonts w:ascii="Cambria Math" w:hAnsi="Cambria Math"/>
                              <w:i/>
                              <w:sz w:val="24"/>
                              <w:szCs w:val="24"/>
                              <w:lang w:val="en-US"/>
                            </w:rPr>
                          </m:ctrlPr>
                        </m:e>
                        <m:sub>
                          <m:r>
                            <w:rPr>
                              <w:rFonts w:ascii="Cambria Math" w:hAnsi="Cambria Math"/>
                              <w:sz w:val="24"/>
                              <w:szCs w:val="24"/>
                            </w:rPr>
                            <m:t>нач</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Ц</m:t>
                          </m:r>
                        </m:e>
                        <m:sub>
                          <m:r>
                            <w:rPr>
                              <w:rFonts w:ascii="Cambria Math" w:hAnsi="Cambria Math"/>
                              <w:sz w:val="24"/>
                              <w:szCs w:val="24"/>
                              <w:lang w:val="en-US"/>
                            </w:rPr>
                            <m:t>i</m:t>
                          </m:r>
                        </m:sub>
                      </m:sSub>
                    </m:e>
                  </m:d>
                  <m:r>
                    <w:rPr>
                      <w:rFonts w:ascii="Cambria Math" w:hAnsi="Cambria Math"/>
                      <w:sz w:val="24"/>
                      <w:szCs w:val="24"/>
                      <w:lang w:val="en-US"/>
                    </w:rPr>
                    <m:t>*</m:t>
                  </m:r>
                  <m:f>
                    <m:fPr>
                      <m:ctrlPr>
                        <w:rPr>
                          <w:rFonts w:ascii="Cambria Math" w:hAnsi="Cambria Math"/>
                          <w:i/>
                          <w:sz w:val="24"/>
                          <w:szCs w:val="24"/>
                          <w:lang w:val="en-US"/>
                        </w:rPr>
                      </m:ctrlPr>
                    </m:fPr>
                    <m:num>
                      <m:r>
                        <w:rPr>
                          <w:rFonts w:ascii="Cambria Math" w:hAnsi="Cambria Math"/>
                          <w:sz w:val="24"/>
                          <w:szCs w:val="24"/>
                          <w:lang w:val="en-US"/>
                        </w:rPr>
                        <m:t>100</m:t>
                      </m:r>
                    </m:num>
                    <m:den>
                      <m:sSub>
                        <m:sSubPr>
                          <m:ctrlPr>
                            <w:rPr>
                              <w:rFonts w:ascii="Cambria Math" w:hAnsi="Cambria Math"/>
                              <w:i/>
                              <w:sz w:val="24"/>
                              <w:szCs w:val="24"/>
                            </w:rPr>
                          </m:ctrlPr>
                        </m:sSubPr>
                        <m:e>
                          <m:r>
                            <w:rPr>
                              <w:rFonts w:ascii="Cambria Math" w:hAnsi="Cambria Math"/>
                              <w:sz w:val="24"/>
                              <w:szCs w:val="24"/>
                            </w:rPr>
                            <m:t>Ц</m:t>
                          </m:r>
                        </m:e>
                        <m:sub>
                          <m:r>
                            <w:rPr>
                              <w:rFonts w:ascii="Cambria Math" w:hAnsi="Cambria Math"/>
                              <w:sz w:val="24"/>
                              <w:szCs w:val="24"/>
                            </w:rPr>
                            <m:t>нач</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Ц</m:t>
                          </m:r>
                        </m:e>
                        <m:sub>
                          <m:r>
                            <w:rPr>
                              <w:rFonts w:ascii="Cambria Math" w:hAnsi="Cambria Math"/>
                              <w:sz w:val="24"/>
                              <w:szCs w:val="24"/>
                            </w:rPr>
                            <m:t>л</m:t>
                          </m:r>
                        </m:sub>
                      </m:sSub>
                    </m:den>
                  </m:f>
                </m:oMath>
              </m:oMathPara>
            </w:r>
          </w:p>
          <w:p>
            <w:pPr/>
            <w:r>
              <w:rPr>
                <w:rFonts w:ascii="Times New Roman" w:hAnsi="Times New Roman" w:eastAsia="Times New Roman" w:cs="Times New Roman"/>
                <w:sz w:val="22"/>
              </w:rPr>
              <w:t xml:space="preserve">где Цнач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Федерального закона № 44-ФЗ, в том числе при проведении в таком случае совместного конкурса). </w:t>
              <w:br/>
              <w:t xml:space="preserve"/>
              <w:br/>
              <w:t xml:space="preserve">Если при проведении процедуры подачи предложений о цене контракта либо о сумме цен единиц товара, работы, услуги (в случае, предусмотренном частью 24 статьи 22 Федерального закона №44-ФЗ) в соответствии с Федеральным законом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(БЦi) определяется в следующем порядке:</w:t>
              <w:br/>
              <w:t xml:space="preserve"/>
              <w:br/>
              <w:t xml:space="preserve">а) для подлежащей в соответствии с Федеральным законом №44-ФЗ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(БЦi) определяется по формуле:</w:t>
              <w:br/>
              <w:t xml:space="preserve"/>
            </w:r>
          </w:p>
          <w:p>
            <w:r>
              <m:oMathPara>
                <m:oMath>
                  <m:sSub>
                    <m:sSubPr>
                      <m:ctrlPr>
                        <w:rPr>
                          <w:rFonts w:ascii="Cambria Math" w:hAnsi="Cambria Math"/>
                          <w:i/>
                        </w:rPr>
                      </m:ctrlPr>
                    </m:sSubPr>
                    <m:e>
                      <m:r>
                        <w:rPr>
                          <w:rFonts w:ascii="Cambria Math" w:hAnsi="Cambria Math"/>
                        </w:rPr>
                        <m:t>БЦ</m:t>
                      </m:r>
                    </m:e>
                    <m:sub>
                      <m:r>
                        <w:rPr>
                          <w:rFonts w:ascii="Cambria Math" w:hAnsi="Cambria Math"/>
                        </w:rPr>
                        <m:t>i</m:t>
                      </m:r>
                    </m:sub>
                  </m:sSub>
                  <m:r>
                    <w:rPr>
                      <w:rFonts w:ascii="Cambria Math" w:hAnsi="Cambria Math"/>
                    </w:rPr>
                    <m:t>=100-</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Ц</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Ц</m:t>
                              </m:r>
                            </m:e>
                            <m:sub>
                              <m:r>
                                <w:rPr>
                                  <w:rFonts w:ascii="Cambria Math" w:hAnsi="Cambria Math"/>
                                </w:rPr>
                                <m:t>л</m:t>
                              </m:r>
                            </m:sub>
                          </m:sSub>
                        </m:num>
                        <m:den>
                          <m:sSub>
                            <m:sSubPr>
                              <m:ctrlPr>
                                <w:rPr>
                                  <w:rFonts w:ascii="Cambria Math" w:hAnsi="Cambria Math"/>
                                  <w:i/>
                                </w:rPr>
                              </m:ctrlPr>
                            </m:sSubPr>
                            <m:e>
                              <m:r>
                                <w:rPr>
                                  <w:rFonts w:ascii="Cambria Math" w:hAnsi="Cambria Math"/>
                                </w:rPr>
                                <m:t>Ц</m:t>
                              </m:r>
                            </m:e>
                            <m:sub>
                              <m:r>
                                <w:rPr>
                                  <w:rFonts w:ascii="Cambria Math" w:hAnsi="Cambria Math"/>
                                </w:rPr>
                                <m:t>нач</m:t>
                              </m:r>
                            </m:sub>
                          </m:sSub>
                          <m:r>
                            <w:rPr>
                              <w:rFonts w:ascii="Cambria Math" w:hAnsi="Cambria Math"/>
                            </w:rPr>
                            <m:t>+</m:t>
                          </m:r>
                          <m:sSub>
                            <m:sSubPr>
                              <m:ctrlPr>
                                <w:rPr>
                                  <w:rFonts w:ascii="Cambria Math" w:hAnsi="Cambria Math"/>
                                  <w:i/>
                                </w:rPr>
                              </m:ctrlPr>
                            </m:sSubPr>
                            <m:e>
                              <m:r>
                                <w:rPr>
                                  <w:rFonts w:ascii="Cambria Math" w:hAnsi="Cambria Math"/>
                                </w:rPr>
                                <m:t>Ц</m:t>
                              </m:r>
                            </m:e>
                            <m:sub>
                              <m:r>
                                <w:rPr>
                                  <w:rFonts w:ascii="Cambria Math" w:hAnsi="Cambria Math"/>
                                </w:rPr>
                                <m:t>л</m:t>
                              </m:r>
                            </m:sub>
                          </m:sSub>
                        </m:den>
                      </m:f>
                    </m:e>
                  </m:d>
                  <m:r>
                    <w:rPr>
                      <w:rFonts w:ascii="Cambria Math" w:hAnsi="Cambria Math"/>
                    </w:rPr>
                    <m:t>*100</m:t>
                  </m:r>
                </m:oMath>
              </m:oMathPara>
            </w:r>
          </w:p>
          <w:p>
            <w:pPr/>
            <w:r>
              <w:rPr>
                <w:rFonts w:ascii="Times New Roman" w:hAnsi="Times New Roman" w:eastAsia="Times New Roman" w:cs="Times New Roman"/>
                <w:sz w:val="22"/>
              </w:rPr>
              <w:t xml:space="preserve">б) для подлежащей в соответствии с Федеральным законом  №44-ФЗ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(БЦi) определяется по формуле:</w:t>
            </w:r>
          </w:p>
          <w:p>
            <w:r>
              <m:oMathPara>
                <m:oMath>
                  <m:sSub>
                    <m:sSubPr>
                      <m:ctrlPr>
                        <w:rPr>
                          <w:rFonts w:ascii="Cambria Math" w:hAnsi="Cambria Math"/>
                          <w:i/>
                        </w:rPr>
                      </m:ctrlPr>
                    </m:sSubPr>
                    <m:e>
                      <m:r>
                        <w:rPr>
                          <w:rFonts w:ascii="Cambria Math" w:hAnsi="Cambria Math"/>
                        </w:rPr>
                        <m:t>БЦ</m:t>
                      </m:r>
                    </m:e>
                    <m:sub>
                      <m:r>
                        <w:rPr>
                          <w:rFonts w:ascii="Cambria Math" w:hAnsi="Cambria Math"/>
                        </w:rPr>
                        <m:t>i</m:t>
                      </m:r>
                    </m:sub>
                  </m:sSub>
                  <m:r>
                    <w:rPr>
                      <w:rFonts w:ascii="Cambria Math" w:hAnsi="Cambria Math"/>
                    </w:rPr>
                    <m:t>=100-</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Ц</m:t>
                              </m:r>
                            </m:e>
                            <m:sub>
                              <m:r>
                                <w:rPr>
                                  <w:rFonts w:ascii="Cambria Math" w:hAnsi="Cambria Math"/>
                                </w:rPr>
                                <m:t>л</m:t>
                              </m:r>
                            </m:sub>
                          </m:sSub>
                          <m:r>
                            <w:rPr>
                              <w:rFonts w:ascii="Cambria Math" w:hAnsi="Cambria Math"/>
                            </w:rPr>
                            <m:t>-</m:t>
                          </m:r>
                          <m:sSub>
                            <m:sSubPr>
                              <m:ctrlPr>
                                <w:rPr>
                                  <w:rFonts w:ascii="Cambria Math" w:hAnsi="Cambria Math"/>
                                  <w:i/>
                                </w:rPr>
                              </m:ctrlPr>
                            </m:sSubPr>
                            <m:e>
                              <m:r>
                                <w:rPr>
                                  <w:rFonts w:ascii="Cambria Math" w:hAnsi="Cambria Math"/>
                                </w:rPr>
                                <m:t>Ц</m:t>
                              </m:r>
                            </m:e>
                            <m:sub>
                              <m:r>
                                <w:rPr>
                                  <w:rFonts w:ascii="Cambria Math" w:hAnsi="Cambria Math"/>
                                </w:rPr>
                                <m:t>i</m:t>
                              </m:r>
                            </m:sub>
                          </m:sSub>
                        </m:num>
                        <m:den>
                          <m:sSub>
                            <m:sSubPr>
                              <m:ctrlPr>
                                <w:rPr>
                                  <w:rFonts w:ascii="Cambria Math" w:hAnsi="Cambria Math"/>
                                  <w:i/>
                                </w:rPr>
                              </m:ctrlPr>
                            </m:sSubPr>
                            <m:e>
                              <m:r>
                                <w:rPr>
                                  <w:rFonts w:ascii="Cambria Math" w:hAnsi="Cambria Math"/>
                                </w:rPr>
                                <m:t>Ц</m:t>
                              </m:r>
                            </m:e>
                            <m:sub>
                              <m:r>
                                <w:rPr>
                                  <w:rFonts w:ascii="Cambria Math" w:hAnsi="Cambria Math"/>
                                </w:rPr>
                                <m:t>нач</m:t>
                              </m:r>
                            </m:sub>
                          </m:sSub>
                          <m:r>
                            <w:rPr>
                              <w:rFonts w:ascii="Cambria Math" w:hAnsi="Cambria Math"/>
                            </w:rPr>
                            <m:t>+</m:t>
                          </m:r>
                          <m:sSub>
                            <m:sSubPr>
                              <m:ctrlPr>
                                <w:rPr>
                                  <w:rFonts w:ascii="Cambria Math" w:hAnsi="Cambria Math"/>
                                  <w:i/>
                                </w:rPr>
                              </m:ctrlPr>
                            </m:sSubPr>
                            <m:e>
                              <m:r>
                                <w:rPr>
                                  <w:rFonts w:ascii="Cambria Math" w:hAnsi="Cambria Math"/>
                                </w:rPr>
                                <m:t>Ц</m:t>
                              </m:r>
                            </m:e>
                            <m:sub>
                              <m:r>
                                <w:rPr>
                                  <w:rFonts w:ascii="Cambria Math" w:hAnsi="Cambria Math"/>
                                </w:rPr>
                                <m:t>л</m:t>
                              </m:r>
                            </m:sub>
                          </m:sSub>
                        </m:den>
                      </m:f>
                    </m:e>
                  </m:d>
                  <m:r>
                    <w:rPr>
                      <w:rFonts w:ascii="Cambria Math" w:hAnsi="Cambria Math"/>
                    </w:rPr>
                    <m:t>*100</m:t>
                  </m:r>
                </m:oMath>
              </m:oMathPara>
            </w:r>
          </w:p>
        </w:tc>
      </w:tr>
      <w:tr>
        <w:tc>
          <w:p>
            <w:pPr/>
            <w:r>
              <w:rPr>
                <w:rFonts w:ascii="Times New Roman" w:hAnsi="Times New Roman" w:eastAsia="Times New Roman" w:cs="Times New Roman"/>
                <w:sz w:val="22"/>
              </w:rPr>
              <w:t xml:space="preserve">4.</w:t>
            </w:r>
          </w:p>
        </w:tc>
        <w:tc>
          <w:p>
            <w:pPr/>
            <w:r>
              <w:rPr>
                <w:rFonts w:ascii="Times New Roman" w:hAnsi="Times New Roman" w:eastAsia="Times New Roman" w:cs="Times New Roman"/>
                <w:sz w:val="22"/>
              </w:rPr>
              <w:t xml:space="preserve">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p>
            <w:pPr/>
            <w:r>
              <w:rPr>
                <w:rFonts w:ascii="Times New Roman" w:hAnsi="Times New Roman" w:eastAsia="Times New Roman" w:cs="Times New Roman"/>
                <w:sz w:val="22"/>
              </w:rPr>
              <w:t xml:space="preserve">70,00</w:t>
            </w:r>
          </w:p>
        </w:tc>
        <w:tc>
          <w:tcPr>
            <w:vMerge w:val="restart"/>
          </w:tcPr>
          <w:p>
            <w:pPr/>
            <w:r>
              <w:rPr>
                <w:rFonts w:ascii="Times New Roman" w:hAnsi="Times New Roman" w:eastAsia="Times New Roman" w:cs="Times New Roman"/>
                <w:sz w:val="22"/>
              </w:rPr>
              <w:t xml:space="preserve">Наличие у участников закупки опыта поставки товара, выполнения работы, оказания услуги, связанного с предметом контракта</w:t>
              <w:br/>
              <w:t xml:space="preserve"/>
            </w:r>
          </w:p>
        </w:tc>
        <w:tc>
          <w:tcPr>
            <w:vMerge w:val="restart"/>
          </w:tcPr>
          <w:p>
            <w:pPr/>
            <w:r>
              <w:rPr>
                <w:rFonts w:ascii="Times New Roman" w:hAnsi="Times New Roman" w:eastAsia="Times New Roman" w:cs="Times New Roman"/>
                <w:sz w:val="22"/>
              </w:rPr>
              <w:t xml:space="preserve">100,00</w:t>
            </w:r>
          </w:p>
        </w:tc>
        <w:tc>
          <w:p>
            <w:pPr/>
            <w:r>
              <w:rPr>
                <w:rFonts w:ascii="Times New Roman" w:hAnsi="Times New Roman" w:eastAsia="Times New Roman" w:cs="Times New Roman"/>
                <w:sz w:val="22"/>
              </w:rPr>
              <w:t xml:space="preserve">Характеристика квалификации участников закупки N 2</w:t>
              <w:br/>
              <w:t xml:space="preserve">Общее количество исполненных участником закупки договоров</w:t>
            </w:r>
          </w:p>
        </w:tc>
        <w:tc>
          <w:p>
            <w:pPr/>
            <w:r>
              <w:rPr>
                <w:rFonts w:ascii="Times New Roman" w:hAnsi="Times New Roman" w:eastAsia="Times New Roman" w:cs="Times New Roman"/>
                <w:sz w:val="22"/>
              </w:rPr>
              <w:t xml:space="preserve">50,00</w:t>
            </w:r>
          </w:p>
        </w:tc>
        <w:tc>
          <w:p>
            <w:pPr/>
            <w:r>
              <w:rPr>
                <w:rFonts w:ascii="Times New Roman" w:hAnsi="Times New Roman" w:eastAsia="Times New Roman" w:cs="Times New Roman"/>
                <w:sz w:val="22"/>
              </w:rPr>
              <w:t xml:space="preserve">Лучшим является наибольшее значение характеристики, указанной в графе «Показатель оценки, детализирующий показатель оценки» настоящей строки, оценка заявок осуществляется по формуле, предусмотренной подпунктом «б» пункта 20 Положения:</w:t>
            </w:r>
          </w:p>
          <w:p>
            <w:r>
              <m:oMathPara>
                <m:oMath>
                  <m:sSub>
                    <m:sSubPr>
                      <m:ctrlPr>
                        <w:rPr>
                          <w:rFonts w:ascii="Cambria Math" w:hAnsi="Cambria Math"/>
                          <w:i/>
                        </w:rPr>
                      </m:ctrlPr>
                    </m:sSubPr>
                    <m:e>
                      <m:r>
                        <w:rPr>
                          <w:rFonts w:ascii="Cambria Math" w:hAnsi="Cambria Math"/>
                        </w:rPr>
                        <m:t>БХ</m:t>
                      </m:r>
                    </m:e>
                    <m:sub>
                      <m:r>
                        <w:rPr>
                          <w:rFonts w:ascii="Cambria Math" w:hAnsi="Cambria Math"/>
                        </w:rPr>
                        <m:t>i</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Х</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Х</m:t>
                          </m:r>
                        </m:e>
                        <m:sub>
                          <m:r>
                            <w:rPr>
                              <w:rFonts w:ascii="Cambria Math" w:hAnsi="Cambria Math"/>
                            </w:rPr>
                            <m:t>min</m:t>
                          </m:r>
                        </m:sub>
                      </m:sSub>
                    </m:e>
                  </m:d>
                  <m:r>
                    <w:rPr>
                      <w:rFonts w:ascii="Cambria Math" w:hAnsi="Cambria Math"/>
                    </w:rPr>
                    <m:t>*</m:t>
                  </m:r>
                  <m:f>
                    <m:fPr>
                      <m:ctrlPr>
                        <w:rPr>
                          <w:rFonts w:ascii="Cambria Math" w:hAnsi="Cambria Math"/>
                          <w:i/>
                        </w:rPr>
                      </m:ctrlPr>
                    </m:fPr>
                    <m:num>
                      <m:r>
                        <w:rPr>
                          <w:rFonts w:ascii="Cambria Math" w:hAnsi="Cambria Math"/>
                        </w:rPr>
                        <m:t>100</m:t>
                      </m:r>
                    </m:num>
                    <m:den>
                      <m:sSub>
                        <m:sSubPr>
                          <m:ctrlPr>
                            <w:rPr>
                              <w:rFonts w:ascii="Cambria Math" w:hAnsi="Cambria Math"/>
                              <w:i/>
                            </w:rPr>
                          </m:ctrlPr>
                        </m:sSubPr>
                        <m:e>
                          <m:r>
                            <w:rPr>
                              <w:rFonts w:ascii="Cambria Math" w:hAnsi="Cambria Math"/>
                            </w:rPr>
                            <m:t>Х</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Х</m:t>
                          </m:r>
                        </m:e>
                        <m:sub>
                          <m:r>
                            <w:rPr>
                              <w:rFonts w:ascii="Cambria Math" w:hAnsi="Cambria Math"/>
                            </w:rPr>
                            <m:t>min</m:t>
                          </m:r>
                        </m:sub>
                      </m:sSub>
                    </m:den>
                  </m:f>
                </m:oMath>
              </m:oMathPara>
            </w:r>
          </w:p>
          <w:p>
            <w:pPr/>
            <w:r>
              <w:rPr>
                <w:rFonts w:ascii="Times New Roman" w:hAnsi="Times New Roman" w:eastAsia="Times New Roman" w:cs="Times New Roman"/>
                <w:sz w:val="22"/>
              </w:rPr>
              <w:t xml:space="preserve">где:</w:t>
            </w:r>
          </w:p>
          <w:p>
            <w:pPr/>
            <w:r>
              <w:rPr>
                <w:rFonts w:ascii="Times New Roman" w:hAnsi="Times New Roman" w:eastAsia="Times New Roman" w:cs="Times New Roman"/>
                <w:sz w:val="22"/>
              </w:rPr>
              <w:t xml:space="preserve">Хmax - максимальное значение характеристики, содержащееся в заявках (частях заявок), подлежащих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Хi - значение характеристики, содержащееся в предложении участника закупки, заявка (часть заявки) которого подлежит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Хmin - минимальное значение характеристики, содержащееся в заявках (частях заявок), подлежащих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2"/>
              </w:rPr>
              <w:t xml:space="preserve">Характеристика квалификации участников закупки N 1</w:t>
              <w:br/>
              <w:t xml:space="preserve">Общая цена исполненных участником закупки договоров</w:t>
            </w:r>
          </w:p>
        </w:tc>
        <w:tc>
          <w:p>
            <w:pPr/>
            <w:r>
              <w:rPr>
                <w:rFonts w:ascii="Times New Roman" w:hAnsi="Times New Roman" w:eastAsia="Times New Roman" w:cs="Times New Roman"/>
                <w:sz w:val="22"/>
              </w:rPr>
              <w:t xml:space="preserve">50,00</w:t>
            </w:r>
          </w:p>
        </w:tc>
        <w:tc>
          <w:p>
            <w:pPr/>
            <w:r>
              <w:rPr>
                <w:rFonts w:ascii="Times New Roman" w:hAnsi="Times New Roman" w:eastAsia="Times New Roman" w:cs="Times New Roman"/>
                <w:sz w:val="22"/>
              </w:rPr>
              <w:t xml:space="preserve">Лучшим является наибольшее значение характеристики, указанной в графе «Показатель оценки, детализирующий показатель оценки» настоящей строки, оценка заявок осуществляется по формуле, предусмотренной подпунктом «б» пункта 20 Положения:</w:t>
            </w:r>
          </w:p>
          <w:p>
            <w:r>
              <m:oMathPara>
                <m:oMath>
                  <m:sSub>
                    <m:sSubPr>
                      <m:ctrlPr>
                        <w:rPr>
                          <w:rFonts w:ascii="Cambria Math" w:hAnsi="Cambria Math"/>
                          <w:i/>
                        </w:rPr>
                      </m:ctrlPr>
                    </m:sSubPr>
                    <m:e>
                      <m:r>
                        <w:rPr>
                          <w:rFonts w:ascii="Cambria Math" w:hAnsi="Cambria Math"/>
                        </w:rPr>
                        <m:t>БХ</m:t>
                      </m:r>
                    </m:e>
                    <m:sub>
                      <m:r>
                        <w:rPr>
                          <w:rFonts w:ascii="Cambria Math" w:hAnsi="Cambria Math"/>
                        </w:rPr>
                        <m:t>i</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Х</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Х</m:t>
                          </m:r>
                        </m:e>
                        <m:sub>
                          <m:r>
                            <w:rPr>
                              <w:rFonts w:ascii="Cambria Math" w:hAnsi="Cambria Math"/>
                            </w:rPr>
                            <m:t>min</m:t>
                          </m:r>
                        </m:sub>
                      </m:sSub>
                    </m:e>
                  </m:d>
                  <m:r>
                    <w:rPr>
                      <w:rFonts w:ascii="Cambria Math" w:hAnsi="Cambria Math"/>
                    </w:rPr>
                    <m:t>*</m:t>
                  </m:r>
                  <m:f>
                    <m:fPr>
                      <m:ctrlPr>
                        <w:rPr>
                          <w:rFonts w:ascii="Cambria Math" w:hAnsi="Cambria Math"/>
                          <w:i/>
                        </w:rPr>
                      </m:ctrlPr>
                    </m:fPr>
                    <m:num>
                      <m:r>
                        <w:rPr>
                          <w:rFonts w:ascii="Cambria Math" w:hAnsi="Cambria Math"/>
                        </w:rPr>
                        <m:t>100</m:t>
                      </m:r>
                    </m:num>
                    <m:den>
                      <m:sSub>
                        <m:sSubPr>
                          <m:ctrlPr>
                            <w:rPr>
                              <w:rFonts w:ascii="Cambria Math" w:hAnsi="Cambria Math"/>
                              <w:i/>
                            </w:rPr>
                          </m:ctrlPr>
                        </m:sSubPr>
                        <m:e>
                          <m:r>
                            <w:rPr>
                              <w:rFonts w:ascii="Cambria Math" w:hAnsi="Cambria Math"/>
                            </w:rPr>
                            <m:t>Х</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Х</m:t>
                          </m:r>
                        </m:e>
                        <m:sub>
                          <m:r>
                            <w:rPr>
                              <w:rFonts w:ascii="Cambria Math" w:hAnsi="Cambria Math"/>
                            </w:rPr>
                            <m:t>min</m:t>
                          </m:r>
                        </m:sub>
                      </m:sSub>
                    </m:den>
                  </m:f>
                </m:oMath>
              </m:oMathPara>
            </w:r>
          </w:p>
          <w:p>
            <w:pPr/>
            <w:r>
              <w:rPr>
                <w:rFonts w:ascii="Times New Roman" w:hAnsi="Times New Roman" w:eastAsia="Times New Roman" w:cs="Times New Roman"/>
                <w:sz w:val="22"/>
              </w:rPr>
              <w:t xml:space="preserve">где:</w:t>
            </w:r>
          </w:p>
          <w:p>
            <w:pPr/>
            <w:r>
              <w:rPr>
                <w:rFonts w:ascii="Times New Roman" w:hAnsi="Times New Roman" w:eastAsia="Times New Roman" w:cs="Times New Roman"/>
                <w:sz w:val="22"/>
              </w:rPr>
              <w:t xml:space="preserve">Хmax - максимальное значение характеристики, содержащееся в заявках (частях заявок), подлежащих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Хi - значение характеристики, содержащееся в предложении участника закупки, заявка (часть заявки) которого подлежит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Хmin - минимальное значение характеристики, содержащееся в заявках (частях заявок), подлежащих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
            </w:r>
          </w:p>
        </w:tc>
      </w:tr>
    </w:tbl>
    <w:p w:rsidRPr="00826A71" w:rsidR="00B52256" w:rsidRDefault="00B52256" w14:paraId="3395750C" w14:textId="5E5159DE">
      <w:pPr>
        <w:rPr>
          <w:rFonts w:ascii="Times New Roman" w:hAnsi="Times New Roman" w:cs="Times New Roman"/>
          <w:b/>
          <w:bCs/>
        </w:rPr>
      </w:pPr>
      <w:r>
        <w:br w:type="page"/>
      </w:r>
    </w:p>
    <w:tbl>
      <w:tblPr>
        <w:tblW w:w="14459" w:type="dxa"/>
        <w:tblLayout w:type="fixed"/>
        <w:tblCellMar>
          <w:top w:w="102" w:type="dxa"/>
          <w:left w:w="62" w:type="dxa"/>
          <w:bottom w:w="102" w:type="dxa"/>
          <w:right w:w="62" w:type="dxa"/>
        </w:tblCellMar>
        <w:tblLook w:val="04A0" w:firstRow="1" w:lastRow="0" w:firstColumn="1" w:lastColumn="0" w:noHBand="0" w:noVBand="1"/>
      </w:tblPr>
      <w:tblGrid>
        <w:gridCol w:w="14459"/>
      </w:tblGrid>
      <w:tr w:rsidRPr="00EB2BE7" w:rsidR="00F13C42" w:rsidTr="00FF0FAD" w14:paraId="04AF953A" w14:textId="77777777">
        <w:tc>
          <w:tcPr>
            <w:tcW w:w="14459" w:type="dxa"/>
            <w:tcBorders>
              <w:top w:val="nil"/>
              <w:left w:val="nil"/>
              <w:bottom w:val="nil"/>
              <w:right w:val="nil"/>
            </w:tcBorders>
          </w:tcPr>
          <w:p w:rsidRPr="00581314" w:rsidR="00F13C42" w:rsidP="00E46085" w:rsidRDefault="00F13C42" w14:paraId="6F28A0D9" w14:textId="77777777">
            <w:pPr>
              <w:pStyle w:val="ConsPlusNormal"/>
              <w:jc w:val="center"/>
              <w:outlineLvl w:val="2"/>
              <w:rPr>
                <w:rFonts w:ascii="Times New Roman" w:hAnsi="Times New Roman" w:cs="Times New Roman"/>
                <w:b/>
                <w:bCs/>
              </w:rPr>
            </w:pPr>
            <w:r w:rsidRPr="00581314">
              <w:rPr>
                <w:rFonts w:ascii="Times New Roman" w:hAnsi="Times New Roman" w:cs="Times New Roman"/>
                <w:b/>
                <w:bCs/>
              </w:rPr>
              <w:lastRenderedPageBreak/>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history="1" w:anchor="P306">
              <w:r w:rsidRPr="00581314">
                <w:rPr>
                  <w:rFonts w:ascii="Times New Roman" w:hAnsi="Times New Roman" w:cs="Times New Roman"/>
                  <w:b/>
                  <w:bCs/>
                </w:rPr>
                <w:t>разделом II</w:t>
              </w:r>
            </w:hyperlink>
            <w:r w:rsidRPr="00581314">
              <w:rPr>
                <w:rFonts w:ascii="Times New Roman" w:hAnsi="Times New Roman" w:cs="Times New Roman"/>
                <w:b/>
                <w:bCs/>
              </w:rPr>
              <w:t xml:space="preserve"> настоящего документа</w:t>
            </w:r>
          </w:p>
        </w:tc>
      </w:tr>
    </w:tbl>
    <w:p w:rsidR="00F13C42" w:rsidRDefault="00F13C42" w14:paraId="2F2D4E05" w14:textId="44B9BE0E"/>
    <w:p w:rsidR="00F13C42" w:rsidRDefault="00F13C42" w14:paraId="24BCFE52" w14:textId="77777777">
      <w:bookmarkStart w:name="DETAILEDTABLE" w:id="2"/>
      <w:bookmarkEnd w:id="2"/>
    </w:p>
    <w:tbl>
      <w:tblPr>
        <w:tblBorders>
          <w:top w:val="single"/>
          <w:left w:val="single"/>
          <w:bottom w:val="single"/>
          <w:right w:val="single"/>
          <w:insideH w:val="single"/>
          <w:insideV w:val="single"/>
        </w:tblBorders>
        <w:tblW w:w="5000" w:type="pct"/>
        <w:tblLayout w:type="autofit"/>
        <w:tblInd w:w="0" w:type="dxa"/>
      </w:tblPr>
      <w:tr>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p>
            <w:pPr/>
            <w:r>
              <w:rPr>
                <w:rFonts w:ascii="Times New Roman" w:hAnsi="Times New Roman" w:eastAsia="Times New Roman" w:cs="Times New Roman"/>
                <w:sz w:val="22"/>
              </w:rPr>
              <w:t xml:space="preserve">Положение о применении критерия оценки, показателя оценки, показателя оценки, детализирующего показатель оценки</w:t>
            </w:r>
          </w:p>
        </w:tc>
      </w:tr>
      <w:tr>
        <w:tc>
          <w:p>
            <w:pPr/>
            <w:r>
              <w:rPr>
                <w:rFonts w:ascii="Times New Roman" w:hAnsi="Times New Roman" w:eastAsia="Times New Roman" w:cs="Times New Roman"/>
                <w:sz w:val="22"/>
              </w:rPr>
              <w:t xml:space="preserve">1</w:t>
            </w:r>
          </w:p>
        </w:tc>
        <w:tc>
          <w:p>
            <w:pPr/>
            <w:r>
              <w:rPr>
                <w:rFonts w:ascii="Times New Roman" w:hAnsi="Times New Roman" w:eastAsia="Times New Roman" w:cs="Times New Roman"/>
                <w:sz w:val="22"/>
              </w:rPr>
              <w:t xml:space="preserve">2</w:t>
            </w:r>
          </w:p>
        </w:tc>
        <w:tc>
          <w:p>
            <w:pPr/>
            <w:r>
              <w:rPr>
                <w:rFonts w:ascii="Times New Roman" w:hAnsi="Times New Roman" w:eastAsia="Times New Roman" w:cs="Times New Roman"/>
                <w:sz w:val="22"/>
              </w:rPr>
              <w:t xml:space="preserve">3</w:t>
            </w:r>
          </w:p>
        </w:tc>
      </w:tr>
      <w:tr>
        <w:tc>
          <w:p>
            <w:pPr/>
            <w:r>
              <w:rPr>
                <w:rFonts w:ascii="Times New Roman" w:hAnsi="Times New Roman" w:eastAsia="Times New Roman" w:cs="Times New Roman"/>
                <w:sz w:val="22"/>
              </w:rPr>
              <w:t xml:space="preserve">1</w:t>
            </w:r>
          </w:p>
        </w:tc>
        <w:tc>
          <w:p>
            <w:pPr/>
            <w:r>
              <w:rPr>
                <w:rFonts w:ascii="Times New Roman" w:hAnsi="Times New Roman" w:eastAsia="Times New Roman" w:cs="Times New Roman"/>
                <w:sz w:val="22"/>
              </w:rPr>
              <w:t xml:space="preserve">Критерий:</w:t>
              <w:br/>
              <w:t xml:space="preserve">Цена контракта, сумма цен единиц товара, работы, услуги</w:t>
            </w:r>
          </w:p>
        </w:tc>
        <w:tc>
          <w:p>
            <w:pPr/>
            <w:r>
              <w:rPr>
                <w:rFonts w:ascii="Times New Roman" w:hAnsi="Times New Roman" w:eastAsia="Times New Roman" w:cs="Times New Roman"/>
                <w:sz w:val="22"/>
              </w:rPr>
              <w:t xml:space="preserve">Подпункт «а» пункта 3 Положения. </w:t>
              <w:br/>
              <w:t xml:space="preserve"/>
              <w:br/>
              <w:t xml:space="preserve">Оценка заявок по критерию оценки осуществляется в соответствии со следующими требованиями:</w:t>
              <w:br/>
              <w:t xml:space="preserve">а) заявкам, содержащим наилучшее ценовое предложение, а также предложение, равное такому наилучшему ценовому предложению, присваивается 100 баллов;</w:t>
              <w:br/>
              <w:t xml:space="preserve">б) значение Цл при применении формулы, предусмотренной подпунктом "а" пункта 10 Положения, и значения Цл и Цi при применении формулы, предусмотренной подпунктом "б" пункта 10 Положения, указываются без знака "минус".</w:t>
              <w:br/>
              <w:t xml:space="preserve"/>
              <w:br/>
              <w:t xml:space="preserve"/>
            </w:r>
          </w:p>
        </w:tc>
      </w:tr>
      <w:tr>
        <w:tc>
          <w:p>
            <w:pPr/>
            <w:r>
              <w:rPr>
                <w:rFonts w:ascii="Times New Roman" w:hAnsi="Times New Roman" w:eastAsia="Times New Roman" w:cs="Times New Roman"/>
                <w:sz w:val="22"/>
              </w:rPr>
              <w:t xml:space="preserve">4</w:t>
            </w:r>
          </w:p>
        </w:tc>
        <w:tc>
          <w:p>
            <w:pPr/>
            <w:r>
              <w:rPr>
                <w:rFonts w:ascii="Times New Roman" w:hAnsi="Times New Roman" w:eastAsia="Times New Roman" w:cs="Times New Roman"/>
                <w:sz w:val="22"/>
              </w:rPr>
              <w:t xml:space="preserve">Критерий:</w:t>
              <w:br/>
              <w:t xml:space="preserve">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p>
            <w:pPr/>
            <w:r>
              <w:rPr>
                <w:rFonts w:ascii="Times New Roman" w:hAnsi="Times New Roman" w:eastAsia="Times New Roman" w:cs="Times New Roman"/>
                <w:sz w:val="22"/>
              </w:rPr>
              <w:t xml:space="preserve">Подпункт «г» пункта 3 Положения</w:t>
            </w:r>
          </w:p>
        </w:tc>
      </w:tr>
      <w:tr>
        <w:tc>
          <w:p>
            <w:pPr/>
            <w:r>
              <w:rPr>
                <w:rFonts w:ascii="Times New Roman" w:hAnsi="Times New Roman" w:eastAsia="Times New Roman" w:cs="Times New Roman"/>
                <w:sz w:val="22"/>
              </w:rPr>
              <w:t xml:space="preserve">4.1</w:t>
            </w:r>
          </w:p>
        </w:tc>
        <w:tc>
          <w:p>
            <w:pPr/>
            <w:r>
              <w:rPr>
                <w:rFonts w:ascii="Times New Roman" w:hAnsi="Times New Roman" w:eastAsia="Times New Roman" w:cs="Times New Roman"/>
                <w:sz w:val="22"/>
              </w:rPr>
              <w:t xml:space="preserve">Показатель:</w:t>
              <w:br/>
              <w:t xml:space="preserve">Наличие у участников закупки опыта поставки товара, выполнения работы, оказания услуги, связанного с предметом контракта</w:t>
              <w:br/>
              <w:t xml:space="preserve"/>
            </w:r>
          </w:p>
        </w:tc>
        <w:tc>
          <w:p>
            <w:pPr/>
            <w:r>
              <w:rPr>
                <w:rFonts w:ascii="Times New Roman" w:hAnsi="Times New Roman" w:eastAsia="Times New Roman" w:cs="Times New Roman"/>
                <w:sz w:val="22"/>
              </w:rPr>
              <w:t xml:space="preserve">Подпункт «в» пункта 24 Положения </w:t>
              <w:br/>
            </w:r>
          </w:p>
        </w:tc>
      </w:tr>
      <w:tr>
        <w:tc>
          <w:p>
            <w:pPr/>
            <w:r>
              <w:rPr>
                <w:rFonts w:ascii="Times New Roman" w:hAnsi="Times New Roman" w:eastAsia="Times New Roman" w:cs="Times New Roman"/>
                <w:sz w:val="22"/>
              </w:rPr>
              <w:t xml:space="preserve">4.1.1</w:t>
            </w:r>
          </w:p>
        </w:tc>
        <w:tc>
          <w:p>
            <w:pPr/>
            <w:r>
              <w:rPr>
                <w:rFonts w:ascii="Times New Roman" w:hAnsi="Times New Roman" w:eastAsia="Times New Roman" w:cs="Times New Roman"/>
                <w:sz w:val="22"/>
              </w:rPr>
              <w:t xml:space="preserve">Детализирующий показатель: </w:t>
              <w:t xml:space="preserve">Характеристика квалификации участников закупки N 2</w:t>
              <w:br/>
              <w:t xml:space="preserve">Общее количество исполненных участником закупки договоров</w:t>
              <w:br/>
            </w:r>
          </w:p>
        </w:tc>
        <w:tc>
          <w:p>
            <w:pPr/>
            <w:r>
              <w:rPr>
                <w:rFonts w:ascii="Times New Roman" w:hAnsi="Times New Roman" w:eastAsia="Times New Roman" w:cs="Times New Roman"/>
                <w:sz w:val="22"/>
              </w:rPr>
              <w:t xml:space="preserve">Устанавливается предмет договора (договоров), оцениваемого (-ых) по показателю «Наличие у участников закупки опыта оказания услуги, связанного с предметом контракта», сопоставимый с предметом контракта, заключаемого по результатам открытого конкурса в электронной форме:</w:t>
              <w:br/>
              <w:t xml:space="preserve">к оценке принимаются договор (договоры) предусматривающий (-ие):</w:t>
              <w:br/>
              <w:t xml:space="preserve">•	услуги/работы по сопровождению/технической поддержке/эксплуатации информационных систем (автоматизированных систем/ информационно-аналитических систем/ аналитических систем/ государственных информационных систем/ ведомственных систем/ программных комплексов/ программно-аппаратных комплексов/ автономных систем/ комплексных систем/ программного обеспечения/ вычислительных систем/ информационных ресурсов/ мобильного приложения).</w:t>
              <w:br/>
              <w:t xml:space="preserve">2. Устанавливается перечень документов, подтверждающих наличие у участника закупки опыта оказания услуги, связанного с предметом договора (установленного пунктом 1 настоящим подпунктом):</w:t>
              <w:br/>
              <w:t xml:space="preserve">•	исполненный договор (договоры);</w:t>
              <w:br/>
              <w:t xml:space="preserve">•	акт (акты) приемки выполненных работ (оказанных услуг), составленные при исполнении такого договора (договоров);</w:t>
              <w:br/>
              <w:t xml:space="preserve">o	последний акт, составленный при исполнении договора должен быть подписан не ранее чем за 5 лет до даты окончания срока подачи заявок;</w:t>
              <w:br/>
              <w:t xml:space="preserve">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а именно: к оценке принимаются исключительно контракты, заключенные и исполненные в соответствии с Федеральным законом № 44-ФЗ, и договоры, заключенные и исполненные в соответствии с Федеральным законом № 223-ФЗ «О закупках товаров, работ, услуг отдельными видами юридических лиц.</w:t>
              <w:br/>
              <w:t xml:space="preserve">При проведении открытого конкурса в электронной форме такие документы направляются в форме электронных документов или в форме электронных образов бумажных документов.</w:t>
              <w:br/>
              <w:t xml:space="preserve">Каждый контракт/договор должен быть исполнен участником закупки в полном объеме в соответствии с условиями, установленными в таком контракте/договоре.</w:t>
              <w:br/>
              <w:t xml:space="preserve">При этом представленные документы должны быть в виде неповторяющихся, полно читаемых копий, на которых видны необходимые подписи и печати (при наличии).</w:t>
              <w:br/>
              <w:t xml:space="preserve">Оценке не подлежат контракты/договоры, работы по которым продолжаются и/или не выполнены (являются незавершенными).</w:t>
              <w:br/>
              <w:t xml:space="preserve">Если такие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br/>
              <w:t xml:space="preserve">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участником закупки, приоритет имеет информация, содержащаяся в единой информационной системе.</w:t>
              <w:br/>
              <w:t xml:space="preserve">Единица измерения: Штука </w:t>
              <w:br/>
              <w:t xml:space="preserve">Участник закупки вправе указать представленные в составе заявки контракты и (или) договоры и (или) номера реестровых записей из соответствующего реестра в рекомендованной форме «Квалификация участников закупки» (Приложение №1 к Порядку рассмотрения и оценки заявок на участие в конкурсе).</w:t>
            </w:r>
          </w:p>
        </w:tc>
      </w:tr>
      <w:tr>
        <w:tc>
          <w:p>
            <w:pPr/>
            <w:r>
              <w:rPr>
                <w:rFonts w:ascii="Times New Roman" w:hAnsi="Times New Roman" w:eastAsia="Times New Roman" w:cs="Times New Roman"/>
                <w:sz w:val="22"/>
              </w:rPr>
              <w:t xml:space="preserve">4.1.2</w:t>
            </w:r>
          </w:p>
        </w:tc>
        <w:tc>
          <w:p>
            <w:pPr/>
            <w:r>
              <w:rPr>
                <w:rFonts w:ascii="Times New Roman" w:hAnsi="Times New Roman" w:eastAsia="Times New Roman" w:cs="Times New Roman"/>
                <w:sz w:val="22"/>
              </w:rPr>
              <w:t xml:space="preserve">Детализирующий показатель: </w:t>
              <w:t xml:space="preserve">Характеристика квалификации участников закупки N 1</w:t>
              <w:br/>
              <w:t xml:space="preserve">Общая цена исполненных участником закупки договоров</w:t>
              <w:br/>
            </w:r>
          </w:p>
        </w:tc>
        <w:tc>
          <w:p>
            <w:pPr/>
            <w:r>
              <w:rPr>
                <w:rFonts w:ascii="Times New Roman" w:hAnsi="Times New Roman" w:eastAsia="Times New Roman" w:cs="Times New Roman"/>
                <w:sz w:val="22"/>
              </w:rPr>
              <w:t xml:space="preserve">Устанавливается предмет договора (договоров), оцениваемого (-ых) по показателю «Наличие у участников закупки опыта оказания услуги, связанного с предметом контракта», сопоставимый с предметом контракта, заключаемого по результатам открытого конкурса в электронной форме:</w:t>
              <w:br/>
              <w:t xml:space="preserve">к оценке принимаются договор (договоры) предусматривающий (-ие):</w:t>
              <w:br/>
              <w:t xml:space="preserve">•	услуги/работы по сопровождению/технической поддержке/эксплуатации информационных систем (автоматизированных систем/ информационно-аналитических систем/ аналитических систем/ государственных информационных систем/ ведомственных систем/ программных комплексов/ программно-аппаратных комплексов/ автономных систем/ комплексных систем/ программного обеспечения/ вычислительных систем/ информационных ресурсов/ мобильного приложения).</w:t>
              <w:br/>
              <w:t xml:space="preserve">2. Устанавливается перечень документов, подтверждающих наличие у участника закупки опыта оказания услуги, связанного с предметом договора (установленного пунктом 1 настоящим подпунктом):</w:t>
              <w:br/>
              <w:t xml:space="preserve">•	исполненный договор (договоры);</w:t>
              <w:br/>
              <w:t xml:space="preserve">•	акт (акты) приемки выполненных работ (оказанных услуг), составленные при исполнении такого договора (договоров);</w:t>
              <w:br/>
              <w:t xml:space="preserve">o	последний акт, составленный при исполнении договора должен быть подписан не ранее чем за 5 лет до даты окончания срока подачи заявок;</w:t>
              <w:br/>
              <w:t xml:space="preserve">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а именно: к оценке принимаются исключительно контракты, заключенные и исполненные в соответствии с Федеральным законом № 44-ФЗ, и договоры, заключенные и исполненные в соответствии с Федеральным законом № 223-ФЗ «О закупках товаров, работ, услуг отдельными видами юридических лиц.</w:t>
              <w:br/>
              <w:t xml:space="preserve">При проведении открытого конкурса в электронной форме такие документы направляются в форме электронных документов или в форме электронных образов бумажных документов.</w:t>
              <w:br/>
              <w:t xml:space="preserve">Каждый контракт/договор должен быть исполнен участником закупки в полном объеме в соответствии с условиями, установленными в таком контракте/договоре.</w:t>
              <w:br/>
              <w:t xml:space="preserve">При этом представленные документы должны быть в виде неповторяющихся, полно читаемых копий, на которых видны необходимые подписи и печати (при наличии).</w:t>
              <w:br/>
              <w:t xml:space="preserve">Оценке не подлежат контракты/договоры, работы по которым продолжаются и/или не выполнены (являются незавершенными).</w:t>
              <w:br/>
              <w:t xml:space="preserve">Если такие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br/>
              <w:t xml:space="preserve">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участником закупки, приоритет имеет информация, содержащаяся в единой информационной системе.</w:t>
              <w:br/>
              <w:t xml:space="preserve">Единица измерения: Рубль </w:t>
              <w:br/>
              <w:t xml:space="preserve">Участник закупки вправе указать представленные в составе заявки контракты и (или) договоры и (или) номера реестровых записей из соответствующего реестра в рекомендованной форме «Квалификация участников закупки» (Приложение №1 к Порядку рассмотрения и оценки заявок на участие в конкурсе).</w:t>
            </w:r>
          </w:p>
        </w:tc>
      </w:tr>
    </w:tbl>
    <w:p w:rsidR="0067777B" w:rsidRDefault="0081244D" w14:paraId="1C5901E7" w14:textId="1DAAB78A">
      <w:r>
        <w:br w:type="page"/>
      </w:r>
    </w:p>
    <w:p w:rsidRPr="00BC7D1C" w:rsidR="00BC7D1C" w:rsidP="00BC7D1C" w:rsidRDefault="00BC7D1C" w14:paraId="303B5AA9" w14:textId="593842D9">
      <w:pPr>
        <w:jc w:val="right"/>
        <w:rPr>
          <w:rFonts w:ascii="Times New Roman" w:hAnsi="Times New Roman" w:cs="Times New Roman"/>
        </w:rPr>
      </w:pPr>
      <w:r w:rsidRPr="002674CF">
        <w:rPr>
          <w:rFonts w:ascii="Times New Roman" w:hAnsi="Times New Roman" w:cs="Times New Roman" w:eastAsiaTheme="majorEastAsia"/>
          <w:color w:val="000000" w:themeColor="text1"/>
          <w:kern w:val="24"/>
        </w:rPr>
        <w:lastRenderedPageBreak/>
        <w:t xml:space="preserve">Приложение </w:t>
      </w:r>
      <w:r w:rsidRPr="007B6841" w:rsidR="007B6841">
        <w:rPr>
          <w:rFonts w:ascii="Times New Roman" w:hAnsi="Times New Roman" w:cs="Times New Roman" w:eastAsiaTheme="majorEastAsia"/>
          <w:kern w:val="24"/>
        </w:rPr>
        <w:t>№1</w:t>
      </w:r>
      <w:r w:rsidRPr="002674CF">
        <w:rPr>
          <w:rFonts w:ascii="Times New Roman" w:hAnsi="Times New Roman" w:cs="Times New Roman" w:eastAsiaTheme="majorEastAsia"/>
          <w:color w:val="000000" w:themeColor="text1"/>
          <w:kern w:val="24"/>
        </w:rPr>
        <w:br/>
        <w:t xml:space="preserve">к </w:t>
      </w:r>
      <w:r w:rsidR="008338AA">
        <w:rPr>
          <w:rFonts w:ascii="Times New Roman" w:hAnsi="Times New Roman" w:cs="Times New Roman" w:eastAsiaTheme="majorEastAsia"/>
          <w:color w:val="000000" w:themeColor="text1"/>
          <w:kern w:val="24"/>
        </w:rPr>
        <w:t>П</w:t>
      </w:r>
      <w:r w:rsidRPr="002674CF">
        <w:rPr>
          <w:rFonts w:ascii="Times New Roman" w:hAnsi="Times New Roman" w:cs="Times New Roman" w:eastAsiaTheme="majorEastAsia"/>
          <w:color w:val="000000" w:themeColor="text1"/>
          <w:kern w:val="24"/>
        </w:rPr>
        <w:t xml:space="preserve">орядку рассмотрения и оценки </w:t>
      </w:r>
      <w:r w:rsidRPr="002674CF">
        <w:rPr>
          <w:rFonts w:ascii="Times New Roman" w:hAnsi="Times New Roman" w:cs="Times New Roman" w:eastAsiaTheme="majorEastAsia"/>
          <w:color w:val="000000" w:themeColor="text1"/>
          <w:kern w:val="24"/>
        </w:rPr>
        <w:br/>
        <w:t>заявок на участие в конкурсе</w:t>
      </w:r>
    </w:p>
    <w:p w:rsidR="0067777B" w:rsidP="00DA623C" w:rsidRDefault="00A07020" w14:paraId="374AB56D" w14:textId="38D9411F">
      <w:pPr>
        <w:jc w:val="center"/>
      </w:pPr>
      <w:r w:rsidRPr="0003236D">
        <w:rPr>
          <w:rFonts w:ascii="Times New Roman" w:hAnsi="Times New Roman" w:cs="Times New Roman"/>
          <w:b/>
          <w:bCs/>
          <w:sz w:val="24"/>
          <w:szCs w:val="24"/>
        </w:rPr>
        <w:t>Рекомендованная форма «Квалификация участников закупки»</w:t>
      </w:r>
    </w:p>
    <w:p w:rsidR="006B4A43" w:rsidRDefault="006B4A43" w14:paraId="43F4A9E0" w14:textId="77777777">
      <w:bookmarkStart w:name="QualPurchaseParticipantTable" w:id="3"/>
      <w:bookmarkEnd w:id="3"/>
    </w:p>
    <w:tbl>
      <w:tblPr>
        <w:tblBorders>
          <w:top w:val="single"/>
          <w:left w:val="single"/>
          <w:bottom w:val="single"/>
          <w:right w:val="single"/>
          <w:insideH w:val="single"/>
          <w:insideV w:val="single"/>
        </w:tblBorders>
        <w:tblW w:w="5000" w:type="pct"/>
        <w:tblLayout w:type="autofit"/>
        <w:tblInd w:w="0" w:type="dxa"/>
      </w:tblPr>
      <w:tr>
        <w:tc>
          <w:p>
            <w:pPr/>
            <w:r>
              <w:rPr>
                <w:rFonts w:ascii="Times New Roman" w:hAnsi="Times New Roman" w:eastAsia="Times New Roman" w:cs="Times New Roman"/>
                <w:sz w:val="22"/>
              </w:rPr>
              <w:t xml:space="preserve">№ п/п</w:t>
            </w:r>
          </w:p>
        </w:tc>
        <w:tc>
          <w:p>
            <w:pPr/>
            <w:r>
              <w:rPr>
                <w:rFonts w:ascii="Times New Roman" w:hAnsi="Times New Roman" w:eastAsia="Times New Roman" w:cs="Times New Roman"/>
                <w:sz w:val="22"/>
              </w:rPr>
              <w:t xml:space="preserve">Номер реестровой записи из соответствующего реестра
</w:t>
              <w:br/>
              <w:t xml:space="preserve">(при наличии)
</w:t>
              <w:br/>
              <w:t xml:space="preserve"/>
            </w:r>
          </w:p>
        </w:tc>
        <w:tc>
          <w:p>
            <w:pPr/>
            <w:r>
              <w:rPr>
                <w:rFonts w:ascii="Times New Roman" w:hAnsi="Times New Roman" w:eastAsia="Times New Roman" w:cs="Times New Roman"/>
                <w:sz w:val="22"/>
              </w:rPr>
              <w:t xml:space="preserve">Номер контракта (договора)</w:t>
            </w:r>
          </w:p>
        </w:tc>
        <w:tc>
          <w:p>
            <w:pPr/>
            <w:r>
              <w:rPr>
                <w:rFonts w:ascii="Times New Roman" w:hAnsi="Times New Roman" w:eastAsia="Times New Roman" w:cs="Times New Roman"/>
                <w:sz w:val="22"/>
              </w:rPr>
              <w:t xml:space="preserve">Наименование Заказчика по контракту (договору), в том числе ИНН</w:t>
            </w:r>
          </w:p>
        </w:tc>
        <w:tc>
          <w:p>
            <w:pPr/>
            <w:r>
              <w:rPr>
                <w:rFonts w:ascii="Times New Roman" w:hAnsi="Times New Roman" w:eastAsia="Times New Roman" w:cs="Times New Roman"/>
                <w:sz w:val="22"/>
              </w:rPr>
              <w:t xml:space="preserve">Дата заключения контракта (договора)</w:t>
            </w:r>
          </w:p>
        </w:tc>
        <w:tc>
          <w:p>
            <w:pPr/>
            <w:r>
              <w:rPr>
                <w:rFonts w:ascii="Times New Roman" w:hAnsi="Times New Roman" w:eastAsia="Times New Roman" w:cs="Times New Roman"/>
                <w:sz w:val="22"/>
              </w:rPr>
              <w:t xml:space="preserve">Наименование предмета контракта (договора)</w:t>
            </w:r>
          </w:p>
        </w:tc>
        <w:tc>
          <w:p>
            <w:pPr/>
            <w:r>
              <w:rPr>
                <w:rFonts w:ascii="Times New Roman" w:hAnsi="Times New Roman" w:eastAsia="Times New Roman" w:cs="Times New Roman"/>
                <w:sz w:val="22"/>
              </w:rPr>
              <w:t xml:space="preserve">Цена контракта (договора) (рублей)</w:t>
            </w:r>
          </w:p>
        </w:tc>
        <w:tc>
          <w:p>
            <w:pPr/>
            <w:r>
              <w:rPr>
                <w:rFonts w:ascii="Times New Roman" w:hAnsi="Times New Roman" w:eastAsia="Times New Roman" w:cs="Times New Roman"/>
                <w:sz w:val="22"/>
              </w:rPr>
              <w:t xml:space="preserve">Стоимость исполненных обязательств в стоимостном выражении
</w:t>
              <w:br/>
              <w:t xml:space="preserve">(рублей)
</w:t>
              <w:br/>
              <w:t xml:space="preserve"/>
            </w:r>
          </w:p>
        </w:tc>
        <w:tc>
          <w:p>
            <w:pPr/>
            <w:r>
              <w:rPr>
                <w:rFonts w:ascii="Times New Roman" w:hAnsi="Times New Roman" w:eastAsia="Times New Roman" w:cs="Times New Roman"/>
                <w:sz w:val="22"/>
              </w:rPr>
              <w:t xml:space="preserve">Номер, дата и сумма документа(ов), подтверждающего исполнение обязательств</w:t>
            </w:r>
          </w:p>
        </w:tc>
        <w:tc>
          <w:p>
            <w:pPr/>
            <w:r>
              <w:rPr>
                <w:rFonts w:ascii="Times New Roman" w:hAnsi="Times New Roman" w:eastAsia="Times New Roman" w:cs="Times New Roman"/>
                <w:sz w:val="22"/>
              </w:rPr>
              <w:t xml:space="preserve">Примечание</w:t>
            </w:r>
          </w:p>
        </w:tc>
      </w:tr>
      <w:tr>
        <w:tc>
          <w:p/>
        </w:tc>
        <w:tc>
          <w:p/>
        </w:tc>
        <w:tc>
          <w:p/>
        </w:tc>
        <w:tc>
          <w:p/>
        </w:tc>
        <w:tc>
          <w:p/>
        </w:tc>
        <w:tc>
          <w:p/>
        </w:tc>
        <w:tc>
          <w:p/>
        </w:tc>
        <w:tc>
          <w:p/>
        </w:tc>
        <w:tc>
          <w:p/>
        </w:tc>
        <w:tc>
          <w:p/>
        </w:tc>
      </w:tr>
      <w:tr>
        <w:tc>
          <w:p/>
        </w:tc>
        <w:tc>
          <w:p/>
        </w:tc>
        <w:tc>
          <w:p/>
        </w:tc>
        <w:tc>
          <w:p/>
        </w:tc>
        <w:tc>
          <w:p/>
        </w:tc>
        <w:tc>
          <w:p/>
        </w:tc>
        <w:tc>
          <w:p/>
        </w:tc>
        <w:tc>
          <w:p/>
        </w:tc>
        <w:tc>
          <w:p/>
        </w:tc>
        <w:tc>
          <w:p/>
        </w:tc>
      </w:tr>
      <w:tr>
        <w:tc>
          <w:p/>
        </w:tc>
        <w:tc>
          <w:p/>
        </w:tc>
        <w:tc>
          <w:p/>
        </w:tc>
        <w:tc>
          <w:p/>
        </w:tc>
        <w:tc>
          <w:p/>
        </w:tc>
        <w:tc>
          <w:p/>
        </w:tc>
        <w:tc>
          <w:p/>
        </w:tc>
        <w:tc>
          <w:p/>
        </w:tc>
        <w:tc>
          <w:p/>
        </w:tc>
        <w:tc>
          <w:p/>
        </w:tc>
      </w:tr>
      <w:tr>
        <w:tc>
          <w:p/>
        </w:tc>
        <w:tc>
          <w:p/>
        </w:tc>
        <w:tc>
          <w:p/>
        </w:tc>
        <w:tc>
          <w:p/>
        </w:tc>
        <w:tc>
          <w:p/>
        </w:tc>
        <w:tc>
          <w:p/>
        </w:tc>
        <w:tc>
          <w:p/>
        </w:tc>
        <w:tc>
          <w:p/>
        </w:tc>
        <w:tc>
          <w:p/>
        </w:tc>
        <w:tc>
          <w:p/>
        </w:tc>
      </w:tr>
    </w:tbl>
    <w:p w:rsidRPr="00740892" w:rsidR="00DF1ADA" w:rsidRDefault="00E44C01" w14:paraId="4696FB12" w14:textId="3DBD2B43">
      <w:r>
        <w:rPr>
          <w:lang w:val="en-US"/>
        </w:rPr>
        <w:t/>
        <w:rPr>
          <w:rFonts w:ascii="Times New Roman" w:hAnsi="Times New Roman" w:eastAsia="Times New Roman" w:cs="Times New Roman"/>
          <w:sz w:val="22"/>
        </w:rPr>
        <w:t xml:space="preserve"/>
        <w:t xml:space="preserve"/>
        <w:rPr>
          <w:lang w:val="en-US"/>
        </w:rPr>
      </w:r>
    </w:p>
    <w:p w:rsidR="0081244D" w:rsidRDefault="0081244D" w14:paraId="292AC7AB" w14:textId="5C87CD04">
      <w:r>
        <w:br w:type="page"/>
      </w:r>
    </w:p>
    <w:p w:rsidR="00DF1ADA" w:rsidRDefault="00DF1ADA" w14:paraId="60D0E8C5" w14:textId="77777777"/>
    <w:p w:rsidR="00BC7D1C" w:rsidP="00BC7D1C" w:rsidRDefault="00BC7D1C" w14:paraId="4FBF4588" w14:textId="278ECA6F">
      <w:pPr>
        <w:pStyle w:val="a8"/>
        <w:spacing w:before="0" w:beforeAutospacing="0" w:after="0" w:afterAutospacing="0" w:line="216" w:lineRule="auto"/>
        <w:jc w:val="right"/>
      </w:pPr>
      <w:r w:rsidRPr="002674CF">
        <w:rPr>
          <w:rFonts w:eastAsiaTheme="majorEastAsia"/>
          <w:color w:val="000000" w:themeColor="text1"/>
          <w:kern w:val="24"/>
        </w:rPr>
        <w:t>Приложение 2</w:t>
      </w:r>
      <w:r w:rsidRPr="002674CF">
        <w:rPr>
          <w:rFonts w:eastAsiaTheme="majorEastAsia"/>
          <w:color w:val="000000" w:themeColor="text1"/>
          <w:kern w:val="24"/>
        </w:rPr>
        <w:br/>
        <w:t xml:space="preserve">к порядку рассмотрения и оценки </w:t>
      </w:r>
      <w:r w:rsidRPr="002674CF">
        <w:rPr>
          <w:rFonts w:eastAsiaTheme="majorEastAsia"/>
          <w:color w:val="000000" w:themeColor="text1"/>
          <w:kern w:val="24"/>
        </w:rPr>
        <w:br/>
        <w:t>заявок на участие в конкурсе</w:t>
      </w:r>
    </w:p>
    <w:p w:rsidRPr="002674CF" w:rsidR="00DF1ADA" w:rsidP="00DF1ADA" w:rsidRDefault="00DF1ADA" w14:paraId="67EE3E0C" w14:textId="77777777">
      <w:pPr>
        <w:jc w:val="center"/>
        <w:rPr>
          <w:rFonts w:ascii="Times New Roman" w:hAnsi="Times New Roman" w:eastAsia="Times New Roman" w:cs="Times New Roman"/>
          <w:b/>
        </w:rPr>
      </w:pPr>
      <w:r w:rsidRPr="002674CF">
        <w:rPr>
          <w:rFonts w:ascii="Times New Roman" w:hAnsi="Times New Roman" w:eastAsia="Times New Roman" w:cs="Times New Roman"/>
          <w:b/>
        </w:rPr>
        <w:t>«Перечень свойств объекта закупки, подлежащих оценке, рекомендуемая форма предоставления предложений участником закупки о свойствах объекта закупки, подлежащих оценке»</w:t>
      </w:r>
    </w:p>
    <w:p w:rsidR="00DF1ADA" w:rsidRDefault="00DF1ADA" w14:paraId="693AB4B3" w14:textId="77777777">
      <w:bookmarkStart w:name="ObjectCharPropertyTable" w:id="4"/>
      <w:bookmarkEnd w:id="4"/>
    </w:p>
    <w:p w:rsidR="00DA5756" w:rsidRDefault="00DA5756" w14:paraId="672EA756" w14:textId="79B29221">
      <w:pPr>
        <w:rPr>
          <w:lang w:val="en-US"/>
        </w:rPr>
      </w:pPr>
      <w:r>
        <w:rPr>
          <w:lang w:val="en-US"/>
        </w:rPr>
        <w:t/>
        <w:rPr>
          <w:rFonts w:ascii="Times New Roman" w:hAnsi="Times New Roman" w:eastAsia="Times New Roman" w:cs="Times New Roman"/>
          <w:sz w:val="22"/>
        </w:rPr>
        <w:t xml:space="preserve">Не предусмотрено</w:t>
        <w:t xml:space="preserve"/>
        <w:rPr>
          <w:lang w:val="en-US"/>
        </w:rPr>
      </w:r>
    </w:p>
    <w:p w:rsidRPr="00DA5756" w:rsidR="00CC3487" w:rsidRDefault="00CC3487" w14:paraId="32E5D987" w14:textId="71C937E3">
      <w:pPr>
        <w:rPr>
          <w:lang w:val="en-US"/>
        </w:rPr>
      </w:pPr>
    </w:p>
    <w:sectPr w:rsidRPr="00DA5756" w:rsidR="00CC3487" w:rsidSect="009E1E0E">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http://schemas.openxmlformats.org/wordprocessingml/2006/main"/>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313"/>
    <w:rsid w:val="00033313"/>
    <w:rsid w:val="000F342C"/>
    <w:rsid w:val="000F3768"/>
    <w:rsid w:val="00115C02"/>
    <w:rsid w:val="001D12C4"/>
    <w:rsid w:val="001D48F7"/>
    <w:rsid w:val="0024501E"/>
    <w:rsid w:val="002F3B3E"/>
    <w:rsid w:val="0036091C"/>
    <w:rsid w:val="003F1954"/>
    <w:rsid w:val="004524A4"/>
    <w:rsid w:val="0067777B"/>
    <w:rsid w:val="00680E31"/>
    <w:rsid w:val="006B4A43"/>
    <w:rsid w:val="00740892"/>
    <w:rsid w:val="007B6841"/>
    <w:rsid w:val="007D4F56"/>
    <w:rsid w:val="0081244D"/>
    <w:rsid w:val="00826A71"/>
    <w:rsid w:val="008338AA"/>
    <w:rsid w:val="00955E38"/>
    <w:rsid w:val="009E1E0E"/>
    <w:rsid w:val="00A07020"/>
    <w:rsid w:val="00A716E5"/>
    <w:rsid w:val="00AC7B22"/>
    <w:rsid w:val="00AF06A6"/>
    <w:rsid w:val="00B133AD"/>
    <w:rsid w:val="00B52256"/>
    <w:rsid w:val="00B72EB7"/>
    <w:rsid w:val="00B92C06"/>
    <w:rsid w:val="00BC7D1C"/>
    <w:rsid w:val="00CB1740"/>
    <w:rsid w:val="00CC3487"/>
    <w:rsid w:val="00DA5756"/>
    <w:rsid w:val="00DA623C"/>
    <w:rsid w:val="00DC512C"/>
    <w:rsid w:val="00DD4BAD"/>
    <w:rsid w:val="00DF1ADA"/>
    <w:rsid w:val="00E44C01"/>
    <w:rsid w:val="00F13C42"/>
    <w:rsid w:val="00F13D14"/>
    <w:rsid w:val="00FD2AB3"/>
    <w:rsid w:val="00FF0F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1CB0E"/>
  <w15:chartTrackingRefBased/>
  <w15:docId w15:val="{95221F4D-8177-4AB0-AD01-58E828CAE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5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3C42"/>
    <w:pPr>
      <w:widowControl w:val="0"/>
      <w:autoSpaceDE w:val="0"/>
      <w:autoSpaceDN w:val="0"/>
      <w:spacing w:after="0" w:line="240" w:lineRule="auto"/>
    </w:pPr>
    <w:rPr>
      <w:rFonts w:ascii="Calibri" w:eastAsia="Times New Roman" w:hAnsi="Calibri" w:cs="Calibri"/>
      <w:szCs w:val="20"/>
      <w:lang w:eastAsia="ru-RU"/>
    </w:rPr>
  </w:style>
  <w:style w:type="character" w:styleId="a3">
    <w:name w:val="annotation reference"/>
    <w:basedOn w:val="a0"/>
    <w:uiPriority w:val="99"/>
    <w:semiHidden/>
    <w:unhideWhenUsed/>
    <w:rsid w:val="00F13C42"/>
    <w:rPr>
      <w:sz w:val="16"/>
      <w:szCs w:val="16"/>
    </w:rPr>
  </w:style>
  <w:style w:type="paragraph" w:styleId="a4">
    <w:name w:val="annotation text"/>
    <w:basedOn w:val="a"/>
    <w:link w:val="a5"/>
    <w:uiPriority w:val="99"/>
    <w:unhideWhenUsed/>
    <w:rsid w:val="00F13C42"/>
    <w:pPr>
      <w:spacing w:line="240" w:lineRule="auto"/>
    </w:pPr>
    <w:rPr>
      <w:sz w:val="20"/>
      <w:szCs w:val="20"/>
    </w:rPr>
  </w:style>
  <w:style w:type="character" w:customStyle="1" w:styleId="a5">
    <w:name w:val="Текст примечания Знак"/>
    <w:basedOn w:val="a0"/>
    <w:link w:val="a4"/>
    <w:uiPriority w:val="99"/>
    <w:rsid w:val="00F13C42"/>
    <w:rPr>
      <w:sz w:val="20"/>
      <w:szCs w:val="20"/>
    </w:rPr>
  </w:style>
  <w:style w:type="paragraph" w:styleId="a6">
    <w:name w:val="Balloon Text"/>
    <w:basedOn w:val="a"/>
    <w:link w:val="a7"/>
    <w:uiPriority w:val="99"/>
    <w:semiHidden/>
    <w:unhideWhenUsed/>
    <w:rsid w:val="00DF1AD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F1ADA"/>
    <w:rPr>
      <w:rFonts w:ascii="Segoe UI" w:hAnsi="Segoe UI" w:cs="Segoe UI"/>
      <w:sz w:val="18"/>
      <w:szCs w:val="18"/>
    </w:rPr>
  </w:style>
  <w:style w:type="paragraph" w:styleId="a8">
    <w:name w:val="Normal (Web)"/>
    <w:basedOn w:val="a"/>
    <w:uiPriority w:val="99"/>
    <w:unhideWhenUsed/>
    <w:rsid w:val="00BC7D1C"/>
    <w:pPr>
      <w:spacing w:before="100" w:beforeAutospacing="1" w:after="100" w:afterAutospacing="1" w:line="240" w:lineRule="auto"/>
    </w:pPr>
    <w:rPr>
      <w:rFonts w:ascii="Times New Roman" w:eastAsiaTheme="minorEastAsia" w:hAnsi="Times New Roman" w:cs="Times New Roman"/>
      <w:sz w:val="24"/>
      <w:szCs w:val="24"/>
      <w:lang w:eastAsia="ru-RU"/>
    </w:rPr>
  </w:style>
  <w:style w:type="table" w:styleId="a9">
    <w:name w:val="Table Grid"/>
    <w:basedOn w:val="a1"/>
    <w:uiPriority w:val="39"/>
    <w:rsid w:val="001D1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989908">
      <w:bodyDiv w:val="1"/>
      <w:marLeft w:val="0"/>
      <w:marRight w:val="0"/>
      <w:marTop w:val="0"/>
      <w:marBottom w:val="0"/>
      <w:divBdr>
        <w:top w:val="none" w:sz="0" w:space="0" w:color="auto"/>
        <w:left w:val="none" w:sz="0" w:space="0" w:color="auto"/>
        <w:bottom w:val="none" w:sz="0" w:space="0" w:color="auto"/>
        <w:right w:val="none" w:sz="0" w:space="0" w:color="auto"/>
      </w:divBdr>
      <w:divsChild>
        <w:div w:id="1574899704">
          <w:marLeft w:val="0"/>
          <w:marRight w:val="0"/>
          <w:marTop w:val="0"/>
          <w:marBottom w:val="0"/>
          <w:divBdr>
            <w:top w:val="none" w:sz="0" w:space="0" w:color="auto"/>
            <w:left w:val="none" w:sz="0" w:space="0" w:color="auto"/>
            <w:bottom w:val="none" w:sz="0" w:space="0" w:color="auto"/>
            <w:right w:val="none" w:sz="0" w:space="0" w:color="auto"/>
          </w:divBdr>
        </w:div>
      </w:divsChild>
    </w:div>
    <w:div w:id="1471822558">
      <w:bodyDiv w:val="1"/>
      <w:marLeft w:val="0"/>
      <w:marRight w:val="0"/>
      <w:marTop w:val="0"/>
      <w:marBottom w:val="0"/>
      <w:divBdr>
        <w:top w:val="none" w:sz="0" w:space="0" w:color="auto"/>
        <w:left w:val="none" w:sz="0" w:space="0" w:color="auto"/>
        <w:bottom w:val="none" w:sz="0" w:space="0" w:color="auto"/>
        <w:right w:val="none" w:sz="0" w:space="0" w:color="auto"/>
      </w:divBdr>
      <w:divsChild>
        <w:div w:id="1161888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word/theme/theme11.xml" Id="rId8" /><Relationship Type="http://schemas.openxmlformats.org/officeDocument/2006/relationships/settings" Target="/word/settings.xml" Id="rId3" /><Relationship Type="http://schemas.openxmlformats.org/officeDocument/2006/relationships/fontTable" Target="/word/fontTable.xml"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webSettings" Target="/word/webSettings.xml" Id="rId4" /><Relationship Type="http://schemas.openxmlformats.org/officeDocument/2006/relationships/hyperlink" Target="consultantplus://offline/ref=FDDE73BB6AAB325B841641DCA308EFB82E34920EE5020150773C3F7DC793FF5224A74CBC36497D303FF468268BN3t2J" TargetMode="External" Id="rId6" /><Relationship Type="http://schemas.openxmlformats.org/officeDocument/2006/relationships/hyperlink" Target="consultantplus://offline/ref=FDDE73BB6AAB325B841641DCA308EFB82E34920EE5020150773C3F7DC793FF5224A74CBC36497D303FF468268BN3t2J" TargetMode="External" Id="rId5" /><Relationship Type="http://schemas.openxmlformats.org/officeDocument/2006/relationships/footnotes" Target="/word/footnotes.xml" Id="Raad65fafbe6140db" /></Relationships>
</file>

<file path=word/theme/theme1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1.xml" Id="rId1"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1.xml><?xml version="1.0" encoding="utf-8"?>
<ds:datastoreItem xmlns:ds="http://schemas.openxmlformats.org/officeDocument/2006/customXml" ds:itemID="{D04BF97A-4CAF-4EC4-8FD8-FF2EADC2C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5</Pages>
  <Words>251</Words>
  <Characters>1432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Владислав Зубарев</dc:creator>
  <cp:keywords/>
  <dc:description/>
  <cp:lastModifiedBy>Денис Зварун</cp:lastModifiedBy>
  <cp:revision>35</cp:revision>
  <dcterms:created xsi:type="dcterms:W3CDTF">2022-07-04T08:36:00Z</dcterms:created>
  <dcterms:modified xsi:type="dcterms:W3CDTF">2025-02-27T10:03:00Z</dcterms:modified>
</cp:coreProperties>
</file>