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90A23">
      <w:pPr>
        <w:jc w:val="center"/>
        <w:rPr>
          <w:b/>
          <w:lang w:val="en-US" w:eastAsia="en-US"/>
        </w:rPr>
      </w:pPr>
      <w:r>
        <w:rPr>
          <w:b/>
          <w:lang w:val="en-US" w:eastAsia="en-US"/>
        </w:rPr>
        <w:t xml:space="preserve">Проект контракта № ________________</w:t>
      </w:r>
    </w:p>
    <w:p w14:paraId="41D3261A">
      <w:pPr>
        <w:jc w:val="center"/>
        <w:rPr>
          <w:lang w:val="en-US"/>
        </w:rPr>
      </w:pPr>
    </w:p>
    <w:p w14:paraId="6A47C9EB">
      <w:pPr>
        <w:jc w:val="center"/>
        <w:rPr>
          <w:lang w:val="en-US"/>
        </w:rPr>
      </w:pPr>
      <w:r>
        <w:rPr>
          <w:lang w:val="en-US"/>
        </w:rPr>
        <w:t xml:space="preserve">Оказание услуг по техническому сопровождению специального программного обеспечения государственной информационной системы планирования и контроля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информации в социальных медиа и реагирования на жалобы жителей Московской области в социальных медиа</w:t>
      </w:r>
      <w:r>
        <w:rPr>
          <w:lang w:val="en-AU"/>
        </w:rPr>
        <w:t/>
      </w:r>
      <w:r>
        <w:rPr>
          <w:lang w:val="en-US"/>
        </w:rPr>
        <w:t xml:space="preserve"/>
      </w:r>
    </w:p>
    <w:p w14:paraId="0D507821">
      <w:pPr>
        <w:jc w:val="center"/>
        <w:rPr>
          <w:lang w:val="en-US"/>
        </w:rPr>
      </w:pPr>
    </w:p>
    <w:p w14:paraId="5FF64CE8">
      <w:pPr>
        <w:jc w:val="center"/>
        <w:rPr>
          <w:lang w:eastAsia="en-US"/>
        </w:rPr>
      </w:pPr>
      <w:r>
        <w:t xml:space="preserve">(идентификационный код закупки – ИКЗ: 262502408515450240100101220016202246)</w:t>
      </w:r>
    </w:p>
    <w:p w14:paraId="690F84FC">
      <w:pPr>
        <w:rPr>
          <w:lang w:eastAsia="en-US"/>
        </w:rPr>
      </w:pPr>
    </w:p>
    <w:p w14:paraId="1B4E425D">
      <w:pPr>
        <w:jc w:val="right"/>
        <w:rPr>
          <w:lang w:eastAsia="en-US"/>
        </w:rPr>
      </w:pPr>
      <w:r>
        <w:rPr>
          <w:lang w:eastAsia="en-US"/>
        </w:rPr>
        <w:tab/>
      </w:r>
      <w:r>
        <w:t xml:space="preserve">«___» _____________ 20___ год</w:t>
      </w:r>
      <w:r>
        <w:rPr>
          <w:lang w:val="en-AU"/>
        </w:rPr>
        <w:t/>
      </w:r>
      <w:r>
        <w:t xml:space="preserve"/>
      </w:r>
    </w:p>
    <w:p w14:paraId="2395B456">
      <w:pPr>
        <w:rPr>
          <w:lang w:eastAsia="en-US"/>
        </w:rPr>
      </w:pPr>
    </w:p>
    <w:p w14:paraId="644A1EAD">
      <w:pPr>
        <w:rPr>
          <w:lang w:eastAsia="en-US"/>
        </w:rPr>
      </w:pPr>
      <w:r>
        <w:rPr>
          <w:lang w:eastAsia="en-US"/>
        </w:rPr>
        <w:t xml:space="preserve">МИНИСТЕРСТВО ГОСУДАРСТВЕННОГО УПРАВЛЕНИЯ, ИНФОРМАЦИОННЫХ ТЕХНОЛОГИЙ И СВЯЗИ МОСКОВСКОЙ ОБЛАСТИ</w:t>
      </w:r>
      <w:r>
        <w:rPr>
          <w:lang w:val="en-US"/>
        </w:rPr>
        <w:t/>
      </w:r>
      <w:r>
        <w:rPr>
          <w:lang w:eastAsia="en-US"/>
        </w:rPr>
        <w:t xml:space="preserve">, именуемое(ая,ый) в дальнейшем «Заказчик</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rPr>
          <w:lang w:eastAsia="en-US"/>
        </w:rPr>
        <w:t xml:space="preserve">», </w:t>
      </w:r>
      <w:r>
        <w:t xml:space="preserve">в лице ________________</w:t>
      </w:r>
      <w:r>
        <w:rPr>
          <w:lang w:val="en-US"/>
        </w:rPr>
        <w:t/>
      </w:r>
      <w:r>
        <w:t/>
      </w:r>
      <w:r>
        <w:rPr>
          <w:lang w:val="en-US"/>
        </w:rPr>
        <w:t/>
      </w:r>
      <w:r>
        <w:t/>
      </w:r>
      <w:r>
        <w:rPr>
          <w:lang w:val="en-US"/>
        </w:rPr>
        <w:t/>
      </w:r>
      <w:r>
        <w:t xml:space="preserve"> __________________________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одной стороны, и </w:t>
      </w:r>
      <w:r>
        <w:rPr>
          <w:rStyle w:val="11"/>
          <w:color w:val="auto"/>
          <w:u w:val="none"/>
          <w:lang w:eastAsia="en-US"/>
        </w:rPr>
        <w:t xml:space="preserve">________________</w:t>
      </w:r>
      <w:r>
        <w:rPr>
          <w:rStyle w:val="11"/>
          <w:color w:val="auto"/>
          <w:u w:val="none"/>
          <w:lang w:val="en-US" w:eastAsia="en-US"/>
        </w:rPr>
        <w:t/>
      </w:r>
      <w:r>
        <w:rPr>
          <w:rStyle w:val="11"/>
          <w:color w:val="auto"/>
          <w:u w:val="none"/>
          <w:lang w:eastAsia="en-US"/>
        </w:rPr>
        <w:t xml:space="preserve">, </w:t>
      </w:r>
      <w:r>
        <w:t xml:space="preserve">именуемое(ая,ый) в дальнейшем «Исполнитель</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t xml:space="preserve">», в лице ________________</w:t>
      </w:r>
      <w:r>
        <w:rPr>
          <w:lang w:val="en-US"/>
        </w:rPr>
        <w:t/>
      </w:r>
      <w:r>
        <w:t/>
      </w:r>
      <w:r>
        <w:rPr>
          <w:lang w:val="en-US"/>
        </w:rPr>
        <w:t/>
      </w:r>
      <w:r>
        <w:t/>
      </w:r>
      <w:r>
        <w:rPr>
          <w:lang w:val="en-US"/>
        </w:rPr>
        <w:t/>
      </w:r>
      <w:r>
        <w:t xml:space="preserve"> 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 xml:space="preserve"/>
      </w:r>
      <w:r>
        <w:rPr>
          <w:lang w:val="en-US"/>
        </w:rPr>
        <w:t/>
      </w:r>
      <w:r>
        <w:t xml:space="preserve"/>
      </w:r>
      <w:r>
        <w:rPr>
          <w:lang w:val="en-US"/>
        </w:rPr>
        <w:t/>
      </w:r>
      <w:r>
        <w:t xml:space="preserve">контракт</w:t>
      </w:r>
      <w:r>
        <w:rPr>
          <w:lang w:val="en-US"/>
        </w:rPr>
        <w:t/>
      </w:r>
      <w:r>
        <w:t xml:space="preserve"/>
      </w:r>
      <w:r>
        <w:rPr>
          <w:lang w:eastAsia="en-US"/>
        </w:rPr>
        <w:t xml:space="preserve"> (далее – Контракт) о нижеследующем.</w:t>
      </w:r>
    </w:p>
    <w:p w14:paraId="6BE0E46D">
      <w:pPr>
        <w:pStyle w:val="31"/>
        <w:ind w:firstLine="709"/>
      </w:pPr>
      <w:r>
        <w:t>Предмет Контракта</w:t>
      </w:r>
    </w:p>
    <w:p>
      <w:r>
        <w:t>1.1. Предмет Контракта - Оказание услуг по техническому сопровождению специального программного обеспечения государственной информационной системы планирования и контроля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информации в социальных медиа и реагирования на жалобы жителей Московской области в социальных медиа.</w:t>
      </w:r>
    </w:p>
    <w:p>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14:paraId="621AE7B6">
      <w:pPr>
        <w:pStyle w:val="31"/>
        <w:ind w:firstLine="709"/>
      </w:pPr>
      <w:r>
        <w:t xml:space="preserve">Цена Контракта</w:t>
      </w:r>
      <w:r>
        <w:rPr>
          <w:lang w:val="en-US"/>
        </w:rPr>
        <w:t/>
      </w:r>
      <w:r>
        <w:t xml:space="preserve">, порядок и сроки оплаты услуг</w:t>
      </w:r>
      <w:r>
        <w:rPr>
          <w:lang w:val="en-AU"/>
        </w:rPr>
        <w:t/>
      </w:r>
      <w:r>
        <w:t/>
      </w:r>
      <w:r>
        <w:rPr>
          <w:lang w:val="en-AU"/>
        </w:rPr>
        <w:t/>
      </w:r>
      <w:r>
        <w:t/>
      </w:r>
      <w:r>
        <w:rPr>
          <w:lang w:val="en-AU"/>
        </w:rPr>
        <w:t/>
      </w:r>
      <w:r>
        <w:t xml:space="preserve"/>
      </w:r>
      <w:r>
        <w:rPr>
          <w:lang w:val="en-AU"/>
        </w:rPr>
        <w:t/>
      </w:r>
      <w:r>
        <w:t/>
      </w:r>
      <w:r>
        <w:rPr>
          <w:lang w:val="en-AU"/>
        </w:rPr>
        <w:t/>
      </w:r>
      <w:r>
        <w:t/>
      </w:r>
      <w:r>
        <w:rPr>
          <w:lang w:val="en-AU"/>
        </w:rPr>
        <w:t/>
      </w:r>
      <w:r>
        <w:t/>
      </w:r>
      <w:r>
        <w:rPr>
          <w:lang w:val="en-AU"/>
        </w:rPr>
        <w:t/>
      </w:r>
      <w:r>
        <w:t xml:space="preserve"/>
      </w:r>
      <w:r>
        <w:rPr>
          <w:lang w:val="en-AU"/>
        </w:rPr>
        <w:t/>
      </w:r>
      <w:r>
        <w:t/>
      </w:r>
      <w:r>
        <w:rPr>
          <w:lang w:val="en-US"/>
        </w:rPr>
        <w:t/>
      </w:r>
      <w:r>
        <w:rPr>
          <w:lang w:val="en-AU"/>
        </w:rPr>
        <w:t/>
      </w:r>
      <w:r>
        <w:t/>
      </w:r>
      <w:r>
        <w:rPr>
          <w:lang w:val="en-AU"/>
        </w:rPr>
        <w:t/>
      </w:r>
      <w:r>
        <w:t/>
      </w:r>
    </w:p>
    <w:p>
      <w:r>
        <w:t>2.1. Цена Контракта составляет ________________, ________________  &lt;1&gt; (далее – Цена Контракта). Цена каждого этапа исполнения Контракта указана в приложении 2 к Контракту «Сведения об обязательствах сторон и порядке оплаты» (далее – приложение 2 к Контракту).</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
        <w:t/>
      </w:r>
    </w:p>
    <w:p>
      <w:r>
        <w:t>2.2. Цена Контракта является твердой и определена на весь срок исполнения Контракта.</w:t>
      </w:r>
    </w:p>
    <w:p>
      <w:r>
        <w:t>2.3. Цена Контракта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на оплату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
        <w:t>2.5. Порядок и сроки оплаты оказанных услуг установлены в разделе «Порядок и сроки оплаты» приложения 2 к Контракту.</w:t>
      </w:r>
    </w:p>
    <w:p>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14:paraId="2E11847A">
      <w:pPr>
        <w:rPr>
          <w:lang w:eastAsia="en-US"/>
        </w:rPr>
      </w:pPr>
      <w:r>
        <w:rPr>
          <w:lang w:eastAsia="en-US"/>
        </w:rPr>
        <w:t xml:space="preserve"/>
      </w:r>
    </w:p>
    <w:p w14:paraId="66A78825">
      <w:pPr>
        <w:rPr>
          <w:lang w:eastAsia="en-US"/>
        </w:rPr>
      </w:pPr>
      <w:r>
        <w:rPr>
          <w:lang w:eastAsia="en-US"/>
        </w:rPr>
        <w:t xml:space="preserve">2.7. Обязательства Заказчика по оплате </w:t>
      </w:r>
      <w:r>
        <w:rPr>
          <w:lang w:val="ru-RU" w:eastAsia="en-US"/>
        </w:rPr>
        <w:t>оказанных</w:t>
      </w:r>
      <w:r>
        <w:rPr>
          <w:rFonts w:hint="default"/>
          <w:lang w:val="ru-RU" w:eastAsia="en-US"/>
        </w:rPr>
        <w:t xml:space="preserve"> услуг</w:t>
      </w:r>
      <w:bookmarkStart w:id="8" w:name="_GoBack"/>
      <w:bookmarkEnd w:id="8"/>
      <w:r>
        <w:rPr>
          <w:lang w:eastAsia="en-US"/>
        </w:rPr>
        <w:t xml:space="preserve"> считаются исполненными с момента списания денежных средств со счетов Заказчика. </w:t>
      </w:r>
    </w:p>
    <w:p w14:paraId="485EDD80">
      <w:pPr>
        <w:rPr>
          <w:lang w:eastAsia="en-US"/>
        </w:rPr>
      </w:pPr>
      <w:r>
        <w:rPr>
          <w:lang w:eastAsia="en-US"/>
        </w:rPr>
        <w:t xml:space="preserve">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14:paraId="3BE15EE5">
      <w:pPr>
        <w:rPr>
          <w:lang w:eastAsia="en-US"/>
        </w:rPr>
      </w:pPr>
      <w:r>
        <w:t>2.8. Источники финансирования</w:t>
      </w:r>
      <w:r>
        <w:rPr>
          <w:lang w:eastAsia="en-US"/>
        </w:rPr>
        <w:t>:</w:t>
      </w:r>
    </w:p>
    <w:tbl>
      <w:tblPr>
        <w:tblStyle w:val="18"/>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0"/>
        <w:gridCol w:w="2698"/>
        <w:gridCol w:w="1994"/>
        <w:gridCol w:w="1545"/>
        <w:gridCol w:w="849"/>
      </w:tblGrid>
      <w:tr w14:paraId="6342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269A9D1">
            <w:pPr>
              <w:ind w:firstLine="0"/>
              <w:jc w:val="center"/>
              <w:rPr>
                <w:lang w:val="en-US" w:eastAsia="en-US"/>
              </w:rPr>
            </w:pPr>
            <w:r>
              <w:rPr>
                <w:lang w:val="en-US" w:eastAsia="en-US"/>
              </w:rPr>
              <w:t>Бюджет \ Внебюджетные средства</w:t>
            </w:r>
          </w:p>
        </w:tc>
        <w:tc>
          <w:tcPr>
            <w:tcW w:w="1560" w:type="dxa"/>
            <w:vAlign w:val="center"/>
          </w:tcPr>
          <w:p w14:paraId="66CF9941">
            <w:pPr>
              <w:ind w:firstLine="0"/>
              <w:jc w:val="center"/>
              <w:rPr>
                <w:lang w:val="en-US" w:eastAsia="en-US"/>
              </w:rPr>
            </w:pPr>
            <w:r>
              <w:rPr>
                <w:lang w:val="en-US" w:eastAsia="en-US"/>
              </w:rPr>
              <w:t>Тип средств</w:t>
            </w:r>
          </w:p>
        </w:tc>
        <w:tc>
          <w:tcPr>
            <w:tcW w:w="2698" w:type="dxa"/>
            <w:vAlign w:val="center"/>
          </w:tcPr>
          <w:p w14:paraId="05849516">
            <w:pPr>
              <w:ind w:firstLine="0"/>
              <w:jc w:val="center"/>
              <w:rPr>
                <w:lang w:val="en-US" w:eastAsia="en-US"/>
              </w:rPr>
            </w:pPr>
            <w:r>
              <w:rPr>
                <w:lang w:val="en-US" w:eastAsia="en-US"/>
              </w:rPr>
              <w:t>Код бюджетной классификации расходов</w:t>
            </w:r>
          </w:p>
        </w:tc>
        <w:tc>
          <w:tcPr>
            <w:tcW w:w="1994" w:type="dxa"/>
            <w:vAlign w:val="center"/>
          </w:tcPr>
          <w:p w14:paraId="304DDFC2">
            <w:pPr>
              <w:ind w:firstLine="0"/>
              <w:jc w:val="center"/>
              <w:rPr>
                <w:lang w:val="en-US" w:eastAsia="en-US"/>
              </w:rPr>
            </w:pPr>
            <w:r>
              <w:rPr>
                <w:lang w:val="en-US" w:eastAsia="en-US"/>
              </w:rPr>
              <w:t>Сумма, руб.</w:t>
            </w:r>
          </w:p>
        </w:tc>
        <w:tc>
          <w:tcPr>
            <w:tcW w:w="1545" w:type="dxa"/>
            <w:vAlign w:val="center"/>
          </w:tcPr>
          <w:p w14:paraId="3F6AE0B0">
            <w:pPr>
              <w:ind w:firstLine="0"/>
              <w:jc w:val="center"/>
              <w:rPr>
                <w:lang w:val="en-US" w:eastAsia="en-US"/>
              </w:rPr>
            </w:pPr>
            <w:r>
              <w:rPr>
                <w:lang w:val="en-US" w:eastAsia="en-US"/>
              </w:rPr>
              <w:t>Лицевой счет</w:t>
            </w:r>
          </w:p>
        </w:tc>
        <w:tc>
          <w:tcPr>
            <w:tcW w:w="849" w:type="dxa"/>
            <w:vAlign w:val="center"/>
          </w:tcPr>
          <w:p w14:paraId="43913E08">
            <w:pPr>
              <w:ind w:firstLine="0"/>
              <w:jc w:val="center"/>
              <w:rPr>
                <w:lang w:val="en-US" w:eastAsia="en-US"/>
              </w:rPr>
            </w:pPr>
            <w:r>
              <w:rPr>
                <w:lang w:val="en-US" w:eastAsia="en-US"/>
              </w:rPr>
              <w:t>Год</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Областной бюджет</w:t>
            </w:r>
          </w:p>
        </w:tc>
        <w:tc>
          <w:tcPr>
            <w:tcW w:w="1560" w:type="dxa"/>
            <w:vAlign w:val="center"/>
          </w:tcPr>
          <w:p w14:paraId="4A971327">
            <w:pPr>
              <w:ind w:firstLine="0"/>
              <w:jc w:val="left"/>
              <w:rPr>
                <w:lang w:val="en-US"/>
              </w:rPr>
            </w:pPr>
            <w:r>
              <w:rPr>
                <w:lang w:val="en-US"/>
              </w:rPr>
              <w:t xml:space="preserve">Средства бюджета Московской области</w:t>
            </w:r>
          </w:p>
        </w:tc>
        <w:tc>
          <w:tcPr>
            <w:tcW w:w="2698" w:type="dxa"/>
            <w:vAlign w:val="center"/>
          </w:tcPr>
          <w:p w14:paraId="6821F3A1">
            <w:pPr>
              <w:ind w:firstLine="0"/>
              <w:jc w:val="center"/>
              <w:rPr>
                <w:lang w:val="en-US"/>
              </w:rPr>
            </w:pPr>
            <w:r>
              <w:rPr>
                <w:lang w:val="en-US"/>
              </w:rPr>
              <w:t xml:space="preserve">82604101520500610246</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03826000930</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2027</w:t>
            </w:r>
            <w:r>
              <w:rPr>
                <w:lang w:val="en-US"/>
              </w:rPr>
              <w:t/>
            </w:r>
          </w:p>
        </w:tc>
      </w:tr>
    </w:tbl>
    <w:p w14:paraId="1F76D0A6">
      <w:pPr>
        <w:rPr>
          <w:lang w:val="en-US" w:eastAsia="en-US"/>
        </w:rPr>
      </w:pPr>
      <w:r>
        <w:rPr>
          <w:lang w:val="en-US"/>
        </w:rPr>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w:t>
      </w:r>
      <w:r>
        <w:rPr>
          <w:color w:val="000000"/>
          <w:lang w:val="en-US"/>
        </w:rPr>
        <w:t/>
      </w:r>
      <w:r>
        <w:rPr>
          <w:lang w:val="en-US"/>
        </w:rPr>
        <w:t xml:space="preserve"> </w:t>
      </w:r>
      <w:r>
        <w:rPr>
          <w:lang w:val="en-US" w:eastAsia="en-US"/>
        </w:rPr>
        <w:t/>
      </w:r>
      <w:r>
        <w:rPr>
          <w:lang w:val="en-US"/>
        </w:rPr>
        <w:t xml:space="preserve"/>
      </w:r>
      <w:r>
        <w:rPr>
          <w:lang w:val="en-US" w:eastAsia="en-US"/>
        </w:rPr>
        <w:t/>
      </w:r>
      <w:r>
        <w:rPr>
          <w:lang w:val="en-US"/>
        </w:rPr>
        <w:t xml:space="preserve"/>
      </w:r>
    </w:p>
    <w:p>
      <w:r>
        <w:t>2.10. Выплата аванса не предусмотрена.</w:t>
      </w:r>
    </w:p>
    <w:p w14:paraId="02EBE10E">
      <w:pPr>
        <w:pStyle w:val="31"/>
      </w:pPr>
      <w:r>
        <w:t>Сроки, порядок и место оказания услуг</w:t>
      </w:r>
    </w:p>
    <w:p>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
        <w:t>3.2.	Место (места) оказания услуг указано (указаны) в приложении 2 к Контракту. </w:t>
      </w:r>
    </w:p>
    <w:p>
      <w:r>
        <w:t>3.3.	Исполнитель оказывает услуги в порядке согласно Графику и в соответствии с иными условиями, предусмотренными Контрактом.</w:t>
      </w:r>
    </w:p>
    <w:p w14:paraId="74733B73">
      <w:pPr>
        <w:pStyle w:val="31"/>
      </w:pPr>
      <w:r>
        <w:t>Порядок и сроки осуществления приемки оказанных услуг</w:t>
      </w:r>
      <w:r>
        <w:br w:type="textWrapping"/>
      </w:r>
      <w:r>
        <w:t xml:space="preserve"> и оформления ее результатов</w:t>
      </w:r>
    </w:p>
    <w:p>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предусмотренной разделом 1 приложения 2 к Контракту.</w:t>
      </w:r>
    </w:p>
    <w:p>
      <w:r>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
        <w:t>Перечень, порядок и сроки направления Исполнителем комплекта документов указаны в приложении 3 к Контракту.</w:t>
      </w:r>
    </w:p>
    <w:p>
      <w:r>
        <w:t>4.4. Заказчик осуществляет приемку оказанных услуг после получения от Исполнителя соответствующего комплекта документов. </w:t>
      </w:r>
    </w:p>
    <w:p>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
        <w:t>Порядок и сроки проведения экспертизы установлены разделом «Порядок и сроки проведения экспертизы» приложения 3 к Контракту.</w:t>
      </w:r>
    </w:p>
    <w:p>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 </w:t>
      </w:r>
    </w:p>
    <w:p>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14:paraId="01062BB9">
      <w:pPr>
        <w:pStyle w:val="31"/>
      </w:pPr>
      <w:r>
        <w:t>Права и обязанности Сторон</w:t>
      </w:r>
    </w:p>
    <w:p w14:paraId="7CC20B96">
      <w:pPr>
        <w:rPr>
          <w:lang w:val="en-US"/>
        </w:rPr>
      </w:pPr>
      <w:r>
        <w:rPr>
          <w:lang w:val="en-US"/>
        </w:rPr>
        <w:t>5.1.</w:t>
      </w:r>
      <w:r>
        <w:t xml:space="preserve"> </w:t>
      </w:r>
      <w:r>
        <w:rPr>
          <w:lang w:val="en-US"/>
        </w:rPr>
        <w:t xml:space="preserve">Заказчик </w:t>
      </w:r>
      <w:r>
        <w:t>вправе</w:t>
      </w:r>
      <w:r>
        <w:rPr>
          <w:lang w:val="en-US"/>
        </w:rPr>
        <w:t>:</w:t>
      </w:r>
    </w:p>
    <w:p>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
        <w:t>5.1.3. Запрашивать у Исполнителя информацию об исполнении им обязательств по Контракту.</w:t>
      </w:r>
    </w:p>
    <w:p>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
        <w:t>5.1.6. Во всякое время проверять ход и качество услуг, оказываемых Исполнителем, не вмешиваясь в его деятельность.</w:t>
      </w:r>
    </w:p>
    <w:p>
      <w:r>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
        <w:t>5.1.8. Осуществлять иные права, предусмотренные законодательством Российской Федерации и Контрактом.</w:t>
      </w:r>
    </w:p>
    <w:p w14:paraId="2B200D9D">
      <w:pPr>
        <w:rPr>
          <w:lang w:val="en-US"/>
        </w:rPr>
      </w:pPr>
      <w:bookmarkStart w:id="0" w:name="_Ref45540162"/>
      <w:r>
        <w:rPr>
          <w:lang w:val="en-US"/>
        </w:rPr>
        <w:t>5.2.</w:t>
      </w:r>
      <w:r>
        <w:t xml:space="preserve"> </w:t>
      </w:r>
      <w:r>
        <w:rPr>
          <w:lang w:val="en-US"/>
        </w:rPr>
        <w:t xml:space="preserve">Заказчик </w:t>
      </w:r>
      <w:r>
        <w:t>обязан</w:t>
      </w:r>
      <w:r>
        <w:rPr>
          <w:lang w:val="en-US"/>
        </w:rPr>
        <w:t>:</w:t>
      </w:r>
      <w:bookmarkEnd w:id="0"/>
    </w:p>
    <w:p>
      <w:r>
        <w:t>5.2.1. Осуществлять приемку услуг и производить их оплату в порядке и сроки, установленные Контрактом.</w:t>
      </w:r>
    </w:p>
    <w:p>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
        <w:t>5.2.3. Требовать уплаты неустойки (штрафов, пеней) в соответствии с условиями Контракта.</w:t>
      </w:r>
    </w:p>
    <w:p>
      <w:r>
        <w:t>5.2.4. Осуществлять контроль за исполнением Исполнителем условий Контракта в соответствии с законодательством Российской Федерации.</w:t>
      </w:r>
    </w:p>
    <w:p>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
        <w:t>5.2.9. Выполнить обязательства в соответствии с разделом «Иные обязательства» приложения 2 к Контракту (при наличии таких обязательств).</w:t>
      </w:r>
    </w:p>
    <w:p>
      <w:r>
        <w:t>5.2.10. Исполнять иные обязанности в соответствии с законодательством Российской Федерации и Контрактом.</w:t>
      </w:r>
    </w:p>
    <w:p w14:paraId="6FDE1F1A">
      <w:pPr>
        <w:rPr>
          <w:lang w:val="en-US"/>
        </w:rPr>
      </w:pPr>
      <w:r>
        <w:rPr>
          <w:lang w:val="en-US"/>
        </w:rPr>
        <w:t>5.3.</w:t>
      </w:r>
      <w:r>
        <w:t xml:space="preserve"> </w:t>
      </w:r>
      <w:r>
        <w:rPr>
          <w:lang w:val="en-US"/>
        </w:rPr>
        <w:t xml:space="preserve">Исполнитель </w:t>
      </w:r>
      <w:r>
        <w:t>вправе</w:t>
      </w:r>
      <w:r>
        <w:rPr>
          <w:lang w:val="en-US"/>
        </w:rPr>
        <w:t>:</w:t>
      </w:r>
    </w:p>
    <w:p>
      <w:r>
        <w:t>5.3.1. Требовать от Заказчика надлежащего исполнения обязательств в соответствии с Контрактом.</w:t>
      </w:r>
    </w:p>
    <w:p>
      <w:r>
        <w:t>5.3.2. Запрашивать у Заказчика разъяснения и уточнения относительно исполнения обязательств в рамках Контракта.</w:t>
      </w:r>
    </w:p>
    <w:p>
      <w:r>
        <w:t>5.3.3. Осуществлять иные права, предусмотренные законодательством Российской Федерации и Контрактом.</w:t>
      </w:r>
    </w:p>
    <w:p>
      <w:r>
        <w:t>5.3.4. Привлечь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Контрактом. При этом Исполнитель несет ответственность перед Заказчиком за неисполнение или ненадлежащее исполнение обязательств соисполнителями.</w:t>
      </w:r>
    </w:p>
    <w:p w14:paraId="3FED0EDA">
      <w:pPr>
        <w:rPr>
          <w:lang w:val="en-US"/>
        </w:rPr>
      </w:pPr>
      <w:r>
        <w:rPr>
          <w:lang w:val="en-US"/>
        </w:rPr>
        <w:t xml:space="preserve">5.3.5. В случае, если Исполнитель не является субъектом малого предпринимательства или социально ориентированной некоммерческой организацией, в случае неисполнения или ненадлежащего исполнения субподрядчиком (соисполнителем) из числа субъектов малого предпринимательства, социально ориентированных некоммерческих организаций обязательств, предусмотренных договором, заключенным с Исполнителем, осуществлять замену субподрядчика (соисполнителя) из числа субъектов малого предпринимательства, социально ориентированных некоммерческих организаций, с которым ранее был заключен договор, на другого субподрядчика (соисполнителя) из числа субъектов малого предпринимательства, социально ориентированных некоммерческих организаций.</w:t>
      </w:r>
    </w:p>
    <w:p w14:paraId="6AAA7EFD">
      <w:pPr>
        <w:rPr>
          <w:lang w:val="en-US"/>
        </w:rPr>
      </w:pPr>
      <w:bookmarkStart w:id="1" w:name="_Ref40978815"/>
      <w:r>
        <w:rPr>
          <w:lang w:val="en-US"/>
        </w:rPr>
        <w:t xml:space="preserve">5.4. Исполнитель </w:t>
      </w:r>
      <w:r>
        <w:t>обязан</w:t>
      </w:r>
      <w:r>
        <w:rPr>
          <w:lang w:val="en-US"/>
        </w:rPr>
        <w:t>:</w:t>
      </w:r>
      <w:bookmarkEnd w:id="1"/>
    </w:p>
    <w:p>
      <w:r>
        <w:t>5.4.1. В соответствии с условиями Контракта оказать услуги в полном объеме, надлежащего качества и в установленные сроки.</w:t>
      </w:r>
    </w:p>
    <w:p>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
        <w:t>5.4.8. В случае повреждения Исполнителем имущества третьих лиц в ходе оказания услуг восстановить поврежденное имущество за свой счет.</w:t>
      </w:r>
    </w:p>
    <w:p>
      <w:r>
        <w:t>5.4.9. Выполнить обязательства в соответствии с разделом «Иные обязательства» приложения 2 к Контракту (при наличии таких обязательств).</w:t>
      </w:r>
    </w:p>
    <w:p>
      <w:r>
        <w:t>5.4.10. Исполнять иные обязанности в соответствии с законодательством Российской Федерации и настоящим Контрактом.</w:t>
      </w:r>
    </w:p>
    <w:p>
      <w:r>
        <w:t>5.4.11. В случае, если Исполнитель не является субъектом малого предпринимательства или социально ориентированной некоммерческой организацией: </w:t>
      </w:r>
    </w:p>
    <w:p>
      <w:r>
        <w:t>1)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объеме 50 процентов от цены Контракта; </w:t>
      </w:r>
    </w:p>
    <w:p>
      <w:r>
        <w:t>2) в срок не более 5 (пяти) рабочих дней со дня заключения договора с субподрядчиком (соисполнителем) из числа субъектов малого предпринимательства, социально ориентированных некоммерческих организаций представить Заказчику: </w:t>
      </w:r>
    </w:p>
    <w:p>
      <w:r>
        <w:t>а) декларацию о принадлежности субподрядчика (соисполнителя) из числа субъектов малого предпринимательства, социально ориентированных некоммерческих организаций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 </w:t>
      </w:r>
    </w:p>
    <w:p>
      <w:r>
        <w:t>б) копию договора (договоров), заключенного с субподрядчиком (соисполнителем) из числа субъектов малого предпринимательства, социально ориентированных некоммерческих организаций заверенную Исполнителем. </w:t>
      </w:r>
    </w:p>
    <w:p>
      <w:r>
        <w:t>3) в случае замены субподрядчика (соисполнителя) из числа субъектов малого предпринимательства, социально ориентированных некоммерческих организаций на этапе исполнения Контракта на другого субподрядчика (соисполнителя) из числа субъектов малого предпринимательства, социально ориентированных некоммерческих организаций представлять Заказчику документы, указанные в подпункте 2 пункта 5.4.11 Контракта, в течение 5 (пяти) дней со дня заключения договора с новым субподрядчиком (соисполнителем) из числа субъектов малого предпринимательства, социально ориентированных некоммерческих организаций. </w:t>
      </w:r>
    </w:p>
    <w:p>
      <w:r>
        <w:t>4) в течение 10 (десяти) рабочих дней со дня оплаты Исполнителем выполненных обязательств по договору с субподрядчиком (соисполнителем) из числа субъектов малого предпринимательства, социально ориентированных некоммерческих организаций представлять Заказчику следующие документы: </w:t>
      </w:r>
    </w:p>
    <w:p>
      <w:r>
        <w:t>а) копии документов о приемке поставленного товара, выполненной работы, оказанной услуги, которые являются предметом договора, заключенного между Исполнителем и привлеченным им субподрядчиком (соисполнителем) из числа субъектов малого предпринимательства, социально ориентированных некоммерческих организаций; </w:t>
      </w:r>
    </w:p>
    <w:p>
      <w:r>
        <w:t>б) копии платежных поручений, подтверждающих перечисление денежных средств Исполнителем субподрядчику (соисполнителю) из числа субъектов малого предпринимательства, социально ориентированных некоммерческих организаций, - в случае если договором, заключенным между Исполнителем и привлеченным им субподрядчиком (соисполнителем) из числа субъектов малого предпринимательства, социально ориентированных некоммерческих организаций, предусмотрена оплата выполненных обязательств до срока оплаты выполненных работ, предусмотренного Контрактом, заключенным с Заказчиком (в ином случае указанный документ представляется Заказчику дополнительно в течение 5 (пяти) дней со дня оплаты Исполнителем обязательств, выполненных субподрядчиком (соисполнителем) из числа субъектов малого предпринимательства, социально ориентированных некоммерческих организаций). </w:t>
      </w:r>
    </w:p>
    <w:p>
      <w:r>
        <w:t>5) оплачивать поставленные субподрядчиком (соисполнителем) из числа субъектов малого предпринимательства, социально ориентированных некоммерческих организаций товары, выполненные работы (их результаты), оказанные услуги, отдельные этапы исполнения договора, заключенного с таким субподрядчиком (соисполнителем) из числа субъектов малого предпринимательства, социально ориентированных некоммерческих организаций, в течение 7 (семи) рабочих дней с даты подписания Исполнителем документа о приемке поставленного товара, выполненной работы (ее результатов), оказанной услуги, отдельных этапов исполнения договора. </w:t>
      </w:r>
    </w:p>
    <w:p>
      <w:r>
        <w:t>6)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том числе: </w:t>
      </w:r>
    </w:p>
    <w:p>
      <w:r>
        <w:t>а) за представление документов, указанных в подпунктах 2 – 4 пункта 5.4.11 Контракта, содержащих недостоверные сведения, либо их непредставление или представление таких документов с нарушением установленных сроков; </w:t>
      </w:r>
    </w:p>
    <w:p>
      <w:r>
        <w:t>б) за непривлечение субподрядчиков (соисполнителей) из числа субъектов малого предпринимательства, социально ориентированных некоммерческих организаций в объеме, установленном в Контракте.</w:t>
      </w:r>
    </w:p>
    <w:p w14:paraId="4C9EAFFE">
      <w:pPr>
        <w:pStyle w:val="31"/>
      </w:pPr>
      <w:r>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bookmarkEnd w:id="2"/>
    <w:bookmarkEnd w:id="3"/>
    <w:p w14:paraId="6D10640C">
      <w:pPr>
        <w:pStyle w:val="31"/>
      </w:pPr>
      <w:r>
        <w:t>Ответственность Сторон</w:t>
      </w:r>
    </w:p>
    <w:p>
      <w:r>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
        <w:t>Размер пени определяется в соответствии со статьей 34 Федерального закона № 44-ФЗ.</w:t>
      </w:r>
    </w:p>
    <w:p>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
        <w:t>7.5. Ответственность Заказчика:</w:t>
      </w:r>
    </w:p>
    <w:p>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
        <w:t/>
      </w:r>
    </w:p>
    <w:p>
      <w:r>
        <w:t>&lt;1&gt; В данном подпункте при заключении Контракта указывается размер штрафа, определяемый в соответствии с пунктом 9 Правил в следующем порядке:</w:t>
      </w:r>
    </w:p>
    <w:p>
      <w:r>
        <w:t>а) 1000 рублей, если Цена Контракта не превышает 3 млн. рублей (включительно);</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r>
        <w:t/>
      </w:r>
    </w:p>
    <w:p>
      <w:r>
        <w:t>7.6. Ответственность Исполнителя:</w:t>
      </w:r>
    </w:p>
    <w:p>
      <w:r>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
        <w:t/>
      </w:r>
    </w:p>
    <w:p>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
        <w:t>(Вариант I)</w:t>
      </w:r>
    </w:p>
    <w:p>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
        <w:t>а) 10 процентов цены Контракта (этапа) в случае, если цена Контракта (этапа) не превышает 3 млн. рублей;</w:t>
      </w:r>
    </w:p>
    <w:p>
      <w:r>
        <w:t>б) 5 процентов цены Контракта (этапа) в случае, если цена Контракта (этапа) составляет от 3 млн. рублей до 50 млн. рублей (включительно);</w:t>
      </w:r>
    </w:p>
    <w:p>
      <w:r>
        <w:t>в) 1 процент цены Контракта (этапа) в случае, если цена Контракта (этапа) составляет от 50 млн. рублей до 100 млн. рублей (включительно);</w:t>
      </w:r>
    </w:p>
    <w:p>
      <w:r>
        <w:t>г) 0,5 процента цены Контракта (этапа) в случае, если цена Контракта (этапа) составляет от 100 млн. рублей до 500 млн. рублей (включительно);</w:t>
      </w:r>
    </w:p>
    <w:p>
      <w:r>
        <w:t>д) 0,4 процента цены Контракта (этапа) в случае, если цена Контракта (этапа) составляет от 500 млн. рублей до 1 млрд. рублей (включительно);</w:t>
      </w:r>
    </w:p>
    <w:p>
      <w:r>
        <w:t>е) 0,3 процента цены Контракта (этапа) в случае, если цена Контракта (этапа) составляет от 1 млрд. рублей до 2 млрд. рублей (включительно);</w:t>
      </w:r>
    </w:p>
    <w:p>
      <w:r>
        <w:t>ж) 0,25 процента цены Контракта (этапа) в случае, если цена Контракта (этапа) составляет от 2 млрд. рублей до 5 млрд. рублей (включительно);</w:t>
      </w:r>
    </w:p>
    <w:p>
      <w:r>
        <w:t>з) 0,2 процента цены Контракта (этапа) в случае, если цена Контракта (этапа) составляет от 5 млрд. рублей до 10 млрд. рублей (включительно);</w:t>
      </w:r>
    </w:p>
    <w:p>
      <w:r>
        <w:t>и) 0,1 процента цены Контракта (этапа) в случае, если цена Контракта (этапа) превышает 10 млрд. рублей.</w:t>
      </w:r>
    </w:p>
    <w:p>
      <w:r>
        <w:t>(Вариант II)</w:t>
      </w:r>
    </w:p>
    <w:p>
      <w:r>
        <w:t>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r>
        <w:t>(Вариант III)</w:t>
      </w:r>
    </w:p>
    <w:p>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
        <w:t>а) в случае, если Цена Контракта не превышает начальную (максимальную) цену контракта:</w:t>
      </w:r>
    </w:p>
    <w:p>
      <w:r>
        <w:t>10 процентов начальной (максимальной) цены контракта, если Цена Контракта не превышает 3 млн. рублей;</w:t>
      </w:r>
    </w:p>
    <w:p>
      <w:r>
        <w:t>5 процентов начальной (максимальной) цены контракта, если Цена Контракта составляет от 3 млн. рублей до 50 млн. рублей (включительно);</w:t>
      </w:r>
    </w:p>
    <w:p>
      <w:r>
        <w:t>1 процент начальной (максимальной) цены контракта, если Цена Контракта составляет от 50 млн. рублей до 100 млн. рублей (включительно);</w:t>
      </w:r>
    </w:p>
    <w:p>
      <w:r>
        <w:t>б) в случае, если Цена Контракта превышает начальную (максимальную) цену контракта:</w:t>
      </w:r>
    </w:p>
    <w:p>
      <w:r>
        <w:t>10 процентов Цены Контракта, если Цена Контракта не превышает 3 млн. рублей;</w:t>
      </w:r>
    </w:p>
    <w:p>
      <w:r>
        <w:t>5 процентов Цены Контракта, если Цена Контракта составляет от 3 млн. рублей до 50 млн. рублей (включительно);</w:t>
      </w:r>
    </w:p>
    <w:p>
      <w:r>
        <w:t>1 процент Цены Контракта, если Цена Контракта составляет от 50 млн. рублей до 100 млн. рублей (включительно).</w:t>
      </w:r>
    </w:p>
    <w:p>
      <w:r>
        <w:t/>
      </w:r>
    </w:p>
    <w:p>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
        <w:t/>
      </w:r>
    </w:p>
    <w:p>
      <w:r>
        <w:t>&lt;3&gt; В данном подпункте при заключении Контракта указывается размер штрафа, определяемый в соответствии с пунктом 6 Правил в следующем порядке:</w:t>
      </w:r>
    </w:p>
    <w:p>
      <w:r>
        <w:t>а) 1000 рублей, если Цена Контракта не превышает 3 млн. рублей;</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14:paraId="3CE65881"/>
    <w:p w14:paraId="3AEFDB2C">
      <w:pPr>
        <w:rPr>
          <w:lang w:val="en-US"/>
        </w:rPr>
      </w:pPr>
      <w:r>
        <w:rPr>
          <w:lang w:val="en-US"/>
        </w:rPr>
        <w:t xml:space="preserve">7.6.6. В случае, если Исполнитель не является субъектом малого предпринимательства или социально ориентированной некоммерческой организацией,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Исполнитель в соответствии с условиями Контракта несет гражданско-правовую ответственность в виде штрафа. Штраф устанавливается в размере 5 процентов объема такого привлечения, установленного Контрактом.</w:t>
      </w:r>
    </w:p>
    <w:p w14:paraId="1097B7C6">
      <w:pPr>
        <w:rPr>
          <w:lang w:val="en-US"/>
        </w:rPr>
      </w:pPr>
      <w:r>
        <w:rPr>
          <w:lang w:val="en-US"/>
        </w:rPr>
        <w:t xml:space="preserve">7.6.7.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14:paraId="0F65257B">
      <w:pPr>
        <w:rPr>
          <w:b/>
        </w:rPr>
      </w:pPr>
      <w:r>
        <w:t xml:space="preserve"/>
      </w:r>
    </w:p>
    <w:p w14:paraId="50D12B87">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 xml:space="preserve">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 xml:space="preserve">Заказчику</w:t>
      </w:r>
      <w:r>
        <w:rPr>
          <w:lang w:val="en-US" w:eastAsia="en-US"/>
        </w:rPr>
        <w:t/>
      </w:r>
      <w:r>
        <w:rPr>
          <w:lang w:eastAsia="en-US"/>
        </w:rPr>
        <w:t xml:space="preserve"/>
      </w:r>
      <w:r>
        <w:t xml:space="preserve">, Исполнитель обязан вернуть </w:t>
      </w:r>
      <w:r>
        <w:rPr>
          <w:lang w:eastAsia="en-US"/>
        </w:rPr>
        <w:t xml:space="preserve">Заказчику</w:t>
      </w:r>
      <w:r>
        <w:rPr>
          <w:lang w:val="en-US" w:eastAsia="en-US"/>
        </w:rPr>
        <w:t/>
      </w:r>
      <w:r>
        <w:rPr>
          <w:lang w:eastAsia="en-US"/>
        </w:rPr>
        <w:t xml:space="preserve"/>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 xml:space="preserve">Заказчика</w:t>
      </w:r>
      <w:r>
        <w:t>, указанный в разделе 16 Контракта</w:t>
      </w:r>
      <w:r>
        <w:rPr>
          <w:lang w:eastAsia="en-US"/>
        </w:rPr>
        <w:t>.</w:t>
      </w:r>
    </w:p>
    <w:p w14:paraId="50A63031">
      <w:pPr>
        <w:pStyle w:val="31"/>
      </w:pPr>
      <w:r>
        <w:t>Порядок расторжения Контракта</w:t>
      </w:r>
    </w:p>
    <w:p>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14:paraId="47374D04">
      <w:pPr>
        <w:pStyle w:val="31"/>
        <w:ind w:firstLine="709"/>
      </w:pPr>
      <w:r>
        <w:t>Обеспечение исполнения Контракта</w:t>
      </w:r>
    </w:p>
    <w:p>
      <w:r>
        <w:t>9.1. Обеспечение исполнения Контракта устанавливается в размере 30 процент(ов,а) от начальной (максимальной)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30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bookmarkEnd w:id="4"/>
    <w:p w14:paraId="2A377EAD">
      <w:pPr>
        <w:pStyle w:val="31"/>
        <w:ind w:firstLine="709"/>
      </w:pPr>
      <w:r>
        <w:t>Обеспечение гарантийных обязательств</w:t>
      </w:r>
    </w:p>
    <w:p>
      <w:r>
        <w:t>10.1. Требования к обеспечению гарантийных обязательств не установлены.</w:t>
      </w:r>
    </w:p>
    <w:bookmarkEnd w:id="5"/>
    <w:bookmarkEnd w:id="6"/>
    <w:p w14:paraId="5C0D79DC">
      <w:pPr>
        <w:pStyle w:val="31"/>
        <w:ind w:firstLine="709"/>
      </w:pPr>
      <w:r>
        <w:t>Обстоятельства непреодолимой силы</w:t>
      </w:r>
    </w:p>
    <w:p w14:paraId="20E52A0A">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33B3C85">
      <w:pPr>
        <w:rPr>
          <w:lang w:eastAsia="en-US"/>
        </w:rPr>
      </w:pPr>
      <w:r>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0BB7ED67">
      <w:pPr>
        <w:pStyle w:val="31"/>
        <w:ind w:firstLine="709"/>
      </w:pPr>
      <w:r>
        <w:t>Порядок урегулирования споров</w:t>
      </w:r>
    </w:p>
    <w:p>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Контракта.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
        <w:t/>
      </w:r>
    </w:p>
    <w:p>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14:paraId="5B6F931E">
      <w:pPr>
        <w:pStyle w:val="31"/>
        <w:ind w:firstLine="709"/>
      </w:pPr>
      <w:r>
        <w:t>Срок действия, порядок изменения Контракта</w:t>
      </w:r>
    </w:p>
    <w:p w14:paraId="62D396CB">
      <w:r>
        <w:t xml:space="preserve">13.1. Контракт вступает в силу с момента его заключения Сторонами и действует до полного исполнения Сторонами своих обязательств по Контракту.</w:t>
      </w:r>
    </w:p>
    <w:p>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услуг.</w:t>
      </w:r>
    </w:p>
    <w:p>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4C264435">
      <w:pPr>
        <w:pStyle w:val="31"/>
        <w:ind w:firstLine="709"/>
      </w:pPr>
      <w:r>
        <w:t>Особые условия</w:t>
      </w:r>
    </w:p>
    <w:p>
      <w:r>
        <w:t>14.1. Стороны при исполнении Контракта: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Исполнителем (если Контрактом предусмотрена обязанность Исполнителя оказать услуги по заявке Заказчика);</w:t>
      </w:r>
    </w:p>
    <w:p>
      <w:r>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 </w:t>
      </w:r>
    </w:p>
    <w:p>
      <w:r>
        <w:t>результаты такой приемки; </w:t>
      </w:r>
    </w:p>
    <w:p>
      <w:r>
        <w:t>мотивированный отказ от подписания документа о приемке;</w:t>
      </w:r>
    </w:p>
    <w:p>
      <w:r>
        <w:t>оплата оказанных услуг, а также отдельных этапов исполнения Контракта; </w:t>
      </w:r>
    </w:p>
    <w:p>
      <w:r>
        <w:t>заключение дополнительных соглашений; </w:t>
      </w:r>
    </w:p>
    <w:p>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 </w:t>
      </w:r>
    </w:p>
    <w:p>
      <w:r>
        <w:t>соглашение о расторжении Контракта;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 </w:t>
      </w:r>
    </w:p>
    <w:p>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 </w:t>
      </w:r>
    </w:p>
    <w:p>
      <w:r>
        <w:t>14.2. Для работы в ПИК ЕАСУЗ Стороны Контракта: </w:t>
      </w:r>
    </w:p>
    <w:p>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Контракта с использованием ПИК ЕАСУЗ, содержится в приложении 3 к Контракту.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033610BF">
      <w:pPr>
        <w:pStyle w:val="31"/>
        <w:ind w:firstLine="709"/>
      </w:pPr>
      <w:r>
        <w:t>Прочие условия</w:t>
      </w:r>
    </w:p>
    <w:p>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Контракт составлен в форме электронного документа, подписанного усиленными электронными подписями Сторон.</w:t>
      </w:r>
    </w:p>
    <w:p>
      <w:r>
        <w:t>15.3. Во всем, что не предусмотрено Контрактом,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
        <w:t>15.6. Неотъемлемыми частями Контракта являются следующие приложения (прилагаются отдельными файлами):</w:t>
      </w:r>
    </w:p>
    <w:bookmarkEnd w:id="7"/>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контракта»;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объекта закупки (Техническое задание)».</w:t>
      </w:r>
    </w:p>
    <w:p>
      <w:r>
        <w:t>приложение 6 «Календарный план»</w:t>
      </w:r>
    </w:p>
    <w:p w14:paraId="61E027A6">
      <w:pPr>
        <w:pStyle w:val="31"/>
        <w:ind w:firstLine="709"/>
      </w:pPr>
      <w:r>
        <w:t>Адреса, реквизиты и подписи Сторон</w:t>
      </w:r>
    </w:p>
    <w:tbl>
      <w:tblPr>
        <w:tblStyle w:val="6"/>
        <w:tblW w:w="10708" w:type="dxa"/>
        <w:tblInd w:w="-142" w:type="dxa"/>
        <w:tblLayout w:type="fixed"/>
        <w:tblCellMar>
          <w:top w:w="0" w:type="dxa"/>
          <w:left w:w="108" w:type="dxa"/>
          <w:bottom w:w="0" w:type="dxa"/>
          <w:right w:w="108" w:type="dxa"/>
        </w:tblCellMar>
      </w:tblPr>
      <w:tblGrid>
        <w:gridCol w:w="5075"/>
        <w:gridCol w:w="5633"/>
      </w:tblGrid>
      <w:tr w14:paraId="4B995698">
        <w:tblPrEx>
          <w:tblCellMar>
            <w:top w:w="0" w:type="dxa"/>
            <w:left w:w="108" w:type="dxa"/>
            <w:bottom w:w="0" w:type="dxa"/>
            <w:right w:w="108" w:type="dxa"/>
          </w:tblCellMar>
        </w:tblPrEx>
        <w:trPr>
          <w:trHeight w:val="1042" w:hRule="atLeast"/>
        </w:trPr>
        <w:tc>
          <w:tcPr>
            <w:tcW w:w="5075" w:type="dxa"/>
            <w:shd w:val="clear" w:color="auto" w:fill="auto"/>
          </w:tcPr>
          <w:p w14:paraId="43D2C17C">
            <w:pPr>
              <w:pStyle w:val="20"/>
            </w:pPr>
            <w:r>
              <w:t xml:space="preserve">Заказчик:</w:t>
            </w:r>
          </w:p>
          <w:p w14:paraId="55F92156">
            <w:pPr>
              <w:pStyle w:val="20"/>
            </w:pPr>
          </w:p>
          <w:p w14:paraId="0E0E1C40">
            <w:pPr>
              <w:pStyle w:val="20"/>
            </w:pPr>
            <w:r>
              <w:t xml:space="preserve">МИНИСТЕРСТВО ГОСУДАРСТВЕННОГО УПРАВЛЕНИЯ, ИНФОРМАЦИОННЫХ ТЕХНОЛОГИЙ И СВЯЗИ МОСКОВСКОЙ ОБЛАСТИ</w:t>
            </w:r>
          </w:p>
        </w:tc>
        <w:tc>
          <w:tcPr>
            <w:tcW w:w="5633" w:type="dxa"/>
            <w:shd w:val="clear" w:color="auto" w:fill="auto"/>
          </w:tcPr>
          <w:p w14:paraId="4849F5E6">
            <w:pPr>
              <w:pStyle w:val="20"/>
            </w:pPr>
            <w:r>
              <w:t xml:space="preserve">Исполнитель:</w:t>
            </w:r>
          </w:p>
          <w:p w14:paraId="105E839E">
            <w:pPr>
              <w:pStyle w:val="20"/>
            </w:pPr>
          </w:p>
          <w:p w14:paraId="4B186A71">
            <w:pPr>
              <w:pStyle w:val="20"/>
            </w:pPr>
            <w:r>
              <w:rPr>
                <w:rStyle w:val="11"/>
                <w:color w:val="auto"/>
                <w:u w:val="none"/>
              </w:rPr>
              <w:t xml:space="preserve">________________</w:t>
            </w:r>
          </w:p>
        </w:tc>
      </w:tr>
      <w:tr w14:paraId="51CEF7CC">
        <w:tblPrEx>
          <w:tblCellMar>
            <w:top w:w="0" w:type="dxa"/>
            <w:left w:w="108" w:type="dxa"/>
            <w:bottom w:w="0" w:type="dxa"/>
            <w:right w:w="108" w:type="dxa"/>
          </w:tblCellMar>
        </w:tblPrEx>
        <w:trPr>
          <w:trHeight w:val="500" w:hRule="atLeast"/>
        </w:trPr>
        <w:tc>
          <w:tcPr>
            <w:tcW w:w="5075" w:type="dxa"/>
            <w:shd w:val="clear" w:color="auto" w:fill="auto"/>
          </w:tcPr>
          <w:p w14:paraId="7B9CDF0F">
            <w:pPr>
              <w:pStyle w:val="20"/>
            </w:pPr>
            <w:r>
              <w:t xml:space="preserve">Сокращенное наименование: МИНГОСУПРАВЛЕНИЯ МОСКОВСКОЙ ОБЛАСТИ</w:t>
            </w:r>
          </w:p>
        </w:tc>
        <w:tc>
          <w:tcPr>
            <w:tcW w:w="5633" w:type="dxa"/>
            <w:shd w:val="clear" w:color="auto" w:fill="auto"/>
          </w:tcPr>
          <w:p w14:paraId="3B14A2D7">
            <w:pPr>
              <w:pStyle w:val="20"/>
              <w:rPr>
                <w:rStyle w:val="11"/>
                <w:color w:val="auto"/>
                <w:u w:val="none"/>
              </w:rPr>
            </w:pPr>
            <w:r>
              <w:rPr>
                <w:rStyle w:val="11"/>
                <w:color w:val="auto"/>
                <w:u w:val="none"/>
              </w:rPr>
              <w:t xml:space="preserve">Сокращённое наименование: ________________</w:t>
            </w:r>
          </w:p>
        </w:tc>
      </w:tr>
      <w:tr w14:paraId="678EFA6D">
        <w:tblPrEx>
          <w:tblCellMar>
            <w:top w:w="0" w:type="dxa"/>
            <w:left w:w="108" w:type="dxa"/>
            <w:bottom w:w="0" w:type="dxa"/>
            <w:right w:w="108" w:type="dxa"/>
          </w:tblCellMar>
        </w:tblPrEx>
        <w:trPr>
          <w:trHeight w:val="275" w:hRule="atLeast"/>
        </w:trPr>
        <w:tc>
          <w:tcPr>
            <w:tcW w:w="5075" w:type="dxa"/>
            <w:shd w:val="clear" w:color="auto" w:fill="auto"/>
          </w:tcPr>
          <w:p w14:paraId="602E3513">
            <w:pPr>
              <w:pStyle w:val="20"/>
            </w:pPr>
            <w:r>
              <w:t>Адреса и реквизиты:</w:t>
            </w:r>
          </w:p>
        </w:tc>
        <w:tc>
          <w:tcPr>
            <w:tcW w:w="5633" w:type="dxa"/>
            <w:shd w:val="clear" w:color="auto" w:fill="auto"/>
          </w:tcPr>
          <w:p w14:paraId="0892336A">
            <w:pPr>
              <w:pStyle w:val="20"/>
              <w:rPr>
                <w:rStyle w:val="11"/>
                <w:color w:val="auto"/>
                <w:u w:val="none"/>
              </w:rPr>
            </w:pPr>
            <w:r>
              <w:t>Адреса и реквизиты:</w:t>
            </w:r>
          </w:p>
        </w:tc>
      </w:tr>
      <w:tr w14:paraId="21DAA20E">
        <w:tblPrEx>
          <w:tblCellMar>
            <w:top w:w="0" w:type="dxa"/>
            <w:left w:w="108" w:type="dxa"/>
            <w:bottom w:w="0" w:type="dxa"/>
            <w:right w:w="108" w:type="dxa"/>
          </w:tblCellMar>
        </w:tblPrEx>
        <w:trPr>
          <w:trHeight w:val="1653" w:hRule="atLeast"/>
        </w:trPr>
        <w:tc>
          <w:tcPr>
            <w:tcW w:w="5075" w:type="dxa"/>
            <w:shd w:val="clear" w:color="auto" w:fill="auto"/>
          </w:tcPr>
          <w:p w14:paraId="4F3194A0">
            <w:pPr>
              <w:pStyle w:val="20"/>
            </w:pPr>
            <w:r>
              <w:t xml:space="preserve">Почтовый адрес: 143407, Московская область, г. Красногорск, бульвар Строителей, д.1</w:t>
            </w:r>
          </w:p>
          <w:p w14:paraId="57CE0109">
            <w:pPr>
              <w:pStyle w:val="20"/>
            </w:pPr>
            <w:r>
              <w:t xml:space="preserve">Место нахождения, адрес: 143407, Московская область, г. Красногорск, бульвар Строителей, д.1</w:t>
            </w:r>
          </w:p>
          <w:p w14:paraId="3A80674E">
            <w:pPr>
              <w:pStyle w:val="20"/>
              <w:jc w:val="both"/>
              <w:rPr>
                <w:lang w:val="en-US"/>
              </w:rPr>
            </w:pPr>
            <w:r>
              <w:t>ИНН</w:t>
            </w:r>
            <w:r>
              <w:rPr>
                <w:lang w:val="en-US"/>
              </w:rPr>
              <w:t xml:space="preserve"> 5024085154</w:t>
            </w:r>
          </w:p>
          <w:p w14:paraId="271BD809">
            <w:pPr>
              <w:pStyle w:val="20"/>
              <w:rPr>
                <w:lang w:val="en-US"/>
              </w:rPr>
            </w:pPr>
            <w:r>
              <w:t>КПП</w:t>
            </w:r>
            <w:r>
              <w:rPr>
                <w:lang w:val="en-US"/>
              </w:rPr>
              <w:t xml:space="preserve"> 502401001</w:t>
            </w:r>
          </w:p>
          <w:p w14:paraId="07812501">
            <w:pPr>
              <w:pStyle w:val="20"/>
              <w:rPr>
                <w:lang w:val="en-US"/>
              </w:rPr>
            </w:pPr>
            <w:r>
              <w:t>ОГРН</w:t>
            </w:r>
            <w:r>
              <w:rPr>
                <w:lang w:val="en-US"/>
              </w:rPr>
              <w:t xml:space="preserve"> 1075024000248</w:t>
            </w:r>
          </w:p>
        </w:tc>
        <w:tc>
          <w:tcPr>
            <w:tcW w:w="5633" w:type="dxa"/>
            <w:shd w:val="clear" w:color="auto" w:fill="auto"/>
          </w:tcPr>
          <w:p/>
        </w:tc>
      </w:tr>
      <w:tr w14:paraId="723D84B2">
        <w:tblPrEx>
          <w:tblCellMar>
            <w:top w:w="0" w:type="dxa"/>
            <w:left w:w="108" w:type="dxa"/>
            <w:bottom w:w="0" w:type="dxa"/>
            <w:right w:w="108" w:type="dxa"/>
          </w:tblCellMar>
        </w:tblPrEx>
        <w:trPr>
          <w:trHeight w:val="268" w:hRule="atLeast"/>
        </w:trPr>
        <w:tc>
          <w:tcPr>
            <w:tcW w:w="5075" w:type="dxa"/>
            <w:shd w:val="clear" w:color="auto" w:fill="auto"/>
          </w:tcPr>
          <w:p w14:paraId="36B9BAC9">
            <w:pPr>
              <w:pStyle w:val="20"/>
            </w:pPr>
            <w:r>
              <w:t>Банковские реквизиты:</w:t>
            </w:r>
          </w:p>
        </w:tc>
        <w:tc>
          <w:tcPr>
            <w:tcW w:w="5633" w:type="dxa"/>
            <w:shd w:val="clear" w:color="auto" w:fill="auto"/>
          </w:tcPr>
          <w:p w14:paraId="590ED1F7">
            <w:pPr>
              <w:pStyle w:val="20"/>
            </w:pPr>
            <w:r>
              <w:t>Банковские реквизиты:</w:t>
            </w:r>
          </w:p>
        </w:tc>
      </w:tr>
      <w:tr w14:paraId="33BFC8E9">
        <w:tblPrEx>
          <w:tblCellMar>
            <w:top w:w="0" w:type="dxa"/>
            <w:left w:w="108" w:type="dxa"/>
            <w:bottom w:w="0" w:type="dxa"/>
            <w:right w:w="108" w:type="dxa"/>
          </w:tblCellMar>
        </w:tblPrEx>
        <w:trPr>
          <w:trHeight w:val="1370" w:hRule="atLeast"/>
        </w:trPr>
        <w:tc>
          <w:tcPr>
            <w:tcW w:w="5075" w:type="dxa"/>
            <w:shd w:val="clear" w:color="auto" w:fill="auto"/>
          </w:tcPr>
          <w:p w14:paraId="6E73AF4C">
            <w:pPr>
              <w:ind w:firstLine="0"/>
              <w:jc w:val="left"/>
              <w:rPr>
                <w:lang w:val="en-US" w:eastAsia="en-US"/>
              </w:rPr>
            </w:pPr>
            <w:r>
              <w:rPr>
                <w:rFonts w:cstheme="minorHAnsi"/>
                <w:shd w:val="clear" w:color="auto" w:fill="FFFFFF"/>
                <w:lang w:val="en-US"/>
              </w:rPr>
              <w:t xml:space="preserve">МЭФ Московской области</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03826000930,  МИНГОСУПРАВЛЕНИЯ МОСКОВСКОЙ ОБЛАСТИ</w:t>
            </w:r>
            <w:r>
              <w:rPr>
                <w:rFonts w:cstheme="minorHAnsi"/>
                <w:shd w:val="clear" w:color="auto" w:fill="FFFFFF"/>
                <w:lang w:val="en-US"/>
              </w:rPr>
              <w:t>)</w:t>
            </w:r>
          </w:p>
        </w:tc>
        <w:tc>
          <w:tcPr>
            <w:tcW w:w="5633" w:type="dxa"/>
            <w:shd w:val="clear" w:color="auto" w:fill="auto"/>
          </w:tcPr>
          <w:p w14:paraId="3C79CC96">
            <w:pPr>
              <w:pStyle w:val="20"/>
              <w:rPr>
                <w:lang w:val="en-US"/>
              </w:rPr>
            </w:pPr>
            <w:r>
              <w:rPr>
                <w:lang w:val="en-US"/>
              </w:rPr>
              <w:t xml:space="preserve"/>
            </w:r>
            <w:r>
              <w:t/>
            </w:r>
            <w:r>
              <w:rPr>
                <w:lang w:val="en-US"/>
              </w:rPr>
              <w:t xml:space="preserve"/>
            </w:r>
          </w:p>
        </w:tc>
      </w:tr>
      <w:tr w14:paraId="0850B497">
        <w:tblPrEx>
          <w:tblCellMar>
            <w:top w:w="0" w:type="dxa"/>
            <w:left w:w="108" w:type="dxa"/>
            <w:bottom w:w="0" w:type="dxa"/>
            <w:right w:w="108" w:type="dxa"/>
          </w:tblCellMar>
        </w:tblPrEx>
        <w:trPr>
          <w:trHeight w:val="1638" w:hRule="atLeast"/>
        </w:trPr>
        <w:tc>
          <w:tcPr>
            <w:tcW w:w="5075" w:type="dxa"/>
            <w:shd w:val="clear" w:color="auto" w:fill="auto"/>
          </w:tcPr>
          <w:p w14:paraId="204825AE">
            <w:pPr>
              <w:pStyle w:val="20"/>
              <w:rPr>
                <w:lang w:val="en-US"/>
              </w:rPr>
            </w:pPr>
            <w:r>
              <w:t>Банк</w:t>
            </w:r>
            <w:r>
              <w:rPr>
                <w:lang w:val="en-US"/>
              </w:rPr>
              <w:t xml:space="preserve">: ОКЦ № 1 ГУ Банка России по ЦФО//УФК по Московской области г. Москва</w:t>
            </w:r>
          </w:p>
          <w:p w14:paraId="17A6F496">
            <w:pPr>
              <w:pStyle w:val="20"/>
              <w:rPr>
                <w:lang w:val="en-US"/>
              </w:rPr>
            </w:pPr>
            <w:r>
              <w:t>БИК</w:t>
            </w:r>
            <w:r>
              <w:rPr>
                <w:lang w:val="en-US"/>
              </w:rPr>
              <w:t xml:space="preserve"> 004525987</w:t>
            </w:r>
          </w:p>
          <w:p w14:paraId="1930768E">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03221643460000004800</w:t>
            </w:r>
            <w:r>
              <w:rPr>
                <w:rFonts w:cstheme="minorHAnsi"/>
                <w:shd w:val="clear" w:color="auto" w:fill="FFFFFF"/>
                <w:lang w:val="en-US"/>
              </w:rPr>
              <w:t xml:space="preserve"/>
            </w:r>
          </w:p>
          <w:p w14:paraId="673D7C66">
            <w:pPr>
              <w:pStyle w:val="20"/>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14:paraId="445CECA6">
            <w:pPr>
              <w:pStyle w:val="20"/>
              <w:rPr>
                <w:lang w:val="en-US"/>
              </w:rPr>
            </w:pPr>
            <w:r>
              <w:t>ОКПО</w:t>
            </w:r>
            <w:r>
              <w:rPr>
                <w:lang w:val="en-US"/>
              </w:rPr>
              <w:t xml:space="preserve"> ________________</w:t>
            </w:r>
          </w:p>
          <w:p w14:paraId="013694D6">
            <w:pPr>
              <w:pStyle w:val="20"/>
              <w:rPr>
                <w:lang w:val="en-US"/>
              </w:rPr>
            </w:pPr>
            <w:r>
              <w:t>ОКТМО</w:t>
            </w:r>
            <w:r>
              <w:rPr>
                <w:lang w:val="en-US"/>
              </w:rPr>
              <w:t xml:space="preserve"> 46744000001</w:t>
            </w:r>
          </w:p>
          <w:p w14:paraId="1E8D5DF9">
            <w:pPr>
              <w:pStyle w:val="20"/>
              <w:rPr>
                <w:lang w:val="en-US"/>
              </w:rPr>
            </w:pPr>
            <w:r>
              <w:rPr>
                <w:lang w:eastAsia="en-US"/>
              </w:rPr>
              <w:t xml:space="preserve">ОКОПФ </w:t>
            </w:r>
            <w:r>
              <w:rPr>
                <w:lang w:val="en-US" w:eastAsia="en-US"/>
              </w:rPr>
              <w:t xml:space="preserve">________________</w:t>
            </w:r>
            <w:r>
              <w:rPr>
                <w:rFonts w:cstheme="minorHAnsi"/>
                <w:color w:val="222222"/>
                <w:shd w:val="clear" w:color="auto" w:fill="FFFFFF"/>
              </w:rPr>
              <w:t/>
            </w:r>
            <w:r>
              <w:rPr>
                <w:lang w:val="en-US" w:eastAsia="en-US"/>
              </w:rPr>
              <w:t xml:space="preserve"/>
            </w:r>
          </w:p>
        </w:tc>
        <w:tc>
          <w:tcPr>
            <w:tcW w:w="5633" w:type="dxa"/>
            <w:shd w:val="clear" w:color="auto" w:fill="auto"/>
          </w:tcPr>
          <w:p/>
        </w:tc>
      </w:tr>
      <w:tr w14:paraId="5EA54B44">
        <w:tblPrEx>
          <w:tblCellMar>
            <w:top w:w="0" w:type="dxa"/>
            <w:left w:w="108" w:type="dxa"/>
            <w:bottom w:w="0" w:type="dxa"/>
            <w:right w:w="108" w:type="dxa"/>
          </w:tblCellMar>
        </w:tblPrEx>
        <w:trPr>
          <w:trHeight w:val="657" w:hRule="atLeast"/>
        </w:trPr>
        <w:tc>
          <w:tcPr>
            <w:tcW w:w="5075" w:type="dxa"/>
            <w:shd w:val="clear" w:color="auto" w:fill="auto"/>
          </w:tcPr>
          <w:p w14:paraId="3AA352D2">
            <w:pPr>
              <w:pStyle w:val="20"/>
            </w:pPr>
            <w:r>
              <w:t xml:space="preserve">телефон (факс): 7-498-6020242</w:t>
            </w:r>
            <w:r>
              <w:rPr>
                <w:lang w:val="en-US"/>
              </w:rPr>
              <w:t/>
            </w:r>
            <w:r>
              <w:t xml:space="preserve"/>
            </w:r>
          </w:p>
          <w:p w14:paraId="24B2BA93">
            <w:pPr>
              <w:pStyle w:val="20"/>
            </w:pPr>
            <w:r>
              <w:t xml:space="preserve">адрес электронной почты: zakupki_mitsmo@mosreg.ru</w:t>
            </w:r>
            <w:r>
              <w:rPr>
                <w:lang w:val="en-US"/>
              </w:rPr>
              <w:t/>
            </w:r>
            <w:r>
              <w:t xml:space="preserve"/>
            </w:r>
          </w:p>
        </w:tc>
        <w:tc>
          <w:tcPr>
            <w:tcW w:w="5633" w:type="dxa"/>
            <w:shd w:val="clear" w:color="auto" w:fill="auto"/>
          </w:tcPr>
          <w:p w14:paraId="1A990003">
            <w:pPr>
              <w:pStyle w:val="20"/>
            </w:pPr>
            <w:r>
              <w:t xml:space="preserve">телефон (факс): ________________</w:t>
            </w:r>
            <w:r>
              <w:rPr>
                <w:lang w:val="en-US"/>
              </w:rPr>
              <w:t/>
            </w:r>
            <w:r>
              <w:t xml:space="preserve"/>
            </w:r>
          </w:p>
          <w:p w14:paraId="7342E8EB">
            <w:pPr>
              <w:pStyle w:val="20"/>
            </w:pPr>
            <w:r>
              <w:t xml:space="preserve">адрес электронной почты: ________________</w:t>
            </w:r>
            <w:r>
              <w:rPr>
                <w:lang w:val="en-US"/>
              </w:rPr>
              <w:t/>
            </w:r>
            <w:r>
              <w:t xml:space="preserve"/>
            </w:r>
          </w:p>
        </w:tc>
      </w:tr>
    </w:tbl>
    <w:tbl>
      <w:tblPr>
        <w:tblStyle w:val="18"/>
        <w:tblpPr w:leftFromText="180" w:rightFromText="180" w:vertAnchor="text" w:horzAnchor="margin" w:tblpX="-142" w:tblpY="256"/>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35C8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5C1DA7B9">
            <w:pPr>
              <w:pStyle w:val="20"/>
              <w:rPr>
                <w:lang w:val="en-US"/>
              </w:rPr>
            </w:pPr>
            <w:r>
              <w:rPr>
                <w:lang w:val="en-US"/>
              </w:rPr>
              <w:t xml:space="preserve">Заказчик:</w:t>
            </w:r>
          </w:p>
        </w:tc>
        <w:tc>
          <w:tcPr>
            <w:tcW w:w="5103" w:type="dxa"/>
            <w:gridSpan w:val="3"/>
          </w:tcPr>
          <w:p w14:paraId="7D342720">
            <w:pPr>
              <w:pStyle w:val="20"/>
              <w:rPr>
                <w:lang w:val="en-US"/>
              </w:rPr>
            </w:pPr>
            <w:r>
              <w:rPr>
                <w:lang w:val="en-US"/>
              </w:rPr>
              <w:t xml:space="preserve">Исполнитель:</w:t>
            </w:r>
          </w:p>
        </w:tc>
      </w:tr>
      <w:tr w14:paraId="2B15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2D7BC087">
            <w:pPr>
              <w:pStyle w:val="20"/>
              <w:rPr>
                <w:lang w:val="en-US"/>
              </w:rPr>
            </w:pPr>
          </w:p>
        </w:tc>
        <w:tc>
          <w:tcPr>
            <w:tcW w:w="1418" w:type="dxa"/>
          </w:tcPr>
          <w:p w14:paraId="7B3426B2">
            <w:pPr>
              <w:pStyle w:val="20"/>
              <w:rPr>
                <w:lang w:val="en-US"/>
              </w:rPr>
            </w:pPr>
          </w:p>
        </w:tc>
        <w:tc>
          <w:tcPr>
            <w:tcW w:w="1701" w:type="dxa"/>
          </w:tcPr>
          <w:p w14:paraId="0F98AA03">
            <w:pPr>
              <w:pStyle w:val="20"/>
              <w:rPr>
                <w:lang w:val="en-US"/>
              </w:rPr>
            </w:pPr>
          </w:p>
        </w:tc>
        <w:tc>
          <w:tcPr>
            <w:tcW w:w="1842" w:type="dxa"/>
          </w:tcPr>
          <w:p w14:paraId="138E1E5D">
            <w:pPr>
              <w:pStyle w:val="20"/>
              <w:rPr>
                <w:lang w:val="en-US"/>
              </w:rPr>
            </w:pPr>
          </w:p>
        </w:tc>
        <w:tc>
          <w:tcPr>
            <w:tcW w:w="1418" w:type="dxa"/>
          </w:tcPr>
          <w:p w14:paraId="373CAEAF">
            <w:pPr>
              <w:pStyle w:val="20"/>
              <w:rPr>
                <w:lang w:val="en-US"/>
              </w:rPr>
            </w:pPr>
          </w:p>
        </w:tc>
        <w:tc>
          <w:tcPr>
            <w:tcW w:w="1843" w:type="dxa"/>
          </w:tcPr>
          <w:p w14:paraId="2160163A">
            <w:pPr>
              <w:pStyle w:val="20"/>
              <w:rPr>
                <w:lang w:val="en-US"/>
              </w:rPr>
            </w:pPr>
          </w:p>
        </w:tc>
      </w:tr>
      <w:tr w14:paraId="2854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630CC7D">
            <w:pPr>
              <w:pStyle w:val="20"/>
              <w:rPr>
                <w:lang w:val="en-US"/>
              </w:rPr>
            </w:pPr>
            <w:r>
              <w:rPr>
                <w:lang w:val="en-US"/>
              </w:rPr>
              <w:t xml:space="preserve">________________</w:t>
            </w:r>
          </w:p>
        </w:tc>
        <w:tc>
          <w:tcPr>
            <w:tcW w:w="1418" w:type="dxa"/>
          </w:tcPr>
          <w:p w14:paraId="284F1AD4">
            <w:pPr>
              <w:pStyle w:val="20"/>
              <w:rPr>
                <w:lang w:val="en-US"/>
              </w:rPr>
            </w:pPr>
            <w:r>
              <w:rPr>
                <w:lang w:val="en-US"/>
              </w:rPr>
              <w:t>__________</w:t>
            </w:r>
          </w:p>
        </w:tc>
        <w:tc>
          <w:tcPr>
            <w:tcW w:w="1701" w:type="dxa"/>
          </w:tcPr>
          <w:p w14:paraId="33543A76">
            <w:pPr>
              <w:pStyle w:val="20"/>
              <w:rPr>
                <w:lang w:val="en-US"/>
              </w:rPr>
            </w:pPr>
            <w:r>
              <w:rPr>
                <w:lang w:val="en-US"/>
              </w:rPr>
              <w:t xml:space="preserve">(______________)</w:t>
            </w:r>
          </w:p>
        </w:tc>
        <w:tc>
          <w:tcPr>
            <w:tcW w:w="1842" w:type="dxa"/>
          </w:tcPr>
          <w:p w14:paraId="7F23DB6B">
            <w:pPr>
              <w:pStyle w:val="20"/>
              <w:rPr>
                <w:lang w:val="en-US"/>
              </w:rPr>
            </w:pPr>
            <w:r>
              <w:rPr>
                <w:lang w:val="en-US"/>
              </w:rPr>
              <w:t xml:space="preserve">________________</w:t>
            </w:r>
          </w:p>
        </w:tc>
        <w:tc>
          <w:tcPr>
            <w:tcW w:w="1418" w:type="dxa"/>
          </w:tcPr>
          <w:p w14:paraId="6007F1FB">
            <w:pPr>
              <w:pStyle w:val="20"/>
              <w:rPr>
                <w:lang w:val="en-US"/>
              </w:rPr>
            </w:pPr>
            <w:r>
              <w:rPr>
                <w:lang w:val="en-US"/>
              </w:rPr>
              <w:t>__________</w:t>
            </w:r>
          </w:p>
        </w:tc>
        <w:tc>
          <w:tcPr>
            <w:tcW w:w="1843" w:type="dxa"/>
          </w:tcPr>
          <w:p w14:paraId="0934C26D">
            <w:pPr>
              <w:pStyle w:val="20"/>
              <w:rPr>
                <w:lang w:val="en-US"/>
              </w:rPr>
            </w:pPr>
            <w:r>
              <w:rPr>
                <w:lang w:val="en-US"/>
              </w:rPr>
              <w:t xml:space="preserve">(________________)</w:t>
            </w:r>
          </w:p>
        </w:tc>
      </w:tr>
    </w:tbl>
    <w:p w14:paraId="3348E5F2"/>
    <w:sectPr>
      <w:headerReference r:id="rId3" w:type="default"/>
      <w:pgSz w:w="11906" w:h="16838"/>
      <w:pgMar w:top="1134" w:right="567" w:bottom="1134" w:left="1134"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sdtPr>
    <w:sdtContent>
      <w:p w14:paraId="7427C6E0">
        <w:pPr>
          <w:pStyle w:val="16"/>
          <w:jc w:val="center"/>
        </w:pPr>
        <w:r>
          <w:fldChar w:fldCharType="begin"/>
        </w:r>
        <w:r>
          <w:instrText xml:space="preserve">PAGE   \* MERGEFORMAT</w:instrText>
        </w:r>
        <w:r>
          <w:fldChar w:fldCharType="separate"/>
        </w:r>
        <w: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62CCA"/>
    <w:multiLevelType w:val="multilevel"/>
    <w:tmpl w:val="7E362CCA"/>
    <w:lvl w:ilvl="0" w:tentative="0">
      <w:start w:val="1"/>
      <w:numFmt w:val="decimal"/>
      <w:pStyle w:val="31"/>
      <w:suff w:val="space"/>
      <w:lvlText w:val="%1."/>
      <w:lvlJc w:val="left"/>
      <w:pPr>
        <w:ind w:left="0" w:firstLine="0"/>
      </w:pPr>
      <w:rPr>
        <w:rFonts w:hint="default"/>
        <w:sz w:val="24"/>
      </w:rPr>
    </w:lvl>
    <w:lvl w:ilvl="1" w:tentative="0">
      <w:start w:val="1"/>
      <w:numFmt w:val="decimal"/>
      <w:pStyle w:val="32"/>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pStyle w:val="34"/>
      <w:suff w:val="space"/>
      <w:lvlText w:val="%1.%2.%3."/>
      <w:lvlJc w:val="left"/>
      <w:pPr>
        <w:ind w:left="708" w:firstLine="709"/>
      </w:pPr>
      <w:rPr>
        <w:rFonts w:hint="default" w:ascii="Times New Roman" w:hAnsi="Times New Roman" w:cs="Times New Roman"/>
        <w:sz w:val="24"/>
        <w:szCs w:val="24"/>
      </w:rPr>
    </w:lvl>
    <w:lvl w:ilvl="3" w:tentative="0">
      <w:start w:val="1"/>
      <w:numFmt w:val="decimal"/>
      <w:lvlText w:val="(%4)"/>
      <w:lvlJc w:val="left"/>
      <w:pPr>
        <w:ind w:left="1440" w:hanging="360"/>
      </w:pPr>
      <w:rPr>
        <w:rFonts w:hint="default"/>
      </w:rPr>
    </w:lvl>
    <w:lvl w:ilvl="4" w:tentative="0">
      <w:start w:val="1"/>
      <w:numFmt w:val="lowerLetter"/>
      <w:lvlText w:val="(%5)"/>
      <w:lvlJc w:val="left"/>
      <w:pPr>
        <w:ind w:left="1800" w:hanging="360"/>
      </w:pPr>
      <w:rPr>
        <w:rFonts w:hint="default"/>
      </w:rPr>
    </w:lvl>
    <w:lvl w:ilvl="5" w:tentative="0">
      <w:start w:val="1"/>
      <w:numFmt w:val="lowerRoman"/>
      <w:lvlText w:val="(%6)"/>
      <w:lvlJc w:val="left"/>
      <w:pPr>
        <w:ind w:left="2160" w:hanging="360"/>
      </w:pPr>
      <w:rPr>
        <w:rFonts w:hint="default"/>
      </w:rPr>
    </w:lvl>
    <w:lvl w:ilvl="6" w:tentative="0">
      <w:start w:val="1"/>
      <w:numFmt w:val="decimal"/>
      <w:lvlText w:val="%7."/>
      <w:lvlJc w:val="left"/>
      <w:pPr>
        <w:ind w:left="2520" w:hanging="360"/>
      </w:pPr>
      <w:rPr>
        <w:rFonts w:hint="default"/>
      </w:rPr>
    </w:lvl>
    <w:lvl w:ilvl="7" w:tentative="0">
      <w:start w:val="1"/>
      <w:numFmt w:val="lowerLetter"/>
      <w:lvlText w:val="%8."/>
      <w:lvlJc w:val="left"/>
      <w:pPr>
        <w:ind w:left="2880" w:hanging="360"/>
      </w:pPr>
      <w:rPr>
        <w:rFonts w:hint="default"/>
      </w:rPr>
    </w:lvl>
    <w:lvl w:ilvl="8" w:tentative="0">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Emphasis"/>
    <w:basedOn w:val="5"/>
    <w:qFormat/>
    <w:uiPriority w:val="20"/>
    <w:rPr>
      <w:i/>
      <w:iCs/>
    </w:rPr>
  </w:style>
  <w:style w:type="character" w:styleId="11">
    <w:name w:val="Hyperlink"/>
    <w:qFormat/>
    <w:uiPriority w:val="0"/>
    <w:rPr>
      <w:color w:val="000080"/>
      <w:u w:val="single"/>
    </w:rPr>
  </w:style>
  <w:style w:type="paragraph" w:styleId="12">
    <w:name w:val="Balloon Text"/>
    <w:basedOn w:val="1"/>
    <w:link w:val="24"/>
    <w:semiHidden/>
    <w:unhideWhenUsed/>
    <w:qFormat/>
    <w:uiPriority w:val="99"/>
    <w:rPr>
      <w:rFonts w:ascii="Segoe UI" w:hAnsi="Segoe UI" w:cs="Segoe UI"/>
      <w:sz w:val="18"/>
      <w:szCs w:val="18"/>
    </w:rPr>
  </w:style>
  <w:style w:type="paragraph" w:styleId="13">
    <w:name w:val="annotation text"/>
    <w:basedOn w:val="1"/>
    <w:link w:val="25"/>
    <w:unhideWhenUsed/>
    <w:qFormat/>
    <w:uiPriority w:val="99"/>
    <w:rPr>
      <w:sz w:val="20"/>
      <w:szCs w:val="20"/>
    </w:rPr>
  </w:style>
  <w:style w:type="paragraph" w:styleId="14">
    <w:name w:val="annotation subject"/>
    <w:basedOn w:val="13"/>
    <w:next w:val="13"/>
    <w:link w:val="26"/>
    <w:semiHidden/>
    <w:unhideWhenUsed/>
    <w:qFormat/>
    <w:uiPriority w:val="99"/>
    <w:rPr>
      <w:b/>
      <w:bCs/>
    </w:rPr>
  </w:style>
  <w:style w:type="paragraph" w:styleId="15">
    <w:name w:val="footnote text"/>
    <w:basedOn w:val="1"/>
    <w:link w:val="27"/>
    <w:qFormat/>
    <w:uiPriority w:val="99"/>
    <w:rPr>
      <w:sz w:val="20"/>
      <w:szCs w:val="20"/>
    </w:rPr>
  </w:style>
  <w:style w:type="paragraph" w:styleId="16">
    <w:name w:val="header"/>
    <w:basedOn w:val="1"/>
    <w:link w:val="28"/>
    <w:unhideWhenUsed/>
    <w:qFormat/>
    <w:uiPriority w:val="99"/>
    <w:pPr>
      <w:tabs>
        <w:tab w:val="center" w:pos="4677"/>
        <w:tab w:val="right" w:pos="9355"/>
      </w:tabs>
    </w:pPr>
  </w:style>
  <w:style w:type="paragraph" w:styleId="17">
    <w:name w:val="footer"/>
    <w:basedOn w:val="1"/>
    <w:link w:val="29"/>
    <w:unhideWhenUsed/>
    <w:qFormat/>
    <w:uiPriority w:val="99"/>
    <w:pPr>
      <w:tabs>
        <w:tab w:val="center" w:pos="4677"/>
        <w:tab w:val="right" w:pos="9355"/>
      </w:tabs>
    </w:pPr>
  </w:style>
  <w:style w:type="table" w:styleId="18">
    <w:name w:val="Table Grid"/>
    <w:basedOn w:val="6"/>
    <w:qFormat/>
    <w:uiPriority w:val="39"/>
    <w:rPr>
      <w:rFonts w:ascii="Times New Roman" w:hAnsi="Times New Roman" w:eastAsia="Times New Roman" w:cs="Times New Roman"/>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Заголовок таблицы1"/>
    <w:basedOn w:val="1"/>
    <w:link w:val="21"/>
    <w:qFormat/>
    <w:uiPriority w:val="0"/>
    <w:rPr>
      <w:b/>
    </w:rPr>
  </w:style>
  <w:style w:type="paragraph" w:customStyle="1" w:styleId="20">
    <w:name w:val="Тест таблицы"/>
    <w:basedOn w:val="1"/>
    <w:link w:val="22"/>
    <w:qFormat/>
    <w:uiPriority w:val="0"/>
    <w:pPr>
      <w:ind w:firstLine="0"/>
      <w:jc w:val="left"/>
    </w:pPr>
  </w:style>
  <w:style w:type="character" w:customStyle="1" w:styleId="21">
    <w:name w:val="Заголовок таблицы1 Знак"/>
    <w:basedOn w:val="5"/>
    <w:link w:val="19"/>
    <w:qFormat/>
    <w:uiPriority w:val="0"/>
    <w:rPr>
      <w:rFonts w:ascii="Times New Roman" w:hAnsi="Times New Roman" w:eastAsia="Times New Roman" w:cs="Times New Roman"/>
      <w:b/>
      <w:sz w:val="24"/>
      <w:szCs w:val="24"/>
      <w:lang w:eastAsia="ar-SA"/>
    </w:rPr>
  </w:style>
  <w:style w:type="character" w:customStyle="1" w:styleId="22">
    <w:name w:val="Тест таблицы Знак"/>
    <w:basedOn w:val="5"/>
    <w:link w:val="20"/>
    <w:qFormat/>
    <w:uiPriority w:val="0"/>
    <w:rPr>
      <w:rFonts w:ascii="Times New Roman" w:hAnsi="Times New Roman" w:eastAsia="Times New Roman" w:cs="Times New Roman"/>
      <w:sz w:val="24"/>
      <w:szCs w:val="24"/>
      <w:lang w:eastAsia="ar-SA"/>
    </w:rPr>
  </w:style>
  <w:style w:type="paragraph" w:customStyle="1" w:styleId="23">
    <w:name w:val="Рецензия1"/>
    <w:hidden/>
    <w:semiHidden/>
    <w:qFormat/>
    <w:uiPriority w:val="99"/>
    <w:rPr>
      <w:rFonts w:ascii="Times New Roman" w:hAnsi="Times New Roman" w:eastAsia="Times New Roman" w:cs="Times New Roman"/>
      <w:sz w:val="24"/>
      <w:szCs w:val="24"/>
      <w:lang w:val="ru-RU" w:eastAsia="ar-SA" w:bidi="ar-SA"/>
    </w:rPr>
  </w:style>
  <w:style w:type="character" w:customStyle="1" w:styleId="24">
    <w:name w:val="Текст выноски Знак"/>
    <w:basedOn w:val="5"/>
    <w:link w:val="12"/>
    <w:semiHidden/>
    <w:qFormat/>
    <w:uiPriority w:val="99"/>
    <w:rPr>
      <w:rFonts w:ascii="Segoe UI" w:hAnsi="Segoe UI" w:eastAsia="Times New Roman" w:cs="Segoe UI"/>
      <w:sz w:val="18"/>
      <w:szCs w:val="18"/>
      <w:lang w:eastAsia="ar-SA"/>
    </w:rPr>
  </w:style>
  <w:style w:type="character" w:customStyle="1" w:styleId="25">
    <w:name w:val="Текст примечания Знак"/>
    <w:basedOn w:val="5"/>
    <w:link w:val="13"/>
    <w:qFormat/>
    <w:uiPriority w:val="99"/>
    <w:rPr>
      <w:rFonts w:ascii="Times New Roman" w:hAnsi="Times New Roman" w:eastAsia="Times New Roman" w:cs="Times New Roman"/>
      <w:sz w:val="20"/>
      <w:szCs w:val="20"/>
      <w:lang w:eastAsia="ar-SA"/>
    </w:rPr>
  </w:style>
  <w:style w:type="character" w:customStyle="1" w:styleId="26">
    <w:name w:val="Тема примечания Знак"/>
    <w:basedOn w:val="25"/>
    <w:link w:val="14"/>
    <w:semiHidden/>
    <w:qFormat/>
    <w:uiPriority w:val="99"/>
    <w:rPr>
      <w:rFonts w:ascii="Times New Roman" w:hAnsi="Times New Roman" w:eastAsia="Times New Roman" w:cs="Times New Roman"/>
      <w:b/>
      <w:bCs/>
      <w:sz w:val="20"/>
      <w:szCs w:val="20"/>
      <w:lang w:eastAsia="ar-SA"/>
    </w:rPr>
  </w:style>
  <w:style w:type="character" w:customStyle="1" w:styleId="27">
    <w:name w:val="Текст сноски Знак"/>
    <w:basedOn w:val="5"/>
    <w:link w:val="15"/>
    <w:qFormat/>
    <w:uiPriority w:val="99"/>
    <w:rPr>
      <w:rFonts w:ascii="Times New Roman" w:hAnsi="Times New Roman" w:eastAsia="Times New Roman" w:cs="Times New Roman"/>
      <w:sz w:val="20"/>
      <w:szCs w:val="20"/>
      <w:lang w:eastAsia="ar-SA"/>
    </w:rPr>
  </w:style>
  <w:style w:type="character" w:customStyle="1" w:styleId="28">
    <w:name w:val="Верхний колонтитул Знак"/>
    <w:basedOn w:val="5"/>
    <w:link w:val="16"/>
    <w:qFormat/>
    <w:uiPriority w:val="99"/>
    <w:rPr>
      <w:rFonts w:ascii="Times New Roman" w:hAnsi="Times New Roman" w:eastAsia="Times New Roman" w:cs="Times New Roman"/>
      <w:sz w:val="24"/>
      <w:szCs w:val="24"/>
      <w:lang w:eastAsia="ar-SA"/>
    </w:rPr>
  </w:style>
  <w:style w:type="character" w:customStyle="1" w:styleId="29">
    <w:name w:val="Нижний колонтитул Знак"/>
    <w:basedOn w:val="5"/>
    <w:link w:val="17"/>
    <w:qFormat/>
    <w:uiPriority w:val="99"/>
    <w:rPr>
      <w:rFonts w:ascii="Times New Roman" w:hAnsi="Times New Roman" w:eastAsia="Times New Roman" w:cs="Times New Roman"/>
      <w:sz w:val="24"/>
      <w:szCs w:val="24"/>
      <w:lang w:eastAsia="ar-SA"/>
    </w:rPr>
  </w:style>
  <w:style w:type="paragraph" w:styleId="30">
    <w:name w:val="List Paragraph"/>
    <w:basedOn w:val="1"/>
    <w:qFormat/>
    <w:uiPriority w:val="34"/>
    <w:pPr>
      <w:ind w:left="720"/>
      <w:contextualSpacing/>
    </w:pPr>
  </w:style>
  <w:style w:type="paragraph" w:customStyle="1" w:styleId="31">
    <w:name w:val="Раздел контракта"/>
    <w:basedOn w:val="2"/>
    <w:next w:val="1"/>
    <w:qFormat/>
    <w:uiPriority w:val="0"/>
    <w:pPr>
      <w:keepNext w:val="0"/>
      <w:keepLines w:val="0"/>
      <w:numPr>
        <w:ilvl w:val="0"/>
        <w:numId w:val="1"/>
      </w:numPr>
      <w:spacing w:before="120" w:after="120"/>
      <w:jc w:val="center"/>
    </w:pPr>
    <w:rPr>
      <w:rFonts w:ascii="Times New Roman" w:hAnsi="Times New Roman"/>
      <w:color w:val="auto"/>
      <w:sz w:val="24"/>
      <w:lang w:eastAsia="en-US"/>
    </w:rPr>
  </w:style>
  <w:style w:type="paragraph" w:customStyle="1" w:styleId="32">
    <w:name w:val="Пункт контракта"/>
    <w:basedOn w:val="3"/>
    <w:qFormat/>
    <w:uiPriority w:val="0"/>
    <w:pPr>
      <w:keepNext w:val="0"/>
      <w:keepLines w:val="0"/>
      <w:numPr>
        <w:ilvl w:val="1"/>
        <w:numId w:val="1"/>
      </w:numPr>
      <w:spacing w:before="0"/>
      <w:ind w:left="0"/>
    </w:pPr>
    <w:rPr>
      <w:rFonts w:ascii="Times New Roman" w:hAnsi="Times New Roman"/>
      <w:color w:val="auto"/>
      <w:sz w:val="24"/>
    </w:rPr>
  </w:style>
  <w:style w:type="character" w:customStyle="1" w:styleId="33">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paragraph" w:customStyle="1" w:styleId="34">
    <w:name w:val="Подпункт контракта"/>
    <w:basedOn w:val="4"/>
    <w:qFormat/>
    <w:uiPriority w:val="0"/>
    <w:pPr>
      <w:keepNext w:val="0"/>
      <w:keepLines w:val="0"/>
      <w:numPr>
        <w:ilvl w:val="2"/>
        <w:numId w:val="1"/>
      </w:numPr>
      <w:spacing w:before="0"/>
    </w:pPr>
    <w:rPr>
      <w:rFonts w:ascii="Times New Roman" w:hAnsi="Times New Roman"/>
      <w:color w:val="auto"/>
      <w:lang w:eastAsia="en-US"/>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6">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 w:type="character" w:customStyle="1" w:styleId="37">
    <w:name w:val="y2iqfc"/>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100C-B4C9-49BC-9ED9-945C11405C43}">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Pages>
  <Words>656</Words>
  <Characters>6744</Characters>
  <Lines>192</Lines>
  <Paragraphs>97</Paragraphs>
  <TotalTime>28</TotalTime>
  <ScaleCrop>false</ScaleCrop>
  <LinksUpToDate>false</LinksUpToDate>
  <CharactersWithSpaces>7202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2026-04-17T13:12:00Z</dcterms:created>
  <dc:creator>slnk slnk</dc:creator>
  <cp:lastModifiedBy>KudinkinaDV</cp:lastModifiedBy>
  <cp:lastPrinted>2020-08-06T06:42:00Z</cp:lastPrinted>
  <dcterms:modified xsi:type="dcterms:W3CDTF">2026-09-04T14:21:23Z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