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customXml/item1.xml" ContentType="application/xml"/>
  <Override PartName="/customXml/itemProps1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jc w:val="center"/>
        <w:rPr>
          <w:rFonts w:ascii="Times New Roman" w:hAnsi="Times New Roman" w:cs="Times New Roman"/>
          <w:b/>
          <w:sz w:val="24"/>
          <w:szCs w:val="24"/>
        </w:rPr>
      </w:pPr>
      <w:r>
        <w:rPr>
          <w:rFonts w:ascii="Times New Roman" w:hAnsi="Times New Roman" w:cs="Times New Roman"/>
          <w:b/>
          <w:sz w:val="24"/>
          <w:szCs w:val="24"/>
        </w:rPr>
        <w:t xml:space="preserve">ТРЕБОВАНИЯ К СОДЕРЖАНИЮ, СОСТАВУ ЗАЯВКИ НА УЧАСТИЕ В ЗАКУПКЕ И ИНСТРУКЦИЯ ПО ЕЕ ЗАПОЛНЕНИЮ</w:t>
      </w:r>
      <w:r>
        <w:rPr>
          <w:rFonts w:ascii="Times New Roman" w:hAnsi="Times New Roman" w:cs="Times New Roman"/>
          <w:b/>
          <w:sz w:val="24"/>
          <w:szCs w:val="24"/>
        </w:rPr>
      </w:r>
    </w:p>
    <w:p>
      <w:pPr>
        <w:pBdr/>
        <w:spacing/>
        <w:ind/>
        <w:jc w:val="center"/>
        <w:rPr>
          <w:rFonts w:ascii="Times New Roman" w:hAnsi="Times New Roman" w:cs="Times New Roman"/>
          <w:b/>
          <w:sz w:val="24"/>
          <w:szCs w:val="24"/>
        </w:rPr>
      </w:pPr>
      <w:r>
        <w:rPr>
          <w:rFonts w:ascii="Times New Roman" w:hAnsi="Times New Roman" w:cs="Times New Roman"/>
          <w:b/>
          <w:sz w:val="24"/>
          <w:szCs w:val="24"/>
        </w:rPr>
        <w:t xml:space="preserve">Настоящие Требования к содержанию, составу заявки на участие в закупке и инструкция по е</w:t>
      </w:r>
      <w:r>
        <w:rPr>
          <w:rFonts w:ascii="Times New Roman" w:hAnsi="Times New Roman" w:cs="Times New Roman"/>
          <w:b/>
          <w:sz w:val="24"/>
          <w:szCs w:val="24"/>
        </w:rPr>
        <w:t xml:space="preserve">е заполнению (далее - Требования) сформированы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Pr>
          <w:rFonts w:ascii="Times New Roman" w:hAnsi="Times New Roman" w:cs="Times New Roman"/>
          <w:b/>
          <w:sz w:val="24"/>
          <w:szCs w:val="24"/>
        </w:rPr>
      </w:r>
    </w:p>
    <w:p>
      <w:pPr>
        <w:pBdr/>
        <w:spacing/>
        <w:ind/>
        <w:jc w:val="center"/>
        <w:rPr>
          <w:rFonts w:ascii="Times New Roman" w:hAnsi="Times New Roman" w:cs="Times New Roman"/>
          <w:b/>
          <w:sz w:val="24"/>
          <w:szCs w:val="24"/>
        </w:rPr>
      </w:pPr>
      <w:r>
        <w:rPr>
          <w:rFonts w:ascii="Times New Roman" w:hAnsi="Times New Roman" w:cs="Times New Roman"/>
          <w:b/>
          <w:sz w:val="24"/>
          <w:szCs w:val="24"/>
        </w:rPr>
        <w:t xml:space="preserve">Часть I. Требования к содержанию и составу заявки на участие в закупке.</w:t>
      </w:r>
      <w:r>
        <w:rPr>
          <w:rFonts w:ascii="Times New Roman" w:hAnsi="Times New Roman" w:cs="Times New Roman"/>
          <w:b/>
          <w:sz w:val="24"/>
          <w:szCs w:val="24"/>
        </w:rPr>
        <w:t xml:space="preserve"> </w:t>
      </w:r>
      <w:r>
        <w:rPr>
          <w:rFonts w:ascii="Times New Roman" w:hAnsi="Times New Roman" w:cs="Times New Roman"/>
          <w:b/>
          <w:sz w:val="24"/>
          <w:szCs w:val="24"/>
        </w:rPr>
      </w:r>
    </w:p>
    <w:p>
      <w:pPr>
        <w:pBdr/>
        <w:spacing/>
        <w:ind/>
        <w:jc w:val="center"/>
        <w:rPr>
          <w:rFonts w:ascii="Times New Roman" w:hAnsi="Times New Roman" w:cs="Times New Roman"/>
          <w:b/>
          <w:sz w:val="24"/>
          <w:szCs w:val="24"/>
        </w:rPr>
      </w:pPr>
      <w:r>
        <w:rPr>
          <w:rFonts w:ascii="Times New Roman" w:hAnsi="Times New Roman" w:cs="Times New Roman"/>
          <w:b/>
          <w:sz w:val="24"/>
          <w:szCs w:val="24"/>
        </w:rPr>
        <w:t xml:space="preserve">Электронный конкурс проводится с особенностями, установленными частью 19 стати 48 Федерального закона № 44-ФЗ, заявка на участие в закупке состоит из второй и третьей частей.</w:t>
      </w:r>
      <w:r>
        <w:rPr>
          <w:rFonts w:ascii="Times New Roman" w:hAnsi="Times New Roman" w:cs="Times New Roman"/>
          <w:b/>
          <w:sz w:val="24"/>
          <w:szCs w:val="24"/>
        </w:rPr>
      </w:r>
    </w:p>
    <w:p>
      <w:pPr>
        <w:pBdr/>
        <w:spacing/>
        <w:ind/>
        <w:jc w:val="center"/>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p>
    <w:p>
      <w:pPr>
        <w:pBdr/>
        <w:spacing w:after="0" w:line="240" w:lineRule="auto"/>
        <w:ind/>
        <w:rPr>
          <w:rFonts w:ascii="Times New Roman" w:hAnsi="Times New Roman" w:cs="Times New Roman"/>
          <w:b/>
          <w:sz w:val="24"/>
          <w:szCs w:val="24"/>
        </w:rPr>
      </w:pPr>
      <w:r/>
      <w:bookmarkStart w:name="MAINTABLE" w:id="0"/>
      <w:r/>
      <w:bookmarkEnd w:id="0"/>
      <w:r/>
      <w:r>
        <w:rPr>
          <w:rFonts w:ascii="Times New Roman" w:hAnsi="Times New Roman" w:cs="Times New Roman"/>
          <w:b/>
          <w:sz w:val="24"/>
          <w:szCs w:val="24"/>
        </w:rPr>
      </w:r>
    </w:p>
    <w:tbl>
      <w:tblPr>
        <w:tblBorders>
          <w:top w:val="single"/>
          <w:left w:val="single"/>
          <w:bottom w:val="single"/>
          <w:right w:val="single"/>
          <w:insideH w:val="single"/>
          <w:insideV w:val="single"/>
        </w:tblBorders>
        <w:tblW w:w="5000" w:type="pct"/>
        <w:tblLayout w:type="autofit"/>
        <w:tblInd w:w="0" w:type="dxa"/>
      </w:tblPr>
      <w:tr>
        <w:tc>
          <w:tcPr>
            <w:gridSpan w:val="2"/>
          </w:tcPr>
          <w:p>
            <w:pPr/>
            <w:r>
              <w:rPr>
                <w:rFonts w:ascii="Times New Roman" w:hAnsi="Times New Roman" w:eastAsia="Times New Roman" w:cs="Times New Roman"/>
                <w:sz w:val="24"/>
              </w:rPr>
              <w:rPr>
                <w:b w:val="true"/>
              </w:rPr>
              <w:t xml:space="preserve">Вторая часть заявки на участие в закупке должна содержать  информацию и документы, предусмотренные подпунктами «м», «о» - «р» пункта 1 части 1 статьи 43 Федерального закона № 44-ФЗ; подпунктом «н» пункта 1 части 1 статьи 43 Федерального закона № 44-ФЗ  (при наличии требований к участникам закупки, установленным в пункте 1 части 1 статьи 31 Федерального закона № 44-ФЗ, дополнительных требований, установленных в части 2 и 2.1 статьи 31 Федерального закона № 44-ФЗ):</w:t>
            </w:r>
          </w:p>
        </w:tc>
      </w:tr>
      <w:tr>
        <w:tc>
          <w:tcPr>
            <w:gridSpan w:val="2"/>
          </w:tcPr>
          <w:p>
            <w:pPr/>
            <w:r>
              <w:rPr>
                <w:rFonts w:ascii="Times New Roman" w:hAnsi="Times New Roman" w:eastAsia="Times New Roman" w:cs="Times New Roman"/>
                <w:b/>
                <w:sz w:val="24"/>
              </w:rPr>
              <w:rPr>
                <w:b w:val="false"/>
              </w:rPr>
              <w:t xml:space="preserve">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c>
          <w:tcPr>
            <w:gridSpan w:val="2"/>
          </w:tcPr>
          <w:p>
            <w:pPr/>
            <w:r>
              <w:rPr>
                <w:rFonts w:ascii="Times New Roman" w:hAnsi="Times New Roman" w:eastAsia="Times New Roman" w:cs="Times New Roman"/>
                <w:sz w:val="24"/>
              </w:rPr>
              <w:t xml:space="preserve">если иное не предусмотрено Федеральным законом № 44-ФЗ, информацию и документы, которые подтверждают соответствие участника закупки требованиям:</w:t>
            </w:r>
          </w:p>
        </w:tc>
      </w:tr>
      <w:tr>
        <w:tc>
          <w:p>
            <w:pPr/>
            <w:r>
              <w:rPr>
                <w:rFonts w:ascii="Times New Roman" w:hAnsi="Times New Roman" w:eastAsia="Times New Roman" w:cs="Times New Roman"/>
                <w:sz w:val="24"/>
              </w:rPr>
              <w:t xml:space="preserve">дополнительным требованиям, установленным в соответствии с частью 2.1 статьи 31 Федерального закона № 44-ФЗ</w:t>
            </w:r>
          </w:p>
        </w:tc>
        <w:tc>
          <w:p>
            <w:pPr/>
            <w:r>
              <w:rPr>
                <w:rFonts w:ascii="Times New Roman" w:hAnsi="Times New Roman" w:eastAsia="Times New Roman" w:cs="Times New Roman"/>
                <w:sz w:val="24"/>
              </w:rPr>
              <w:t xml:space="preserve">а именно: Наличие у участника закупки опыта исполнения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законом от 18 июля 2011 года №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 </w:t>
              <w:br/>
              <w:t xml:space="preserve">Подтверждением требованиям, установленным частью 2.1 статьи 31 Федерального закона № 44-ФЗ, являются информация и документы, предусмотренные хотя бы одним из подпунктов пункта 4 постановления Правительства РФ от 29.12.2021 № 2571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w:t>
              <w:br/>
              <w:t xml:space="preserve">а) номер реестровой записи в предусмотренном Федеральным законом № 44-ФЗ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 </w:t>
              <w:br/>
              <w:t xml:space="preserve">б) выписка из предусмотренного Федеральным законом № 44-ФЗ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 </w:t>
              <w:br/>
              <w:t xml:space="preserve">в) исполненный контракт, заключенный в соответствии с Федеральным законом № 44-ФЗ, или договор, заключенный в соответствии с Федеральным законом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 Примечание (в соответствии с абзацем 14 подпункта «б» пункта 3 постановления Правительства РФ от 29.12.2021 № 2571):</w:t>
              <w:br/>
              <w:t xml:space="preserve">Опытом исполнения контракта также считается опыт исполнения контрактов, исполненных участником закупки по результатам проведения совместного конкурса или аукциона. При этом ценой поставленных товаров, выполненных работ, оказанных услуг считается сумма цен товаров, работ, услуг, поставленных, выполненных, оказанных по таким контрактам.</w:t>
            </w:r>
          </w:p>
        </w:tc>
      </w:tr>
      <w:tr>
        <w:tc>
          <w:tcPr>
            <w:gridSpan w:val="2"/>
          </w:tcPr>
          <w:p>
            <w:pPr/>
            <w:r>
              <w:rPr>
                <w:rFonts w:ascii="Times New Roman" w:hAnsi="Times New Roman" w:eastAsia="Times New Roman" w:cs="Times New Roman"/>
                <w:sz w:val="24"/>
              </w:rPr>
              <w:t xml:space="preserve">декларацию о соответствии участника закупки требованиям, установленным пунктами 3 - 5, 7 - 11 части 1 статьи 31 Федерального закона № 44-ФЗ;</w:t>
            </w:r>
          </w:p>
        </w:tc>
      </w:tr>
      <w:tr>
        <w:tc>
          <w:tcPr>
            <w:gridSpan w:val="2"/>
          </w:tcPr>
          <w:p>
            <w:pPr/>
            <w:r>
              <w:rPr>
                <w:rFonts w:ascii="Times New Roman" w:hAnsi="Times New Roman" w:eastAsia="Times New Roman" w:cs="Times New Roman"/>
                <w:sz w:val="24"/>
              </w:rPr>
              <w:t xml:space="preserve">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c>
          <w:p>
            <w:pPr/>
            <w:r>
              <w:rPr>
                <w:rFonts w:ascii="Times New Roman" w:hAnsi="Times New Roman" w:eastAsia="Times New Roman" w:cs="Times New Roman"/>
                <w:sz w:val="24"/>
              </w:rPr>
              <w:t xml:space="preserve">информацию и документы, которые подтверждают квалификацию участника закупки в соответствии с критерием, предусмотренным пунктом 4 части 1 статьи 32 Федерального закона № 44-ФЗ.</w:t>
            </w:r>
          </w:p>
        </w:tc>
        <w:tc>
          <w:p>
            <w:pPr/>
            <w:r>
              <w:rPr>
                <w:rFonts w:ascii="Times New Roman" w:hAnsi="Times New Roman" w:eastAsia="Times New Roman" w:cs="Times New Roman"/>
                <w:sz w:val="24"/>
              </w:rPr>
              <w:t xml:space="preserve">перечень информации и документов,  которые подтверждают квалификацию участника закупки в соответствии с критерием, предусмотренным пунктом 4 части 1 статьи 32 Федерального закона № 44-ФЗ, установлен в Порядке рассмотрения и оценки заявок на участие в конкурсе, прилагаемом к извещению об осуществлении закупки.</w:t>
            </w:r>
          </w:p>
        </w:tc>
      </w:tr>
      <w:tr>
        <w:tc>
          <w:tcPr>
            <w:gridSpan w:val="2"/>
          </w:tcPr>
          <w:p>
            <w:pPr/>
            <w:r>
              <w:rPr>
                <w:rFonts w:ascii="Times New Roman" w:hAnsi="Times New Roman" w:eastAsia="Times New Roman" w:cs="Times New Roman"/>
                <w:sz w:val="24"/>
              </w:rPr>
              <w:rPr>
                <w:b w:val="true"/>
              </w:rPr>
              <w:t xml:space="preserve">Третья часть заявки на участие в закупке должна содержать: </w:t>
            </w:r>
          </w:p>
        </w:tc>
      </w:tr>
      <w:tr>
        <w:tc>
          <w:tcPr>
            <w:gridSpan w:val="2"/>
          </w:tcPr>
          <w:p>
            <w:pPr/>
            <w:r>
              <w:rPr>
                <w:rFonts w:ascii="Times New Roman" w:hAnsi="Times New Roman" w:eastAsia="Times New Roman" w:cs="Times New Roman"/>
                <w:b/>
                <w:sz w:val="24"/>
              </w:rPr>
              <w:rPr>
                <w:b w:val="false"/>
              </w:rPr>
              <w:t xml:space="preserve">предложение участника закупки о цене контракта. </w:t>
            </w:r>
          </w:p>
        </w:tc>
      </w:tr>
    </w:tbl>
    <w:p>
      <w:pPr>
        <w:pBdr/>
        <w:spacing/>
        <w:ind/>
        <w:rPr>
          <w:rFonts w:ascii="Times New Roman" w:hAnsi="Times New Roman" w:cs="Times New Roman"/>
          <w:b/>
          <w:sz w:val="24"/>
          <w:szCs w:val="24"/>
        </w:rPr>
      </w:pPr>
      <w:r>
        <w:rPr>
          <w:rFonts w:ascii="Times New Roman" w:hAnsi="Times New Roman" w:cs="Times New Roman"/>
          <w:b/>
          <w:sz w:val="24"/>
          <w:szCs w:val="24"/>
        </w:rPr>
        <w:br w:type="page" w:clear="all"/>
      </w:r>
      <w:r>
        <w:rPr>
          <w:rFonts w:ascii="Times New Roman" w:hAnsi="Times New Roman" w:cs="Times New Roman"/>
          <w:b/>
          <w:sz w:val="24"/>
          <w:szCs w:val="24"/>
        </w:rPr>
      </w:r>
    </w:p>
    <w:p>
      <w:pPr>
        <w:pBdr/>
        <w:spacing/>
        <w:ind w:left="-993"/>
        <w:jc w:val="center"/>
        <w:rPr>
          <w:rFonts w:ascii="Times New Roman" w:hAnsi="Times New Roman" w:cs="Times New Roman"/>
          <w:b/>
          <w:sz w:val="24"/>
          <w:szCs w:val="24"/>
        </w:rPr>
        <w:sectPr>
          <w:footnotePr/>
          <w:endnotePr/>
          <w:type w:val="nextPage"/>
          <w:pgSz w:w="15840" w:h="12240" w:orient="landscape"/>
          <w:pgMar w:top="1134" w:right="1381" w:bottom="1134" w:left="1701" w:header="708" w:footer="708" w:gutter="0"/>
          <w:cols w:equalWidth="1" w:space="708" w:num="1" w:sep="0"/>
        </w:sectPr>
      </w:pPr>
      <w:r>
        <w:rPr>
          <w:rFonts w:ascii="Times New Roman" w:hAnsi="Times New Roman" w:cs="Times New Roman"/>
          <w:b/>
          <w:sz w:val="24"/>
          <w:szCs w:val="24"/>
        </w:rPr>
      </w:r>
      <w:r>
        <w:rPr>
          <w:rFonts w:ascii="Times New Roman" w:hAnsi="Times New Roman" w:cs="Times New Roman"/>
          <w:b/>
          <w:sz w:val="24"/>
          <w:szCs w:val="24"/>
        </w:rPr>
      </w:r>
    </w:p>
    <w:p>
      <w:pPr>
        <w:pBdr/>
        <w:spacing/>
        <w:ind w:left="-993"/>
        <w:jc w:val="center"/>
        <w:rPr>
          <w:rFonts w:ascii="Times New Roman" w:hAnsi="Times New Roman" w:cs="Times New Roman"/>
          <w:b/>
          <w:sz w:val="24"/>
          <w:szCs w:val="24"/>
        </w:rPr>
      </w:pPr>
      <w:r>
        <w:rPr>
          <w:rFonts w:ascii="Times New Roman" w:hAnsi="Times New Roman" w:cs="Times New Roman"/>
          <w:b/>
          <w:sz w:val="24"/>
          <w:szCs w:val="24"/>
        </w:rPr>
        <w:t xml:space="preserve">Часть II. Информация и документы об участнике закупки</w:t>
      </w:r>
      <w:r>
        <w:rPr>
          <w:rFonts w:ascii="Times New Roman" w:hAnsi="Times New Roman" w:cs="Times New Roman"/>
          <w:b/>
          <w:sz w:val="24"/>
          <w:szCs w:val="24"/>
        </w:rPr>
      </w:r>
    </w:p>
    <w:tbl>
      <w:tblPr>
        <w:tblStyle w:val="679"/>
        <w:tblW w:w="10082" w:type="dxa"/>
        <w:tblBorders/>
        <w:tblpPr w:leftFromText="180" w:rightFromText="180" w:topFromText="0" w:bottomFromText="0" w:vertAnchor="page" w:horzAnchor="margin" w:tblpXSpec="right" w:tblpY="2116"/>
        <w:tblLook w:val="04A0" w:firstRow="1" w:lastRow="0" w:firstColumn="1" w:lastColumn="0" w:noHBand="0" w:noVBand="1"/>
      </w:tblPr>
      <w:tblGrid>
        <w:gridCol w:w="10082"/>
      </w:tblGrid>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Помимо информации и документов, указ</w:t>
            </w:r>
            <w:r>
              <w:rPr>
                <w:rFonts w:ascii="Times New Roman" w:hAnsi="Times New Roman" w:cs="Times New Roman"/>
                <w:sz w:val="24"/>
                <w:szCs w:val="24"/>
              </w:rPr>
              <w:t xml:space="preserve">анных в части I Требований, заявка на участие в закупке должна содержать информацию и документы, предусмотренные подпунктами «а» - «л» пункта 1 части 1 статьи 43 Федерального закона № 44-ФЗ, если иное не предусмотрено Федеральным законом № 44-ФЗ, а именно:</w:t>
            </w:r>
            <w:r>
              <w:rPr>
                <w:rFonts w:ascii="Times New Roman" w:hAnsi="Times New Roman" w:cs="Times New Roman"/>
                <w:sz w:val="24"/>
                <w:szCs w:val="24"/>
              </w:rPr>
            </w:r>
          </w:p>
        </w:tc>
      </w:tr>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1) информацию и документы об участнике закупки:</w:t>
            </w:r>
            <w:r>
              <w:rPr>
                <w:rFonts w:ascii="Times New Roman" w:hAnsi="Times New Roman" w:cs="Times New Roman"/>
                <w:sz w:val="24"/>
                <w:szCs w:val="24"/>
              </w:rPr>
            </w:r>
          </w:p>
        </w:tc>
      </w:tr>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а) полное и сокращенное (при наличии) наименование юридического лица, в том числе иностранного юридического лица (если участником закупки является ю</w:t>
            </w:r>
            <w:r>
              <w:rPr>
                <w:rFonts w:ascii="Times New Roman" w:hAnsi="Times New Roman" w:cs="Times New Roman"/>
                <w:sz w:val="24"/>
                <w:szCs w:val="24"/>
              </w:rPr>
              <w:t xml:space="preserve">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w:t>
            </w:r>
            <w:r>
              <w:rPr>
                <w:rFonts w:ascii="Times New Roman" w:hAnsi="Times New Roman" w:cs="Times New Roman"/>
                <w:sz w:val="24"/>
                <w:szCs w:val="24"/>
              </w:rPr>
              <w:t xml:space="preserve">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w:t>
            </w:r>
            <w:r>
              <w:rPr>
                <w:rFonts w:ascii="Times New Roman" w:hAnsi="Times New Roman" w:cs="Times New Roman"/>
                <w:sz w:val="24"/>
                <w:szCs w:val="24"/>
              </w:rPr>
            </w:r>
          </w:p>
        </w:tc>
      </w:tr>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б) фамилия, имя, отчество (при наличии), идентификационный номер налогоплательщика (при наличии) и должность лица, имеющего право без доверенности дейст</w:t>
            </w:r>
            <w:r>
              <w:rPr>
                <w:rFonts w:ascii="Times New Roman" w:hAnsi="Times New Roman" w:cs="Times New Roman"/>
                <w:sz w:val="24"/>
                <w:szCs w:val="24"/>
              </w:rPr>
              <w:t xml:space="preserve">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w:t>
            </w:r>
            <w:r>
              <w:rPr>
                <w:rFonts w:ascii="Times New Roman" w:hAnsi="Times New Roman" w:cs="Times New Roman"/>
                <w:sz w:val="24"/>
                <w:szCs w:val="24"/>
              </w:rPr>
            </w:r>
          </w:p>
        </w:tc>
      </w:tr>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в) идентификационный номер налогоплательщика (при наличии) член</w:t>
            </w:r>
            <w:r>
              <w:rPr>
                <w:rFonts w:ascii="Times New Roman" w:hAnsi="Times New Roman" w:cs="Times New Roman"/>
                <w:sz w:val="24"/>
                <w:szCs w:val="24"/>
              </w:rPr>
              <w:t xml:space="preserve">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w:t>
            </w:r>
            <w:r>
              <w:rPr>
                <w:rFonts w:ascii="Times New Roman" w:hAnsi="Times New Roman" w:cs="Times New Roman"/>
                <w:sz w:val="24"/>
                <w:szCs w:val="24"/>
              </w:rPr>
              <w:t xml:space="preserve">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w:t>
            </w:r>
            <w:r>
              <w:rPr>
                <w:rFonts w:ascii="Times New Roman" w:hAnsi="Times New Roman" w:cs="Times New Roman"/>
                <w:sz w:val="24"/>
                <w:szCs w:val="24"/>
              </w:rPr>
            </w:r>
          </w:p>
        </w:tc>
      </w:tr>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г) адрес юридического лица, в том числе иностранного юридическ</w:t>
            </w:r>
            <w:r>
              <w:rPr>
                <w:rFonts w:ascii="Times New Roman" w:hAnsi="Times New Roman" w:cs="Times New Roman"/>
                <w:sz w:val="24"/>
                <w:szCs w:val="24"/>
              </w:rPr>
              <w:t xml:space="preserve">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w:t>
            </w:r>
            <w:r>
              <w:rPr>
                <w:rFonts w:ascii="Times New Roman" w:hAnsi="Times New Roman" w:cs="Times New Roman"/>
                <w:sz w:val="24"/>
                <w:szCs w:val="24"/>
              </w:rPr>
              <w:t xml:space="preserve">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w:t>
            </w:r>
            <w:r>
              <w:rPr>
                <w:rFonts w:ascii="Times New Roman" w:hAnsi="Times New Roman" w:cs="Times New Roman"/>
                <w:sz w:val="24"/>
                <w:szCs w:val="24"/>
              </w:rPr>
              <w:t xml:space="preserve">,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 </w:t>
            </w:r>
            <w:r>
              <w:rPr>
                <w:rFonts w:ascii="Times New Roman" w:hAnsi="Times New Roman" w:cs="Times New Roman"/>
                <w:sz w:val="24"/>
                <w:szCs w:val="24"/>
              </w:rPr>
            </w:r>
          </w:p>
        </w:tc>
      </w:tr>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r>
              <w:rPr>
                <w:rFonts w:ascii="Times New Roman" w:hAnsi="Times New Roman" w:cs="Times New Roman"/>
                <w:sz w:val="24"/>
                <w:szCs w:val="24"/>
              </w:rPr>
            </w:r>
          </w:p>
        </w:tc>
      </w:tr>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w:t>
            </w:r>
            <w:r>
              <w:rPr>
                <w:rFonts w:ascii="Times New Roman" w:hAnsi="Times New Roman" w:cs="Times New Roman"/>
                <w:sz w:val="24"/>
                <w:szCs w:val="24"/>
              </w:rPr>
              <w:t xml:space="preserve">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w:t>
            </w:r>
            <w:r>
              <w:rPr>
                <w:rFonts w:ascii="Times New Roman" w:hAnsi="Times New Roman" w:cs="Times New Roman"/>
                <w:sz w:val="24"/>
                <w:szCs w:val="24"/>
              </w:rPr>
              <w:t xml:space="preserve">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w:t>
            </w:r>
            <w:r>
              <w:rPr>
                <w:rFonts w:ascii="Times New Roman" w:hAnsi="Times New Roman" w:cs="Times New Roman"/>
                <w:sz w:val="24"/>
                <w:szCs w:val="24"/>
              </w:rPr>
              <w:t xml:space="preserve">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w:t>
            </w:r>
            <w:r>
              <w:rPr>
                <w:rFonts w:ascii="Times New Roman" w:hAnsi="Times New Roman" w:cs="Times New Roman"/>
                <w:sz w:val="24"/>
                <w:szCs w:val="24"/>
              </w:rPr>
              <w:t xml:space="preserve">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 </w:t>
            </w:r>
            <w:r>
              <w:rPr>
                <w:rFonts w:ascii="Times New Roman" w:hAnsi="Times New Roman" w:cs="Times New Roman"/>
                <w:sz w:val="24"/>
                <w:szCs w:val="24"/>
              </w:rPr>
            </w:r>
          </w:p>
        </w:tc>
      </w:tr>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ж) </w:t>
            </w:r>
            <w:r>
              <w:rPr>
                <w:rFonts w:ascii="Times New Roman" w:hAnsi="Times New Roman" w:cs="Times New Roman"/>
                <w:sz w:val="24"/>
                <w:szCs w:val="24"/>
              </w:rPr>
              <w:t xml:space="preserve">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 </w:t>
            </w:r>
            <w:r>
              <w:rPr>
                <w:rFonts w:ascii="Times New Roman" w:hAnsi="Times New Roman" w:cs="Times New Roman"/>
                <w:sz w:val="24"/>
                <w:szCs w:val="24"/>
              </w:rPr>
            </w:r>
          </w:p>
        </w:tc>
      </w:tr>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з) </w:t>
            </w:r>
            <w:r>
              <w:rPr>
                <w:rFonts w:ascii="Times New Roman" w:hAnsi="Times New Roman" w:eastAsia="Times New Roman" w:cs="Times New Roman"/>
                <w:sz w:val="24"/>
                <w:szCs w:val="24"/>
                <w:lang w:eastAsia="ru-RU"/>
              </w:rPr>
              <w:t xml:space="preserve">надлежащим образом заверенный перевод</w:t>
            </w:r>
            <w:r>
              <w:rPr>
                <w:rFonts w:ascii="Times New Roman" w:hAnsi="Times New Roman" w:eastAsia="Times New Roman" w:cs="Times New Roman"/>
                <w:sz w:val="24"/>
                <w:szCs w:val="24"/>
                <w:lang w:eastAsia="ru-RU"/>
              </w:rPr>
              <w:t xml:space="preserve">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r>
              <w:rPr>
                <w:rFonts w:ascii="Times New Roman" w:hAnsi="Times New Roman" w:cs="Times New Roman"/>
                <w:sz w:val="24"/>
                <w:szCs w:val="24"/>
              </w:rPr>
            </w:r>
          </w:p>
        </w:tc>
      </w:tr>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rPr>
              <w:t xml:space="preserve"> В соответствии с пунктом 2 части </w:t>
            </w:r>
            <w:r>
              <w:rPr>
                <w:rFonts w:ascii="Times New Roman" w:hAnsi="Times New Roman" w:cs="Times New Roman"/>
                <w:sz w:val="24"/>
                <w:szCs w:val="24"/>
              </w:rPr>
              <w:t xml:space="preserve">6 статьи 43 Федерального закона № 44-ФЗ информация и документы, указанные в части II Требований (предусмотренные подпунктами «а» - «л» пункта 1 части 1 статьи 43 Федерального закона № 44-ФЗ), не включаются участником закупки в заявку на участие в закупке. </w:t>
            </w:r>
            <w:r>
              <w:rPr>
                <w:rFonts w:ascii="Times New Roman" w:hAnsi="Times New Roman" w:cs="Times New Roman"/>
                <w:sz w:val="24"/>
                <w:szCs w:val="24"/>
              </w:rPr>
              <w:t xml:space="preserve">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r>
              <w:rPr>
                <w:rFonts w:ascii="Times New Roman" w:hAnsi="Times New Roman" w:cs="Times New Roman"/>
                <w:sz w:val="24"/>
                <w:szCs w:val="24"/>
              </w:rPr>
            </w:r>
          </w:p>
        </w:tc>
      </w:tr>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3)  В соответствии с пунктом 3 части 6 с</w:t>
            </w:r>
            <w:r>
              <w:rPr>
                <w:rFonts w:ascii="Times New Roman" w:hAnsi="Times New Roman" w:cs="Times New Roman"/>
                <w:sz w:val="24"/>
                <w:szCs w:val="24"/>
              </w:rPr>
              <w:t xml:space="preserve">татьи 43 Федерального закона № 44-ФЗ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и необходимости предоставления таких </w:t>
            </w:r>
            <w:r>
              <w:rPr>
                <w:rFonts w:ascii="Times New Roman" w:hAnsi="Times New Roman" w:cs="Times New Roman"/>
                <w:sz w:val="24"/>
                <w:szCs w:val="24"/>
              </w:rPr>
              <w:t xml:space="preserve">информации и документов в составе заявки на участие в закупке) статьи 31 Федерального закона № 44-ФЗ, и предусмотренные подпунктом «н» пункта 1 части 1 статьи 43 Федерального закона № 44-ФЗ, не включаются участником закупки в заявку на участие в закупке. Т</w:t>
            </w:r>
            <w:r>
              <w:rPr>
                <w:rFonts w:ascii="Times New Roman" w:hAnsi="Times New Roman" w:cs="Times New Roman"/>
                <w:sz w:val="24"/>
                <w:szCs w:val="24"/>
              </w:rPr>
              <w:t xml:space="preserve">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r>
              <w:rPr>
                <w:rFonts w:ascii="Times New Roman" w:hAnsi="Times New Roman" w:cs="Times New Roman"/>
                <w:sz w:val="24"/>
                <w:szCs w:val="24"/>
              </w:rPr>
            </w:r>
          </w:p>
          <w:p>
            <w:pPr>
              <w:pBdr/>
              <w:spacing/>
              <w:ind/>
              <w:rPr>
                <w:rFonts w:ascii="Times New Roman" w:hAnsi="Times New Roman" w:cs="Times New Roman"/>
                <w:sz w:val="24"/>
                <w:szCs w:val="24"/>
              </w:rPr>
            </w:pPr>
            <w:r>
              <w:rPr>
                <w:rFonts w:ascii="Times New Roman" w:hAnsi="Times New Roman" w:cs="Times New Roman"/>
                <w:sz w:val="24"/>
                <w:szCs w:val="24"/>
              </w:rPr>
              <w:t xml:space="preserve">Указанные в настоящем пункте Требований информация и документы должны соответствовать требованиям постановления Правительства РФ от 29.12.2021 № 2571 «О требованиях к участникам закупки товаров, работ, услуг для обеспечения государственных и муниципальных </w:t>
            </w:r>
            <w:r>
              <w:rPr>
                <w:rFonts w:ascii="Times New Roman" w:hAnsi="Times New Roman" w:cs="Times New Roman"/>
                <w:sz w:val="24"/>
                <w:szCs w:val="24"/>
              </w:rPr>
              <w:t xml:space="preserve">нужд и признании утратившими силу некоторых актов и отдельных положений актов Правительства Российской Федерации».</w:t>
            </w:r>
            <w:r>
              <w:rPr>
                <w:rFonts w:ascii="Times New Roman" w:hAnsi="Times New Roman" w:cs="Times New Roman"/>
                <w:sz w:val="24"/>
                <w:szCs w:val="24"/>
              </w:rPr>
            </w:r>
          </w:p>
        </w:tc>
      </w:tr>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4)  В соответствии с подпунктом «б» пункта 1 постановления Правительства Российской Федерации от 10.04.2023 № 579 «Об особенностях порядка предоставления обеспечения заявок на участие в закупках товаров, работ, услуг для обе</w:t>
            </w:r>
            <w:r>
              <w:rPr>
                <w:rFonts w:ascii="Times New Roman" w:hAnsi="Times New Roman" w:cs="Times New Roman"/>
                <w:sz w:val="24"/>
                <w:szCs w:val="24"/>
              </w:rPr>
              <w:t xml:space="preserve">спечения государственных или муниципальных нужд участниками таких закупок, являющимися иностранными лицами» в случае, если извещением об осуществлении закупки предусмотрено предоставление обеспечения заявки на участие в закупке, участники закупки, являющие</w:t>
            </w:r>
            <w:r>
              <w:rPr>
                <w:rFonts w:ascii="Times New Roman" w:hAnsi="Times New Roman" w:cs="Times New Roman"/>
                <w:sz w:val="24"/>
                <w:szCs w:val="24"/>
              </w:rPr>
              <w:t xml:space="preserve">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w:t>
            </w:r>
            <w:r>
              <w:rPr>
                <w:rFonts w:ascii="Times New Roman" w:hAnsi="Times New Roman" w:cs="Times New Roman"/>
                <w:sz w:val="24"/>
                <w:szCs w:val="24"/>
              </w:rPr>
              <w:t xml:space="preserve">сключением Российской Федерации,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r>
              <w:rPr>
                <w:rFonts w:ascii="Times New Roman" w:hAnsi="Times New Roman" w:cs="Times New Roman"/>
                <w:sz w:val="24"/>
                <w:szCs w:val="24"/>
              </w:rPr>
            </w:r>
          </w:p>
        </w:tc>
      </w:tr>
      <w:tr>
        <w:trPr>
          <w:trHeight w:val="25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5)  Предоставление документов, предусмотренных подпунктом «в» пункта 2 части 1 статьи 43 Федерального закона № 44-ФЗ, подтверждающих соответствие товара, рабо</w:t>
            </w:r>
            <w:r>
              <w:rPr>
                <w:rFonts w:ascii="Times New Roman" w:hAnsi="Times New Roman" w:cs="Times New Roman"/>
                <w:sz w:val="24"/>
                <w:szCs w:val="24"/>
              </w:rPr>
              <w:t xml:space="preserve">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w:t>
            </w:r>
            <w:r>
              <w:rPr>
                <w:rFonts w:ascii="Times New Roman" w:hAnsi="Times New Roman" w:cs="Times New Roman"/>
                <w:sz w:val="24"/>
                <w:szCs w:val="24"/>
              </w:rPr>
              <w:t xml:space="preserve"> предусмотрено извещением об осуществлении закупки, документацией о закупке, если Федеральным законом № 44-ФЗ предусмотрена документация о закупке), не требуется, если в соответствии с законодательством Российской Федерации они передаются вместе с товаром.</w:t>
            </w:r>
            <w:r>
              <w:rPr>
                <w:rFonts w:ascii="Times New Roman" w:hAnsi="Times New Roman" w:cs="Times New Roman"/>
                <w:sz w:val="24"/>
                <w:szCs w:val="24"/>
              </w:rPr>
            </w:r>
          </w:p>
        </w:tc>
      </w:tr>
      <w:tr>
        <w:trPr>
          <w:trHeight w:val="846"/>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6) </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Не является основанием для отклонения заявки на участие в закупке (признания ее не соответс</w:t>
            </w:r>
            <w:r>
              <w:rPr>
                <w:rFonts w:ascii="Times New Roman" w:hAnsi="Times New Roman" w:cs="Times New Roman"/>
                <w:sz w:val="24"/>
                <w:szCs w:val="24"/>
              </w:rPr>
              <w:t xml:space="preserve">твующей требованиям Федерального закона № 44-ФЗ) отсутствие в составе заявки на участие в закупке документов, подтверждающих квалификацию участника закупки в соответствии с критерием, предусмотренным пунктом 4 части 1 статьи 32 Федерального закона № 44-ФЗ.</w:t>
            </w:r>
            <w:r>
              <w:rPr>
                <w:rFonts w:ascii="Times New Roman" w:hAnsi="Times New Roman" w:cs="Times New Roman"/>
                <w:sz w:val="24"/>
                <w:szCs w:val="24"/>
              </w:rPr>
            </w:r>
          </w:p>
        </w:tc>
      </w:tr>
      <w:tr>
        <w:trPr>
          <w:trHeight w:val="123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7)  </w:t>
            </w:r>
            <w:r>
              <w:rPr>
                <w:rFonts w:ascii="Times New Roman" w:hAnsi="Times New Roman" w:cs="Times New Roman"/>
                <w:sz w:val="24"/>
                <w:szCs w:val="24"/>
              </w:rPr>
              <w:t xml:space="preserve">Если в извещении об осуществлении закупки, сведениях и документах, прилагаемых к нему, в том числе в описании объекта закупки и(или) документах в составе обоснования начальной (максимально</w:t>
            </w:r>
            <w:r>
              <w:rPr>
                <w:rFonts w:ascii="Times New Roman" w:hAnsi="Times New Roman" w:cs="Times New Roman"/>
                <w:sz w:val="24"/>
                <w:szCs w:val="24"/>
              </w:rPr>
              <w:t xml:space="preserve">й) цены контракта, начальной суммы цен единиц товаров, работ, услуг, включая сметную документацию, указан товарный знак (за исключением указания товарного знака в случаях, установленных в подпунктах «б», «в», «г» пункта 1 части 1 статьи 33 Федерального зак</w:t>
            </w:r>
            <w:bookmarkStart w:name="_GoBack" w:id="1"/>
            <w:r/>
            <w:bookmarkEnd w:id="1"/>
            <w:r>
              <w:rPr>
                <w:rFonts w:ascii="Times New Roman" w:hAnsi="Times New Roman" w:cs="Times New Roman"/>
                <w:sz w:val="24"/>
                <w:szCs w:val="24"/>
              </w:rPr>
              <w:t xml:space="preserve">она № 44-ФЗ), то такое указание следует читать в сопровождении слов «или эквивалент». </w:t>
            </w:r>
            <w:bookmarkStart w:name="OLE_LINK1" w:id="2"/>
            <w:r/>
            <w:bookmarkStart w:name="OLE_LINK2" w:id="3"/>
            <w:r/>
            <w:bookmarkStart w:name="OLE_LINK3" w:id="4"/>
            <w:r>
              <w:rPr>
                <w:rFonts w:ascii="Times New Roman" w:hAnsi="Times New Roman" w:cs="Times New Roman"/>
                <w:sz w:val="24"/>
                <w:szCs w:val="24"/>
              </w:rPr>
              <w:t/>
              <w:rPr>
                <w:rFonts w:ascii="Times New Roman" w:hAnsi="Times New Roman" w:eastAsia="Times New Roman" w:cs="Times New Roman"/>
                <w:sz w:val="24"/>
              </w:rPr>
              <w:t xml:space="preserve"/>
              <w:t xml:space="preserve"/>
              <w:rPr>
                <w:rFonts w:ascii="Times New Roman" w:hAnsi="Times New Roman" w:cs="Times New Roman"/>
                <w:sz w:val="24"/>
                <w:szCs w:val="24"/>
              </w:rPr>
            </w:r>
            <w:bookmarkEnd w:id="2"/>
            <w:r/>
            <w:bookmarkEnd w:id="3"/>
            <w:r/>
            <w:bookmarkEnd w:id="4"/>
            <w:r/>
            <w:r>
              <w:rPr>
                <w:rFonts w:ascii="Times New Roman" w:hAnsi="Times New Roman" w:cs="Times New Roman"/>
                <w:sz w:val="24"/>
                <w:szCs w:val="24"/>
              </w:rPr>
            </w:r>
          </w:p>
        </w:tc>
      </w:tr>
      <w:tr>
        <w:trPr>
          <w:trHeight w:val="123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8) </w:t>
            </w:r>
            <w:r>
              <w:rPr>
                <w:rFonts w:ascii="Times New Roman" w:hAnsi="Times New Roman" w:cs="Times New Roman"/>
                <w:sz w:val="24"/>
                <w:szCs w:val="24"/>
              </w:rPr>
              <w:t xml:space="preserve">В соответствии с частью 2 статьи 43 Федерального закона № 44-ФЗ информация, предусмотренная подпунктом «а» пункта 2 части 1 статьи 43 Федерального закона № 44-ФЗ, не включается в заявку на участие в закупке в</w:t>
            </w:r>
            <w:r>
              <w:rPr>
                <w:rFonts w:ascii="Times New Roman" w:hAnsi="Times New Roman" w:cs="Times New Roman"/>
                <w:sz w:val="24"/>
                <w:szCs w:val="24"/>
              </w:rPr>
              <w:t xml:space="preserve"> случае включения заказчиком в соответствии с пунктом 8 части 1 статьи 33 Федерального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r>
              <w:rPr>
                <w:rFonts w:ascii="Times New Roman" w:hAnsi="Times New Roman" w:cs="Times New Roman"/>
                <w:sz w:val="24"/>
                <w:szCs w:val="24"/>
              </w:rPr>
            </w:r>
          </w:p>
        </w:tc>
      </w:tr>
      <w:tr>
        <w:trPr>
          <w:trHeight w:val="123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9</w:t>
            </w:r>
            <w:r>
              <w:rPr>
                <w:rFonts w:ascii="Times New Roman" w:hAnsi="Times New Roman" w:cs="Times New Roman"/>
                <w:sz w:val="24"/>
                <w:szCs w:val="24"/>
              </w:rPr>
              <w:t xml:space="preserve">) В случае отсутствия в заявке на участие в закупке информации и документов,  определенных в соответствии с пунктом 2 части 2 статьи 14  Федерального закона № 44-ФЗ (в случае, если в извещ</w:t>
            </w:r>
            <w:r>
              <w:rPr>
                <w:rFonts w:ascii="Times New Roman" w:hAnsi="Times New Roman" w:cs="Times New Roman"/>
                <w:sz w:val="24"/>
                <w:szCs w:val="24"/>
              </w:rPr>
              <w:t xml:space="preserve">ении об осуществлении закупки, документации о закупке (если  Федеральным законом № 44-ФЗ предусмотрена документация о закупке) установлены предусмотренные указанной статьей запрет, ограничение, преимущество) такая заявка приравнивается к заявке, в которой </w:t>
            </w:r>
            <w:r>
              <w:rPr>
                <w:rFonts w:ascii="Times New Roman" w:hAnsi="Times New Roman" w:cs="Times New Roman"/>
                <w:sz w:val="24"/>
                <w:szCs w:val="24"/>
              </w:rPr>
              <w:t xml:space="preserve">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r>
              <w:rPr>
                <w:rFonts w:ascii="Times New Roman" w:hAnsi="Times New Roman" w:cs="Times New Roman"/>
                <w:sz w:val="24"/>
                <w:szCs w:val="24"/>
              </w:rPr>
            </w:r>
          </w:p>
        </w:tc>
      </w:tr>
      <w:tr>
        <w:trPr>
          <w:trHeight w:val="1232"/>
        </w:trPr>
        <w:tc>
          <w:tcPr>
            <w:tcBorders>
              <w:top w:val="single" w:color="auto" w:sz="4" w:space="0"/>
              <w:left w:val="single" w:color="auto" w:sz="4" w:space="0"/>
              <w:bottom w:val="single" w:color="auto" w:sz="4" w:space="0"/>
              <w:right w:val="single" w:color="auto" w:sz="4" w:space="0"/>
            </w:tcBorders>
            <w:tcW w:w="10082" w:type="dxa"/>
            <w:textDirection w:val="lrTb"/>
            <w:noWrap w:val="false"/>
          </w:tcPr>
          <w:p>
            <w:pPr>
              <w:pBdr/>
              <w:spacing/>
              <w:ind/>
              <w:rPr>
                <w:rFonts w:ascii="Times New Roman" w:hAnsi="Times New Roman" w:cs="Times New Roman"/>
                <w:sz w:val="24"/>
                <w:szCs w:val="24"/>
              </w:rPr>
            </w:pPr>
            <w:r>
              <w:rPr>
                <w:rFonts w:ascii="Times New Roman" w:hAnsi="Times New Roman" w:cs="Times New Roman"/>
                <w:sz w:val="24"/>
                <w:szCs w:val="24"/>
              </w:rPr>
              <w:t xml:space="preserve">10</w:t>
            </w:r>
            <w:r>
              <w:rPr>
                <w:rFonts w:ascii="Times New Roman" w:hAnsi="Times New Roman" w:cs="Times New Roman"/>
                <w:sz w:val="24"/>
                <w:szCs w:val="24"/>
              </w:rPr>
              <w:t xml:space="preserve">) </w:t>
            </w:r>
            <w:r>
              <w:rPr>
                <w:rFonts w:ascii="Times New Roman" w:hAnsi="Times New Roman" w:cs="Times New Roman"/>
                <w:sz w:val="24"/>
                <w:szCs w:val="24"/>
              </w:rPr>
              <w:t xml:space="preserve">В соответствии с пунктом 1 части 1 статьи 43 Федерального закона № 44-ФЗ информация и документы, которые подтверждают соответствие участника закупки требованиям, установленным пунктом 1 части 1 статьи </w:t>
            </w:r>
            <w:r>
              <w:rPr>
                <w:rFonts w:ascii="Times New Roman" w:hAnsi="Times New Roman" w:cs="Times New Roman"/>
                <w:sz w:val="24"/>
                <w:szCs w:val="24"/>
              </w:rPr>
              <w:t xml:space="preserve">31 Федерального закона № 44-ФЗ (при наличии таких требований и необходимости предоставления таких информации и документов в составе заявки на участие в закупке), могут не включаться в заявку на участие в закупке, если указанные информация и документы содер</w:t>
            </w:r>
            <w:r>
              <w:rPr>
                <w:rFonts w:ascii="Times New Roman" w:hAnsi="Times New Roman" w:cs="Times New Roman"/>
                <w:sz w:val="24"/>
                <w:szCs w:val="24"/>
              </w:rPr>
              <w:t xml:space="preserve">жатся в открытых и общедоступных государственных реестрах, размещенных в информационно-телекоммуникационной сети «Интернет», и в декларацию, предусмотренную подпунктом «о» пункта 1 части 1 статьи 43 Федерального закона № 44-ФЗ, включено положение о соответ</w:t>
            </w:r>
            <w:r>
              <w:rPr>
                <w:rFonts w:ascii="Times New Roman" w:hAnsi="Times New Roman" w:cs="Times New Roman"/>
                <w:sz w:val="24"/>
                <w:szCs w:val="24"/>
              </w:rPr>
              <w:t xml:space="preserve">ствии участника закупки требованиям, установленным пунктом 1 части 1 статьи 31 Федерального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Fonts w:ascii="Times New Roman" w:hAnsi="Times New Roman" w:cs="Times New Roman"/>
                <w:sz w:val="24"/>
                <w:szCs w:val="24"/>
              </w:rPr>
            </w:r>
          </w:p>
        </w:tc>
      </w:tr>
    </w:tbl>
    <w:p>
      <w:pPr>
        <w:pBdr/>
        <w:spacing/>
        <w:ind w:left="-426"/>
        <w:jc w:val="center"/>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p>
    <w:p>
      <w:pPr>
        <w:pBdr/>
        <w:spacing/>
        <w:ind/>
        <w:rPr>
          <w:rFonts w:ascii="Times New Roman" w:hAnsi="Times New Roman" w:cs="Times New Roman"/>
          <w:b/>
          <w:sz w:val="24"/>
          <w:szCs w:val="24"/>
        </w:rPr>
      </w:pPr>
      <w:r>
        <w:rPr>
          <w:rFonts w:ascii="Times New Roman" w:hAnsi="Times New Roman" w:cs="Times New Roman"/>
          <w:b/>
          <w:sz w:val="24"/>
          <w:szCs w:val="24"/>
        </w:rPr>
        <w:br w:type="page" w:clear="all"/>
      </w:r>
      <w:r>
        <w:rPr>
          <w:rFonts w:ascii="Times New Roman" w:hAnsi="Times New Roman" w:cs="Times New Roman"/>
          <w:b/>
          <w:sz w:val="24"/>
          <w:szCs w:val="24"/>
        </w:rPr>
      </w:r>
    </w:p>
    <w:p>
      <w:pPr>
        <w:pBdr/>
        <w:spacing/>
        <w:ind w:left="-426"/>
        <w:jc w:val="center"/>
        <w:rPr>
          <w:rFonts w:ascii="Times New Roman" w:hAnsi="Times New Roman" w:cs="Times New Roman"/>
          <w:b/>
          <w:sz w:val="24"/>
          <w:szCs w:val="24"/>
        </w:rPr>
      </w:pPr>
      <w:r>
        <w:rPr>
          <w:rFonts w:ascii="Times New Roman" w:hAnsi="Times New Roman" w:cs="Times New Roman"/>
          <w:b/>
          <w:sz w:val="24"/>
          <w:szCs w:val="24"/>
        </w:rPr>
        <w:t xml:space="preserve">Часть III. Инструкция по заполнению заявки на участие в закупке.</w:t>
      </w:r>
      <w:r>
        <w:rPr>
          <w:rFonts w:ascii="Times New Roman" w:hAnsi="Times New Roman" w:cs="Times New Roman"/>
          <w:b/>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1. В соответствии с частью 4 статьи 43 Федерального закона № 44-ФЗ участник закупки вправе подать </w:t>
      </w:r>
      <w:r>
        <w:rPr>
          <w:rFonts w:ascii="Times New Roman" w:hAnsi="Times New Roman" w:cs="Times New Roman"/>
          <w:sz w:val="24"/>
          <w:szCs w:val="24"/>
        </w:rPr>
        <w:t xml:space="preserve">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Федеральным законом № 44-ФЗ срока подачи заявок на участие в закупке.</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2. Согласно части 5 статьи 43 Федерального закона № 44-ФЗ подача заявки на участие в закупке означает согласие участника закупки, подавшего такую заявку, на поставку товара, выполнение работы, оказани</w:t>
      </w:r>
      <w:r>
        <w:rPr>
          <w:rFonts w:ascii="Times New Roman" w:hAnsi="Times New Roman" w:cs="Times New Roman"/>
          <w:sz w:val="24"/>
          <w:szCs w:val="24"/>
        </w:rPr>
        <w:t xml:space="preserve">е услуги на условиях, предусмотренных извещением об осуществлении закупки, документацией о закупке (в случае, если Федеральным законом № 44-ФЗ предусмотрена документация о закупке), и в соответствии с заявкой такого участника закупки на участие в закупке. </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3. В соответствии с пунктом 1 части 6 статьи 43 Федерального закона № 44-ФЗ подать зая</w:t>
      </w:r>
      <w:r>
        <w:rPr>
          <w:rFonts w:ascii="Times New Roman" w:hAnsi="Times New Roman" w:cs="Times New Roman"/>
          <w:sz w:val="24"/>
          <w:szCs w:val="24"/>
        </w:rPr>
        <w:t xml:space="preserve">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 44-ФЗ оператору электронной площадки.</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4. Согласно пункту 5 части 6 статьи 43 Федерального закона № 44-ФЗ не позднее одного часа с момента получения заявки на участие в закупке оператор электронной площадки осуществляют возврат заявки подавшему ее участнику закупки в случаях:</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а) подачи заявки на участие в закупке с нарушением требований, предусмотренных частью 1 статьи 5 Федерального закона № 44-ФЗ; </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б) подачи одним участником закупки двух и более заявок на участие в закупке при условии, что поданные ранее таким участником заявки на участие в закупке не отозваны. При этом такому участнику закупки возвращаются все заявки на участие в закупке; </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в) подачи заявки на участие в закупке после окончания срока подачи заявок на участие в закупке; </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г) подачи участником закупки в соответствии с Федеральным законом № 44-ФЗ заявки</w:t>
      </w:r>
      <w:r>
        <w:rPr>
          <w:rFonts w:ascii="Times New Roman" w:hAnsi="Times New Roman" w:cs="Times New Roman"/>
          <w:sz w:val="24"/>
          <w:szCs w:val="24"/>
        </w:rPr>
        <w:t xml:space="preserve"> на участие в закупке, содержащей предложение о цене контракта, о сумме цен единиц товара, работы, услуги, размер которого превышает соответственно начальную (максимальную) цену контракта, начальную сумму цен единиц товара, работы, услуги либо равен нулю; </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д) указания в соответствии с подпунктом «б» пункта 2 части 1 статьи 43 Федерального закона № 44-ФЗ иностранного государства в качестве страны происхожден</w:t>
      </w:r>
      <w:r>
        <w:rPr>
          <w:rFonts w:ascii="Times New Roman" w:hAnsi="Times New Roman" w:cs="Times New Roman"/>
          <w:sz w:val="24"/>
          <w:szCs w:val="24"/>
        </w:rPr>
        <w:t xml:space="preserve">ии товара в случае установления в соответствии с подпунктом «а» пункта 1 части 2 статьи 14 Федерального закона № 44-ФЗ в извещении об осуществлении закупки запрета закупки товара, происходящего из иностранного государства или группы иностранных государств;</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е) получения оператором электронной площадки от банка информации, указанной в подпункте «г» пункта 3 части 5 статьи 44 Федерального закона № 44-ФЗ; </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ж) 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w:t>
      </w:r>
      <w:r>
        <w:rPr>
          <w:rFonts w:ascii="Times New Roman" w:hAnsi="Times New Roman" w:cs="Times New Roman"/>
          <w:sz w:val="24"/>
          <w:szCs w:val="24"/>
        </w:rPr>
        <w:t xml:space="preserve">фикационному коду закупки, указанному в извещении об осуществлении закупки, приглашении, а также если сумма независимой гарантии менее размера обеспечения заявок на участие в закупке, установленного заказчиком в соответствии с Федеральным законом № 44-ФЗ; </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з) наличия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w:t>
      </w:r>
      <w:r>
        <w:rPr>
          <w:rFonts w:ascii="Times New Roman" w:hAnsi="Times New Roman" w:cs="Times New Roman"/>
          <w:sz w:val="24"/>
          <w:szCs w:val="24"/>
        </w:rPr>
        <w:t xml:space="preserve">ии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требования, предусмотренного частью 1.1 статьи 31 Федерального закона № 44-ФЗ; </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и) отсутствия в реестре участников закупок, аккредитованных на электронной площадке, информации и документов участника закупки, предусмотренных перечнем, установленным Правительством Российской Федерации в соответствии с</w:t>
      </w:r>
      <w:r>
        <w:rPr>
          <w:rFonts w:ascii="Times New Roman" w:hAnsi="Times New Roman" w:cs="Times New Roman"/>
          <w:sz w:val="24"/>
          <w:szCs w:val="24"/>
        </w:rPr>
        <w:t xml:space="preserve"> частью 3 статьи 31 Федерального закона № 44-ФЗ (при осуществлении закупки, в отношении участников которой в извещении об осуществлении закупки установлены дополнительные требования в соответствии с частью 2 или 2.1 статьи 31 Федерального закона № 44-ФЗ); </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к) подачи заявки участнико</w:t>
      </w:r>
      <w:r>
        <w:rPr>
          <w:rFonts w:ascii="Times New Roman" w:hAnsi="Times New Roman" w:cs="Times New Roman"/>
          <w:sz w:val="24"/>
          <w:szCs w:val="24"/>
        </w:rPr>
        <w:t xml:space="preserve">м закупки, не являющимся субъектом малого предпринимательства, социально ориентированной некоммерческой организацией, в случае установления в извещении об осуществлении закупки преимущества, предусмотренного частью 3 статьи 30 Федерального закона № 44-ФЗ; </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л) подачи заявки участником закупки, являющимся</w:t>
      </w:r>
      <w:r>
        <w:rPr>
          <w:rFonts w:ascii="Times New Roman" w:hAnsi="Times New Roman" w:cs="Times New Roman"/>
          <w:sz w:val="24"/>
          <w:szCs w:val="24"/>
        </w:rPr>
        <w:t xml:space="preserve"> иностранным лицом, в случае установления в соответствии с подпунктом «а» пункта 1 части 2 статьи 14 Федерального закона № 44-ФЗ в извещении об осуществлении закупки запрета закупки работы, услуги, соответственно выполняемой, оказываемой иностранным лицом.</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5. При определении хар</w:t>
      </w:r>
      <w:r>
        <w:rPr>
          <w:rFonts w:ascii="Times New Roman" w:hAnsi="Times New Roman" w:cs="Times New Roman"/>
          <w:sz w:val="24"/>
          <w:szCs w:val="24"/>
        </w:rPr>
        <w:t xml:space="preserve">актеристик предлагаемого участником закупки товара, соответствующих показателям, установленным заказчиком в описании объекта закупки в соответствии с частью 2 статьи 33 Федерального закона № 44-ФЗ участнику закупки следует принимать во внимание следующее. </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В случае если характеристики и показатели товара установлены заказчиком в описани</w:t>
      </w:r>
      <w:r>
        <w:rPr>
          <w:rFonts w:ascii="Times New Roman" w:hAnsi="Times New Roman" w:cs="Times New Roman"/>
          <w:sz w:val="24"/>
          <w:szCs w:val="24"/>
        </w:rPr>
        <w:t xml:space="preserve">и объекта закупки в рамках применения информации, включенной в каталог товаров, работ, услуг для обеспечения государственных и муниципальных нужд, формируемый в соответствии с постановлением Правительства Российской Федерации от 08.02.2017 № 145 «Об утверж</w:t>
      </w:r>
      <w:r>
        <w:rPr>
          <w:rFonts w:ascii="Times New Roman" w:hAnsi="Times New Roman" w:cs="Times New Roman"/>
          <w:sz w:val="24"/>
          <w:szCs w:val="24"/>
        </w:rPr>
        <w:t xml:space="preserve">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w:t>
      </w:r>
      <w:r>
        <w:rPr>
          <w:rFonts w:ascii="Times New Roman" w:hAnsi="Times New Roman" w:cs="Times New Roman"/>
          <w:sz w:val="24"/>
          <w:szCs w:val="24"/>
        </w:rPr>
        <w:t xml:space="preserve">муниципальных нужд» (далее – КТРУ), заказчико</w:t>
      </w:r>
      <w:r>
        <w:rPr>
          <w:rFonts w:ascii="Times New Roman" w:hAnsi="Times New Roman" w:cs="Times New Roman"/>
          <w:sz w:val="24"/>
          <w:szCs w:val="24"/>
        </w:rPr>
        <w:t xml:space="preserve">м используются знаки, символы, обозначения, слова и союзы предусмотренные КТРУ, в значении, определенном Министерством финансов Российской Федерации по согласованию с Федеральной антимонопольной службой России при формировании соответствующей позиции КТРУ.</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Инструкция по заполнению характеристик в заявке на участие в закупке приведена в разделе «Информация об объекте закупки» извещения об осуществлении закупки.</w:t>
      </w:r>
      <w:r>
        <w:rPr>
          <w:rFonts w:ascii="Times New Roman" w:hAnsi="Times New Roman" w:cs="Times New Roman"/>
          <w:sz w:val="24"/>
          <w:szCs w:val="24"/>
        </w:rPr>
      </w:r>
    </w:p>
    <w:p>
      <w:pPr>
        <w:pBdr/>
        <w:spacing/>
        <w:ind w:firstLine="709"/>
        <w:rPr>
          <w:rFonts w:ascii="Times New Roman" w:hAnsi="Times New Roman" w:cs="Times New Roman"/>
          <w:sz w:val="24"/>
          <w:szCs w:val="24"/>
        </w:rPr>
      </w:pPr>
      <w:r>
        <w:rPr>
          <w:rFonts w:ascii="Times New Roman" w:hAnsi="Times New Roman" w:cs="Times New Roman"/>
          <w:sz w:val="24"/>
          <w:szCs w:val="24"/>
        </w:rPr>
        <w:t xml:space="preserve">6.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r>
        <w:rPr>
          <w:rFonts w:ascii="Times New Roman" w:hAnsi="Times New Roman" w:cs="Times New Roman"/>
          <w:sz w:val="24"/>
          <w:szCs w:val="24"/>
        </w:rPr>
      </w:r>
    </w:p>
    <w:p>
      <w:pPr>
        <w:pBdr/>
        <w:spacing/>
        <w:ind/>
        <w:rPr/>
      </w:pPr>
      <w:r/>
      <w:r/>
    </w:p>
    <w:p>
      <w:pPr>
        <w:pBdr/>
        <w:spacing w:after="0" w:line="240" w:lineRule="auto"/>
        <w:ind/>
        <w:rPr>
          <w:rFonts w:ascii="Times New Roman" w:hAnsi="Times New Roman" w:cs="Times New Roman"/>
          <w:b/>
          <w:sz w:val="24"/>
          <w:szCs w:val="24"/>
        </w:rPr>
      </w:pPr>
      <w:r>
        <w:rPr>
          <w:rFonts w:ascii="Times New Roman" w:hAnsi="Times New Roman" w:cs="Times New Roman"/>
          <w:b/>
          <w:sz w:val="24"/>
          <w:szCs w:val="24"/>
        </w:rPr>
      </w:r>
      <w:r>
        <w:rPr>
          <w:rFonts w:ascii="Times New Roman" w:hAnsi="Times New Roman" w:cs="Times New Roman"/>
          <w:b/>
          <w:sz w:val="24"/>
          <w:szCs w:val="24"/>
        </w:rPr>
      </w:r>
    </w:p>
    <w:p>
      <w:pPr>
        <w:pBdr/>
        <w:spacing/>
        <w:ind/>
        <w:rPr/>
      </w:pPr>
      <w:r/>
      <w:r/>
    </w:p>
    <w:sectPr>
      <w:footnotePr/>
      <w:endnotePr/>
      <w:type w:val="nextPage"/>
      <w:pgSz w:w="12240" w:h="15840" w:orient="portrait"/>
      <w:pgMar w:top="1383" w:right="1134" w:bottom="1701" w:left="1134" w:header="709" w:footer="709" w:gutter="0"/>
      <w:cols w:equalWidth="1" w:space="708" w:num="1" w:sep="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scadia Mono">
    <w:panose1 w:val="020B0609020000020004"/>
  </w:font>
  <w:font w:name="Times New Roman">
    <w:panose1 w:val="02020603050405020304"/>
  </w:font>
  <w:font w:name="Wingdings">
    <w:panose1 w:val="05000000000000000000"/>
  </w:font>
  <w:font w:name="Courier New">
    <w:panose1 w:val="02070309020205020404"/>
  </w:font>
  <w:font w:name="Symbol">
    <w:panose1 w:val="05050102010706020507"/>
  </w:font>
  <w:font w:name="Segoe UI">
    <w:panose1 w:val="020B0502040204020203"/>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8C13A2"/>
    <w:lvl w:ilvl="0">
      <w:isLgl w:val="false"/>
      <w:lvlJc w:val="left"/>
      <w:lvlText w:val=""/>
      <w:numFmt w:val="bullet"/>
      <w:pPr>
        <w:pBdr/>
        <w:spacing/>
        <w:ind w:hanging="360" w:left="1425"/>
      </w:pPr>
      <w:rPr>
        <w:rFonts w:hint="default" w:ascii="Symbol" w:hAnsi="Symbol"/>
      </w:rPr>
      <w:start w:val="1"/>
      <w:suff w:val="tab"/>
    </w:lvl>
    <w:lvl w:ilvl="1">
      <w:isLgl w:val="false"/>
      <w:lvlJc w:val="left"/>
      <w:lvlText w:val="o"/>
      <w:numFmt w:val="bullet"/>
      <w:pPr>
        <w:pBdr/>
        <w:spacing/>
        <w:ind w:hanging="360" w:left="2145"/>
      </w:pPr>
      <w:rPr>
        <w:rFonts w:hint="default" w:ascii="Courier New" w:hAnsi="Courier New" w:cs="Courier New"/>
      </w:rPr>
      <w:start w:val="1"/>
      <w:suff w:val="tab"/>
    </w:lvl>
    <w:lvl w:ilvl="2">
      <w:isLgl w:val="false"/>
      <w:lvlJc w:val="left"/>
      <w:lvlText w:val=""/>
      <w:numFmt w:val="bullet"/>
      <w:pPr>
        <w:pBdr/>
        <w:spacing/>
        <w:ind w:hanging="360" w:left="2865"/>
      </w:pPr>
      <w:rPr>
        <w:rFonts w:hint="default" w:ascii="Wingdings" w:hAnsi="Wingdings"/>
      </w:rPr>
      <w:start w:val="1"/>
      <w:suff w:val="tab"/>
    </w:lvl>
    <w:lvl w:ilvl="3">
      <w:isLgl w:val="false"/>
      <w:lvlJc w:val="left"/>
      <w:lvlText w:val=""/>
      <w:numFmt w:val="bullet"/>
      <w:pPr>
        <w:pBdr/>
        <w:spacing/>
        <w:ind w:hanging="360" w:left="3585"/>
      </w:pPr>
      <w:rPr>
        <w:rFonts w:hint="default" w:ascii="Symbol" w:hAnsi="Symbol"/>
      </w:rPr>
      <w:start w:val="1"/>
      <w:suff w:val="tab"/>
    </w:lvl>
    <w:lvl w:ilvl="4">
      <w:isLgl w:val="false"/>
      <w:lvlJc w:val="left"/>
      <w:lvlText w:val="o"/>
      <w:numFmt w:val="bullet"/>
      <w:pPr>
        <w:pBdr/>
        <w:spacing/>
        <w:ind w:hanging="360" w:left="4305"/>
      </w:pPr>
      <w:rPr>
        <w:rFonts w:hint="default" w:ascii="Courier New" w:hAnsi="Courier New" w:cs="Courier New"/>
      </w:rPr>
      <w:start w:val="1"/>
      <w:suff w:val="tab"/>
    </w:lvl>
    <w:lvl w:ilvl="5">
      <w:isLgl w:val="false"/>
      <w:lvlJc w:val="left"/>
      <w:lvlText w:val=""/>
      <w:numFmt w:val="bullet"/>
      <w:pPr>
        <w:pBdr/>
        <w:spacing/>
        <w:ind w:hanging="360" w:left="5025"/>
      </w:pPr>
      <w:rPr>
        <w:rFonts w:hint="default" w:ascii="Wingdings" w:hAnsi="Wingdings"/>
      </w:rPr>
      <w:start w:val="1"/>
      <w:suff w:val="tab"/>
    </w:lvl>
    <w:lvl w:ilvl="6">
      <w:isLgl w:val="false"/>
      <w:lvlJc w:val="left"/>
      <w:lvlText w:val=""/>
      <w:numFmt w:val="bullet"/>
      <w:pPr>
        <w:pBdr/>
        <w:spacing/>
        <w:ind w:hanging="360" w:left="5745"/>
      </w:pPr>
      <w:rPr>
        <w:rFonts w:hint="default" w:ascii="Symbol" w:hAnsi="Symbol"/>
      </w:rPr>
      <w:start w:val="1"/>
      <w:suff w:val="tab"/>
    </w:lvl>
    <w:lvl w:ilvl="7">
      <w:isLgl w:val="false"/>
      <w:lvlJc w:val="left"/>
      <w:lvlText w:val="o"/>
      <w:numFmt w:val="bullet"/>
      <w:pPr>
        <w:pBdr/>
        <w:spacing/>
        <w:ind w:hanging="360" w:left="6465"/>
      </w:pPr>
      <w:rPr>
        <w:rFonts w:hint="default" w:ascii="Courier New" w:hAnsi="Courier New" w:cs="Courier New"/>
      </w:rPr>
      <w:start w:val="1"/>
      <w:suff w:val="tab"/>
    </w:lvl>
    <w:lvl w:ilvl="8">
      <w:isLgl w:val="false"/>
      <w:lvlJc w:val="left"/>
      <w:lvlText w:val=""/>
      <w:numFmt w:val="bullet"/>
      <w:pPr>
        <w:pBdr/>
        <w:spacing/>
        <w:ind w:hanging="360" w:left="7185"/>
      </w:pPr>
      <w:rPr>
        <w:rFonts w:hint="default" w:ascii="Wingdings" w:hAnsi="Wingdings"/>
      </w:rPr>
      <w:start w:val="1"/>
      <w:suff w:val="tab"/>
    </w:lvl>
  </w:abstractNum>
  <w:abstractNum w:abstractNumId="1">
    <w:nsid w:val="2FB72CDC"/>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
    <w:nsid w:val="318B54C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
    <w:nsid w:val="3C75036C"/>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
    <w:nsid w:val="54EA4ABC"/>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num w:numId="1">
    <w:abstractNumId w:val="2"/>
  </w:num>
  <w:num w:numId="2">
    <w:abstractNumId w:val="3"/>
  </w:num>
  <w:num w:numId="3">
    <w:abstractNumId w:val="0"/>
  </w:num>
  <w:num w:numId="4">
    <w:abstractNumId w:val="1"/>
  </w:num>
  <w:num w:numId="5">
    <w:abstractNumId w:val="4"/>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67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67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67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67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67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67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67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67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67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67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67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67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67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67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67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67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67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67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67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67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67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67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67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67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67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67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67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67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67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67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67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67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67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67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67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67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67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67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67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67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67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67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67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67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67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67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67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67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67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67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67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67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67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67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67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67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67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67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67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67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67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67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67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67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67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67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67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67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67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67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67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67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67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67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67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67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67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67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67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67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67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67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67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67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67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67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67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67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67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67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67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67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67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67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67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67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67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67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67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67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67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67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67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67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67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67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67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67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67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67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67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67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67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67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67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67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67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67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67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67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67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67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67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67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67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675"/>
    <w:next w:val="675"/>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675"/>
    <w:next w:val="675"/>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675"/>
    <w:next w:val="675"/>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675"/>
    <w:next w:val="675"/>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675"/>
    <w:next w:val="675"/>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675"/>
    <w:next w:val="675"/>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675"/>
    <w:next w:val="675"/>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75"/>
    <w:next w:val="675"/>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75"/>
    <w:next w:val="675"/>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676"/>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676"/>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676"/>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676"/>
    <w:link w:val="142"/>
    <w:uiPriority w:val="9"/>
    <w:pPr>
      <w:pBdr/>
      <w:spacing/>
      <w:ind/>
    </w:pPr>
    <w:rPr>
      <w:rFonts w:ascii="Arial" w:hAnsi="Arial" w:eastAsia="Arial" w:cs="Arial"/>
      <w:i/>
      <w:iCs/>
      <w:color w:val="0f4761" w:themeColor="accent1" w:themeShade="BF"/>
    </w:rPr>
  </w:style>
  <w:style w:type="character" w:styleId="154">
    <w:name w:val="Heading 5 Char"/>
    <w:basedOn w:val="676"/>
    <w:link w:val="143"/>
    <w:uiPriority w:val="9"/>
    <w:pPr>
      <w:pBdr/>
      <w:spacing/>
      <w:ind/>
    </w:pPr>
    <w:rPr>
      <w:rFonts w:ascii="Arial" w:hAnsi="Arial" w:eastAsia="Arial" w:cs="Arial"/>
      <w:color w:val="0f4761" w:themeColor="accent1" w:themeShade="BF"/>
    </w:rPr>
  </w:style>
  <w:style w:type="character" w:styleId="155">
    <w:name w:val="Heading 6 Char"/>
    <w:basedOn w:val="676"/>
    <w:link w:val="144"/>
    <w:uiPriority w:val="9"/>
    <w:pPr>
      <w:pBdr/>
      <w:spacing/>
      <w:ind/>
    </w:pPr>
    <w:rPr>
      <w:rFonts w:ascii="Arial" w:hAnsi="Arial" w:eastAsia="Arial" w:cs="Arial"/>
      <w:i/>
      <w:iCs/>
      <w:color w:val="595959" w:themeColor="text1" w:themeTint="A6"/>
    </w:rPr>
  </w:style>
  <w:style w:type="character" w:styleId="156">
    <w:name w:val="Heading 7 Char"/>
    <w:basedOn w:val="676"/>
    <w:link w:val="145"/>
    <w:uiPriority w:val="9"/>
    <w:pPr>
      <w:pBdr/>
      <w:spacing/>
      <w:ind/>
    </w:pPr>
    <w:rPr>
      <w:rFonts w:ascii="Arial" w:hAnsi="Arial" w:eastAsia="Arial" w:cs="Arial"/>
      <w:color w:val="595959" w:themeColor="text1" w:themeTint="A6"/>
    </w:rPr>
  </w:style>
  <w:style w:type="character" w:styleId="157">
    <w:name w:val="Heading 8 Char"/>
    <w:basedOn w:val="676"/>
    <w:link w:val="146"/>
    <w:uiPriority w:val="9"/>
    <w:pPr>
      <w:pBdr/>
      <w:spacing/>
      <w:ind/>
    </w:pPr>
    <w:rPr>
      <w:rFonts w:ascii="Arial" w:hAnsi="Arial" w:eastAsia="Arial" w:cs="Arial"/>
      <w:i/>
      <w:iCs/>
      <w:color w:val="272727" w:themeColor="text1" w:themeTint="D8"/>
    </w:rPr>
  </w:style>
  <w:style w:type="character" w:styleId="158">
    <w:name w:val="Heading 9 Char"/>
    <w:basedOn w:val="676"/>
    <w:link w:val="147"/>
    <w:uiPriority w:val="9"/>
    <w:pPr>
      <w:pBdr/>
      <w:spacing/>
      <w:ind/>
    </w:pPr>
    <w:rPr>
      <w:rFonts w:ascii="Arial" w:hAnsi="Arial" w:eastAsia="Arial" w:cs="Arial"/>
      <w:i/>
      <w:iCs/>
      <w:color w:val="272727" w:themeColor="text1" w:themeTint="D8"/>
    </w:rPr>
  </w:style>
  <w:style w:type="paragraph" w:styleId="159">
    <w:name w:val="Title"/>
    <w:basedOn w:val="675"/>
    <w:next w:val="675"/>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676"/>
    <w:link w:val="159"/>
    <w:uiPriority w:val="10"/>
    <w:pPr>
      <w:pBdr/>
      <w:spacing/>
      <w:ind/>
    </w:pPr>
    <w:rPr>
      <w:rFonts w:ascii="Arial" w:hAnsi="Arial" w:eastAsia="Arial" w:cs="Arial"/>
      <w:spacing w:val="-10"/>
      <w:sz w:val="56"/>
      <w:szCs w:val="56"/>
    </w:rPr>
  </w:style>
  <w:style w:type="paragraph" w:styleId="161">
    <w:name w:val="Subtitle"/>
    <w:basedOn w:val="675"/>
    <w:next w:val="675"/>
    <w:link w:val="162"/>
    <w:uiPriority w:val="11"/>
    <w:qFormat/>
    <w:pPr>
      <w:numPr>
        <w:ilvl w:val="1"/>
      </w:numPr>
      <w:pBdr/>
      <w:spacing/>
      <w:ind/>
    </w:pPr>
    <w:rPr>
      <w:color w:val="595959" w:themeColor="text1" w:themeTint="A6"/>
      <w:spacing w:val="15"/>
      <w:sz w:val="28"/>
      <w:szCs w:val="28"/>
    </w:rPr>
  </w:style>
  <w:style w:type="character" w:styleId="162">
    <w:name w:val="Subtitle Char"/>
    <w:basedOn w:val="676"/>
    <w:link w:val="161"/>
    <w:uiPriority w:val="11"/>
    <w:pPr>
      <w:pBdr/>
      <w:spacing/>
      <w:ind/>
    </w:pPr>
    <w:rPr>
      <w:color w:val="595959" w:themeColor="text1" w:themeTint="A6"/>
      <w:spacing w:val="15"/>
      <w:sz w:val="28"/>
      <w:szCs w:val="28"/>
    </w:rPr>
  </w:style>
  <w:style w:type="paragraph" w:styleId="163">
    <w:name w:val="Quote"/>
    <w:basedOn w:val="675"/>
    <w:next w:val="675"/>
    <w:link w:val="164"/>
    <w:uiPriority w:val="29"/>
    <w:qFormat/>
    <w:pPr>
      <w:pBdr/>
      <w:spacing w:before="160"/>
      <w:ind/>
      <w:jc w:val="center"/>
    </w:pPr>
    <w:rPr>
      <w:i/>
      <w:iCs/>
      <w:color w:val="404040" w:themeColor="text1" w:themeTint="BF"/>
    </w:rPr>
  </w:style>
  <w:style w:type="character" w:styleId="164">
    <w:name w:val="Quote Char"/>
    <w:basedOn w:val="676"/>
    <w:link w:val="163"/>
    <w:uiPriority w:val="29"/>
    <w:pPr>
      <w:pBdr/>
      <w:spacing/>
      <w:ind/>
    </w:pPr>
    <w:rPr>
      <w:i/>
      <w:iCs/>
      <w:color w:val="404040" w:themeColor="text1" w:themeTint="BF"/>
    </w:rPr>
  </w:style>
  <w:style w:type="character" w:styleId="166">
    <w:name w:val="Intense Emphasis"/>
    <w:basedOn w:val="676"/>
    <w:uiPriority w:val="21"/>
    <w:qFormat/>
    <w:pPr>
      <w:pBdr/>
      <w:spacing/>
      <w:ind/>
    </w:pPr>
    <w:rPr>
      <w:i/>
      <w:iCs/>
      <w:color w:val="0f4761" w:themeColor="accent1" w:themeShade="BF"/>
    </w:rPr>
  </w:style>
  <w:style w:type="paragraph" w:styleId="167">
    <w:name w:val="Intense Quote"/>
    <w:basedOn w:val="675"/>
    <w:next w:val="675"/>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676"/>
    <w:link w:val="167"/>
    <w:uiPriority w:val="30"/>
    <w:pPr>
      <w:pBdr/>
      <w:spacing/>
      <w:ind/>
    </w:pPr>
    <w:rPr>
      <w:i/>
      <w:iCs/>
      <w:color w:val="0f4761" w:themeColor="accent1" w:themeShade="BF"/>
    </w:rPr>
  </w:style>
  <w:style w:type="character" w:styleId="169">
    <w:name w:val="Intense Reference"/>
    <w:basedOn w:val="676"/>
    <w:uiPriority w:val="32"/>
    <w:qFormat/>
    <w:pPr>
      <w:pBdr/>
      <w:spacing/>
      <w:ind/>
    </w:pPr>
    <w:rPr>
      <w:b/>
      <w:bCs/>
      <w:smallCaps/>
      <w:color w:val="0f4761" w:themeColor="accent1" w:themeShade="BF"/>
      <w:spacing w:val="5"/>
    </w:rPr>
  </w:style>
  <w:style w:type="paragraph" w:styleId="170">
    <w:name w:val="No Spacing"/>
    <w:basedOn w:val="675"/>
    <w:uiPriority w:val="1"/>
    <w:qFormat/>
    <w:pPr>
      <w:pBdr/>
      <w:spacing w:after="0" w:line="240" w:lineRule="auto"/>
      <w:ind/>
    </w:pPr>
  </w:style>
  <w:style w:type="character" w:styleId="171">
    <w:name w:val="Subtle Emphasis"/>
    <w:basedOn w:val="676"/>
    <w:uiPriority w:val="19"/>
    <w:qFormat/>
    <w:pPr>
      <w:pBdr/>
      <w:spacing/>
      <w:ind/>
    </w:pPr>
    <w:rPr>
      <w:i/>
      <w:iCs/>
      <w:color w:val="404040" w:themeColor="text1" w:themeTint="BF"/>
    </w:rPr>
  </w:style>
  <w:style w:type="character" w:styleId="172">
    <w:name w:val="Emphasis"/>
    <w:basedOn w:val="676"/>
    <w:uiPriority w:val="20"/>
    <w:qFormat/>
    <w:pPr>
      <w:pBdr/>
      <w:spacing/>
      <w:ind/>
    </w:pPr>
    <w:rPr>
      <w:i/>
      <w:iCs/>
    </w:rPr>
  </w:style>
  <w:style w:type="character" w:styleId="173">
    <w:name w:val="Strong"/>
    <w:basedOn w:val="676"/>
    <w:uiPriority w:val="22"/>
    <w:qFormat/>
    <w:pPr>
      <w:pBdr/>
      <w:spacing/>
      <w:ind/>
    </w:pPr>
    <w:rPr>
      <w:b/>
      <w:bCs/>
    </w:rPr>
  </w:style>
  <w:style w:type="character" w:styleId="174">
    <w:name w:val="Subtle Reference"/>
    <w:basedOn w:val="676"/>
    <w:uiPriority w:val="31"/>
    <w:qFormat/>
    <w:pPr>
      <w:pBdr/>
      <w:spacing/>
      <w:ind/>
    </w:pPr>
    <w:rPr>
      <w:smallCaps/>
      <w:color w:val="5a5a5a" w:themeColor="text1" w:themeTint="A5"/>
    </w:rPr>
  </w:style>
  <w:style w:type="character" w:styleId="175">
    <w:name w:val="Book Title"/>
    <w:basedOn w:val="676"/>
    <w:uiPriority w:val="33"/>
    <w:qFormat/>
    <w:pPr>
      <w:pBdr/>
      <w:spacing/>
      <w:ind/>
    </w:pPr>
    <w:rPr>
      <w:b/>
      <w:bCs/>
      <w:i/>
      <w:iCs/>
      <w:spacing w:val="5"/>
    </w:rPr>
  </w:style>
  <w:style w:type="paragraph" w:styleId="176">
    <w:name w:val="Header"/>
    <w:basedOn w:val="675"/>
    <w:link w:val="177"/>
    <w:uiPriority w:val="99"/>
    <w:unhideWhenUsed/>
    <w:pPr>
      <w:pBdr/>
      <w:tabs>
        <w:tab w:val="center" w:leader="none" w:pos="4844"/>
        <w:tab w:val="right" w:leader="none" w:pos="9689"/>
      </w:tabs>
      <w:spacing w:after="0" w:line="240" w:lineRule="auto"/>
      <w:ind/>
    </w:pPr>
  </w:style>
  <w:style w:type="character" w:styleId="177">
    <w:name w:val="Header Char"/>
    <w:basedOn w:val="676"/>
    <w:link w:val="176"/>
    <w:uiPriority w:val="99"/>
    <w:pPr>
      <w:pBdr/>
      <w:spacing/>
      <w:ind/>
    </w:pPr>
  </w:style>
  <w:style w:type="paragraph" w:styleId="178">
    <w:name w:val="Footer"/>
    <w:basedOn w:val="675"/>
    <w:link w:val="179"/>
    <w:uiPriority w:val="99"/>
    <w:unhideWhenUsed/>
    <w:pPr>
      <w:pBdr/>
      <w:tabs>
        <w:tab w:val="center" w:leader="none" w:pos="4844"/>
        <w:tab w:val="right" w:leader="none" w:pos="9689"/>
      </w:tabs>
      <w:spacing w:after="0" w:line="240" w:lineRule="auto"/>
      <w:ind/>
    </w:pPr>
  </w:style>
  <w:style w:type="character" w:styleId="179">
    <w:name w:val="Footer Char"/>
    <w:basedOn w:val="676"/>
    <w:link w:val="178"/>
    <w:uiPriority w:val="99"/>
    <w:pPr>
      <w:pBdr/>
      <w:spacing/>
      <w:ind/>
    </w:pPr>
  </w:style>
  <w:style w:type="paragraph" w:styleId="180">
    <w:name w:val="Caption"/>
    <w:basedOn w:val="675"/>
    <w:next w:val="675"/>
    <w:uiPriority w:val="35"/>
    <w:unhideWhenUsed/>
    <w:qFormat/>
    <w:pPr>
      <w:pBdr/>
      <w:spacing w:after="200" w:line="240" w:lineRule="auto"/>
      <w:ind/>
    </w:pPr>
    <w:rPr>
      <w:i/>
      <w:iCs/>
      <w:color w:val="0e2841" w:themeColor="text2"/>
      <w:sz w:val="18"/>
      <w:szCs w:val="18"/>
    </w:rPr>
  </w:style>
  <w:style w:type="paragraph" w:styleId="181">
    <w:name w:val="footnote text"/>
    <w:basedOn w:val="675"/>
    <w:link w:val="182"/>
    <w:uiPriority w:val="99"/>
    <w:semiHidden/>
    <w:unhideWhenUsed/>
    <w:pPr>
      <w:pBdr/>
      <w:spacing w:after="0" w:line="240" w:lineRule="auto"/>
      <w:ind/>
    </w:pPr>
    <w:rPr>
      <w:sz w:val="20"/>
      <w:szCs w:val="20"/>
    </w:rPr>
  </w:style>
  <w:style w:type="character" w:styleId="182">
    <w:name w:val="Footnote Text Char"/>
    <w:basedOn w:val="676"/>
    <w:link w:val="181"/>
    <w:uiPriority w:val="99"/>
    <w:semiHidden/>
    <w:pPr>
      <w:pBdr/>
      <w:spacing/>
      <w:ind/>
    </w:pPr>
    <w:rPr>
      <w:sz w:val="20"/>
      <w:szCs w:val="20"/>
    </w:rPr>
  </w:style>
  <w:style w:type="character" w:styleId="183">
    <w:name w:val="footnote reference"/>
    <w:basedOn w:val="676"/>
    <w:uiPriority w:val="99"/>
    <w:semiHidden/>
    <w:unhideWhenUsed/>
    <w:pPr>
      <w:pBdr/>
      <w:spacing/>
      <w:ind/>
    </w:pPr>
    <w:rPr>
      <w:vertAlign w:val="superscript"/>
    </w:rPr>
  </w:style>
  <w:style w:type="paragraph" w:styleId="184">
    <w:name w:val="endnote text"/>
    <w:basedOn w:val="675"/>
    <w:link w:val="185"/>
    <w:uiPriority w:val="99"/>
    <w:semiHidden/>
    <w:unhideWhenUsed/>
    <w:pPr>
      <w:pBdr/>
      <w:spacing w:after="0" w:line="240" w:lineRule="auto"/>
      <w:ind/>
    </w:pPr>
    <w:rPr>
      <w:sz w:val="20"/>
      <w:szCs w:val="20"/>
    </w:rPr>
  </w:style>
  <w:style w:type="character" w:styleId="185">
    <w:name w:val="Endnote Text Char"/>
    <w:basedOn w:val="676"/>
    <w:link w:val="184"/>
    <w:uiPriority w:val="99"/>
    <w:semiHidden/>
    <w:pPr>
      <w:pBdr/>
      <w:spacing/>
      <w:ind/>
    </w:pPr>
    <w:rPr>
      <w:sz w:val="20"/>
      <w:szCs w:val="20"/>
    </w:rPr>
  </w:style>
  <w:style w:type="character" w:styleId="186">
    <w:name w:val="endnote reference"/>
    <w:basedOn w:val="676"/>
    <w:uiPriority w:val="99"/>
    <w:semiHidden/>
    <w:unhideWhenUsed/>
    <w:pPr>
      <w:pBdr/>
      <w:spacing/>
      <w:ind/>
    </w:pPr>
    <w:rPr>
      <w:vertAlign w:val="superscript"/>
    </w:rPr>
  </w:style>
  <w:style w:type="character" w:styleId="188">
    <w:name w:val="FollowedHyperlink"/>
    <w:basedOn w:val="676"/>
    <w:uiPriority w:val="99"/>
    <w:semiHidden/>
    <w:unhideWhenUsed/>
    <w:pPr>
      <w:pBdr/>
      <w:spacing/>
      <w:ind/>
    </w:pPr>
    <w:rPr>
      <w:color w:val="954f72" w:themeColor="followedHyperlink"/>
      <w:u w:val="single"/>
    </w:rPr>
  </w:style>
  <w:style w:type="paragraph" w:styleId="189">
    <w:name w:val="toc 1"/>
    <w:basedOn w:val="675"/>
    <w:next w:val="675"/>
    <w:uiPriority w:val="39"/>
    <w:unhideWhenUsed/>
    <w:pPr>
      <w:pBdr/>
      <w:spacing w:after="100"/>
      <w:ind/>
    </w:pPr>
  </w:style>
  <w:style w:type="paragraph" w:styleId="190">
    <w:name w:val="toc 2"/>
    <w:basedOn w:val="675"/>
    <w:next w:val="675"/>
    <w:uiPriority w:val="39"/>
    <w:unhideWhenUsed/>
    <w:pPr>
      <w:pBdr/>
      <w:spacing w:after="100"/>
      <w:ind w:left="220"/>
    </w:pPr>
  </w:style>
  <w:style w:type="paragraph" w:styleId="191">
    <w:name w:val="toc 3"/>
    <w:basedOn w:val="675"/>
    <w:next w:val="675"/>
    <w:uiPriority w:val="39"/>
    <w:unhideWhenUsed/>
    <w:pPr>
      <w:pBdr/>
      <w:spacing w:after="100"/>
      <w:ind w:left="440"/>
    </w:pPr>
  </w:style>
  <w:style w:type="paragraph" w:styleId="192">
    <w:name w:val="toc 4"/>
    <w:basedOn w:val="675"/>
    <w:next w:val="675"/>
    <w:uiPriority w:val="39"/>
    <w:unhideWhenUsed/>
    <w:pPr>
      <w:pBdr/>
      <w:spacing w:after="100"/>
      <w:ind w:left="660"/>
    </w:pPr>
  </w:style>
  <w:style w:type="paragraph" w:styleId="193">
    <w:name w:val="toc 5"/>
    <w:basedOn w:val="675"/>
    <w:next w:val="675"/>
    <w:uiPriority w:val="39"/>
    <w:unhideWhenUsed/>
    <w:pPr>
      <w:pBdr/>
      <w:spacing w:after="100"/>
      <w:ind w:left="880"/>
    </w:pPr>
  </w:style>
  <w:style w:type="paragraph" w:styleId="194">
    <w:name w:val="toc 6"/>
    <w:basedOn w:val="675"/>
    <w:next w:val="675"/>
    <w:uiPriority w:val="39"/>
    <w:unhideWhenUsed/>
    <w:pPr>
      <w:pBdr/>
      <w:spacing w:after="100"/>
      <w:ind w:left="1100"/>
    </w:pPr>
  </w:style>
  <w:style w:type="paragraph" w:styleId="195">
    <w:name w:val="toc 7"/>
    <w:basedOn w:val="675"/>
    <w:next w:val="675"/>
    <w:uiPriority w:val="39"/>
    <w:unhideWhenUsed/>
    <w:pPr>
      <w:pBdr/>
      <w:spacing w:after="100"/>
      <w:ind w:left="1320"/>
    </w:pPr>
  </w:style>
  <w:style w:type="paragraph" w:styleId="196">
    <w:name w:val="toc 8"/>
    <w:basedOn w:val="675"/>
    <w:next w:val="675"/>
    <w:uiPriority w:val="39"/>
    <w:unhideWhenUsed/>
    <w:pPr>
      <w:pBdr/>
      <w:spacing w:after="100"/>
      <w:ind w:left="1540"/>
    </w:pPr>
  </w:style>
  <w:style w:type="paragraph" w:styleId="197">
    <w:name w:val="toc 9"/>
    <w:basedOn w:val="675"/>
    <w:next w:val="675"/>
    <w:uiPriority w:val="39"/>
    <w:unhideWhenUsed/>
    <w:pPr>
      <w:pBdr/>
      <w:spacing w:after="100"/>
      <w:ind w:left="1760"/>
    </w:pPr>
  </w:style>
  <w:style w:type="character" w:styleId="198">
    <w:name w:val="Placeholder Text"/>
    <w:basedOn w:val="676"/>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75"/>
    <w:next w:val="675"/>
    <w:uiPriority w:val="99"/>
    <w:unhideWhenUsed/>
    <w:pPr>
      <w:pBdr/>
      <w:spacing w:after="0" w:afterAutospacing="0"/>
      <w:ind/>
    </w:pPr>
  </w:style>
  <w:style w:type="paragraph" w:styleId="675" w:default="1">
    <w:name w:val="Normal"/>
    <w:qFormat/>
    <w:pPr>
      <w:pBdr/>
      <w:spacing/>
      <w:ind/>
    </w:pPr>
    <w:rPr>
      <w:lang w:val="ru-RU"/>
    </w:rPr>
  </w:style>
  <w:style w:type="character" w:styleId="676" w:default="1">
    <w:name w:val="Default Paragraph Font"/>
    <w:uiPriority w:val="1"/>
    <w:semiHidden/>
    <w:unhideWhenUsed/>
    <w:pPr>
      <w:pBdr/>
      <w:spacing/>
      <w:ind/>
    </w:pPr>
  </w:style>
  <w:style w:type="table" w:styleId="67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78" w:default="1">
    <w:name w:val="No List"/>
    <w:uiPriority w:val="99"/>
    <w:semiHidden/>
    <w:unhideWhenUsed/>
    <w:pPr>
      <w:pBdr/>
      <w:spacing/>
      <w:ind/>
    </w:pPr>
  </w:style>
  <w:style w:type="table" w:styleId="679">
    <w:name w:val="Table Grid"/>
    <w:basedOn w:val="677"/>
    <w:uiPriority w:val="39"/>
    <w:pPr>
      <w:pBdr/>
      <w:spacing w:after="0" w:line="240" w:lineRule="auto"/>
      <w:ind/>
    </w:pPr>
    <w:rPr>
      <w:lang w:val="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680">
    <w:name w:val="annotation reference"/>
    <w:basedOn w:val="676"/>
    <w:uiPriority w:val="99"/>
    <w:semiHidden/>
    <w:unhideWhenUsed/>
    <w:pPr>
      <w:pBdr/>
      <w:spacing/>
      <w:ind/>
    </w:pPr>
    <w:rPr>
      <w:sz w:val="16"/>
      <w:szCs w:val="16"/>
    </w:rPr>
  </w:style>
  <w:style w:type="paragraph" w:styleId="681">
    <w:name w:val="annotation text"/>
    <w:basedOn w:val="675"/>
    <w:link w:val="682"/>
    <w:uiPriority w:val="99"/>
    <w:unhideWhenUsed/>
    <w:pPr>
      <w:pBdr/>
      <w:spacing w:line="240" w:lineRule="auto"/>
      <w:ind/>
    </w:pPr>
    <w:rPr>
      <w:sz w:val="20"/>
      <w:szCs w:val="20"/>
    </w:rPr>
  </w:style>
  <w:style w:type="character" w:styleId="682" w:customStyle="1">
    <w:name w:val="Текст примечания Знак"/>
    <w:basedOn w:val="676"/>
    <w:link w:val="681"/>
    <w:uiPriority w:val="99"/>
    <w:pPr>
      <w:pBdr/>
      <w:spacing/>
      <w:ind/>
    </w:pPr>
    <w:rPr>
      <w:sz w:val="20"/>
      <w:szCs w:val="20"/>
      <w:lang w:val="ru-RU"/>
    </w:rPr>
  </w:style>
  <w:style w:type="paragraph" w:styleId="683">
    <w:name w:val="List Paragraph"/>
    <w:basedOn w:val="675"/>
    <w:uiPriority w:val="34"/>
    <w:qFormat/>
    <w:pPr>
      <w:pBdr/>
      <w:spacing/>
      <w:ind w:left="720"/>
      <w:contextualSpacing w:val="true"/>
    </w:pPr>
  </w:style>
  <w:style w:type="paragraph" w:styleId="684">
    <w:name w:val="Balloon Text"/>
    <w:basedOn w:val="675"/>
    <w:link w:val="685"/>
    <w:uiPriority w:val="99"/>
    <w:semiHidden/>
    <w:unhideWhenUsed/>
    <w:pPr>
      <w:pBdr/>
      <w:spacing w:after="0" w:line="240" w:lineRule="auto"/>
      <w:ind/>
    </w:pPr>
    <w:rPr>
      <w:rFonts w:ascii="Segoe UI" w:hAnsi="Segoe UI" w:cs="Segoe UI"/>
      <w:sz w:val="18"/>
      <w:szCs w:val="18"/>
    </w:rPr>
  </w:style>
  <w:style w:type="character" w:styleId="685" w:customStyle="1">
    <w:name w:val="Текст выноски Знак"/>
    <w:basedOn w:val="676"/>
    <w:link w:val="684"/>
    <w:uiPriority w:val="99"/>
    <w:semiHidden/>
    <w:pPr>
      <w:pBdr/>
      <w:spacing/>
      <w:ind/>
    </w:pPr>
    <w:rPr>
      <w:rFonts w:ascii="Segoe UI" w:hAnsi="Segoe UI" w:cs="Segoe UI"/>
      <w:sz w:val="18"/>
      <w:szCs w:val="18"/>
      <w:lang w:val="ru-RU"/>
    </w:rPr>
  </w:style>
  <w:style w:type="character" w:styleId="686">
    <w:name w:val="Hyperlink"/>
    <w:basedOn w:val="676"/>
    <w:uiPriority w:val="99"/>
    <w:semiHidden/>
    <w:unhideWhenUsed/>
    <w:pPr>
      <w:pBdr/>
      <w:spacing/>
      <w:ind/>
    </w:pPr>
    <w:rPr>
      <w:color w:val="0563c1" w:themeColor="hyperlink"/>
      <w:u w:val="single"/>
    </w:rPr>
  </w:style>
</w:styles>
</file>

<file path=word/webSettings.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styles" Target="/word/styles.xml" Id="rId1" /><Relationship Type="http://schemas.openxmlformats.org/officeDocument/2006/relationships/settings" Target="/word/settings.xml" Id="rId2" /><Relationship Type="http://schemas.openxmlformats.org/officeDocument/2006/relationships/webSettings" Target="/word/webSettings.xml" Id="rId3" /><Relationship Type="http://schemas.openxmlformats.org/officeDocument/2006/relationships/fontTable" Target="/word/fontTable.xml" Id="rId4" /><Relationship Type="http://schemas.openxmlformats.org/officeDocument/2006/relationships/theme" Target="/word/theme/theme11.xml" Id="rId5" /><Relationship Type="http://schemas.openxmlformats.org/officeDocument/2006/relationships/numbering" Target="/word/numbering.xml" Id="rId6" /><Relationship Type="http://schemas.openxmlformats.org/officeDocument/2006/relationships/footnotes" Target="/word/footnotes.xml" Id="rId7" /><Relationship Type="http://schemas.openxmlformats.org/officeDocument/2006/relationships/endnotes" Target="/word/endnotes.xml" Id="rId8" /><Relationship Type="http://schemas.openxmlformats.org/officeDocument/2006/relationships/customXml" Target="/customXml/item1.xml" Id="rId9" /></Relationships>
</file>

<file path=word/theme/theme1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&#65279;<?xml version="1.0" encoding="utf-8"?><Relationships xmlns="http://schemas.openxmlformats.org/package/2006/relationships"><Relationship Type="http://schemas.openxmlformats.org/officeDocument/2006/relationships/customXmlProps" Target="/customXml/itemProps11.xml" Id="rId1"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1.xml><?xml version="1.0" encoding="utf-8"?>
<ds:datastoreItem xmlns:ds="http://schemas.openxmlformats.org/officeDocument/2006/customXml" ds:itemID="{045FBF65-8288-45A5-AA8B-1A29E19F3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ONLYOFFICE/9.2.1.43</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revision>55</cp:revision>
  <dcterms:created xsi:type="dcterms:W3CDTF">2022-12-11T09:17:00Z</dcterms:created>
  <dcterms:modified xsi:type="dcterms:W3CDTF">2026-08-24T06:54:07Z</dcterms:modified>
</cp:coreProperties>
</file>