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theme/theme1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1.xml" ContentType="application/xml"/>
  <Override PartName="/customXml/itemProps11.xml" ContentType="application/vnd.openxmlformats-officedocument.customXmlProperties+xml"/>
  <Override PartName="/word/webSettings.xml" ContentType="application/vnd.openxmlformats-officedocument.wordprocessingml.webSettings+xml"/>
  <Override PartName="/word/footnotes.xml" ContentType="application/vnd.openxmlformats-officedocument.wordprocessingml.footnot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2BE7" w:rsidR="00F13C42" w:rsidP="00F13C42" w:rsidRDefault="00F13C42" w14:paraId="73B3E527" w14:textId="77777777">
      <w:pPr>
        <w:pStyle w:val="ConsPlusNormal"/>
        <w:jc w:val="right"/>
        <w:rPr>
          <w:rFonts w:ascii="Times New Roman" w:hAnsi="Times New Roman" w:cs="Times New Roman"/>
        </w:rPr>
      </w:pPr>
    </w:p>
    <w:tbl>
      <w:tblPr>
        <w:tblW w:w="0" w:type="dxa"/>
        <w:tblLayout w:type="fixed"/>
        <w:tblCellMar>
          <w:top w:w="102" w:type="dxa"/>
          <w:left w:w="62" w:type="dxa"/>
          <w:bottom w:w="102" w:type="dxa"/>
          <w:right w:w="62" w:type="dxa"/>
        </w:tblCellMar>
        <w:tblLook w:val="04A0" w:firstRow="1" w:lastRow="0" w:firstColumn="1" w:lastColumn="0" w:noHBand="0" w:noVBand="1"/>
      </w:tblPr>
      <w:tblGrid>
        <w:gridCol w:w="9014"/>
      </w:tblGrid>
      <w:tr w:rsidRPr="00EB2BE7" w:rsidR="00F13C42" w:rsidTr="00E46085" w14:paraId="5F01D2B6" w14:textId="77777777">
        <w:tc>
          <w:tcPr>
            <w:tcW w:w="9014" w:type="dxa"/>
            <w:tcBorders>
              <w:top w:val="nil"/>
              <w:left w:val="nil"/>
              <w:bottom w:val="nil"/>
              <w:right w:val="nil"/>
            </w:tcBorders>
            <w:vAlign w:val="bottom"/>
          </w:tcPr>
          <w:p w:rsidRPr="00041A98" w:rsidR="00F13C42" w:rsidP="00E46085" w:rsidRDefault="00F13C42" w14:paraId="1E3BAD34" w14:textId="77777777">
            <w:pPr>
              <w:pStyle w:val="ConsPlusNormal"/>
              <w:jc w:val="center"/>
              <w:rPr>
                <w:rFonts w:ascii="Times New Roman" w:hAnsi="Times New Roman" w:cs="Times New Roman"/>
                <w:b/>
                <w:bCs/>
              </w:rPr>
            </w:pPr>
            <w:r w:rsidRPr="00041A98">
              <w:rPr>
                <w:rFonts w:ascii="Times New Roman" w:hAnsi="Times New Roman" w:cs="Times New Roman"/>
                <w:b/>
                <w:bCs/>
              </w:rPr>
              <w:t>ПОРЯДОК</w:t>
            </w:r>
          </w:p>
          <w:p w:rsidRPr="00041A98" w:rsidR="00F13C42" w:rsidP="00E46085" w:rsidRDefault="00F13C42" w14:paraId="7270733D" w14:textId="77777777">
            <w:pPr>
              <w:pStyle w:val="ConsPlusNormal"/>
              <w:jc w:val="center"/>
              <w:rPr>
                <w:rFonts w:ascii="Times New Roman" w:hAnsi="Times New Roman" w:cs="Times New Roman"/>
                <w:b/>
                <w:bCs/>
              </w:rPr>
            </w:pPr>
            <w:r w:rsidRPr="00041A98">
              <w:rPr>
                <w:rFonts w:ascii="Times New Roman" w:hAnsi="Times New Roman" w:cs="Times New Roman"/>
                <w:b/>
                <w:bCs/>
              </w:rPr>
              <w:t>рассмотрения и оценки заявок на участие в конкурсе</w:t>
            </w:r>
          </w:p>
        </w:tc>
      </w:tr>
      <w:tr w:rsidRPr="00EB2BE7" w:rsidR="00F13C42" w:rsidTr="00E46085" w14:paraId="0C04AB9C" w14:textId="77777777">
        <w:tc>
          <w:tcPr>
            <w:tcW w:w="9014" w:type="dxa"/>
            <w:tcBorders>
              <w:top w:val="nil"/>
              <w:left w:val="nil"/>
              <w:bottom w:val="nil"/>
              <w:right w:val="nil"/>
            </w:tcBorders>
          </w:tcPr>
          <w:p w:rsidRPr="00041A98" w:rsidR="00F13C42" w:rsidP="00E46085" w:rsidRDefault="00F13C42" w14:paraId="63FD6B27" w14:textId="77777777">
            <w:pPr>
              <w:pStyle w:val="ConsPlusNormal"/>
              <w:jc w:val="center"/>
              <w:outlineLvl w:val="2"/>
              <w:rPr>
                <w:rFonts w:ascii="Times New Roman" w:hAnsi="Times New Roman" w:cs="Times New Roman"/>
                <w:b/>
                <w:bCs/>
              </w:rPr>
            </w:pPr>
            <w:r w:rsidRPr="00041A98">
              <w:rPr>
                <w:rFonts w:ascii="Times New Roman" w:hAnsi="Times New Roman" w:cs="Times New Roman"/>
                <w:b/>
                <w:bCs/>
              </w:rPr>
              <w:t>I. Информация о заказчике и закупке товаров, работ, услуг для обеспечения государственных и муниципальных нужд (далее - закупка)</w:t>
            </w:r>
          </w:p>
        </w:tc>
      </w:tr>
    </w:tbl>
    <w:p w:rsidRPr="00EB2BE7" w:rsidR="00F13C42" w:rsidP="00F13C42" w:rsidRDefault="00F13C42" w14:paraId="2A383D7D" w14:textId="77777777">
      <w:pPr>
        <w:pStyle w:val="ConsPlusNormal"/>
        <w:jc w:val="both"/>
        <w:rPr>
          <w:rFonts w:ascii="Times New Roman" w:hAnsi="Times New Roman" w:cs="Times New Roman"/>
        </w:rPr>
      </w:pPr>
    </w:p>
    <w:tbl>
      <w:tblPr>
        <w:tblW w:w="9014" w:type="dxa"/>
        <w:tblBorders>
          <w:bottom w:val="single" w:color="auto" w:sz="4" w:space="0"/>
          <w:right w:val="nil"/>
        </w:tblBorders>
        <w:tblLayout w:type="fixed"/>
        <w:tblCellMar>
          <w:top w:w="102" w:type="dxa"/>
          <w:left w:w="62" w:type="dxa"/>
          <w:bottom w:w="102" w:type="dxa"/>
          <w:right w:w="62" w:type="dxa"/>
        </w:tblCellMar>
        <w:tblLook w:val="04A0" w:firstRow="1" w:lastRow="0" w:firstColumn="1" w:lastColumn="0" w:noHBand="0" w:noVBand="1"/>
      </w:tblPr>
      <w:tblGrid>
        <w:gridCol w:w="3855"/>
        <w:gridCol w:w="2778"/>
        <w:gridCol w:w="1361"/>
        <w:gridCol w:w="1020"/>
      </w:tblGrid>
      <w:tr w:rsidRPr="00EB2BE7" w:rsidR="00F13C42" w:rsidTr="00F13C42" w14:paraId="29E74846" w14:textId="77777777">
        <w:tc>
          <w:tcPr>
            <w:tcW w:w="3855" w:type="dxa"/>
            <w:tcBorders>
              <w:top w:val="nil"/>
              <w:left w:val="nil"/>
              <w:bottom w:val="nil"/>
              <w:right w:val="nil"/>
            </w:tcBorders>
          </w:tcPr>
          <w:p w:rsidRPr="00EB2BE7" w:rsidR="00F13C42" w:rsidP="00E46085" w:rsidRDefault="00F13C42" w14:paraId="4A9BB8A1" w14:textId="77777777">
            <w:pPr>
              <w:pStyle w:val="ConsPlusNormal"/>
              <w:rPr>
                <w:rFonts w:ascii="Times New Roman" w:hAnsi="Times New Roman" w:cs="Times New Roman"/>
              </w:rPr>
            </w:pPr>
          </w:p>
        </w:tc>
        <w:tc>
          <w:tcPr>
            <w:tcW w:w="2778" w:type="dxa"/>
            <w:tcBorders>
              <w:top w:val="nil"/>
              <w:left w:val="nil"/>
              <w:bottom w:val="nil"/>
              <w:right w:val="nil"/>
            </w:tcBorders>
          </w:tcPr>
          <w:p w:rsidRPr="00EB2BE7" w:rsidR="00F13C42" w:rsidP="00E46085" w:rsidRDefault="00F13C42" w14:paraId="5306D89F" w14:textId="77777777">
            <w:pPr>
              <w:pStyle w:val="ConsPlusNormal"/>
              <w:rPr>
                <w:rFonts w:ascii="Times New Roman" w:hAnsi="Times New Roman" w:cs="Times New Roman"/>
              </w:rPr>
            </w:pPr>
          </w:p>
        </w:tc>
        <w:tc>
          <w:tcPr>
            <w:tcW w:w="1361" w:type="dxa"/>
            <w:tcBorders>
              <w:top w:val="nil"/>
              <w:left w:val="nil"/>
              <w:bottom w:val="nil"/>
              <w:right w:val="nil"/>
            </w:tcBorders>
          </w:tcPr>
          <w:p w:rsidRPr="00EB2BE7" w:rsidR="00F13C42" w:rsidP="00E46085" w:rsidRDefault="00F13C42" w14:paraId="48B12753" w14:textId="77777777">
            <w:pPr>
              <w:pStyle w:val="ConsPlusNormal"/>
              <w:rPr>
                <w:rFonts w:ascii="Times New Roman" w:hAnsi="Times New Roman" w:cs="Times New Roman"/>
              </w:rPr>
            </w:pPr>
          </w:p>
        </w:tc>
        <w:tc>
          <w:tcPr>
            <w:tcW w:w="1020" w:type="dxa"/>
            <w:tcBorders>
              <w:top w:val="nil"/>
              <w:left w:val="nil"/>
              <w:bottom w:val="single" w:color="auto" w:sz="4" w:space="0"/>
              <w:right w:val="nil"/>
            </w:tcBorders>
          </w:tcPr>
          <w:p w:rsidRPr="00EB2BE7" w:rsidR="00F13C42" w:rsidP="00E46085" w:rsidRDefault="00F13C42" w14:paraId="4F3E73A4" w14:textId="77777777">
            <w:pPr>
              <w:pStyle w:val="ConsPlusNormal"/>
              <w:rPr>
                <w:rFonts w:ascii="Times New Roman" w:hAnsi="Times New Roman" w:cs="Times New Roman"/>
              </w:rPr>
            </w:pPr>
          </w:p>
        </w:tc>
      </w:tr>
      <w:tr w:rsidRPr="00EB2BE7" w:rsidR="00F13C42" w:rsidTr="00F13C42" w14:paraId="307B5245"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28CC7C46" w14:textId="77777777">
            <w:pPr>
              <w:pStyle w:val="ConsPlusNormal"/>
              <w:rPr>
                <w:rFonts w:ascii="Times New Roman" w:hAnsi="Times New Roman" w:cs="Times New Roman"/>
              </w:rPr>
            </w:pPr>
          </w:p>
        </w:tc>
        <w:tc>
          <w:tcPr>
            <w:tcW w:w="2778" w:type="dxa"/>
            <w:tcBorders>
              <w:top w:val="nil"/>
              <w:left w:val="nil"/>
              <w:bottom w:val="nil"/>
              <w:right w:val="nil"/>
            </w:tcBorders>
          </w:tcPr>
          <w:p w:rsidRPr="00EB2BE7" w:rsidR="00F13C42" w:rsidP="00E46085" w:rsidRDefault="00F13C42" w14:paraId="47C850E9" w14:textId="77777777">
            <w:pPr>
              <w:pStyle w:val="ConsPlusNormal"/>
              <w:rPr>
                <w:rFonts w:ascii="Times New Roman" w:hAnsi="Times New Roman" w:cs="Times New Roman"/>
              </w:rPr>
            </w:pPr>
          </w:p>
        </w:tc>
        <w:tc>
          <w:tcPr>
            <w:tcW w:w="1361" w:type="dxa"/>
            <w:tcBorders>
              <w:top w:val="nil"/>
              <w:left w:val="nil"/>
              <w:bottom w:val="nil"/>
              <w:right w:val="single" w:color="auto" w:sz="4" w:space="0"/>
            </w:tcBorders>
          </w:tcPr>
          <w:p w:rsidRPr="00EB2BE7" w:rsidR="00F13C42" w:rsidP="00E46085" w:rsidRDefault="00F13C42" w14:paraId="6AD4DF6C" w14:textId="77777777">
            <w:pPr>
              <w:pStyle w:val="ConsPlusNormal"/>
              <w:rPr>
                <w:rFonts w:ascii="Times New Roman" w:hAnsi="Times New Roman" w:cs="Times New Roman"/>
              </w:rPr>
            </w:pPr>
          </w:p>
        </w:tc>
        <w:tc>
          <w:tcPr>
            <w:tcW w:w="1020" w:type="dxa"/>
            <w:tcBorders>
              <w:top w:val="single" w:color="auto" w:sz="4" w:space="0"/>
              <w:left w:val="single" w:color="auto" w:sz="4" w:space="0"/>
              <w:bottom w:val="single" w:color="auto" w:sz="4" w:space="0"/>
              <w:right w:val="single" w:color="auto" w:sz="4" w:space="0"/>
            </w:tcBorders>
            <w:vAlign w:val="bottom"/>
          </w:tcPr>
          <w:p w:rsidRPr="00EB2BE7" w:rsidR="00F13C42" w:rsidP="00F13C42" w:rsidRDefault="00F13C42" w14:paraId="038C17D7" w14:textId="77777777">
            <w:pPr>
              <w:pStyle w:val="ConsPlusNormal"/>
              <w:jc w:val="center"/>
              <w:rPr>
                <w:rFonts w:ascii="Times New Roman" w:hAnsi="Times New Roman" w:cs="Times New Roman"/>
              </w:rPr>
            </w:pPr>
            <w:r w:rsidRPr="00EB2BE7">
              <w:rPr>
                <w:rFonts w:ascii="Times New Roman" w:hAnsi="Times New Roman" w:cs="Times New Roman"/>
              </w:rPr>
              <w:t>Коды</w:t>
            </w:r>
          </w:p>
        </w:tc>
      </w:tr>
      <w:tr w:rsidRPr="00EB2BE7" w:rsidR="00F13C42" w:rsidTr="008B4923" w14:paraId="33E87E5A" w14:textId="77777777">
        <w:tblPrEx>
          <w:tblBorders>
            <w:right w:val="single" w:color="auto" w:sz="4" w:space="0"/>
          </w:tblBorders>
        </w:tblPrEx>
        <w:tc>
          <w:tcPr>
            <w:tcW w:w="3855" w:type="dxa"/>
            <w:tcBorders>
              <w:top w:val="nil"/>
              <w:left w:val="nil"/>
              <w:bottom w:val="nil"/>
              <w:right w:val="nil"/>
            </w:tcBorders>
          </w:tcPr>
          <w:p w:rsidRPr="00F13D14" w:rsidR="00F13C42" w:rsidP="00E46085" w:rsidRDefault="00F13D14" w14:paraId="060FFFA1" w14:textId="4AE33EFC">
            <w:pPr>
              <w:pStyle w:val="ConsPlusNormal"/>
              <w:rPr>
                <w:rFonts w:ascii="Times New Roman" w:hAnsi="Times New Roman" w:cs="Times New Roman"/>
              </w:rPr>
            </w:pPr>
            <w:r>
              <w:rPr>
                <w:rFonts w:ascii="Times New Roman" w:hAnsi="Times New Roman" w:cs="Times New Roman"/>
              </w:rPr>
              <w:t>Полное наименование</w:t>
            </w:r>
            <w:r>
              <w:rPr>
                <w:rFonts w:ascii="Times New Roman" w:hAnsi="Times New Roman" w:cs="Times New Roman"/>
                <w:lang w:val="en-US"/>
              </w:rPr>
              <w:t>:</w:t>
            </w:r>
          </w:p>
        </w:tc>
        <w:tc>
          <w:tcPr>
            <w:tcW w:w="2778" w:type="dxa"/>
            <w:vMerge w:val="restart"/>
            <w:tcBorders>
              <w:top w:val="nil"/>
              <w:left w:val="nil"/>
              <w:right w:val="nil"/>
            </w:tcBorders>
          </w:tcPr>
          <w:p w:rsidRPr="00EB2BE7" w:rsidR="00F13C42" w:rsidP="00E46085" w:rsidRDefault="00F13D14" w14:paraId="2ECE7FCF" w14:textId="53A94D69">
            <w:pPr>
              <w:pStyle w:val="ConsPlusNormal"/>
              <w:rPr>
                <w:rFonts w:ascii="Times New Roman" w:hAnsi="Times New Roman" w:cs="Times New Roman"/>
              </w:rPr>
            </w:pPr>
            <w:r>
              <w:rPr>
                <w:rFonts w:ascii="Times New Roman" w:hAnsi="Times New Roman" w:cs="Times New Roman"/>
                <w:lang w:val="en-US"/>
              </w:rPr>
              <w:t/>
              <w:rPr>
                <w:rFonts w:ascii="Times New Roman" w:hAnsi="Times New Roman" w:eastAsia="Times New Roman" w:cs="Times New Roman"/>
                <w:sz w:val="22"/>
              </w:rPr>
              <w:t xml:space="preserve">ГОСУДАРСТВЕННОЕ КАЗЕННОЕ УЧРЕЖДЕНИЕ МОСКОВСКОЙ ОБЛАСТИ "ДИРЕКЦИЯ ЕДИНОГО ЗАКАЗЧИКА МИНИСТЕРСТВА ЗДРАВООХРАНЕНИЯ МОСКОВСКОЙ ОБЛАСТИ"</w:t>
              <w:t xml:space="preserve"/>
              <w:rPr>
                <w:rFonts w:ascii="Times New Roman" w:hAnsi="Times New Roman" w:cs="Times New Roman"/>
                <w:lang w:val="en-US"/>
              </w:rPr>
            </w:r>
          </w:p>
        </w:tc>
        <w:tc>
          <w:tcPr>
            <w:tcW w:w="1361" w:type="dxa"/>
            <w:tcBorders>
              <w:top w:val="nil"/>
              <w:left w:val="nil"/>
              <w:bottom w:val="nil"/>
              <w:right w:val="single" w:color="auto" w:sz="4" w:space="0"/>
            </w:tcBorders>
            <w:vAlign w:val="bottom"/>
          </w:tcPr>
          <w:p w:rsidRPr="00F13D14" w:rsidR="00F13C42" w:rsidP="00F13C42" w:rsidRDefault="00F13D14" w14:paraId="4309E424" w14:textId="320E7217">
            <w:pPr>
              <w:pStyle w:val="ConsPlusNormal"/>
              <w:jc w:val="center"/>
              <w:rPr>
                <w:rFonts w:ascii="Times New Roman" w:hAnsi="Times New Roman" w:cs="Times New Roman"/>
              </w:rPr>
            </w:pPr>
            <w:r>
              <w:rPr>
                <w:rFonts w:ascii="Times New Roman" w:hAnsi="Times New Roman" w:cs="Times New Roman"/>
              </w:rPr>
              <w:t>ИНН</w:t>
            </w:r>
          </w:p>
        </w:tc>
        <w:tc>
          <w:tcPr>
            <w:tcW w:w="1020" w:type="dxa"/>
            <w:tcBorders>
              <w:top w:val="single" w:color="auto" w:sz="4" w:space="0"/>
              <w:left w:val="single" w:color="auto" w:sz="4" w:space="0"/>
              <w:bottom w:val="single" w:color="auto" w:sz="4" w:space="0"/>
              <w:right w:val="single" w:color="auto" w:sz="4" w:space="0"/>
            </w:tcBorders>
          </w:tcPr>
          <w:p w:rsidRPr="00E0201D" w:rsidR="00F13C42" w:rsidP="00F13C42" w:rsidRDefault="00F13D14" w14:paraId="6D821EE7" w14:textId="1DEAB428">
            <w:pPr>
              <w:pStyle w:val="ConsPlusNormal"/>
              <w:jc w:val="center"/>
              <w:rPr>
                <w:rFonts w:ascii="Times New Roman" w:hAnsi="Times New Roman" w:cs="Times New Roman"/>
              </w:rPr>
            </w:pPr>
            <w:r>
              <w:rPr>
                <w:rFonts w:ascii="Times New Roman" w:hAnsi="Times New Roman" w:cs="Times New Roman"/>
                <w:lang w:val="en-US"/>
              </w:rPr>
              <w:t/>
              <w:rPr>
                <w:rFonts w:ascii="Times New Roman" w:hAnsi="Times New Roman" w:eastAsia="Times New Roman" w:cs="Times New Roman"/>
                <w:sz w:val="22"/>
              </w:rPr>
              <w:t xml:space="preserve">5024068656</w:t>
              <w:t xml:space="preserve"/>
              <w:rPr>
                <w:rFonts w:ascii="Times New Roman" w:hAnsi="Times New Roman" w:cs="Times New Roman"/>
                <w:lang w:val="en-US"/>
              </w:rPr>
            </w:r>
          </w:p>
        </w:tc>
      </w:tr>
      <w:tr w:rsidRPr="00EB2BE7" w:rsidR="00F13C42" w:rsidTr="008B4923" w14:paraId="7BC36C6D"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7944150A" w14:textId="77777777">
            <w:pPr>
              <w:pStyle w:val="ConsPlusNormal"/>
              <w:rPr>
                <w:rFonts w:ascii="Times New Roman" w:hAnsi="Times New Roman" w:cs="Times New Roman"/>
              </w:rPr>
            </w:pPr>
          </w:p>
        </w:tc>
        <w:tc>
          <w:tcPr>
            <w:tcW w:w="2778" w:type="dxa"/>
            <w:vMerge/>
            <w:tcBorders>
              <w:left w:val="nil"/>
              <w:bottom w:val="single" w:color="auto" w:sz="4" w:space="0"/>
              <w:right w:val="nil"/>
            </w:tcBorders>
          </w:tcPr>
          <w:p w:rsidRPr="00EB2BE7" w:rsidR="00F13C42" w:rsidP="00E46085" w:rsidRDefault="00F13C42" w14:paraId="43E81260" w14:textId="77777777">
            <w:pPr>
              <w:pStyle w:val="ConsPlusNormal"/>
              <w:rPr>
                <w:rFonts w:ascii="Times New Roman" w:hAnsi="Times New Roman" w:cs="Times New Roman"/>
              </w:rPr>
            </w:pPr>
          </w:p>
        </w:tc>
        <w:tc>
          <w:tcPr>
            <w:tcW w:w="1361" w:type="dxa"/>
            <w:tcBorders>
              <w:top w:val="nil"/>
              <w:left w:val="nil"/>
              <w:bottom w:val="nil"/>
              <w:right w:val="single" w:color="auto" w:sz="4" w:space="0"/>
            </w:tcBorders>
            <w:vAlign w:val="bottom"/>
          </w:tcPr>
          <w:p w:rsidRPr="00EB2BE7" w:rsidR="00F13C42" w:rsidP="00F13C42" w:rsidRDefault="00F13C42" w14:paraId="3915BC86" w14:textId="77777777">
            <w:pPr>
              <w:pStyle w:val="ConsPlusNormal"/>
              <w:jc w:val="center"/>
              <w:rPr>
                <w:rFonts w:ascii="Times New Roman" w:hAnsi="Times New Roman" w:cs="Times New Roman"/>
              </w:rPr>
            </w:pPr>
            <w:r w:rsidRPr="00EB2BE7">
              <w:rPr>
                <w:rFonts w:ascii="Times New Roman" w:hAnsi="Times New Roman" w:cs="Times New Roman"/>
              </w:rPr>
              <w:t>КПП</w:t>
            </w:r>
          </w:p>
        </w:tc>
        <w:tc>
          <w:tcPr>
            <w:tcW w:w="1020" w:type="dxa"/>
            <w:tcBorders>
              <w:top w:val="single" w:color="auto" w:sz="4" w:space="0"/>
              <w:left w:val="single" w:color="auto" w:sz="4" w:space="0"/>
              <w:bottom w:val="single" w:color="auto" w:sz="4" w:space="0"/>
              <w:right w:val="single" w:color="auto" w:sz="4" w:space="0"/>
            </w:tcBorders>
          </w:tcPr>
          <w:p w:rsidRPr="00F13D14" w:rsidR="00F13C42" w:rsidP="00F13C42" w:rsidRDefault="00F13D14" w14:paraId="11EE3DBE" w14:textId="53F3E1A6">
            <w:pPr>
              <w:pStyle w:val="ConsPlusNormal"/>
              <w:jc w:val="center"/>
              <w:rPr>
                <w:rFonts w:ascii="Times New Roman" w:hAnsi="Times New Roman" w:cs="Times New Roman"/>
                <w:lang w:val="en-US"/>
              </w:rPr>
            </w:pPr>
            <w:r>
              <w:rPr>
                <w:rFonts w:ascii="Times New Roman" w:hAnsi="Times New Roman" w:cs="Times New Roman"/>
                <w:lang w:val="en-US"/>
              </w:rPr>
              <w:t/>
              <w:rPr>
                <w:rFonts w:ascii="Times New Roman" w:hAnsi="Times New Roman" w:eastAsia="Times New Roman" w:cs="Times New Roman"/>
                <w:sz w:val="22"/>
              </w:rPr>
              <w:t xml:space="preserve">502401001</w:t>
              <w:t xml:space="preserve"/>
              <w:rPr>
                <w:rFonts w:ascii="Times New Roman" w:hAnsi="Times New Roman" w:cs="Times New Roman"/>
                <w:lang w:val="en-US"/>
              </w:rPr>
            </w:r>
          </w:p>
        </w:tc>
      </w:tr>
      <w:tr w:rsidRPr="00EB2BE7" w:rsidR="00F13C42" w:rsidTr="00F13C42" w14:paraId="0B3815E1"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1323799A" w14:textId="77777777">
            <w:pPr>
              <w:pStyle w:val="ConsPlusNormal"/>
              <w:rPr>
                <w:rFonts w:ascii="Times New Roman" w:hAnsi="Times New Roman" w:cs="Times New Roman"/>
              </w:rPr>
            </w:pPr>
            <w:r w:rsidRPr="00EB2BE7">
              <w:rPr>
                <w:rFonts w:ascii="Times New Roman" w:hAnsi="Times New Roman" w:cs="Times New Roman"/>
              </w:rPr>
              <w:t>Место нахождения, телефон, адрес электронной почты</w:t>
            </w:r>
          </w:p>
        </w:tc>
        <w:tc>
          <w:tcPr>
            <w:tcW w:w="2778" w:type="dxa"/>
            <w:tcBorders>
              <w:top w:val="single" w:color="auto" w:sz="4" w:space="0"/>
              <w:left w:val="nil"/>
              <w:bottom w:val="single" w:color="auto" w:sz="4" w:space="0"/>
              <w:right w:val="nil"/>
            </w:tcBorders>
          </w:tcPr>
          <w:p w:rsidRPr="00B133AD" w:rsidR="00F13C42" w:rsidP="00E46085" w:rsidRDefault="00B133AD" w14:paraId="52FCC0EA" w14:textId="08BBCBFC">
            <w:pPr>
              <w:pStyle w:val="ConsPlusNormal"/>
              <w:rPr>
                <w:rFonts w:ascii="Times New Roman" w:hAnsi="Times New Roman" w:cs="Times New Roman"/>
                <w:lang w:val="en-US"/>
              </w:rPr>
            </w:pPr>
            <w:r>
              <w:rPr>
                <w:rFonts w:ascii="Times New Roman" w:hAnsi="Times New Roman" w:cs="Times New Roman"/>
                <w:lang w:val="en-US"/>
              </w:rPr>
              <w:t/>
              <w:rPr>
                <w:rFonts w:ascii="Times New Roman" w:hAnsi="Times New Roman" w:eastAsia="Times New Roman" w:cs="Times New Roman"/>
                <w:sz w:val="22"/>
              </w:rPr>
              <w:t xml:space="preserve">Российская Федерация, 143407, Московская обл, Красногорск г, Строителей б-р, 4, стр 1. habibullins@gku-mo.ru 74956467299</w:t>
              <w:t xml:space="preserve"/>
              <w:rPr>
                <w:rFonts w:ascii="Times New Roman" w:hAnsi="Times New Roman" w:cs="Times New Roman"/>
                <w:lang w:val="en-US"/>
              </w:rPr>
            </w:r>
          </w:p>
        </w:tc>
        <w:tc>
          <w:tcPr>
            <w:tcW w:w="1361" w:type="dxa"/>
            <w:tcBorders>
              <w:top w:val="nil"/>
              <w:left w:val="nil"/>
              <w:bottom w:val="nil"/>
              <w:right w:val="single" w:color="auto" w:sz="4" w:space="0"/>
            </w:tcBorders>
            <w:vAlign w:val="bottom"/>
          </w:tcPr>
          <w:p w:rsidRPr="00041A98" w:rsidR="00F13C42" w:rsidP="00F13C42" w:rsidRDefault="00F13C42" w14:paraId="4581C526" w14:textId="77777777">
            <w:pPr>
              <w:pStyle w:val="ConsPlusNormal"/>
              <w:jc w:val="center"/>
              <w:rPr>
                <w:rFonts w:ascii="Times New Roman" w:hAnsi="Times New Roman" w:cs="Times New Roman"/>
              </w:rPr>
            </w:pPr>
            <w:r w:rsidRPr="00041A98">
              <w:rPr>
                <w:rFonts w:ascii="Times New Roman" w:hAnsi="Times New Roman" w:cs="Times New Roman"/>
              </w:rPr>
              <w:t xml:space="preserve">по </w:t>
            </w:r>
            <w:hyperlink w:history="1" r:id="rId5">
              <w:r w:rsidRPr="00041A98">
                <w:rPr>
                  <w:rFonts w:ascii="Times New Roman" w:hAnsi="Times New Roman" w:cs="Times New Roman"/>
                </w:rPr>
                <w:t>ОКТМО</w:t>
              </w:r>
            </w:hyperlink>
          </w:p>
        </w:tc>
        <w:tc>
          <w:tcPr>
            <w:tcW w:w="1020" w:type="dxa"/>
            <w:tcBorders>
              <w:top w:val="single" w:color="auto" w:sz="4" w:space="0"/>
              <w:left w:val="single" w:color="auto" w:sz="4" w:space="0"/>
              <w:bottom w:val="single" w:color="auto" w:sz="4" w:space="0"/>
              <w:right w:val="single" w:color="auto" w:sz="4" w:space="0"/>
            </w:tcBorders>
          </w:tcPr>
          <w:p w:rsidRPr="00F13D14" w:rsidR="00F13C42" w:rsidP="00F13C42" w:rsidRDefault="00F13D14" w14:paraId="1E750B1D" w14:textId="440A080D">
            <w:pPr>
              <w:pStyle w:val="ConsPlusNormal"/>
              <w:jc w:val="center"/>
              <w:rPr>
                <w:rFonts w:ascii="Times New Roman" w:hAnsi="Times New Roman" w:cs="Times New Roman"/>
                <w:lang w:val="en-US"/>
              </w:rPr>
            </w:pPr>
            <w:r>
              <w:rPr>
                <w:rFonts w:ascii="Times New Roman" w:hAnsi="Times New Roman" w:cs="Times New Roman"/>
                <w:lang w:val="en-US"/>
              </w:rPr>
              <w:t/>
              <w:rPr>
                <w:rFonts w:ascii="Times New Roman" w:hAnsi="Times New Roman" w:eastAsia="Times New Roman" w:cs="Times New Roman"/>
                <w:sz w:val="22"/>
              </w:rPr>
              <w:t xml:space="preserve">46744000001</w:t>
              <w:t xml:space="preserve"/>
              <w:rPr>
                <w:rFonts w:ascii="Times New Roman" w:hAnsi="Times New Roman" w:cs="Times New Roman"/>
                <w:lang w:val="en-US"/>
              </w:rPr>
            </w:r>
          </w:p>
        </w:tc>
      </w:tr>
      <w:tr w:rsidRPr="00EB2BE7" w:rsidR="00F13C42" w:rsidTr="00F13C42" w14:paraId="2CBCB897" w14:textId="77777777">
        <w:tblPrEx>
          <w:tblBorders>
            <w:right w:val="single" w:color="auto" w:sz="4" w:space="0"/>
          </w:tblBorders>
        </w:tblPrEx>
        <w:tc>
          <w:tcPr>
            <w:tcW w:w="3855" w:type="dxa"/>
            <w:tcBorders>
              <w:top w:val="nil"/>
              <w:left w:val="nil"/>
              <w:bottom w:val="nil"/>
              <w:right w:val="nil"/>
            </w:tcBorders>
          </w:tcPr>
          <w:p w:rsidRPr="00C71EAC" w:rsidR="00F13C42" w:rsidP="00E46085" w:rsidRDefault="00F13C42" w14:paraId="01AC1103" w14:textId="77777777">
            <w:pPr>
              <w:pStyle w:val="ConsPlusNormal"/>
              <w:rPr>
                <w:rFonts w:ascii="Times New Roman" w:hAnsi="Times New Roman" w:cs="Times New Roman"/>
                <w:lang w:val="en-US"/>
              </w:rPr>
            </w:pPr>
          </w:p>
        </w:tc>
        <w:tc>
          <w:tcPr>
            <w:tcW w:w="2778" w:type="dxa"/>
            <w:tcBorders>
              <w:top w:val="single" w:color="auto" w:sz="4" w:space="0"/>
              <w:left w:val="nil"/>
              <w:bottom w:val="nil"/>
              <w:right w:val="nil"/>
            </w:tcBorders>
          </w:tcPr>
          <w:p w:rsidRPr="00EB2BE7" w:rsidR="00F13C42" w:rsidP="00E46085" w:rsidRDefault="00F13C42" w14:paraId="41156360" w14:textId="77777777">
            <w:pPr>
              <w:pStyle w:val="ConsPlusNormal"/>
              <w:rPr>
                <w:rFonts w:ascii="Times New Roman" w:hAnsi="Times New Roman" w:cs="Times New Roman"/>
              </w:rPr>
            </w:pPr>
          </w:p>
        </w:tc>
        <w:tc>
          <w:tcPr>
            <w:tcW w:w="1361" w:type="dxa"/>
            <w:tcBorders>
              <w:top w:val="nil"/>
              <w:left w:val="nil"/>
              <w:bottom w:val="nil"/>
              <w:right w:val="single" w:color="auto" w:sz="4" w:space="0"/>
            </w:tcBorders>
            <w:vAlign w:val="bottom"/>
          </w:tcPr>
          <w:p w:rsidRPr="00EB2BE7" w:rsidR="00F13C42" w:rsidP="00F13C42" w:rsidRDefault="00F13C42" w14:paraId="6C92380F" w14:textId="77777777">
            <w:pPr>
              <w:pStyle w:val="ConsPlusNormal"/>
              <w:jc w:val="center"/>
              <w:rPr>
                <w:rFonts w:ascii="Times New Roman" w:hAnsi="Times New Roman" w:cs="Times New Roman"/>
              </w:rPr>
            </w:pPr>
            <w:r w:rsidRPr="00EB2BE7">
              <w:rPr>
                <w:rFonts w:ascii="Times New Roman" w:hAnsi="Times New Roman" w:cs="Times New Roman"/>
              </w:rPr>
              <w:t>ИНН</w:t>
            </w:r>
          </w:p>
        </w:tc>
        <w:tc>
          <w:tcPr>
            <w:tcW w:w="1020" w:type="dxa"/>
            <w:tcBorders>
              <w:top w:val="single" w:color="auto" w:sz="4" w:space="0"/>
              <w:left w:val="single" w:color="auto" w:sz="4" w:space="0"/>
              <w:bottom w:val="single" w:color="auto" w:sz="4" w:space="0"/>
              <w:right w:val="single" w:color="auto" w:sz="4" w:space="0"/>
            </w:tcBorders>
          </w:tcPr>
          <w:p w:rsidRPr="00F13D14" w:rsidR="00F13C42" w:rsidP="00F13C42" w:rsidRDefault="00F13C42" w14:paraId="407D94A8" w14:textId="635DE4E4">
            <w:pPr>
              <w:pStyle w:val="ConsPlusNormal"/>
              <w:jc w:val="center"/>
              <w:rPr>
                <w:rFonts w:ascii="Times New Roman" w:hAnsi="Times New Roman" w:cs="Times New Roman"/>
                <w:lang w:val="en-US"/>
              </w:rPr>
            </w:pPr>
          </w:p>
        </w:tc>
      </w:tr>
      <w:tr w:rsidRPr="00EB2BE7" w:rsidR="00F13C42" w:rsidTr="00F13C42" w14:paraId="6E39C448"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5F023E3D" w14:textId="77777777">
            <w:pPr>
              <w:pStyle w:val="ConsPlusNormal"/>
              <w:rPr>
                <w:rFonts w:ascii="Times New Roman" w:hAnsi="Times New Roman" w:cs="Times New Roman"/>
              </w:rPr>
            </w:pPr>
            <w:r w:rsidRPr="00EB2BE7">
              <w:rPr>
                <w:rFonts w:ascii="Times New Roman" w:hAnsi="Times New Roman" w:cs="Times New Roman"/>
              </w:rPr>
              <w:t xml:space="preserve">Наименование бюджетного, автономного учреждения </w:t>
            </w:r>
            <w:r w:rsidRPr="00C71EAC">
              <w:rPr>
                <w:rFonts w:ascii="Times New Roman" w:hAnsi="Times New Roman" w:cs="Times New Roman"/>
              </w:rPr>
              <w:t xml:space="preserve"> </w:t>
            </w:r>
            <w:r w:rsidRPr="00EB2BE7">
              <w:rPr>
                <w:rFonts w:ascii="Times New Roman" w:hAnsi="Times New Roman" w:cs="Times New Roman"/>
              </w:rPr>
              <w:t xml:space="preserve">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p>
        </w:tc>
        <w:tc>
          <w:tcPr>
            <w:tcW w:w="2778" w:type="dxa"/>
            <w:tcBorders>
              <w:top w:val="nil"/>
              <w:left w:val="nil"/>
              <w:bottom w:val="single" w:color="auto" w:sz="4" w:space="0"/>
              <w:right w:val="nil"/>
            </w:tcBorders>
          </w:tcPr>
          <w:p w:rsidRPr="006B4A43" w:rsidR="00F13C42" w:rsidP="00E46085" w:rsidRDefault="00F13C42" w14:paraId="741A8BA4" w14:textId="5B13A228">
            <w:pPr>
              <w:pStyle w:val="ConsPlusNormal"/>
              <w:rPr>
                <w:rFonts w:ascii="Times New Roman" w:hAnsi="Times New Roman" w:cs="Times New Roman"/>
              </w:rPr>
            </w:pPr>
          </w:p>
        </w:tc>
        <w:tc>
          <w:tcPr>
            <w:tcW w:w="1361" w:type="dxa"/>
            <w:tcBorders>
              <w:top w:val="nil"/>
              <w:left w:val="nil"/>
              <w:bottom w:val="nil"/>
              <w:right w:val="single" w:color="auto" w:sz="4" w:space="0"/>
            </w:tcBorders>
          </w:tcPr>
          <w:p w:rsidRPr="00EB2BE7" w:rsidR="00F13C42" w:rsidP="00F13C42" w:rsidRDefault="00F13C42" w14:paraId="396BF87B" w14:textId="77777777">
            <w:pPr>
              <w:pStyle w:val="ConsPlusNormal"/>
              <w:jc w:val="center"/>
              <w:rPr>
                <w:rFonts w:ascii="Times New Roman" w:hAnsi="Times New Roman" w:cs="Times New Roman"/>
              </w:rPr>
            </w:pPr>
            <w:r w:rsidRPr="00EB2BE7">
              <w:rPr>
                <w:rFonts w:ascii="Times New Roman" w:hAnsi="Times New Roman" w:cs="Times New Roman"/>
              </w:rPr>
              <w:t>КПП</w:t>
            </w:r>
          </w:p>
        </w:tc>
        <w:tc>
          <w:tcPr>
            <w:tcW w:w="1020" w:type="dxa"/>
            <w:tcBorders>
              <w:top w:val="single" w:color="auto" w:sz="4" w:space="0"/>
              <w:left w:val="single" w:color="auto" w:sz="4" w:space="0"/>
              <w:bottom w:val="single" w:color="auto" w:sz="4" w:space="0"/>
              <w:right w:val="single" w:color="auto" w:sz="4" w:space="0"/>
            </w:tcBorders>
          </w:tcPr>
          <w:p w:rsidRPr="00EB2BE7" w:rsidR="00F13C42" w:rsidP="00E46085" w:rsidRDefault="00F13C42" w14:paraId="7E2861B8" w14:textId="407C7947">
            <w:pPr>
              <w:pStyle w:val="ConsPlusNormal"/>
              <w:rPr>
                <w:rFonts w:ascii="Times New Roman" w:hAnsi="Times New Roman" w:cs="Times New Roman"/>
              </w:rPr>
            </w:pPr>
          </w:p>
        </w:tc>
      </w:tr>
      <w:tr w:rsidRPr="00EB2BE7" w:rsidR="00F13C42" w:rsidTr="00F13C42" w14:paraId="7BA956BE" w14:textId="77777777">
        <w:tblPrEx>
          <w:tblBorders>
            <w:right w:val="single" w:color="auto" w:sz="4" w:space="0"/>
            <w:insideH w:val="single" w:color="auto" w:sz="4" w:space="0"/>
          </w:tblBorders>
        </w:tblPrEx>
        <w:tc>
          <w:tcPr>
            <w:tcW w:w="3855" w:type="dxa"/>
            <w:tcBorders>
              <w:top w:val="nil"/>
              <w:left w:val="nil"/>
              <w:bottom w:val="nil"/>
              <w:right w:val="nil"/>
            </w:tcBorders>
          </w:tcPr>
          <w:p w:rsidRPr="00EB2BE7" w:rsidR="00F13C42" w:rsidP="00E46085" w:rsidRDefault="00F13C42" w14:paraId="392BE27C" w14:textId="77777777">
            <w:pPr>
              <w:pStyle w:val="ConsPlusNormal"/>
              <w:rPr>
                <w:rFonts w:ascii="Times New Roman" w:hAnsi="Times New Roman" w:cs="Times New Roman"/>
              </w:rPr>
            </w:pPr>
            <w:r w:rsidRPr="00EB2BE7">
              <w:rPr>
                <w:rFonts w:ascii="Times New Roman" w:hAnsi="Times New Roman" w:cs="Times New Roman"/>
              </w:rPr>
              <w:t xml:space="preserve">Место нахождения, телефон, адрес электронной почты </w:t>
            </w:r>
          </w:p>
        </w:tc>
        <w:tc>
          <w:tcPr>
            <w:tcW w:w="2778" w:type="dxa"/>
            <w:tcBorders>
              <w:top w:val="single" w:color="auto" w:sz="4" w:space="0"/>
              <w:left w:val="nil"/>
              <w:bottom w:val="single" w:color="auto" w:sz="4" w:space="0"/>
              <w:right w:val="nil"/>
            </w:tcBorders>
          </w:tcPr>
          <w:p w:rsidRPr="00EB2BE7" w:rsidR="00F13C42" w:rsidP="00E46085" w:rsidRDefault="00F13C42" w14:paraId="639C9147" w14:textId="77777777">
            <w:pPr>
              <w:pStyle w:val="ConsPlusNormal"/>
              <w:rPr>
                <w:rFonts w:ascii="Times New Roman" w:hAnsi="Times New Roman" w:cs="Times New Roman"/>
              </w:rPr>
            </w:pPr>
          </w:p>
        </w:tc>
        <w:tc>
          <w:tcPr>
            <w:tcW w:w="1361" w:type="dxa"/>
            <w:tcBorders>
              <w:top w:val="nil"/>
              <w:left w:val="nil"/>
              <w:bottom w:val="single" w:color="auto" w:sz="4" w:space="0"/>
              <w:right w:val="single" w:color="auto" w:sz="4" w:space="0"/>
            </w:tcBorders>
            <w:vAlign w:val="bottom"/>
          </w:tcPr>
          <w:p w:rsidRPr="00EB2BE7" w:rsidR="00F13C42" w:rsidP="00F13C42" w:rsidRDefault="00F13C42" w14:paraId="087E2FA8" w14:textId="77777777">
            <w:pPr>
              <w:pStyle w:val="ConsPlusNormal"/>
              <w:jc w:val="center"/>
              <w:rPr>
                <w:rFonts w:ascii="Times New Roman" w:hAnsi="Times New Roman" w:cs="Times New Roman"/>
              </w:rPr>
            </w:pPr>
            <w:r w:rsidRPr="00041A98">
              <w:rPr>
                <w:rFonts w:ascii="Times New Roman" w:hAnsi="Times New Roman" w:cs="Times New Roman"/>
              </w:rPr>
              <w:t xml:space="preserve">по </w:t>
            </w:r>
            <w:hyperlink w:history="1" r:id="rId6">
              <w:r w:rsidRPr="00041A98">
                <w:rPr>
                  <w:rFonts w:ascii="Times New Roman" w:hAnsi="Times New Roman" w:cs="Times New Roman"/>
                </w:rPr>
                <w:t>ОКТМО</w:t>
              </w:r>
            </w:hyperlink>
          </w:p>
        </w:tc>
        <w:tc>
          <w:tcPr>
            <w:tcW w:w="1020" w:type="dxa"/>
            <w:tcBorders>
              <w:top w:val="single" w:color="auto" w:sz="4" w:space="0"/>
              <w:left w:val="single" w:color="auto" w:sz="4" w:space="0"/>
              <w:bottom w:val="single" w:color="auto" w:sz="4" w:space="0"/>
              <w:right w:val="single" w:color="auto" w:sz="4" w:space="0"/>
            </w:tcBorders>
          </w:tcPr>
          <w:p w:rsidRPr="00C71EAC" w:rsidR="00F13C42" w:rsidP="00E46085" w:rsidRDefault="00F13C42" w14:paraId="6BF6F1DB" w14:textId="77777777">
            <w:pPr>
              <w:pStyle w:val="ConsPlusNormal"/>
              <w:rPr>
                <w:rFonts w:ascii="Times New Roman" w:hAnsi="Times New Roman" w:cs="Times New Roman"/>
                <w:lang w:val="en-US"/>
              </w:rPr>
            </w:pPr>
          </w:p>
        </w:tc>
      </w:tr>
      <w:tr w:rsidRPr="00EB2BE7" w:rsidR="000F3768" w:rsidTr="00607802" w14:paraId="65A7864E" w14:textId="77777777">
        <w:tblPrEx>
          <w:tblBorders>
            <w:right w:val="single" w:color="auto" w:sz="4" w:space="0"/>
            <w:insideH w:val="single" w:color="auto" w:sz="4" w:space="0"/>
          </w:tblBorders>
        </w:tblPrEx>
        <w:tc>
          <w:tcPr>
            <w:tcW w:w="3855" w:type="dxa"/>
            <w:tcBorders>
              <w:top w:val="nil"/>
              <w:left w:val="nil"/>
              <w:bottom w:val="nil"/>
              <w:right w:val="nil"/>
            </w:tcBorders>
            <w:vAlign w:val="bottom"/>
          </w:tcPr>
          <w:p w:rsidRPr="00EB2BE7" w:rsidR="000F3768" w:rsidP="00E46085" w:rsidRDefault="000F3768" w14:paraId="2A719E5A" w14:textId="77777777">
            <w:pPr>
              <w:pStyle w:val="ConsPlusNormal"/>
              <w:rPr>
                <w:rFonts w:ascii="Times New Roman" w:hAnsi="Times New Roman" w:cs="Times New Roman"/>
              </w:rPr>
            </w:pPr>
            <w:r w:rsidRPr="00EB2BE7">
              <w:rPr>
                <w:rFonts w:ascii="Times New Roman" w:hAnsi="Times New Roman" w:cs="Times New Roman"/>
              </w:rPr>
              <w:t>Наименование объекта закупки</w:t>
            </w:r>
          </w:p>
        </w:tc>
        <w:tc>
          <w:tcPr>
            <w:tcW w:w="5159" w:type="dxa"/>
            <w:gridSpan w:val="3"/>
            <w:tcBorders>
              <w:top w:val="single" w:color="auto" w:sz="4" w:space="0"/>
              <w:left w:val="nil"/>
              <w:bottom w:val="single" w:color="auto" w:sz="4" w:space="0"/>
              <w:right w:val="single" w:color="auto" w:sz="4" w:space="0"/>
            </w:tcBorders>
          </w:tcPr>
          <w:p w:rsidRPr="00EB2BE7" w:rsidR="000F3768" w:rsidP="00E46085" w:rsidRDefault="000F3768" w14:paraId="705AC795" w14:textId="4FEEC826">
            <w:pPr>
              <w:pStyle w:val="ConsPlusNormal"/>
              <w:rPr>
                <w:rFonts w:ascii="Times New Roman" w:hAnsi="Times New Roman" w:cs="Times New Roman"/>
              </w:rPr>
            </w:pPr>
            <w:r>
              <w:rPr>
                <w:rFonts w:ascii="Times New Roman" w:hAnsi="Times New Roman" w:cs="Times New Roman"/>
                <w:lang w:val="en-US"/>
              </w:rPr>
              <w:t/>
              <w:rPr>
                <w:rFonts w:ascii="Times New Roman" w:hAnsi="Times New Roman" w:eastAsia="Times New Roman" w:cs="Times New Roman"/>
                <w:sz w:val="22"/>
              </w:rPr>
              <w:t xml:space="preserve">Развитие (модернизация) подсистем «Поликлиника», «Стационар», «Управление потоками пациентов», «Интеграции с внешними системами», «Онкологический консилиум» государственной информационной системы «Единая медицинская информационно-аналитическая система Московской области» в 2026-2027 годах</w:t>
              <w:t xml:space="preserve"/>
              <w:rPr>
                <w:rFonts w:ascii="Times New Roman" w:hAnsi="Times New Roman" w:cs="Times New Roman"/>
                <w:lang w:val="en-US"/>
              </w:rPr>
            </w:r>
          </w:p>
        </w:tc>
      </w:tr>
    </w:tbl>
    <w:p w:rsidR="00B72EB7" w:rsidRDefault="00B72EB7" w14:paraId="56B00D8B" w14:textId="5D3E0406"/>
    <w:p w:rsidRPr="00EB2BE7" w:rsidR="00B52256" w:rsidP="00F13C42" w:rsidRDefault="00B52256" w14:paraId="4A5955CC" w14:textId="5C03C6A0">
      <w:pPr>
        <w:rPr>
          <w:rFonts w:ascii="Times New Roman" w:hAnsi="Times New Roman" w:cs="Times New Roman"/>
        </w:rPr>
        <w:sectPr w:rsidRPr="00EB2BE7" w:rsidR="00B52256" w:rsidSect="00CE5671">
          <w:pgSz w:w="11906" w:h="16838"/>
          <w:pgMar w:top="568" w:right="850" w:bottom="1134" w:left="1701" w:header="708" w:footer="708" w:gutter="0"/>
          <w:cols w:space="708"/>
          <w:docGrid w:linePitch="360"/>
        </w:sectPr>
      </w:pPr>
    </w:p>
    <w:p w:rsidR="00826A71" w:rsidP="00826A71" w:rsidRDefault="0036091C" w14:paraId="18118388" w14:textId="6402A5FC">
      <w:pPr>
        <w:spacing w:after="480"/>
        <w:jc w:val="center"/>
        <w:rPr>
          <w:rFonts w:ascii="Times New Roman" w:hAnsi="Times New Roman" w:cs="Times New Roman"/>
          <w:b/>
          <w:bCs/>
        </w:rPr>
      </w:pPr>
      <w:bookmarkStart w:name="GENERALTABLE" w:id="0"/>
      <w:bookmarkStart w:name="_Hlk107583158" w:id="1"/>
      <w:bookmarkEnd w:id="0"/>
      <w:r w:rsidRPr="001D12C4">
        <w:rPr>
          <w:rFonts w:ascii="Times New Roman" w:hAnsi="Times New Roman" w:cs="Times New Roman"/>
          <w:b/>
          <w:bCs/>
        </w:rPr>
        <w:lastRenderedPageBreak/>
        <w:t>II. Критерии и показатели оценки заявок на участие в закупке</w:t>
      </w:r>
      <w:bookmarkEnd w:id="1"/>
    </w:p>
    <w:tbl>
      <w:tblPr>
        <w:tblBorders>
          <w:top w:val="single"/>
          <w:left w:val="single"/>
          <w:bottom w:val="single"/>
          <w:right w:val="single"/>
          <w:insideH w:val="single"/>
          <w:insideV w:val="single"/>
        </w:tblBorders>
        <w:tblW w:w="5000" w:type="pct"/>
        <w:tblLayout w:type="autofit"/>
        <w:tblInd w:w="0" w:type="dxa"/>
      </w:tblPr>
      <w:tr>
        <w:tc>
          <w:p>
            <w:pPr/>
            <w:r>
              <w:rPr>
                <w:rFonts w:ascii="Times New Roman" w:hAnsi="Times New Roman" w:eastAsia="Times New Roman" w:cs="Times New Roman"/>
                <w:sz w:val="22"/>
              </w:rPr>
              <w:t xml:space="preserve">N</w:t>
            </w:r>
          </w:p>
        </w:tc>
        <w:tc>
          <w:p>
            <w:pPr/>
            <w:r>
              <w:rPr>
                <w:rFonts w:ascii="Times New Roman" w:hAnsi="Times New Roman" w:eastAsia="Times New Roman" w:cs="Times New Roman"/>
                <w:sz w:val="22"/>
              </w:rPr>
              <w:t xml:space="preserve">Критерий оценки</w:t>
            </w:r>
          </w:p>
        </w:tc>
        <w:tc>
          <w:p>
            <w:pPr/>
            <w:r>
              <w:rPr>
                <w:rFonts w:ascii="Times New Roman" w:hAnsi="Times New Roman" w:eastAsia="Times New Roman" w:cs="Times New Roman"/>
                <w:sz w:val="22"/>
              </w:rPr>
              <w:t xml:space="preserve">Значимость критерия оценки, процентов</w:t>
            </w:r>
          </w:p>
        </w:tc>
        <w:tc>
          <w:p>
            <w:pPr/>
            <w:r>
              <w:rPr>
                <w:rFonts w:ascii="Times New Roman" w:hAnsi="Times New Roman" w:eastAsia="Times New Roman" w:cs="Times New Roman"/>
                <w:sz w:val="22"/>
              </w:rPr>
              <w:t xml:space="preserve">Показатель оценки</w:t>
            </w:r>
          </w:p>
        </w:tc>
        <w:tc>
          <w:p>
            <w:pPr/>
            <w:r>
              <w:rPr>
                <w:rFonts w:ascii="Times New Roman" w:hAnsi="Times New Roman" w:eastAsia="Times New Roman" w:cs="Times New Roman"/>
                <w:sz w:val="22"/>
              </w:rPr>
              <w:t xml:space="preserve">Значимость показателя оценки, процентов</w:t>
            </w:r>
          </w:p>
        </w:tc>
        <w:tc>
          <w:p>
            <w:pPr/>
            <w:r>
              <w:rPr>
                <w:rFonts w:ascii="Times New Roman" w:hAnsi="Times New Roman" w:eastAsia="Times New Roman" w:cs="Times New Roman"/>
                <w:sz w:val="22"/>
              </w:rPr>
              <w:t xml:space="preserve">Показатель оценки, детализирующий показатель оценки</w:t>
            </w:r>
          </w:p>
        </w:tc>
        <w:tc>
          <w:p>
            <w:pPr/>
            <w:r>
              <w:rPr>
                <w:rFonts w:ascii="Times New Roman" w:hAnsi="Times New Roman" w:eastAsia="Times New Roman" w:cs="Times New Roman"/>
                <w:sz w:val="22"/>
              </w:rPr>
              <w:t xml:space="preserve">Значимость показателя, детализирующего показатель оценки, процентов</w:t>
            </w:r>
          </w:p>
        </w:tc>
        <w:tc>
          <w:p>
            <w:pPr/>
            <w:r>
              <w:rPr>
                <w:rFonts w:ascii="Times New Roman" w:hAnsi="Times New Roman" w:eastAsia="Times New Roman" w:cs="Times New Roman"/>
                <w:sz w:val="22"/>
              </w:rPr>
              <w:t xml:space="preserve">Формула оценки или шкала оценки</w:t>
            </w:r>
          </w:p>
        </w:tc>
      </w:tr>
      <w:tr>
        <w:tc>
          <w:p>
            <w:pPr/>
            <w:r>
              <w:rPr>
                <w:rFonts w:ascii="Times New Roman" w:hAnsi="Times New Roman" w:eastAsia="Times New Roman" w:cs="Times New Roman"/>
                <w:sz w:val="22"/>
              </w:rPr>
              <w:t xml:space="preserve">1.</w:t>
            </w:r>
          </w:p>
        </w:tc>
        <w:tc>
          <w:p>
            <w:pPr/>
            <w:r>
              <w:rPr>
                <w:rFonts w:ascii="Times New Roman" w:hAnsi="Times New Roman" w:eastAsia="Times New Roman" w:cs="Times New Roman"/>
                <w:sz w:val="22"/>
              </w:rPr>
              <w:t xml:space="preserve">Цена контракта, сумма цен единиц товара, работы, услуги</w:t>
            </w:r>
          </w:p>
        </w:tc>
        <w:tc>
          <w:p>
            <w:pPr/>
            <w:r>
              <w:rPr>
                <w:rFonts w:ascii="Times New Roman" w:hAnsi="Times New Roman" w:eastAsia="Times New Roman" w:cs="Times New Roman"/>
                <w:sz w:val="22"/>
              </w:rPr>
              <w:t xml:space="preserve">30,00</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Оценка заявок осуществляется по одной из формул, предусмотренной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br/>
              <w:t xml:space="preserve"/>
              <w:br/>
              <w:t xml:space="preserve">а) за исключением случаев, предусмотренных подпунктом «б» пункта 9 Положения и пунктом 10 Положения, по формуле:</w:t>
              <w:br/>
              <w:t xml:space="preserve"/>
            </w:r>
          </w:p>
          <w:p>
            <w:r>
              <m:oMathPara>
                <m:oMath>
                  <m:sSub>
                    <m:sSubPr>
                      <m:ctrlPr>
                        <w:rPr>
                          <w:rFonts w:ascii="Cambria Math" w:hAnsi="Cambria Math"/>
                          <w:i/>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Ц</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Ц</m:t>
                              </m:r>
                            </m:e>
                            <m:sub>
                              <m:r>
                                <w:rPr>
                                  <w:rFonts w:ascii="Cambria Math" w:hAnsi="Cambria Math"/>
                                </w:rPr>
                                <m:t>л</m:t>
                              </m:r>
                            </m:sub>
                          </m:sSub>
                        </m:num>
                        <m:den>
                          <m:sSub>
                            <m:sSubPr>
                              <m:ctrlPr>
                                <w:rPr>
                                  <w:rFonts w:ascii="Cambria Math" w:hAnsi="Cambria Math"/>
                                  <w:i/>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r>
          </w:p>
          <w:p>
            <w:pPr/>
            <w:r>
              <w:rPr>
                <w:rFonts w:ascii="Times New Roman" w:hAnsi="Times New Roman" w:eastAsia="Times New Roman" w:cs="Times New Roman"/>
                <w:sz w:val="22"/>
              </w:rPr>
              <w:t xml:space="preserve">где:</w:t>
              <w:br/>
              <w:t xml:space="preserve">Цi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Федерального закона №44-ФЗ, в том числе при проведении в этом случае совместного конкурса), заявка (часть заявки) которого подлежит в соответствии с Федеральным законом №44-ФЗ оценке по критерию оценки "цена контракта, сумма цен единиц товара, работы, услуги" (далее - ценовое предложение);</w:t>
              <w:br/>
              <w:t xml:space="preserve">Цл - наилучшее ценовое предложение из числа предложенных в соответствии с Федеральным законом участниками закупки, заявки (части заявки) которых подлежат оценке по критерию оценки "цена контракта, сумма цен единиц товара, работы, услуги".</w:t>
              <w:br/>
              <w:t xml:space="preserve"/>
              <w:br/>
              <w:t xml:space="preserve">б) в случае если по результатам применения формулы, предусмотренной подпунктом "а" пункта 9 Положения,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 44-ФЗ оценке по указанному критерию оценки (БЦi), определяется по формуле: </w:t>
              <w:br/>
              <w:t xml:space="preserve"/>
            </w:r>
          </w:p>
          <w:p>
            <w:r>
              <m:oMathPara>
                <m:oMath>
                  <m:r>
                    <w:rPr>
                      <w:rFonts w:ascii="Cambria Math" w:hAnsi="Cambria Math"/>
                      <w:sz w:val="24"/>
                      <w:szCs w:val="24"/>
                    </w:rPr>
                    <m:t>Б</m:t>
                  </m:r>
                  <m:sSub>
                    <m:sSubPr>
                      <m:ctrlPr>
                        <w:rPr>
                          <w:rFonts w:ascii="Cambria Math" w:hAnsi="Cambria Math"/>
                          <w:i/>
                          <w:sz w:val="24"/>
                          <w:szCs w:val="24"/>
                          <w:lang w:val="en-US"/>
                        </w:rPr>
                      </m:ctrlPr>
                    </m:sSubPr>
                    <m:e>
                      <m:r>
                        <w:rPr>
                          <w:rFonts w:ascii="Cambria Math" w:hAnsi="Cambria Math"/>
                          <w:sz w:val="24"/>
                          <w:szCs w:val="24"/>
                        </w:rPr>
                        <m:t>Ц</m:t>
                      </m:r>
                      <m:ctrlPr>
                        <w:rPr>
                          <w:rFonts w:ascii="Cambria Math" w:hAnsi="Cambria Math"/>
                          <w:i/>
                          <w:sz w:val="24"/>
                          <w:szCs w:val="24"/>
                        </w:rPr>
                      </m:ctrlPr>
                    </m:e>
                    <m:sub>
                      <m:r>
                        <w:rPr>
                          <w:rFonts w:ascii="Cambria Math" w:hAnsi="Cambria Math"/>
                          <w:sz w:val="24"/>
                          <w:szCs w:val="24"/>
                          <w:lang w:val="en-US"/>
                        </w:rPr>
                        <m:t>i</m:t>
                      </m:r>
                    </m:sub>
                  </m:sSub>
                  <m:r>
                    <w:rPr>
                      <w:rFonts w:ascii="Cambria Math" w:hAnsi="Cambria Math"/>
                      <w:sz w:val="24"/>
                      <w:szCs w:val="24"/>
                      <w:lang w:val="en-US"/>
                    </w:rPr>
                    <m:t>=</m:t>
                  </m:r>
                  <m:d>
                    <m:dPr>
                      <m:ctrlPr>
                        <w:rPr>
                          <w:rFonts w:ascii="Cambria Math" w:hAnsi="Cambria Math"/>
                          <w:i/>
                          <w:sz w:val="24"/>
                          <w:szCs w:val="24"/>
                          <w:lang w:val="en-US"/>
                        </w:rPr>
                      </m:ctrlPr>
                    </m:dPr>
                    <m:e>
                      <m:sSub>
                        <m:sSubPr>
                          <m:ctrlPr>
                            <w:rPr>
                              <w:rFonts w:ascii="Cambria Math" w:hAnsi="Cambria Math"/>
                              <w:i/>
                              <w:sz w:val="24"/>
                              <w:szCs w:val="24"/>
                            </w:rPr>
                          </m:ctrlPr>
                        </m:sSubPr>
                        <m:e>
                          <m:r>
                            <w:rPr>
                              <w:rFonts w:ascii="Cambria Math" w:hAnsi="Cambria Math"/>
                              <w:sz w:val="24"/>
                              <w:szCs w:val="24"/>
                            </w:rPr>
                            <m:t>Ц</m:t>
                          </m:r>
                          <m:ctrlPr>
                            <w:rPr>
                              <w:rFonts w:ascii="Cambria Math" w:hAnsi="Cambria Math"/>
                              <w:i/>
                              <w:sz w:val="24"/>
                              <w:szCs w:val="24"/>
                              <w:lang w:val="en-US"/>
                            </w:rPr>
                          </m:ctrlPr>
                        </m:e>
                        <m:sub>
                          <m:r>
                            <w:rPr>
                              <w:rFonts w:ascii="Cambria Math" w:hAnsi="Cambria Math"/>
                              <w:sz w:val="24"/>
                              <w:szCs w:val="24"/>
                            </w:rPr>
                            <m:t>нач</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Ц</m:t>
                          </m:r>
                        </m:e>
                        <m:sub>
                          <m:r>
                            <w:rPr>
                              <w:rFonts w:ascii="Cambria Math" w:hAnsi="Cambria Math"/>
                              <w:sz w:val="24"/>
                              <w:szCs w:val="24"/>
                              <w:lang w:val="en-US"/>
                            </w:rPr>
                            <m:t>i</m:t>
                          </m:r>
                        </m:sub>
                      </m:sSub>
                    </m:e>
                  </m:d>
                  <m:r>
                    <w:rPr>
                      <w:rFonts w:ascii="Cambria Math" w:hAnsi="Cambria Math"/>
                      <w:sz w:val="24"/>
                      <w:szCs w:val="24"/>
                      <w:lang w:val="en-US"/>
                    </w:rPr>
                    <m:t>*</m:t>
                  </m:r>
                  <m:f>
                    <m:fPr>
                      <m:ctrlPr>
                        <w:rPr>
                          <w:rFonts w:ascii="Cambria Math" w:hAnsi="Cambria Math"/>
                          <w:i/>
                          <w:sz w:val="24"/>
                          <w:szCs w:val="24"/>
                          <w:lang w:val="en-US"/>
                        </w:rPr>
                      </m:ctrlPr>
                    </m:fPr>
                    <m:num>
                      <m:r>
                        <w:rPr>
                          <w:rFonts w:ascii="Cambria Math" w:hAnsi="Cambria Math"/>
                          <w:sz w:val="24"/>
                          <w:szCs w:val="24"/>
                          <w:lang w:val="en-US"/>
                        </w:rPr>
                        <m:t>100</m:t>
                      </m:r>
                    </m:num>
                    <m:den>
                      <m:sSub>
                        <m:sSubPr>
                          <m:ctrlPr>
                            <w:rPr>
                              <w:rFonts w:ascii="Cambria Math" w:hAnsi="Cambria Math"/>
                              <w:i/>
                              <w:sz w:val="24"/>
                              <w:szCs w:val="24"/>
                            </w:rPr>
                          </m:ctrlPr>
                        </m:sSubPr>
                        <m:e>
                          <m:r>
                            <w:rPr>
                              <w:rFonts w:ascii="Cambria Math" w:hAnsi="Cambria Math"/>
                              <w:sz w:val="24"/>
                              <w:szCs w:val="24"/>
                            </w:rPr>
                            <m:t>Ц</m:t>
                          </m:r>
                        </m:e>
                        <m:sub>
                          <m:r>
                            <w:rPr>
                              <w:rFonts w:ascii="Cambria Math" w:hAnsi="Cambria Math"/>
                              <w:sz w:val="24"/>
                              <w:szCs w:val="24"/>
                            </w:rPr>
                            <m:t>нач</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Ц</m:t>
                          </m:r>
                        </m:e>
                        <m:sub>
                          <m:r>
                            <w:rPr>
                              <w:rFonts w:ascii="Cambria Math" w:hAnsi="Cambria Math"/>
                              <w:sz w:val="24"/>
                              <w:szCs w:val="24"/>
                            </w:rPr>
                            <m:t>л</m:t>
                          </m:r>
                        </m:sub>
                      </m:sSub>
                    </m:den>
                  </m:f>
                </m:oMath>
              </m:oMathPara>
            </w:r>
          </w:p>
          <w:p>
            <w:pPr/>
            <w:r>
              <w:rPr>
                <w:rFonts w:ascii="Times New Roman" w:hAnsi="Times New Roman" w:eastAsia="Times New Roman" w:cs="Times New Roman"/>
                <w:sz w:val="22"/>
              </w:rPr>
              <w:t xml:space="preserve">где Цнач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Федерального закона № 44-ФЗ, в том числе при проведении в таком случае совместного конкурса). </w:t>
              <w:br/>
              <w:t xml:space="preserve"/>
              <w:br/>
              <w:t xml:space="preserve">Если при проведении процедуры подачи предложений о цене контракта либо о сумме цен единиц товара, работы, услуги (в случае, предусмотренном частью 24 статьи 22 Федерального закона №44-ФЗ) в соответствии с Федеральным законом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(БЦi) определяется в следующем порядке:</w:t>
              <w:br/>
              <w:t xml:space="preserve"/>
              <w:br/>
              <w:t xml:space="preserve">а) для подлежащей в соответствии с Федеральным законом №44-ФЗ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(БЦi) определяется по формуле:</w:t>
              <w:br/>
              <w:t xml:space="preserve"/>
            </w:r>
          </w:p>
          <w:p>
            <w:r>
              <m:oMathPara>
                <m:oMath>
                  <m:sSub>
                    <m:sSubPr>
                      <m:ctrlPr>
                        <w:rPr>
                          <w:rFonts w:ascii="Cambria Math" w:hAnsi="Cambria Math"/>
                          <w:i/>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Ц</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л</m:t>
                              </m:r>
                            </m:sub>
                          </m:sSub>
                        </m:num>
                        <m:den>
                          <m:sSub>
                            <m:sSubPr>
                              <m:ctrlPr>
                                <w:rPr>
                                  <w:rFonts w:ascii="Cambria Math" w:hAnsi="Cambria Math"/>
                                  <w:i/>
                                </w:rPr>
                              </m:ctrlPr>
                            </m:sSubPr>
                            <m:e>
                              <m:r>
                                <w:rPr>
                                  <w:rFonts w:ascii="Cambria Math" w:hAnsi="Cambria Math"/>
                                </w:rPr>
                                <m:t>Ц</m:t>
                              </m:r>
                            </m:e>
                            <m:sub>
                              <m:r>
                                <w:rPr>
                                  <w:rFonts w:ascii="Cambria Math" w:hAnsi="Cambria Math"/>
                                </w:rPr>
                                <m:t>нач</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r>
          </w:p>
          <w:p>
            <w:pPr/>
            <w:r>
              <w:rPr>
                <w:rFonts w:ascii="Times New Roman" w:hAnsi="Times New Roman" w:eastAsia="Times New Roman" w:cs="Times New Roman"/>
                <w:sz w:val="22"/>
              </w:rPr>
              <w:t xml:space="preserve">б) для подлежащей в соответствии с Федеральным законом  №44-ФЗ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(БЦi) определяется по формуле:</w:t>
            </w:r>
          </w:p>
          <w:p>
            <w:r>
              <m:oMathPara>
                <m:oMath>
                  <m:sSub>
                    <m:sSubPr>
                      <m:ctrlPr>
                        <w:rPr>
                          <w:rFonts w:ascii="Cambria Math" w:hAnsi="Cambria Math"/>
                          <w:i/>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Ц</m:t>
                              </m:r>
                            </m:e>
                            <m:sub>
                              <m:r>
                                <w:rPr>
                                  <w:rFonts w:ascii="Cambria Math" w:hAnsi="Cambria Math"/>
                                </w:rPr>
                                <m:t>л</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i</m:t>
                              </m:r>
                            </m:sub>
                          </m:sSub>
                        </m:num>
                        <m:den>
                          <m:sSub>
                            <m:sSubPr>
                              <m:ctrlPr>
                                <w:rPr>
                                  <w:rFonts w:ascii="Cambria Math" w:hAnsi="Cambria Math"/>
                                  <w:i/>
                                </w:rPr>
                              </m:ctrlPr>
                            </m:sSubPr>
                            <m:e>
                              <m:r>
                                <w:rPr>
                                  <w:rFonts w:ascii="Cambria Math" w:hAnsi="Cambria Math"/>
                                </w:rPr>
                                <m:t>Ц</m:t>
                              </m:r>
                            </m:e>
                            <m:sub>
                              <m:r>
                                <w:rPr>
                                  <w:rFonts w:ascii="Cambria Math" w:hAnsi="Cambria Math"/>
                                </w:rPr>
                                <m:t>нач</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r>
          </w:p>
        </w:tc>
      </w:tr>
      <w:tr>
        <w:tc>
          <w:p>
            <w:pPr/>
            <w:r>
              <w:rPr>
                <w:rFonts w:ascii="Times New Roman" w:hAnsi="Times New Roman" w:eastAsia="Times New Roman" w:cs="Times New Roman"/>
                <w:sz w:val="22"/>
              </w:rPr>
              <w:t xml:space="preserve">4.</w:t>
            </w:r>
          </w:p>
        </w:tc>
        <w:tc>
          <w:p>
            <w:pPr/>
            <w:r>
              <w:rPr>
                <w:rFonts w:ascii="Times New Roman" w:hAnsi="Times New Roman" w:eastAsia="Times New Roman" w:cs="Times New Roman"/>
                <w:sz w:val="22"/>
              </w:rPr>
              <w:t xml:space="preserve">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p>
            <w:pPr/>
            <w:r>
              <w:rPr>
                <w:rFonts w:ascii="Times New Roman" w:hAnsi="Times New Roman" w:eastAsia="Times New Roman" w:cs="Times New Roman"/>
                <w:sz w:val="22"/>
              </w:rPr>
              <w:t xml:space="preserve">70,00</w:t>
            </w:r>
          </w:p>
        </w:tc>
        <w:tc>
          <w:tcPr>
            <w:vMerge w:val="restart"/>
          </w:tcPr>
          <w:p>
            <w:pPr/>
            <w:r>
              <w:rPr>
                <w:rFonts w:ascii="Times New Roman" w:hAnsi="Times New Roman" w:eastAsia="Times New Roman" w:cs="Times New Roman"/>
                <w:sz w:val="22"/>
              </w:rPr>
              <w:t xml:space="preserve">Наличие у участников закупки специалистов и иных работников определенного уровня квалификации</w:t>
              <w:br/>
              <w:t xml:space="preserve"/>
            </w:r>
          </w:p>
        </w:tc>
        <w:tc>
          <w:tcPr>
            <w:vMerge w:val="restart"/>
          </w:tcPr>
          <w:p>
            <w:pPr/>
            <w:r>
              <w:rPr>
                <w:rFonts w:ascii="Times New Roman" w:hAnsi="Times New Roman" w:eastAsia="Times New Roman" w:cs="Times New Roman"/>
                <w:sz w:val="22"/>
              </w:rPr>
              <w:t xml:space="preserve">20,00</w:t>
            </w:r>
          </w:p>
        </w:tc>
        <w:tc>
          <w:p>
            <w:pPr/>
            <w:r>
              <w:rPr>
                <w:rFonts w:ascii="Times New Roman" w:hAnsi="Times New Roman" w:eastAsia="Times New Roman" w:cs="Times New Roman"/>
                <w:sz w:val="22"/>
              </w:rPr>
              <w:t xml:space="preserve">Характеристика квалификации участников закупки №2</w:t>
              <w:br/>
              <w:t xml:space="preserve">Общее количество квалифицированных специалистов</w:t>
            </w:r>
          </w:p>
        </w:tc>
        <w:tc>
          <w:p>
            <w:pPr/>
            <w:r>
              <w:rPr>
                <w:rFonts w:ascii="Times New Roman" w:hAnsi="Times New Roman" w:eastAsia="Times New Roman" w:cs="Times New Roman"/>
                <w:sz w:val="22"/>
              </w:rPr>
              <w:t xml:space="preserve">100,00</w:t>
            </w:r>
          </w:p>
        </w:tc>
        <w:tc>
          <w:p>
            <w:pPr/>
            <w:r>
              <w:rPr>
                <w:rFonts w:ascii="Times New Roman" w:hAnsi="Times New Roman" w:eastAsia="Times New Roman" w:cs="Times New Roman"/>
                <w:sz w:val="22"/>
              </w:rPr>
              <w:t xml:space="preserve">Лучшим является наибольшее значение характеристики, указанной в графе «Показатель оценки, детализирующий показатель оценки» настоящей строки, оценка заявок осуществляется по формуле, предусмотренной подпунктом «б» пункта 20 Положения:</w:t>
            </w:r>
          </w:p>
          <w:p>
            <w:r>
              <m:oMathPara>
                <m:oMath>
                  <m:sSub>
                    <m:sSubPr>
                      <m:ctrlPr>
                        <w:rPr>
                          <w:rFonts w:ascii="Cambria Math" w:hAnsi="Cambria Math"/>
                          <w:i/>
                        </w:rPr>
                      </m:ctrlPr>
                    </m:sSubPr>
                    <m:e>
                      <m:r>
                        <w:rPr>
                          <w:rFonts w:ascii="Cambria Math" w:hAnsi="Cambria Math"/>
                        </w:rPr>
                        <m:t>БХ</m:t>
                      </m:r>
                    </m:e>
                    <m:sub>
                      <m:r>
                        <w:rPr>
                          <w:rFonts w:ascii="Cambria Math" w:hAnsi="Cambria Math"/>
                        </w:rPr>
                        <m:t>i</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Х</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rPr>
                            <m:t>min</m:t>
                          </m:r>
                        </m:sub>
                      </m:sSub>
                    </m:e>
                  </m:d>
                  <m:r>
                    <w:rPr>
                      <w:rFonts w:ascii="Cambria Math" w:hAnsi="Cambria Math"/>
                    </w:rPr>
                    <m:t>*</m:t>
                  </m:r>
                  <m:f>
                    <m:fPr>
                      <m:ctrlPr>
                        <w:rPr>
                          <w:rFonts w:ascii="Cambria Math" w:hAnsi="Cambria Math"/>
                          <w:i/>
                        </w:rPr>
                      </m:ctrlPr>
                    </m:fPr>
                    <m:num>
                      <m:r>
                        <w:rPr>
                          <w:rFonts w:ascii="Cambria Math" w:hAnsi="Cambria Math"/>
                        </w:rPr>
                        <m:t>100</m:t>
                      </m:r>
                    </m:num>
                    <m:den>
                      <m:sSub>
                        <m:sSubPr>
                          <m:ctrlPr>
                            <w:rPr>
                              <w:rFonts w:ascii="Cambria Math" w:hAnsi="Cambria Math"/>
                              <w:i/>
                            </w:rPr>
                          </m:ctrlPr>
                        </m:sSubPr>
                        <m:e>
                          <m:r>
                            <w:rPr>
                              <w:rFonts w:ascii="Cambria Math" w:hAnsi="Cambria Math"/>
                            </w:rPr>
                            <m:t>Х</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rPr>
                            <m:t>min</m:t>
                          </m:r>
                        </m:sub>
                      </m:sSub>
                    </m:den>
                  </m:f>
                </m:oMath>
              </m:oMathPara>
            </w:r>
          </w:p>
          <w:p>
            <w:pPr/>
            <w:r>
              <w:rPr>
                <w:rFonts w:ascii="Times New Roman" w:hAnsi="Times New Roman" w:eastAsia="Times New Roman" w:cs="Times New Roman"/>
                <w:sz w:val="22"/>
              </w:rPr>
              <w:t xml:space="preserve">где:</w:t>
            </w:r>
          </w:p>
          <w:p>
            <w:pPr/>
            <w:r>
              <w:rPr>
                <w:rFonts w:ascii="Times New Roman" w:hAnsi="Times New Roman" w:eastAsia="Times New Roman" w:cs="Times New Roman"/>
                <w:sz w:val="22"/>
              </w:rPr>
              <w:t xml:space="preserve">Хmax - максимальное значение характеристики,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Хi - значение характеристики, содержащееся в предложении участника закупки, заявка (часть заявки) которого подлежит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Хmin - минимальное значение характеристики,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
            </w:r>
          </w:p>
        </w:tc>
      </w:tr>
      <w:tr>
        <w:tc>
          <w:tcPr>
            <w:vMerge/>
          </w:tcPr>
          <w:p>
            <w:r>
              <w:rPr/>
            </w:r>
          </w:p>
        </w:tc>
        <w:tc>
          <w:tcPr>
            <w:vMerge/>
          </w:tcPr>
          <w:p>
            <w:r>
              <w:rPr/>
            </w:r>
          </w:p>
        </w:tc>
        <w:tc>
          <w:tcPr>
            <w:vMerge/>
          </w:tcPr>
          <w:p>
            <w:r>
              <w:rPr/>
            </w:r>
          </w:p>
        </w:tc>
        <w:tc>
          <w:tcPr>
            <w:vMerge w:val="restart"/>
          </w:tcPr>
          <w:p>
            <w:pPr/>
            <w:r>
              <w:rPr>
                <w:rFonts w:ascii="Times New Roman" w:hAnsi="Times New Roman" w:eastAsia="Times New Roman" w:cs="Times New Roman"/>
                <w:sz w:val="22"/>
              </w:rPr>
              <w:t xml:space="preserve">Наличие у участников закупки опыта поставки товара, выполнения работы, оказания услуги, связанного с предметом контракта</w:t>
              <w:br/>
              <w:t xml:space="preserve"/>
            </w:r>
          </w:p>
        </w:tc>
        <w:tc>
          <w:tcPr>
            <w:vMerge w:val="restart"/>
          </w:tcPr>
          <w:p>
            <w:pPr/>
            <w:r>
              <w:rPr>
                <w:rFonts w:ascii="Times New Roman" w:hAnsi="Times New Roman" w:eastAsia="Times New Roman" w:cs="Times New Roman"/>
                <w:sz w:val="22"/>
              </w:rPr>
              <w:t xml:space="preserve">80,00</w:t>
            </w:r>
          </w:p>
        </w:tc>
        <w:tc>
          <w:p>
            <w:pPr/>
            <w:r>
              <w:rPr>
                <w:rFonts w:ascii="Times New Roman" w:hAnsi="Times New Roman" w:eastAsia="Times New Roman" w:cs="Times New Roman"/>
                <w:sz w:val="22"/>
              </w:rPr>
              <w:t xml:space="preserve">Характеристика квалификации участников закупки N 1</w:t>
              <w:br/>
              <w:t xml:space="preserve">Общая цена исполненных участником закупки договоров</w:t>
            </w:r>
          </w:p>
        </w:tc>
        <w:tc>
          <w:p>
            <w:pPr/>
            <w:r>
              <w:rPr>
                <w:rFonts w:ascii="Times New Roman" w:hAnsi="Times New Roman" w:eastAsia="Times New Roman" w:cs="Times New Roman"/>
                <w:sz w:val="22"/>
              </w:rPr>
              <w:t xml:space="preserve">100,00</w:t>
            </w:r>
          </w:p>
        </w:tc>
        <w:tc>
          <w:p>
            <w:pPr/>
            <w:r>
              <w:rPr>
                <w:rFonts w:ascii="Times New Roman" w:hAnsi="Times New Roman" w:eastAsia="Times New Roman" w:cs="Times New Roman"/>
                <w:sz w:val="22"/>
              </w:rPr>
              <w:t xml:space="preserve">Лучшим является наибольшее значение характеристики, указанной в графе «Показатель оценки, детализирующий показатель оценки» настоящей строки, оценка заявок осуществляется по формуле, предусмотренной подпунктом «б» пункта 20 Положения:</w:t>
            </w:r>
          </w:p>
          <w:p>
            <w:r>
              <m:oMathPara>
                <m:oMath>
                  <m:sSub>
                    <m:sSubPr>
                      <m:ctrlPr>
                        <w:rPr>
                          <w:rFonts w:ascii="Cambria Math" w:hAnsi="Cambria Math"/>
                          <w:i/>
                        </w:rPr>
                      </m:ctrlPr>
                    </m:sSubPr>
                    <m:e>
                      <m:r>
                        <w:rPr>
                          <w:rFonts w:ascii="Cambria Math" w:hAnsi="Cambria Math"/>
                        </w:rPr>
                        <m:t>БХ</m:t>
                      </m:r>
                    </m:e>
                    <m:sub>
                      <m:r>
                        <w:rPr>
                          <w:rFonts w:ascii="Cambria Math" w:hAnsi="Cambria Math"/>
                        </w:rPr>
                        <m:t>i</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Х</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rPr>
                            <m:t>min</m:t>
                          </m:r>
                        </m:sub>
                      </m:sSub>
                    </m:e>
                  </m:d>
                  <m:r>
                    <w:rPr>
                      <w:rFonts w:ascii="Cambria Math" w:hAnsi="Cambria Math"/>
                    </w:rPr>
                    <m:t>*</m:t>
                  </m:r>
                  <m:f>
                    <m:fPr>
                      <m:ctrlPr>
                        <w:rPr>
                          <w:rFonts w:ascii="Cambria Math" w:hAnsi="Cambria Math"/>
                          <w:i/>
                        </w:rPr>
                      </m:ctrlPr>
                    </m:fPr>
                    <m:num>
                      <m:r>
                        <w:rPr>
                          <w:rFonts w:ascii="Cambria Math" w:hAnsi="Cambria Math"/>
                        </w:rPr>
                        <m:t>100</m:t>
                      </m:r>
                    </m:num>
                    <m:den>
                      <m:sSub>
                        <m:sSubPr>
                          <m:ctrlPr>
                            <w:rPr>
                              <w:rFonts w:ascii="Cambria Math" w:hAnsi="Cambria Math"/>
                              <w:i/>
                            </w:rPr>
                          </m:ctrlPr>
                        </m:sSubPr>
                        <m:e>
                          <m:r>
                            <w:rPr>
                              <w:rFonts w:ascii="Cambria Math" w:hAnsi="Cambria Math"/>
                            </w:rPr>
                            <m:t>Х</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rPr>
                            <m:t>min</m:t>
                          </m:r>
                        </m:sub>
                      </m:sSub>
                    </m:den>
                  </m:f>
                </m:oMath>
              </m:oMathPara>
            </w:r>
          </w:p>
          <w:p>
            <w:pPr/>
            <w:r>
              <w:rPr>
                <w:rFonts w:ascii="Times New Roman" w:hAnsi="Times New Roman" w:eastAsia="Times New Roman" w:cs="Times New Roman"/>
                <w:sz w:val="22"/>
              </w:rPr>
              <w:t xml:space="preserve">где:</w:t>
            </w:r>
          </w:p>
          <w:p>
            <w:pPr/>
            <w:r>
              <w:rPr>
                <w:rFonts w:ascii="Times New Roman" w:hAnsi="Times New Roman" w:eastAsia="Times New Roman" w:cs="Times New Roman"/>
                <w:sz w:val="22"/>
              </w:rPr>
              <w:t xml:space="preserve">Хmax - максимальное значение характеристики,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Хi - значение характеристики, содержащееся в предложении участника закупки, заявка (часть заявки) которого подлежит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Хmin - минимальное значение характеристики,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
            </w:r>
          </w:p>
        </w:tc>
      </w:tr>
    </w:tbl>
    <w:p w:rsidRPr="00826A71" w:rsidR="00B52256" w:rsidRDefault="00B52256" w14:paraId="3395750C" w14:textId="5E5159DE">
      <w:pPr>
        <w:rPr>
          <w:rFonts w:ascii="Times New Roman" w:hAnsi="Times New Roman" w:cs="Times New Roman"/>
          <w:b/>
          <w:bCs/>
        </w:rPr>
      </w:pPr>
      <w:r>
        <w:br w:type="page"/>
      </w:r>
    </w:p>
    <w:tbl>
      <w:tblPr>
        <w:tblW w:w="14459" w:type="dxa"/>
        <w:tblLayout w:type="fixed"/>
        <w:tblCellMar>
          <w:top w:w="102" w:type="dxa"/>
          <w:left w:w="62" w:type="dxa"/>
          <w:bottom w:w="102" w:type="dxa"/>
          <w:right w:w="62" w:type="dxa"/>
        </w:tblCellMar>
        <w:tblLook w:val="04A0" w:firstRow="1" w:lastRow="0" w:firstColumn="1" w:lastColumn="0" w:noHBand="0" w:noVBand="1"/>
      </w:tblPr>
      <w:tblGrid>
        <w:gridCol w:w="14459"/>
      </w:tblGrid>
      <w:tr w:rsidRPr="00EB2BE7" w:rsidR="00F13C42" w:rsidTr="00FF0FAD" w14:paraId="04AF953A" w14:textId="77777777">
        <w:tc>
          <w:tcPr>
            <w:tcW w:w="14459" w:type="dxa"/>
            <w:tcBorders>
              <w:top w:val="nil"/>
              <w:left w:val="nil"/>
              <w:bottom w:val="nil"/>
              <w:right w:val="nil"/>
            </w:tcBorders>
          </w:tcPr>
          <w:p w:rsidRPr="00581314" w:rsidR="00F13C42" w:rsidP="00E46085" w:rsidRDefault="00F13C42" w14:paraId="6F28A0D9" w14:textId="77777777">
            <w:pPr>
              <w:pStyle w:val="ConsPlusNormal"/>
              <w:jc w:val="center"/>
              <w:outlineLvl w:val="2"/>
              <w:rPr>
                <w:rFonts w:ascii="Times New Roman" w:hAnsi="Times New Roman" w:cs="Times New Roman"/>
                <w:b/>
                <w:bCs/>
              </w:rPr>
            </w:pPr>
            <w:r w:rsidRPr="00581314">
              <w:rPr>
                <w:rFonts w:ascii="Times New Roman" w:hAnsi="Times New Roman" w:cs="Times New Roman"/>
                <w:b/>
                <w:bCs/>
              </w:rPr>
              <w:lastRenderedPageBreak/>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history="1" w:anchor="P306">
              <w:r w:rsidRPr="00581314">
                <w:rPr>
                  <w:rFonts w:ascii="Times New Roman" w:hAnsi="Times New Roman" w:cs="Times New Roman"/>
                  <w:b/>
                  <w:bCs/>
                </w:rPr>
                <w:t>разделом II</w:t>
              </w:r>
            </w:hyperlink>
            <w:r w:rsidRPr="00581314">
              <w:rPr>
                <w:rFonts w:ascii="Times New Roman" w:hAnsi="Times New Roman" w:cs="Times New Roman"/>
                <w:b/>
                <w:bCs/>
              </w:rPr>
              <w:t xml:space="preserve"> настоящего документа</w:t>
            </w:r>
          </w:p>
        </w:tc>
      </w:tr>
    </w:tbl>
    <w:p w:rsidR="00F13C42" w:rsidRDefault="00F13C42" w14:paraId="2F2D4E05" w14:textId="44B9BE0E"/>
    <w:p w:rsidR="00F13C42" w:rsidRDefault="00F13C42" w14:paraId="24BCFE52" w14:textId="77777777">
      <w:bookmarkStart w:name="DETAILEDTABLE" w:id="2"/>
      <w:bookmarkEnd w:id="2"/>
    </w:p>
    <w:tbl>
      <w:tblPr>
        <w:tblBorders>
          <w:top w:val="single"/>
          <w:left w:val="single"/>
          <w:bottom w:val="single"/>
          <w:right w:val="single"/>
          <w:insideH w:val="single"/>
          <w:insideV w:val="single"/>
        </w:tblBorders>
        <w:tblW w:w="5000" w:type="pct"/>
        <w:tblLayout w:type="autofit"/>
        <w:tblInd w:w="0" w:type="dxa"/>
      </w:tblPr>
      <w:tr>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p>
            <w:pPr/>
            <w:r>
              <w:rPr>
                <w:rFonts w:ascii="Times New Roman" w:hAnsi="Times New Roman" w:eastAsia="Times New Roman" w:cs="Times New Roman"/>
                <w:sz w:val="22"/>
              </w:rPr>
              <w:t xml:space="preserve">Положение о применении критерия оценки, показателя оценки, показателя оценки, детализирующего показатель оценки</w:t>
            </w:r>
          </w:p>
        </w:tc>
      </w:tr>
      <w:tr>
        <w:tc>
          <w:p>
            <w:pPr/>
            <w:r>
              <w:rPr>
                <w:rFonts w:ascii="Times New Roman" w:hAnsi="Times New Roman" w:eastAsia="Times New Roman" w:cs="Times New Roman"/>
                <w:sz w:val="22"/>
              </w:rPr>
              <w:t xml:space="preserve">1</w:t>
            </w:r>
          </w:p>
        </w:tc>
        <w:tc>
          <w:p>
            <w:pPr/>
            <w:r>
              <w:rPr>
                <w:rFonts w:ascii="Times New Roman" w:hAnsi="Times New Roman" w:eastAsia="Times New Roman" w:cs="Times New Roman"/>
                <w:sz w:val="22"/>
              </w:rPr>
              <w:t xml:space="preserve">2</w:t>
            </w:r>
          </w:p>
        </w:tc>
        <w:tc>
          <w:p>
            <w:pPr/>
            <w:r>
              <w:rPr>
                <w:rFonts w:ascii="Times New Roman" w:hAnsi="Times New Roman" w:eastAsia="Times New Roman" w:cs="Times New Roman"/>
                <w:sz w:val="22"/>
              </w:rPr>
              <w:t xml:space="preserve">3</w:t>
            </w:r>
          </w:p>
        </w:tc>
      </w:tr>
      <w:tr>
        <w:tc>
          <w:p>
            <w:pPr/>
            <w:r>
              <w:rPr>
                <w:rFonts w:ascii="Times New Roman" w:hAnsi="Times New Roman" w:eastAsia="Times New Roman" w:cs="Times New Roman"/>
                <w:sz w:val="22"/>
              </w:rPr>
              <w:t xml:space="preserve">1</w:t>
            </w:r>
          </w:p>
        </w:tc>
        <w:tc>
          <w:p>
            <w:pPr/>
            <w:r>
              <w:rPr>
                <w:rFonts w:ascii="Times New Roman" w:hAnsi="Times New Roman" w:eastAsia="Times New Roman" w:cs="Times New Roman"/>
                <w:sz w:val="22"/>
              </w:rPr>
              <w:t xml:space="preserve">Критерий:</w:t>
              <w:br/>
              <w:t xml:space="preserve">Цена контракта, сумма цен единиц товара, работы, услуги</w:t>
            </w:r>
          </w:p>
        </w:tc>
        <w:tc>
          <w:p>
            <w:pPr/>
            <w:r>
              <w:rPr>
                <w:rFonts w:ascii="Times New Roman" w:hAnsi="Times New Roman" w:eastAsia="Times New Roman" w:cs="Times New Roman"/>
                <w:sz w:val="22"/>
              </w:rPr>
              <w:t xml:space="preserve">Подпункт «а» пункта 3 Положения. </w:t>
              <w:br/>
              <w:t xml:space="preserve"/>
              <w:br/>
              <w:t xml:space="preserve">Оценка заявок по критерию оценки осуществляется в соответствии со следующими требованиями:</w:t>
              <w:br/>
              <w:t xml:space="preserve">а) заявкам, содержащим наилучшее ценовое предложение, а также предложение, равное такому наилучшему ценовому предложению, присваивается 100 баллов;</w:t>
              <w:br/>
              <w:t xml:space="preserve">б) значение Цл при применении формулы, предусмотренной подпунктом "а" пункта 10 Положения, и значения Цл и Цi при применении формулы, предусмотренной подпунктом "б" пункта 10 Положения, указываются без знака "минус".</w:t>
              <w:br/>
              <w:t xml:space="preserve"/>
              <w:br/>
              <w:t xml:space="preserve"/>
            </w:r>
          </w:p>
        </w:tc>
      </w:tr>
      <w:tr>
        <w:tc>
          <w:p>
            <w:pPr/>
            <w:r>
              <w:rPr>
                <w:rFonts w:ascii="Times New Roman" w:hAnsi="Times New Roman" w:eastAsia="Times New Roman" w:cs="Times New Roman"/>
                <w:sz w:val="22"/>
              </w:rPr>
              <w:t xml:space="preserve">4</w:t>
            </w:r>
          </w:p>
        </w:tc>
        <w:tc>
          <w:p>
            <w:pPr/>
            <w:r>
              <w:rPr>
                <w:rFonts w:ascii="Times New Roman" w:hAnsi="Times New Roman" w:eastAsia="Times New Roman" w:cs="Times New Roman"/>
                <w:sz w:val="22"/>
              </w:rPr>
              <w:t xml:space="preserve">Критерий:</w:t>
              <w:br/>
              <w:t xml:space="preserve">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p>
            <w:pPr/>
            <w:r>
              <w:rPr>
                <w:rFonts w:ascii="Times New Roman" w:hAnsi="Times New Roman" w:eastAsia="Times New Roman" w:cs="Times New Roman"/>
                <w:sz w:val="22"/>
              </w:rPr>
              <w:t xml:space="preserve">Подпункт «г» пункта 3 Положения</w:t>
            </w:r>
          </w:p>
        </w:tc>
      </w:tr>
      <w:tr>
        <w:tc>
          <w:p>
            <w:pPr/>
            <w:r>
              <w:rPr>
                <w:rFonts w:ascii="Times New Roman" w:hAnsi="Times New Roman" w:eastAsia="Times New Roman" w:cs="Times New Roman"/>
                <w:sz w:val="22"/>
              </w:rPr>
              <w:t xml:space="preserve">4.1</w:t>
            </w:r>
          </w:p>
        </w:tc>
        <w:tc>
          <w:p>
            <w:pPr/>
            <w:r>
              <w:rPr>
                <w:rFonts w:ascii="Times New Roman" w:hAnsi="Times New Roman" w:eastAsia="Times New Roman" w:cs="Times New Roman"/>
                <w:sz w:val="22"/>
              </w:rPr>
              <w:t xml:space="preserve">Показатель:</w:t>
              <w:br/>
              <w:t xml:space="preserve">Наличие у участников закупки специалистов и иных работников определенного уровня квалификации</w:t>
              <w:br/>
              <w:t xml:space="preserve"/>
            </w:r>
          </w:p>
        </w:tc>
        <w:tc>
          <w:p>
            <w:pPr/>
            <w:r>
              <w:rPr>
                <w:rFonts w:ascii="Times New Roman" w:hAnsi="Times New Roman" w:eastAsia="Times New Roman" w:cs="Times New Roman"/>
                <w:sz w:val="22"/>
              </w:rPr>
              <w:t xml:space="preserve">Подпункт «д» пункта 24 Положения </w:t>
              <w:br/>
            </w:r>
          </w:p>
        </w:tc>
      </w:tr>
      <w:tr>
        <w:tc>
          <w:p>
            <w:pPr/>
            <w:r>
              <w:rPr>
                <w:rFonts w:ascii="Times New Roman" w:hAnsi="Times New Roman" w:eastAsia="Times New Roman" w:cs="Times New Roman"/>
                <w:sz w:val="22"/>
              </w:rPr>
              <w:t xml:space="preserve">4.1.1</w:t>
            </w:r>
          </w:p>
        </w:tc>
        <w:tc>
          <w:p>
            <w:pPr/>
            <w:r>
              <w:rPr>
                <w:rFonts w:ascii="Times New Roman" w:hAnsi="Times New Roman" w:eastAsia="Times New Roman" w:cs="Times New Roman"/>
                <w:sz w:val="22"/>
              </w:rPr>
              <w:t xml:space="preserve">Детализирующий показатель: </w:t>
              <w:t xml:space="preserve">Характеристика квалификации участников закупки №2</w:t>
              <w:br/>
              <w:t xml:space="preserve">Общее количество квалифицированных специалистов</w:t>
              <w:br/>
            </w:r>
          </w:p>
        </w:tc>
        <w:tc>
          <w:p>
            <w:pPr/>
            <w:r>
              <w:rPr>
                <w:rFonts w:ascii="Times New Roman" w:hAnsi="Times New Roman" w:eastAsia="Times New Roman" w:cs="Times New Roman"/>
                <w:sz w:val="22"/>
              </w:rPr>
              <w:t xml:space="preserve">Подпункты «а» и «б» пункта 30 Положения Перечень специалистов и иных работников, их квалификация, необходимые для выполнения работ (оказания услуг), являющихся объектом закупки: Наличие у участника закупки специалистов и иных работников определенного уровня квалификации (далее - квалифицированных специалистов), имеющих высшее образование в сфере информационно – коммуникационных технологий по следующим направлениям подготовки (специальности) в соответствии с Общероссийским классификатором специальностей по образованию (ОКСО): - Прикладная математика и информатика (Код направления подготовки, специальности: 1.01.03.02 или 1.01.04.02); - Фундаментальная информатика и информационные технологии (Код направления подготовки, специальности: 1.02.03.02 или 1.02.04.02); - Математическое обеспечение и администрирование информационных систем (Код направления подготовки, специальности: 1.02.03.03 или 1.02.04.03); - Математика и компьютерные науки (Код направления подготовки, специальности: 1.02.03.01 или 1.02.04.01); - Компьютерные и информационные науки (Код направления подготовки, специальности: 1.02.06.01); - Информационные системы и технологии (Код направления подготовки, специальности: 2.09.03.02 или 2.09.04.02); - Прикладная информатика (Код направления подготовки, специальности: 2.09.03.03 или 2.09.04.03); - Программная инженерия (Код направления подготовки, специальности: 2.09.03.04 или 2.09.04.04); - Информатика и вычислительная техника (Код направления подготовки, специальности: 2.09.03.01 или 2.09.04.01 или 2.09.06.01); - Информационная безопасность (Код направления подготовки, специальности: 2.10.03.01 или 2.10.04.01 или 2.10.06.01); - Компьютерная безопасность (Код направления подготовки, специальности: 2.10.05.01); - Информационная безопасность телекоммуникационных систем (Код направления подготовки, специальности: 2.10.05.02); - Информационная безопасность автоматизированных систем (Код направления подготовки, специальности: 2.10.05.03); - Информационно-аналитические системы безопасности (Код направления подготовки, специальности: 2.10.05.04); - Безопасность информационных технологий в правоохранительной сфере (Код направления подготовки, специальности: 2.10.05.05); - Инфокоммуникационные технологии и системы связи (Код направления подготовки, специальности: 2.11.03.02 или 2.11.04.02); - Инфокоммуникационные технологии системы специальной связи (Код направления подготовки, специальности: 2.11.05.04). </w:t>
              <w:br/>
              <w:t xml:space="preserve">Перечень информации (в том числе данных) и документов, подтверждающих квалификацию участника закупки, наличие специалистов и иных работников, их квалификацию: </w:t>
              <w:br/>
              <w:t xml:space="preserve">1) копии трудовых книжек или сведения о трудовой деятельности, предусмотренные статьей 66.1 Трудового кодекса Российской Федерации.</w:t>
              <w:br/>
              <w:t xml:space="preserve">Сведения о трудовой деятельности предоставляются в составе заявки в форме электронных образов бумажных документов, заверенные надлежащим образом, или в форме электронного документа, подписанного усиленной квалифицированной электронной подписью уполномоченного лица.</w:t>
              <w:br/>
              <w:t xml:space="preserve">2) 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 </w:t>
              <w:br/>
              <w:t xml:space="preserve">Подтверждением наличия высшего образования по соответствующему направлению подготовки (специальности) являются предоставленные участником закупки в отношении каждого квалифицированного специалиста следующие документы: </w:t>
              <w:br/>
              <w:t xml:space="preserve">- копии дипломов о высшем образовании государственного образца.</w:t>
              <w:br/>
              <w:t xml:space="preserve">Документы направляются участником закупки в форме электронных документов или в форме электронных образов бумажных документов. При этом представленные документы должны быть в виде неповторяющихся, полно читаемых копий, на которых видны необходимые подписи и печати (при наличии). При оценке по показателю «Общее количество квалифицированных специалистов» сведения участника закупки о квалифицированных специалистах засчитываются только при условии предоставления в отношении каждого заявленного специалиста: документов, подтверждающих наличие высшего образования, документов, подтверждающих наличие трудовых и/или гражданско-правовых отношений с участником закупки. В случае неподтверждения участниками закупки данных о заявленных квалифицированных специалистах, информация не засчитывается в отношении тех специалистов, по которым не представлены подтверждающие документы, либо представлены документы, не соответствующие установленным требованиям. Участником закупки в качестве предложения по данному показателю в составе заявки предоставляется информация (в том числе данные) и документы, подтверждающие квалификацию участника закупки, наличие квалифицированных специалистов в рекомендованной форме «Сводные сведения о наличии у участников закупки квалифицированных специалистов» (Приложение № 3 к Порядку рассмотрения и оценки заявок на участие в конкурсе).</w:t>
              <w:br/>
              <w:t xml:space="preserve">Единица измерения: Человек </w:t>
              <w:br/>
              <w:t xml:space="preserve"/>
            </w:r>
          </w:p>
        </w:tc>
      </w:tr>
      <w:tr>
        <w:tc>
          <w:p>
            <w:pPr/>
            <w:r>
              <w:rPr>
                <w:rFonts w:ascii="Times New Roman" w:hAnsi="Times New Roman" w:eastAsia="Times New Roman" w:cs="Times New Roman"/>
                <w:sz w:val="22"/>
              </w:rPr>
              <w:t xml:space="preserve">4.2</w:t>
            </w:r>
          </w:p>
        </w:tc>
        <w:tc>
          <w:p>
            <w:pPr/>
            <w:r>
              <w:rPr>
                <w:rFonts w:ascii="Times New Roman" w:hAnsi="Times New Roman" w:eastAsia="Times New Roman" w:cs="Times New Roman"/>
                <w:sz w:val="22"/>
              </w:rPr>
              <w:t xml:space="preserve">Показатель:</w:t>
              <w:br/>
              <w:t xml:space="preserve">Наличие у участников закупки опыта поставки товара, выполнения работы, оказания услуги, связанного с предметом контракта</w:t>
              <w:br/>
              <w:t xml:space="preserve"/>
            </w:r>
          </w:p>
        </w:tc>
        <w:tc>
          <w:p>
            <w:pPr/>
            <w:r>
              <w:rPr>
                <w:rFonts w:ascii="Times New Roman" w:hAnsi="Times New Roman" w:eastAsia="Times New Roman" w:cs="Times New Roman"/>
                <w:sz w:val="22"/>
              </w:rPr>
              <w:t xml:space="preserve">Подпункт «в» пункта 24 Положения </w:t>
              <w:br/>
            </w:r>
          </w:p>
        </w:tc>
      </w:tr>
      <w:tr>
        <w:tc>
          <w:p>
            <w:pPr/>
            <w:r>
              <w:rPr>
                <w:rFonts w:ascii="Times New Roman" w:hAnsi="Times New Roman" w:eastAsia="Times New Roman" w:cs="Times New Roman"/>
                <w:sz w:val="22"/>
              </w:rPr>
              <w:t xml:space="preserve">4.2.1</w:t>
            </w:r>
          </w:p>
        </w:tc>
        <w:tc>
          <w:p>
            <w:pPr/>
            <w:r>
              <w:rPr>
                <w:rFonts w:ascii="Times New Roman" w:hAnsi="Times New Roman" w:eastAsia="Times New Roman" w:cs="Times New Roman"/>
                <w:sz w:val="22"/>
              </w:rPr>
              <w:t xml:space="preserve">Детализирующий показатель: </w:t>
              <w:t xml:space="preserve">Характеристика квалификации участников закупки N 1</w:t>
              <w:br/>
              <w:t xml:space="preserve">Общая цена исполненных участником закупки договоров</w:t>
              <w:br/>
            </w:r>
          </w:p>
        </w:tc>
        <w:tc>
          <w:p>
            <w:pPr/>
            <w:r>
              <w:rPr>
                <w:rFonts w:ascii="Times New Roman" w:hAnsi="Times New Roman" w:eastAsia="Times New Roman" w:cs="Times New Roman"/>
                <w:sz w:val="22"/>
              </w:rPr>
              <w:t xml:space="preserve">Подпункт «а» пункта 28 Положения </w:t>
              <w:br/>
              <w:t xml:space="preserve">Требования к документам для оценки показателя: </w:t>
              <w:br/>
              <w:t xml:space="preserve">Наличие исполненного договора (договоров) на выполнение работ (оказание услуг) по развитию и (или) созданию и (или) модернизации и (или) сопровождению информационных систем, предназначенных для исполнения функций федеральных органов исполнительной власти и/или органов государственной власти субъектов Российской Федерации и/или органов местного самоуправления.</w:t>
              <w:br/>
              <w:t xml:space="preserve">Перечень документов, подтверждающих наличие у участника закупки опыта выполнения работ (оказания услуг): 1) исполненный договор (договоры); 2) акт (акты) приемки выполненных работ (оказанных услуг), составленные при исполнении такого договора (договоров); - последний акт, составленный при исполнении договора должен быть подписан не ранее чем за 5 лет до даты окончания срока подачи заявок; - к оценке принимаются исполненные участником закупки с учетом правопреемства (в случае наличия в заявке подтверждающего документа) контракты, заключенные и исполненные в соответствии с Федеральным законом № 44-ФЗ, и договоры, заключенные и исполненные в соответствии с Федеральным законом № 223-ФЗ «О закупках товаров, работ, услуг отдельными видами юридических лиц»; - к оценке принимаются документы: исполненный договор (договоры), акт (акты) приемки выполненных работ (оказанных услуг), составленные при исполнении такого договора (договоров), в случае их представления в заявке в полном объеме и со всеми приложениями, за исключением случаев, предусмотренных подпунктом "д" пункта 31 Положения, а именно: к оценке принимаются документы, в том числе если к ним не приложена проектная документация (если проектная документация является приложением к таким документам). Документы направляются участником закупки в форме электронных документов или в форме электронных образов бумажных документов. Каждый договор (контракт) должен быть исполнен участником закупки в полном объеме в соответствии с условиями, установленными в таком договоре (контракте). При этом представленные документы должны быть в виде неповторяющихся, полно читаемых копий, на которых видны необходимые подписи и печати (при наличии). Оценке не подлежат договоры (контракты), работы (услуги) по которым продолжаются и (или) не выполнены (являются незавершенными). Если такие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 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участником закупки, приоритет имеет информация, содержащаяся в единой информационной системе. Участник закупки вправе указать представленные в составе заявки контракты и (или) договоры и (или) номера реестровых записей из соответствующего реестра в рекомендованной форме «Квалификация участников закупки» (Приложение № 1 к Порядку рассмотрения и оценки заявок на участие в конкурсе).</w:t>
              <w:br/>
              <w:t xml:space="preserve">Единица измерения: Рубль </w:t>
              <w:br/>
              <w:t xml:space="preserve">Участник закупки вправе указать представленные в составе заявки контракты и (или) договоры и (или) номера реестровых записей из соответствующего реестра в рекомендованной форме «Квалификация участников закупки» (Приложение №1 к Порядку рассмотрения и оценки заявок на участие в конкурсе).</w:t>
            </w:r>
          </w:p>
        </w:tc>
      </w:tr>
    </w:tbl>
    <w:p w:rsidR="0067777B" w:rsidRDefault="0081244D" w14:paraId="1C5901E7" w14:textId="1DAAB78A">
      <w:r>
        <w:br w:type="page"/>
      </w:r>
    </w:p>
    <w:p w:rsidRPr="00BC7D1C" w:rsidR="00BC7D1C" w:rsidP="00BC7D1C" w:rsidRDefault="00BC7D1C" w14:paraId="303B5AA9" w14:textId="593842D9">
      <w:pPr>
        <w:jc w:val="right"/>
        <w:rPr>
          <w:rFonts w:ascii="Times New Roman" w:hAnsi="Times New Roman" w:cs="Times New Roman"/>
        </w:rPr>
      </w:pPr>
      <w:r w:rsidRPr="002674CF">
        <w:rPr>
          <w:rFonts w:ascii="Times New Roman" w:hAnsi="Times New Roman" w:cs="Times New Roman" w:eastAsiaTheme="majorEastAsia"/>
          <w:color w:val="000000" w:themeColor="text1"/>
          <w:kern w:val="24"/>
        </w:rPr>
        <w:lastRenderedPageBreak/>
        <w:t xml:space="preserve">Приложение </w:t>
      </w:r>
      <w:r w:rsidRPr="007B6841" w:rsidR="007B6841">
        <w:rPr>
          <w:rFonts w:ascii="Times New Roman" w:hAnsi="Times New Roman" w:cs="Times New Roman" w:eastAsiaTheme="majorEastAsia"/>
          <w:kern w:val="24"/>
        </w:rPr>
        <w:t>№1</w:t>
      </w:r>
      <w:r w:rsidRPr="002674CF">
        <w:rPr>
          <w:rFonts w:ascii="Times New Roman" w:hAnsi="Times New Roman" w:cs="Times New Roman" w:eastAsiaTheme="majorEastAsia"/>
          <w:color w:val="000000" w:themeColor="text1"/>
          <w:kern w:val="24"/>
        </w:rPr>
        <w:br/>
        <w:t xml:space="preserve">к </w:t>
      </w:r>
      <w:r w:rsidR="008338AA">
        <w:rPr>
          <w:rFonts w:ascii="Times New Roman" w:hAnsi="Times New Roman" w:cs="Times New Roman" w:eastAsiaTheme="majorEastAsia"/>
          <w:color w:val="000000" w:themeColor="text1"/>
          <w:kern w:val="24"/>
        </w:rPr>
        <w:t>П</w:t>
      </w:r>
      <w:r w:rsidRPr="002674CF">
        <w:rPr>
          <w:rFonts w:ascii="Times New Roman" w:hAnsi="Times New Roman" w:cs="Times New Roman" w:eastAsiaTheme="majorEastAsia"/>
          <w:color w:val="000000" w:themeColor="text1"/>
          <w:kern w:val="24"/>
        </w:rPr>
        <w:t xml:space="preserve">орядку рассмотрения и оценки </w:t>
      </w:r>
      <w:r w:rsidRPr="002674CF">
        <w:rPr>
          <w:rFonts w:ascii="Times New Roman" w:hAnsi="Times New Roman" w:cs="Times New Roman" w:eastAsiaTheme="majorEastAsia"/>
          <w:color w:val="000000" w:themeColor="text1"/>
          <w:kern w:val="24"/>
        </w:rPr>
        <w:br/>
        <w:t>заявок на участие в конкурсе</w:t>
      </w:r>
    </w:p>
    <w:p w:rsidR="0067777B" w:rsidP="00DA623C" w:rsidRDefault="00A07020" w14:paraId="374AB56D" w14:textId="38D9411F">
      <w:pPr>
        <w:jc w:val="center"/>
      </w:pPr>
      <w:r w:rsidRPr="0003236D">
        <w:rPr>
          <w:rFonts w:ascii="Times New Roman" w:hAnsi="Times New Roman" w:cs="Times New Roman"/>
          <w:b/>
          <w:bCs/>
          <w:sz w:val="24"/>
          <w:szCs w:val="24"/>
        </w:rPr>
        <w:t>Рекомендованная форма «Квалификация участников закупки»</w:t>
      </w:r>
    </w:p>
    <w:p w:rsidR="006B4A43" w:rsidRDefault="006B4A43" w14:paraId="43F4A9E0" w14:textId="77777777">
      <w:bookmarkStart w:name="QualPurchaseParticipantTable" w:id="3"/>
      <w:bookmarkEnd w:id="3"/>
    </w:p>
    <w:tbl>
      <w:tblPr>
        <w:tblBorders>
          <w:top w:val="single"/>
          <w:left w:val="single"/>
          <w:bottom w:val="single"/>
          <w:right w:val="single"/>
          <w:insideH w:val="single"/>
          <w:insideV w:val="single"/>
        </w:tblBorders>
        <w:tblW w:w="5000" w:type="pct"/>
        <w:tblLayout w:type="autofit"/>
        <w:tblInd w:w="0" w:type="dxa"/>
      </w:tblPr>
      <w:tr>
        <w:tc>
          <w:p>
            <w:pPr/>
            <w:r>
              <w:rPr>
                <w:rFonts w:ascii="Times New Roman" w:hAnsi="Times New Roman" w:eastAsia="Times New Roman" w:cs="Times New Roman"/>
                <w:sz w:val="22"/>
              </w:rPr>
              <w:t xml:space="preserve">№ п/п</w:t>
            </w:r>
          </w:p>
        </w:tc>
        <w:tc>
          <w:p>
            <w:pPr/>
            <w:r>
              <w:rPr>
                <w:rFonts w:ascii="Times New Roman" w:hAnsi="Times New Roman" w:eastAsia="Times New Roman" w:cs="Times New Roman"/>
                <w:sz w:val="22"/>
              </w:rPr>
              <w:t xml:space="preserve">Номер реестровой записи из соответствующего реестра
</w:t>
              <w:br/>
              <w:t xml:space="preserve">(при наличии)
</w:t>
              <w:br/>
              <w:t xml:space="preserve"/>
            </w:r>
          </w:p>
        </w:tc>
        <w:tc>
          <w:p>
            <w:pPr/>
            <w:r>
              <w:rPr>
                <w:rFonts w:ascii="Times New Roman" w:hAnsi="Times New Roman" w:eastAsia="Times New Roman" w:cs="Times New Roman"/>
                <w:sz w:val="22"/>
              </w:rPr>
              <w:t xml:space="preserve">Номер контракта (договора)</w:t>
            </w:r>
          </w:p>
        </w:tc>
        <w:tc>
          <w:p>
            <w:pPr/>
            <w:r>
              <w:rPr>
                <w:rFonts w:ascii="Times New Roman" w:hAnsi="Times New Roman" w:eastAsia="Times New Roman" w:cs="Times New Roman"/>
                <w:sz w:val="22"/>
              </w:rPr>
              <w:t xml:space="preserve">Наименование Заказчика по контракту (договору), в том числе ИНН</w:t>
            </w:r>
          </w:p>
        </w:tc>
        <w:tc>
          <w:p>
            <w:pPr/>
            <w:r>
              <w:rPr>
                <w:rFonts w:ascii="Times New Roman" w:hAnsi="Times New Roman" w:eastAsia="Times New Roman" w:cs="Times New Roman"/>
                <w:sz w:val="22"/>
              </w:rPr>
              <w:t xml:space="preserve">Дата заключения контракта (договора)</w:t>
            </w:r>
          </w:p>
        </w:tc>
        <w:tc>
          <w:p>
            <w:pPr/>
            <w:r>
              <w:rPr>
                <w:rFonts w:ascii="Times New Roman" w:hAnsi="Times New Roman" w:eastAsia="Times New Roman" w:cs="Times New Roman"/>
                <w:sz w:val="22"/>
              </w:rPr>
              <w:t xml:space="preserve">Наименование предмета контракта (договора)</w:t>
            </w:r>
          </w:p>
        </w:tc>
        <w:tc>
          <w:p>
            <w:pPr/>
            <w:r>
              <w:rPr>
                <w:rFonts w:ascii="Times New Roman" w:hAnsi="Times New Roman" w:eastAsia="Times New Roman" w:cs="Times New Roman"/>
                <w:sz w:val="22"/>
              </w:rPr>
              <w:t xml:space="preserve">Цена контракта (договора) (рублей)</w:t>
            </w:r>
          </w:p>
        </w:tc>
        <w:tc>
          <w:p>
            <w:pPr/>
            <w:r>
              <w:rPr>
                <w:rFonts w:ascii="Times New Roman" w:hAnsi="Times New Roman" w:eastAsia="Times New Roman" w:cs="Times New Roman"/>
                <w:sz w:val="22"/>
              </w:rPr>
              <w:t xml:space="preserve">Стоимость исполненных обязательств в стоимостном выражении
</w:t>
              <w:br/>
              <w:t xml:space="preserve">(рублей)
</w:t>
              <w:br/>
              <w:t xml:space="preserve"/>
            </w:r>
          </w:p>
        </w:tc>
        <w:tc>
          <w:p>
            <w:pPr/>
            <w:r>
              <w:rPr>
                <w:rFonts w:ascii="Times New Roman" w:hAnsi="Times New Roman" w:eastAsia="Times New Roman" w:cs="Times New Roman"/>
                <w:sz w:val="22"/>
              </w:rPr>
              <w:t xml:space="preserve">Номер, дата и сумма документа(ов), подтверждающего исполнение обязательств</w:t>
            </w:r>
          </w:p>
        </w:tc>
        <w:tc>
          <w:p>
            <w:pPr/>
            <w:r>
              <w:rPr>
                <w:rFonts w:ascii="Times New Roman" w:hAnsi="Times New Roman" w:eastAsia="Times New Roman" w:cs="Times New Roman"/>
                <w:sz w:val="22"/>
              </w:rPr>
              <w:t xml:space="preserve">Примечание</w:t>
            </w:r>
          </w:p>
        </w:tc>
      </w:tr>
      <w:tr>
        <w:tc>
          <w:p/>
        </w:tc>
        <w:tc>
          <w:p/>
        </w:tc>
        <w:tc>
          <w:p/>
        </w:tc>
        <w:tc>
          <w:p/>
        </w:tc>
        <w:tc>
          <w:p/>
        </w:tc>
        <w:tc>
          <w:p/>
        </w:tc>
        <w:tc>
          <w:p/>
        </w:tc>
        <w:tc>
          <w:p/>
        </w:tc>
        <w:tc>
          <w:p/>
        </w:tc>
        <w:tc>
          <w:p/>
        </w:tc>
      </w:tr>
      <w:tr>
        <w:tc>
          <w:p/>
        </w:tc>
        <w:tc>
          <w:p/>
        </w:tc>
        <w:tc>
          <w:p/>
        </w:tc>
        <w:tc>
          <w:p/>
        </w:tc>
        <w:tc>
          <w:p/>
        </w:tc>
        <w:tc>
          <w:p/>
        </w:tc>
        <w:tc>
          <w:p/>
        </w:tc>
        <w:tc>
          <w:p/>
        </w:tc>
        <w:tc>
          <w:p/>
        </w:tc>
        <w:tc>
          <w:p/>
        </w:tc>
      </w:tr>
      <w:tr>
        <w:tc>
          <w:p/>
        </w:tc>
        <w:tc>
          <w:p/>
        </w:tc>
        <w:tc>
          <w:p/>
        </w:tc>
        <w:tc>
          <w:p/>
        </w:tc>
        <w:tc>
          <w:p/>
        </w:tc>
        <w:tc>
          <w:p/>
        </w:tc>
        <w:tc>
          <w:p/>
        </w:tc>
        <w:tc>
          <w:p/>
        </w:tc>
        <w:tc>
          <w:p/>
        </w:tc>
        <w:tc>
          <w:p/>
        </w:tc>
      </w:tr>
      <w:tr>
        <w:tc>
          <w:p/>
        </w:tc>
        <w:tc>
          <w:p/>
        </w:tc>
        <w:tc>
          <w:p/>
        </w:tc>
        <w:tc>
          <w:p/>
        </w:tc>
        <w:tc>
          <w:p/>
        </w:tc>
        <w:tc>
          <w:p/>
        </w:tc>
        <w:tc>
          <w:p/>
        </w:tc>
        <w:tc>
          <w:p/>
        </w:tc>
        <w:tc>
          <w:p/>
        </w:tc>
        <w:tc>
          <w:p/>
        </w:tc>
      </w:tr>
    </w:tbl>
    <w:p w:rsidRPr="00740892" w:rsidR="00DF1ADA" w:rsidRDefault="00E44C01" w14:paraId="4696FB12" w14:textId="3DBD2B43">
      <w:r>
        <w:rPr>
          <w:lang w:val="en-US"/>
        </w:rPr>
        <w:t/>
        <w:rPr>
          <w:rFonts w:ascii="Times New Roman" w:hAnsi="Times New Roman" w:eastAsia="Times New Roman" w:cs="Times New Roman"/>
          <w:sz w:val="22"/>
        </w:rPr>
        <w:t xml:space="preserve"/>
        <w:t xml:space="preserve"/>
        <w:rPr>
          <w:lang w:val="en-US"/>
        </w:rPr>
      </w:r>
    </w:p>
    <w:p w:rsidR="0081244D" w:rsidRDefault="0081244D" w14:paraId="292AC7AB" w14:textId="5C87CD04">
      <w:r>
        <w:br w:type="page"/>
      </w:r>
    </w:p>
    <w:p w:rsidR="00DF1ADA" w:rsidRDefault="00DF1ADA" w14:paraId="60D0E8C5" w14:textId="77777777"/>
    <w:p w:rsidR="00BC7D1C" w:rsidP="00BC7D1C" w:rsidRDefault="00BC7D1C" w14:paraId="4FBF4588" w14:textId="278ECA6F">
      <w:pPr>
        <w:pStyle w:val="a8"/>
        <w:spacing w:before="0" w:beforeAutospacing="0" w:after="0" w:afterAutospacing="0" w:line="216" w:lineRule="auto"/>
        <w:jc w:val="right"/>
      </w:pPr>
      <w:r w:rsidRPr="002674CF">
        <w:rPr>
          <w:rFonts w:eastAsiaTheme="majorEastAsia"/>
          <w:color w:val="000000" w:themeColor="text1"/>
          <w:kern w:val="24"/>
        </w:rPr>
        <w:t>Приложение 2</w:t>
      </w:r>
      <w:r w:rsidRPr="002674CF">
        <w:rPr>
          <w:rFonts w:eastAsiaTheme="majorEastAsia"/>
          <w:color w:val="000000" w:themeColor="text1"/>
          <w:kern w:val="24"/>
        </w:rPr>
        <w:br/>
        <w:t xml:space="preserve">к порядку рассмотрения и оценки </w:t>
      </w:r>
      <w:r w:rsidRPr="002674CF">
        <w:rPr>
          <w:rFonts w:eastAsiaTheme="majorEastAsia"/>
          <w:color w:val="000000" w:themeColor="text1"/>
          <w:kern w:val="24"/>
        </w:rPr>
        <w:br/>
        <w:t>заявок на участие в конкурсе</w:t>
      </w:r>
    </w:p>
    <w:p w:rsidRPr="002674CF" w:rsidR="00DF1ADA" w:rsidP="00DF1ADA" w:rsidRDefault="00DF1ADA" w14:paraId="67EE3E0C" w14:textId="77777777">
      <w:pPr>
        <w:jc w:val="center"/>
        <w:rPr>
          <w:rFonts w:ascii="Times New Roman" w:hAnsi="Times New Roman" w:eastAsia="Times New Roman" w:cs="Times New Roman"/>
          <w:b/>
        </w:rPr>
      </w:pPr>
      <w:r w:rsidRPr="002674CF">
        <w:rPr>
          <w:rFonts w:ascii="Times New Roman" w:hAnsi="Times New Roman" w:eastAsia="Times New Roman" w:cs="Times New Roman"/>
          <w:b/>
        </w:rPr>
        <w:t>«Перечень свойств объекта закупки, подлежащих оценке, рекомендуемая форма предоставления предложений участником закупки о свойствах объекта закупки, подлежащих оценке»</w:t>
      </w:r>
    </w:p>
    <w:p w:rsidR="00DF1ADA" w:rsidRDefault="00DF1ADA" w14:paraId="693AB4B3" w14:textId="77777777">
      <w:bookmarkStart w:name="ObjectCharPropertyTable" w:id="4"/>
      <w:bookmarkEnd w:id="4"/>
    </w:p>
    <w:p w:rsidR="00DA5756" w:rsidRDefault="00DA5756" w14:paraId="672EA756" w14:textId="79B29221">
      <w:pPr>
        <w:rPr>
          <w:lang w:val="en-US"/>
        </w:rPr>
      </w:pPr>
      <w:r>
        <w:rPr>
          <w:lang w:val="en-US"/>
        </w:rPr>
        <w:t/>
        <w:rPr>
          <w:rFonts w:ascii="Times New Roman" w:hAnsi="Times New Roman" w:eastAsia="Times New Roman" w:cs="Times New Roman"/>
          <w:sz w:val="22"/>
        </w:rPr>
        <w:t xml:space="preserve">Не предусмотрено</w:t>
        <w:t xml:space="preserve"/>
        <w:rPr>
          <w:lang w:val="en-US"/>
        </w:rPr>
      </w:r>
    </w:p>
    <w:p w:rsidRPr="00DA5756" w:rsidR="00CC3487" w:rsidRDefault="00CC3487" w14:paraId="32E5D987" w14:textId="71C937E3">
      <w:pPr>
        <w:rPr>
          <w:lang w:val="en-US"/>
        </w:rPr>
      </w:pPr>
    </w:p>
    <w:sectPr w:rsidRPr="00DA5756" w:rsidR="00CC3487" w:rsidSect="009E1E0E">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http://schemas.openxmlformats.org/wordprocessingml/2006/main"/>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313"/>
    <w:rsid w:val="00033313"/>
    <w:rsid w:val="000F342C"/>
    <w:rsid w:val="000F3768"/>
    <w:rsid w:val="00115C02"/>
    <w:rsid w:val="001D12C4"/>
    <w:rsid w:val="001D48F7"/>
    <w:rsid w:val="0024501E"/>
    <w:rsid w:val="002F3B3E"/>
    <w:rsid w:val="0036091C"/>
    <w:rsid w:val="003F1954"/>
    <w:rsid w:val="004524A4"/>
    <w:rsid w:val="0067777B"/>
    <w:rsid w:val="00680E31"/>
    <w:rsid w:val="006B4A43"/>
    <w:rsid w:val="00740892"/>
    <w:rsid w:val="007B6841"/>
    <w:rsid w:val="007D4F56"/>
    <w:rsid w:val="0081244D"/>
    <w:rsid w:val="00826A71"/>
    <w:rsid w:val="008338AA"/>
    <w:rsid w:val="00955E38"/>
    <w:rsid w:val="009E1E0E"/>
    <w:rsid w:val="00A07020"/>
    <w:rsid w:val="00A716E5"/>
    <w:rsid w:val="00AC7B22"/>
    <w:rsid w:val="00AF06A6"/>
    <w:rsid w:val="00B133AD"/>
    <w:rsid w:val="00B52256"/>
    <w:rsid w:val="00B72EB7"/>
    <w:rsid w:val="00B92C06"/>
    <w:rsid w:val="00BC7D1C"/>
    <w:rsid w:val="00CB1740"/>
    <w:rsid w:val="00CC3487"/>
    <w:rsid w:val="00DA5756"/>
    <w:rsid w:val="00DA623C"/>
    <w:rsid w:val="00DC512C"/>
    <w:rsid w:val="00DD4BAD"/>
    <w:rsid w:val="00DF1ADA"/>
    <w:rsid w:val="00E44C01"/>
    <w:rsid w:val="00F13C42"/>
    <w:rsid w:val="00F13D14"/>
    <w:rsid w:val="00FD2AB3"/>
    <w:rsid w:val="00FF0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1CB0E"/>
  <w15:chartTrackingRefBased/>
  <w15:docId w15:val="{95221F4D-8177-4AB0-AD01-58E828CAE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5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3C42"/>
    <w:pPr>
      <w:widowControl w:val="0"/>
      <w:autoSpaceDE w:val="0"/>
      <w:autoSpaceDN w:val="0"/>
      <w:spacing w:after="0" w:line="240" w:lineRule="auto"/>
    </w:pPr>
    <w:rPr>
      <w:rFonts w:ascii="Calibri" w:eastAsia="Times New Roman" w:hAnsi="Calibri" w:cs="Calibri"/>
      <w:szCs w:val="20"/>
      <w:lang w:eastAsia="ru-RU"/>
    </w:rPr>
  </w:style>
  <w:style w:type="character" w:styleId="a3">
    <w:name w:val="annotation reference"/>
    <w:basedOn w:val="a0"/>
    <w:uiPriority w:val="99"/>
    <w:semiHidden/>
    <w:unhideWhenUsed/>
    <w:rsid w:val="00F13C42"/>
    <w:rPr>
      <w:sz w:val="16"/>
      <w:szCs w:val="16"/>
    </w:rPr>
  </w:style>
  <w:style w:type="paragraph" w:styleId="a4">
    <w:name w:val="annotation text"/>
    <w:basedOn w:val="a"/>
    <w:link w:val="a5"/>
    <w:uiPriority w:val="99"/>
    <w:unhideWhenUsed/>
    <w:rsid w:val="00F13C42"/>
    <w:pPr>
      <w:spacing w:line="240" w:lineRule="auto"/>
    </w:pPr>
    <w:rPr>
      <w:sz w:val="20"/>
      <w:szCs w:val="20"/>
    </w:rPr>
  </w:style>
  <w:style w:type="character" w:customStyle="1" w:styleId="a5">
    <w:name w:val="Текст примечания Знак"/>
    <w:basedOn w:val="a0"/>
    <w:link w:val="a4"/>
    <w:uiPriority w:val="99"/>
    <w:rsid w:val="00F13C42"/>
    <w:rPr>
      <w:sz w:val="20"/>
      <w:szCs w:val="20"/>
    </w:rPr>
  </w:style>
  <w:style w:type="paragraph" w:styleId="a6">
    <w:name w:val="Balloon Text"/>
    <w:basedOn w:val="a"/>
    <w:link w:val="a7"/>
    <w:uiPriority w:val="99"/>
    <w:semiHidden/>
    <w:unhideWhenUsed/>
    <w:rsid w:val="00DF1AD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F1ADA"/>
    <w:rPr>
      <w:rFonts w:ascii="Segoe UI" w:hAnsi="Segoe UI" w:cs="Segoe UI"/>
      <w:sz w:val="18"/>
      <w:szCs w:val="18"/>
    </w:rPr>
  </w:style>
  <w:style w:type="paragraph" w:styleId="a8">
    <w:name w:val="Normal (Web)"/>
    <w:basedOn w:val="a"/>
    <w:uiPriority w:val="99"/>
    <w:unhideWhenUsed/>
    <w:rsid w:val="00BC7D1C"/>
    <w:pPr>
      <w:spacing w:before="100" w:beforeAutospacing="1" w:after="100" w:afterAutospacing="1" w:line="240" w:lineRule="auto"/>
    </w:pPr>
    <w:rPr>
      <w:rFonts w:ascii="Times New Roman" w:eastAsiaTheme="minorEastAsia" w:hAnsi="Times New Roman" w:cs="Times New Roman"/>
      <w:sz w:val="24"/>
      <w:szCs w:val="24"/>
      <w:lang w:eastAsia="ru-RU"/>
    </w:rPr>
  </w:style>
  <w:style w:type="table" w:styleId="a9">
    <w:name w:val="Table Grid"/>
    <w:basedOn w:val="a1"/>
    <w:uiPriority w:val="39"/>
    <w:rsid w:val="001D1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989908">
      <w:bodyDiv w:val="1"/>
      <w:marLeft w:val="0"/>
      <w:marRight w:val="0"/>
      <w:marTop w:val="0"/>
      <w:marBottom w:val="0"/>
      <w:divBdr>
        <w:top w:val="none" w:sz="0" w:space="0" w:color="auto"/>
        <w:left w:val="none" w:sz="0" w:space="0" w:color="auto"/>
        <w:bottom w:val="none" w:sz="0" w:space="0" w:color="auto"/>
        <w:right w:val="none" w:sz="0" w:space="0" w:color="auto"/>
      </w:divBdr>
      <w:divsChild>
        <w:div w:id="1574899704">
          <w:marLeft w:val="0"/>
          <w:marRight w:val="0"/>
          <w:marTop w:val="0"/>
          <w:marBottom w:val="0"/>
          <w:divBdr>
            <w:top w:val="none" w:sz="0" w:space="0" w:color="auto"/>
            <w:left w:val="none" w:sz="0" w:space="0" w:color="auto"/>
            <w:bottom w:val="none" w:sz="0" w:space="0" w:color="auto"/>
            <w:right w:val="none" w:sz="0" w:space="0" w:color="auto"/>
          </w:divBdr>
        </w:div>
      </w:divsChild>
    </w:div>
    <w:div w:id="1471822558">
      <w:bodyDiv w:val="1"/>
      <w:marLeft w:val="0"/>
      <w:marRight w:val="0"/>
      <w:marTop w:val="0"/>
      <w:marBottom w:val="0"/>
      <w:divBdr>
        <w:top w:val="none" w:sz="0" w:space="0" w:color="auto"/>
        <w:left w:val="none" w:sz="0" w:space="0" w:color="auto"/>
        <w:bottom w:val="none" w:sz="0" w:space="0" w:color="auto"/>
        <w:right w:val="none" w:sz="0" w:space="0" w:color="auto"/>
      </w:divBdr>
      <w:divsChild>
        <w:div w:id="1161888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word/theme/theme11.xml" Id="rId8" /><Relationship Type="http://schemas.openxmlformats.org/officeDocument/2006/relationships/settings" Target="/word/settings.xml" Id="rId3" /><Relationship Type="http://schemas.openxmlformats.org/officeDocument/2006/relationships/fontTable" Target="/word/fontTable.xml"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webSettings" Target="/word/webSettings.xml" Id="rId4" /><Relationship Type="http://schemas.openxmlformats.org/officeDocument/2006/relationships/hyperlink" Target="consultantplus://offline/ref=FDDE73BB6AAB325B841641DCA308EFB82E34920EE5020150773C3F7DC793FF5224A74CBC36497D303FF468268BN3t2J" TargetMode="External" Id="rId6" /><Relationship Type="http://schemas.openxmlformats.org/officeDocument/2006/relationships/hyperlink" Target="consultantplus://offline/ref=FDDE73BB6AAB325B841641DCA308EFB82E34920EE5020150773C3F7DC793FF5224A74CBC36497D303FF468268BN3t2J" TargetMode="External" Id="rId5" /><Relationship Type="http://schemas.openxmlformats.org/officeDocument/2006/relationships/footnotes" Target="/word/footnotes.xml" Id="R1391ca51e819454b" /></Relationships>
</file>

<file path=word/theme/theme1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1.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1.xml><?xml version="1.0" encoding="utf-8"?>
<ds:datastoreItem xmlns:ds="http://schemas.openxmlformats.org/officeDocument/2006/customXml" ds:itemID="{D04BF97A-4CAF-4EC4-8FD8-FF2EADC2C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251</Words>
  <Characters>1432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Владислав Зубарев</dc:creator>
  <cp:keywords/>
  <dc:description/>
  <cp:lastModifiedBy>Денис Зварун</cp:lastModifiedBy>
  <cp:revision>35</cp:revision>
  <dcterms:created xsi:type="dcterms:W3CDTF">2022-07-04T08:36:00Z</dcterms:created>
  <dcterms:modified xsi:type="dcterms:W3CDTF">2025-02-27T10:03:00Z</dcterms:modified>
</cp:coreProperties>
</file>