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customXml/item1.xml" ContentType="application/xml"/>
  <Override PartName="/customXml/itemProps1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ТРЕБОВАНИЯ К СОДЕРЖАНИЮ, СОСТАВУ ЗАЯВКИ НА УЧАСТИЕ В ЗАКУПКЕ И ИНСТРУКЦИЯ ПО ЕЕ ЗАПОЛНЕНИЮ</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Настоящие Требования к содержанию, составу заявки на участие в закупке и инструкция по е</w:t>
      </w:r>
      <w:r>
        <w:rPr>
          <w:rFonts w:ascii="Times New Roman" w:hAnsi="Times New Roman" w:cs="Times New Roman"/>
          <w:b/>
          <w:sz w:val="24"/>
          <w:szCs w:val="24"/>
        </w:rPr>
        <w:t xml:space="preserve">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Часть I. Требования к содержанию и составу заявки на участие в закупке.</w:t>
      </w:r>
      <w:r>
        <w:rPr>
          <w:rFonts w:ascii="Times New Roman" w:hAnsi="Times New Roman" w:cs="Times New Roman"/>
          <w:b/>
          <w:sz w:val="24"/>
          <w:szCs w:val="24"/>
        </w:rPr>
        <w:t xml:space="preserve"> </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Электронный конкурс проводится с особенностями, установленными частью 19 стати 48 Федерального закона № 44-ФЗ, заявка на участие в закупке состоит из второй и третьей частей.</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after="0" w:line="240" w:lineRule="auto"/>
        <w:ind/>
        <w:rPr>
          <w:rFonts w:ascii="Times New Roman" w:hAnsi="Times New Roman" w:cs="Times New Roman"/>
          <w:b/>
          <w:sz w:val="24"/>
          <w:szCs w:val="24"/>
        </w:rPr>
      </w:pPr>
      <w:r/>
      <w:bookmarkStart w:name="MAINTABLE" w:id="0"/>
      <w:r/>
      <w:bookmarkEnd w:id="0"/>
      <w:r/>
      <w:r>
        <w:rPr>
          <w:rFonts w:ascii="Times New Roman" w:hAnsi="Times New Roman" w:cs="Times New Roman"/>
          <w:b/>
          <w:sz w:val="24"/>
          <w:szCs w:val="24"/>
        </w:rPr>
      </w:r>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Вторая часть заявки на участие в закупке должна содержать  информацию и документы, предусмотренные подпунктами «м», «о» - «р» пункта 1 части 1 статьи 43 Федерального закона № 44-ФЗ;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если иное не предусмотрено Федеральным законом № 44-ФЗ, информацию и документы, которые подтверждают соответствие участника закупки требованиям:</w:t>
            </w:r>
          </w:p>
        </w:tc>
      </w:tr>
      <w:tr>
        <w:tc>
          <w:p>
            <w:pPr/>
            <w:r>
              <w:rPr>
                <w:rFonts w:ascii="Times New Roman" w:hAnsi="Times New Roman" w:eastAsia="Times New Roman" w:cs="Times New Roman"/>
                <w:sz w:val="24"/>
              </w:rPr>
              <w:t xml:space="preserve">дополнительным требованиям, установленным в соответствии с частью 2.1 статьи 31 Федерального закона № 44-ФЗ</w:t>
            </w:r>
          </w:p>
        </w:tc>
        <w:tc>
          <w:p>
            <w:pPr/>
            <w:r>
              <w:rPr>
                <w:rFonts w:ascii="Times New Roman" w:hAnsi="Times New Roman" w:eastAsia="Times New Roman" w:cs="Times New Roman"/>
                <w:sz w:val="24"/>
              </w:rPr>
              <w:t xml:space="preserve">а именно: Наличие у участника закупки опыта исполнения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w:t>
              <w:br/>
              <w:t xml:space="preserve">Подтверждением требованиям, установленным частью 2.1 статьи 31 Федерального закона № 44-ФЗ, являются информация и документы, предусмотренные хотя бы одним из подпунктов пункта 4 постановления Правительства РФ от 29.12.2021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br/>
              <w:t xml:space="preserve">а) номер реестровой записи в предусмотренном Федеральным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w:t>
              <w:br/>
              <w:t xml:space="preserve">б) выписка из предусмотренного Федеральным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w:t>
              <w:br/>
              <w:t xml:space="preserve">в) исполненный контракт, заключенный в соответствии с Федеральным законом № 44-ФЗ,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Примечание (в соответствии с абзацем 14 подпункта «б» пункта 3 постановления Правительства РФ от 29.12.2021 № 2571):</w:t>
              <w:br/>
              <w:t xml:space="preserve">Опытом исполнения контракта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rPr>
                <w:b w:val="true"/>
              </w:rPr>
              <w:t xml:space="preserve">Третья часть заявки на участие в закупке должна содержать: </w:t>
            </w:r>
          </w:p>
        </w:tc>
      </w:tr>
      <w:tr>
        <w:tc>
          <w:tcPr>
            <w:gridSpan w:val="2"/>
          </w:tcPr>
          <w:p>
            <w:pPr/>
            <w:r>
              <w:rPr>
                <w:rFonts w:ascii="Times New Roman" w:hAnsi="Times New Roman" w:eastAsia="Times New Roman" w:cs="Times New Roman"/>
                <w:b/>
                <w:sz w:val="24"/>
              </w:rPr>
              <w:rPr>
                <w:b w:val="false"/>
              </w:rPr>
              <w:t xml:space="preserve">предложение участника закупки о цене контракта. </w:t>
            </w:r>
          </w:p>
        </w:tc>
      </w:tr>
    </w:tbl>
    <w:p>
      <w:pPr>
        <w:pBdr/>
        <w:spacing/>
        <w:ind/>
        <w:rPr>
          <w:rFonts w:ascii="Times New Roman" w:hAnsi="Times New Roman" w:cs="Times New Roman"/>
          <w:b/>
          <w:sz w:val="24"/>
          <w:szCs w:val="24"/>
        </w:rPr>
      </w:pPr>
      <w:r>
        <w:rPr>
          <w:rFonts w:ascii="Times New Roman" w:hAnsi="Times New Roman" w:cs="Times New Roman"/>
          <w:b/>
          <w:sz w:val="24"/>
          <w:szCs w:val="24"/>
        </w:rPr>
        <w:br w:type="page" w:clear="all"/>
      </w:r>
      <w:r>
        <w:rPr>
          <w:rFonts w:ascii="Times New Roman" w:hAnsi="Times New Roman" w:cs="Times New Roman"/>
          <w:b/>
          <w:sz w:val="24"/>
          <w:szCs w:val="24"/>
        </w:rPr>
      </w:r>
    </w:p>
    <w:p>
      <w:pPr>
        <w:pBdr/>
        <w:spacing/>
        <w:ind w:left="-993"/>
        <w:jc w:val="center"/>
        <w:rPr>
          <w:rFonts w:ascii="Times New Roman" w:hAnsi="Times New Roman" w:cs="Times New Roman"/>
          <w:b/>
          <w:sz w:val="24"/>
          <w:szCs w:val="24"/>
        </w:rPr>
        <w:sectPr>
          <w:footnotePr/>
          <w:endnotePr/>
          <w:type w:val="nextPage"/>
          <w:pgSz w:w="15840" w:h="12240" w:orient="landscape"/>
          <w:pgMar w:top="1134" w:right="1381" w:bottom="1134" w:left="1701" w:header="708" w:footer="708" w:gutter="0"/>
          <w:cols w:equalWidth="1" w:space="708" w:num="1" w:sep="0"/>
        </w:sectPr>
      </w:pPr>
      <w:r>
        <w:rPr>
          <w:rFonts w:ascii="Times New Roman" w:hAnsi="Times New Roman" w:cs="Times New Roman"/>
          <w:b/>
          <w:sz w:val="24"/>
          <w:szCs w:val="24"/>
        </w:rPr>
      </w:r>
      <w:r>
        <w:rPr>
          <w:rFonts w:ascii="Times New Roman" w:hAnsi="Times New Roman" w:cs="Times New Roman"/>
          <w:b/>
          <w:sz w:val="24"/>
          <w:szCs w:val="24"/>
        </w:rPr>
      </w:r>
    </w:p>
    <w:p>
      <w:pPr>
        <w:pBdr/>
        <w:spacing/>
        <w:ind w:left="-993"/>
        <w:jc w:val="center"/>
        <w:rPr>
          <w:rFonts w:ascii="Times New Roman" w:hAnsi="Times New Roman" w:cs="Times New Roman"/>
          <w:b/>
          <w:sz w:val="24"/>
          <w:szCs w:val="24"/>
        </w:rPr>
      </w:pPr>
      <w:r>
        <w:rPr>
          <w:rFonts w:ascii="Times New Roman" w:hAnsi="Times New Roman" w:cs="Times New Roman"/>
          <w:b/>
          <w:sz w:val="24"/>
          <w:szCs w:val="24"/>
        </w:rPr>
        <w:t xml:space="preserve">Часть II. Информация и документы об участнике закупки</w:t>
      </w:r>
      <w:r>
        <w:rPr>
          <w:rFonts w:ascii="Times New Roman" w:hAnsi="Times New Roman" w:cs="Times New Roman"/>
          <w:b/>
          <w:sz w:val="24"/>
          <w:szCs w:val="24"/>
        </w:rPr>
      </w:r>
    </w:p>
    <w:tbl>
      <w:tblPr>
        <w:tblStyle w:val="679"/>
        <w:tblW w:w="10082" w:type="dxa"/>
        <w:tblBorders/>
        <w:tblpPr w:leftFromText="180" w:rightFromText="180" w:topFromText="0" w:bottomFromText="0" w:vertAnchor="page" w:horzAnchor="margin" w:tblpXSpec="right" w:tblpY="2116"/>
        <w:tblLook w:val="04A0" w:firstRow="1" w:lastRow="0" w:firstColumn="1" w:lastColumn="0" w:noHBand="0" w:noVBand="1"/>
      </w:tblPr>
      <w:tblGrid>
        <w:gridCol w:w="10082"/>
      </w:tblGrid>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Помимо информации и документов, указ</w:t>
            </w:r>
            <w:r>
              <w:rPr>
                <w:rFonts w:ascii="Times New Roman" w:hAnsi="Times New Roman" w:cs="Times New Roman"/>
                <w:sz w:val="24"/>
                <w:szCs w:val="24"/>
              </w:rPr>
              <w:t xml:space="preserve">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1) информацию и документы об участнике закупки:</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w:t>
            </w:r>
            <w:r>
              <w:rPr>
                <w:rFonts w:ascii="Times New Roman" w:hAnsi="Times New Roman" w:cs="Times New Roman"/>
                <w:sz w:val="24"/>
                <w:szCs w:val="24"/>
              </w:rPr>
              <w:t xml:space="preserve">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w:t>
            </w:r>
            <w:r>
              <w:rPr>
                <w:rFonts w:ascii="Times New Roman" w:hAnsi="Times New Roman" w:cs="Times New Roman"/>
                <w:sz w:val="24"/>
                <w:szCs w:val="24"/>
              </w:rPr>
              <w:t xml:space="preserve">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w:t>
            </w:r>
            <w:r>
              <w:rPr>
                <w:rFonts w:ascii="Times New Roman" w:hAnsi="Times New Roman" w:cs="Times New Roman"/>
                <w:sz w:val="24"/>
                <w:szCs w:val="24"/>
              </w:rPr>
              <w:t xml:space="preserve">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w:t>
            </w:r>
            <w:r>
              <w:rPr>
                <w:rFonts w:ascii="Times New Roman" w:hAnsi="Times New Roman" w:cs="Times New Roman"/>
                <w:sz w:val="24"/>
                <w:szCs w:val="24"/>
              </w:rPr>
              <w:t xml:space="preserve">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w:t>
            </w:r>
            <w:r>
              <w:rPr>
                <w:rFonts w:ascii="Times New Roman" w:hAnsi="Times New Roman" w:cs="Times New Roman"/>
                <w:sz w:val="24"/>
                <w:szCs w:val="24"/>
              </w:rPr>
              <w:t xml:space="preserve">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w:t>
            </w:r>
            <w:r>
              <w:rPr>
                <w:rFonts w:ascii="Times New Roman" w:hAnsi="Times New Roman" w:cs="Times New Roman"/>
                <w:sz w:val="24"/>
                <w:szCs w:val="24"/>
              </w:rPr>
              <w:t xml:space="preserve">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w:t>
            </w:r>
            <w:r>
              <w:rPr>
                <w:rFonts w:ascii="Times New Roman" w:hAnsi="Times New Roman" w:cs="Times New Roman"/>
                <w:sz w:val="24"/>
                <w:szCs w:val="24"/>
              </w:rPr>
              <w:t xml:space="preserve">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w:t>
            </w:r>
            <w:r>
              <w:rPr>
                <w:rFonts w:ascii="Times New Roman" w:hAnsi="Times New Roman" w:cs="Times New Roman"/>
                <w:sz w:val="24"/>
                <w:szCs w:val="24"/>
              </w:rPr>
              <w:t xml:space="preserve">,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w:t>
            </w:r>
            <w:r>
              <w:rPr>
                <w:rFonts w:ascii="Times New Roman" w:hAnsi="Times New Roman" w:cs="Times New Roman"/>
                <w:sz w:val="24"/>
                <w:szCs w:val="24"/>
              </w:rPr>
              <w:t xml:space="preserve">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w:t>
            </w:r>
            <w:r>
              <w:rPr>
                <w:rFonts w:ascii="Times New Roman" w:hAnsi="Times New Roman" w:cs="Times New Roman"/>
                <w:sz w:val="24"/>
                <w:szCs w:val="24"/>
              </w:rPr>
              <w:t xml:space="preserve">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w:t>
            </w:r>
            <w:r>
              <w:rPr>
                <w:rFonts w:ascii="Times New Roman" w:hAnsi="Times New Roman" w:cs="Times New Roman"/>
                <w:sz w:val="24"/>
                <w:szCs w:val="24"/>
              </w:rPr>
              <w:t xml:space="preserve">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ж) </w:t>
            </w:r>
            <w:r>
              <w:rPr>
                <w:rFonts w:ascii="Times New Roman" w:hAnsi="Times New Roman" w:cs="Times New Roman"/>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 xml:space="preserve">надлежащим образом заверенный перевод</w:t>
            </w:r>
            <w:r>
              <w:rPr>
                <w:rFonts w:ascii="Times New Roman" w:hAnsi="Times New Roman" w:eastAsia="Times New Roman" w:cs="Times New Roman"/>
                <w:sz w:val="24"/>
                <w:szCs w:val="24"/>
                <w:lang w:eastAsia="ru-RU"/>
              </w:rPr>
              <w:t xml:space="preserve">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 xml:space="preserve"> В соответствии с пунктом 2 части </w:t>
            </w:r>
            <w:r>
              <w:rPr>
                <w:rFonts w:ascii="Times New Roman" w:hAnsi="Times New Roman" w:cs="Times New Roman"/>
                <w:sz w:val="24"/>
                <w:szCs w:val="24"/>
              </w:rPr>
              <w:t xml:space="preserve">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w:t>
            </w:r>
            <w:r>
              <w:rPr>
                <w:rFonts w:ascii="Times New Roman" w:hAnsi="Times New Roman" w:cs="Times New Roman"/>
                <w:sz w:val="24"/>
                <w:szCs w:val="24"/>
              </w:rPr>
              <w:t xml:space="preserve">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3)  В соответствии с пунктом 3 части 6 с</w:t>
            </w:r>
            <w:r>
              <w:rPr>
                <w:rFonts w:ascii="Times New Roman" w:hAnsi="Times New Roman" w:cs="Times New Roman"/>
                <w:sz w:val="24"/>
                <w:szCs w:val="24"/>
              </w:rPr>
              <w:t xml:space="preserve">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w:t>
            </w:r>
            <w:r>
              <w:rPr>
                <w:rFonts w:ascii="Times New Roman" w:hAnsi="Times New Roman" w:cs="Times New Roman"/>
                <w:sz w:val="24"/>
                <w:szCs w:val="24"/>
              </w:rPr>
              <w:t xml:space="preserve">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w:t>
            </w:r>
            <w:r>
              <w:rPr>
                <w:rFonts w:ascii="Times New Roman" w:hAnsi="Times New Roman" w:cs="Times New Roman"/>
                <w:sz w:val="24"/>
                <w:szCs w:val="24"/>
              </w:rPr>
              <w:t xml:space="preserve">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Pr>
                <w:rFonts w:ascii="Times New Roman" w:hAnsi="Times New Roman" w:cs="Times New Roman"/>
                <w:sz w:val="24"/>
                <w:szCs w:val="24"/>
              </w:rPr>
            </w:r>
          </w:p>
          <w:p>
            <w:pPr>
              <w:pBdr/>
              <w:spacing/>
              <w:ind/>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t xml:space="preserve">нужд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w:t>
            </w:r>
            <w:r>
              <w:rPr>
                <w:rFonts w:ascii="Times New Roman" w:hAnsi="Times New Roman" w:cs="Times New Roman"/>
                <w:sz w:val="24"/>
                <w:szCs w:val="24"/>
              </w:rPr>
              <w:t xml:space="preserve">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w:t>
            </w:r>
            <w:r>
              <w:rPr>
                <w:rFonts w:ascii="Times New Roman" w:hAnsi="Times New Roman" w:cs="Times New Roman"/>
                <w:sz w:val="24"/>
                <w:szCs w:val="24"/>
              </w:rPr>
              <w:t xml:space="preserve">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w:t>
            </w:r>
            <w:r>
              <w:rPr>
                <w:rFonts w:ascii="Times New Roman" w:hAnsi="Times New Roman" w:cs="Times New Roman"/>
                <w:sz w:val="24"/>
                <w:szCs w:val="24"/>
              </w:rPr>
              <w:t xml:space="preserve">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5)  Предоставление документов, предусмотренных подпунктом «в» пункта 2 части 1 статьи 43 Федерального закона № 44-ФЗ, подтверждающих соответствие товара, рабо</w:t>
            </w:r>
            <w:r>
              <w:rPr>
                <w:rFonts w:ascii="Times New Roman" w:hAnsi="Times New Roman" w:cs="Times New Roman"/>
                <w:sz w:val="24"/>
                <w:szCs w:val="24"/>
              </w:rPr>
              <w:t xml:space="preserve">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w:t>
            </w:r>
            <w:r>
              <w:rPr>
                <w:rFonts w:ascii="Times New Roman" w:hAnsi="Times New Roman" w:cs="Times New Roman"/>
                <w:sz w:val="24"/>
                <w:szCs w:val="24"/>
              </w:rPr>
              <w:t xml:space="preserve">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r>
              <w:rPr>
                <w:rFonts w:ascii="Times New Roman" w:hAnsi="Times New Roman" w:cs="Times New Roman"/>
                <w:sz w:val="24"/>
                <w:szCs w:val="24"/>
              </w:rPr>
            </w:r>
          </w:p>
        </w:tc>
      </w:tr>
      <w:tr>
        <w:trPr>
          <w:trHeight w:val="846"/>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Не является основанием для отклонения заявки на участие в закупке (признания ее не соответс</w:t>
            </w:r>
            <w:r>
              <w:rPr>
                <w:rFonts w:ascii="Times New Roman" w:hAnsi="Times New Roman" w:cs="Times New Roman"/>
                <w:sz w:val="24"/>
                <w:szCs w:val="24"/>
              </w:rPr>
              <w:t xml:space="preserve">твующей требованиям Федерального закона № 44-ФЗ) отсутствие в составе заявки на участие в закупке документов, подтверждающих квалификацию участника закупки в соответствии с критерием, предусмотренным пунктом 4 части 1 статьи 32 Федерального закона № 44-ФЗ.</w:t>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 xml:space="preserve">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w:t>
            </w:r>
            <w:r>
              <w:rPr>
                <w:rFonts w:ascii="Times New Roman" w:hAnsi="Times New Roman" w:cs="Times New Roman"/>
                <w:sz w:val="24"/>
                <w:szCs w:val="24"/>
              </w:rPr>
              <w:t xml:space="preserve">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w:t>
            </w:r>
            <w:bookmarkStart w:name="_GoBack" w:id="1"/>
            <w:r/>
            <w:bookmarkEnd w:id="1"/>
            <w:r>
              <w:rPr>
                <w:rFonts w:ascii="Times New Roman" w:hAnsi="Times New Roman" w:cs="Times New Roman"/>
                <w:sz w:val="24"/>
                <w:szCs w:val="24"/>
              </w:rPr>
              <w:t xml:space="preserve">она № 44-ФЗ), то такое указание следует читать в сопровождении слов «или эквивалент». </w:t>
            </w:r>
            <w:bookmarkStart w:name="OLE_LINK1" w:id="2"/>
            <w:r/>
            <w:bookmarkStart w:name="OLE_LINK2" w:id="3"/>
            <w:r/>
            <w:bookmarkStart w:name="OLE_LINK3" w:id="4"/>
            <w:r>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r/>
            <w:bookmarkEnd w:id="3"/>
            <w:r/>
            <w:bookmarkEnd w:id="4"/>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 xml:space="preserve">В соответствии с частью 2 статьи 43 Федерального закона № 44-ФЗ информация, предусмотренная подпунктом «а» пункта 2 части 1 статьи 43 Федерального закона № 44-ФЗ, не включается в заявку на участие в закупке в</w:t>
            </w:r>
            <w:r>
              <w:rPr>
                <w:rFonts w:ascii="Times New Roman" w:hAnsi="Times New Roman" w:cs="Times New Roman"/>
                <w:sz w:val="24"/>
                <w:szCs w:val="24"/>
              </w:rPr>
              <w:t xml:space="preserve">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t xml:space="preserve">)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w:t>
            </w:r>
            <w:r>
              <w:rPr>
                <w:rFonts w:ascii="Times New Roman" w:hAnsi="Times New Roman" w:cs="Times New Roman"/>
                <w:sz w:val="24"/>
                <w:szCs w:val="24"/>
              </w:rPr>
              <w:t xml:space="preserve">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w:t>
            </w:r>
            <w:r>
              <w:rPr>
                <w:rFonts w:ascii="Times New Roman" w:hAnsi="Times New Roman" w:cs="Times New Roman"/>
                <w:sz w:val="24"/>
                <w:szCs w:val="24"/>
              </w:rPr>
              <w:t xml:space="preserve">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w:t>
            </w:r>
            <w:r>
              <w:rPr>
                <w:rFonts w:ascii="Times New Roman" w:hAnsi="Times New Roman" w:cs="Times New Roman"/>
                <w:sz w:val="24"/>
                <w:szCs w:val="24"/>
              </w:rPr>
              <w:t xml:space="preserve">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информация и документы содер</w:t>
            </w:r>
            <w:r>
              <w:rPr>
                <w:rFonts w:ascii="Times New Roman" w:hAnsi="Times New Roman" w:cs="Times New Roman"/>
                <w:sz w:val="24"/>
                <w:szCs w:val="24"/>
              </w:rPr>
              <w:t xml:space="preserve">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w:t>
            </w:r>
            <w:r>
              <w:rPr>
                <w:rFonts w:ascii="Times New Roman" w:hAnsi="Times New Roman" w:cs="Times New Roman"/>
                <w:sz w:val="24"/>
                <w:szCs w:val="24"/>
              </w:rPr>
              <w:t xml:space="preserve">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Fonts w:ascii="Times New Roman" w:hAnsi="Times New Roman" w:cs="Times New Roman"/>
                <w:sz w:val="24"/>
                <w:szCs w:val="24"/>
              </w:rPr>
            </w:r>
          </w:p>
        </w:tc>
      </w:tr>
    </w:tbl>
    <w:p>
      <w:pPr>
        <w:pBdr/>
        <w:spacing/>
        <w:ind w:left="-426"/>
        <w:jc w:val="center"/>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ind/>
        <w:rPr>
          <w:rFonts w:ascii="Times New Roman" w:hAnsi="Times New Roman" w:cs="Times New Roman"/>
          <w:b/>
          <w:sz w:val="24"/>
          <w:szCs w:val="24"/>
        </w:rPr>
      </w:pPr>
      <w:r>
        <w:rPr>
          <w:rFonts w:ascii="Times New Roman" w:hAnsi="Times New Roman" w:cs="Times New Roman"/>
          <w:b/>
          <w:sz w:val="24"/>
          <w:szCs w:val="24"/>
        </w:rPr>
        <w:br w:type="page" w:clear="all"/>
      </w:r>
      <w:r>
        <w:rPr>
          <w:rFonts w:ascii="Times New Roman" w:hAnsi="Times New Roman" w:cs="Times New Roman"/>
          <w:b/>
          <w:sz w:val="24"/>
          <w:szCs w:val="24"/>
        </w:rPr>
      </w:r>
    </w:p>
    <w:p>
      <w:pPr>
        <w:pBdr/>
        <w:spacing/>
        <w:ind w:left="-426"/>
        <w:jc w:val="center"/>
        <w:rPr>
          <w:rFonts w:ascii="Times New Roman" w:hAnsi="Times New Roman" w:cs="Times New Roman"/>
          <w:b/>
          <w:sz w:val="24"/>
          <w:szCs w:val="24"/>
        </w:rPr>
      </w:pPr>
      <w:r>
        <w:rPr>
          <w:rFonts w:ascii="Times New Roman" w:hAnsi="Times New Roman" w:cs="Times New Roman"/>
          <w:b/>
          <w:sz w:val="24"/>
          <w:szCs w:val="24"/>
        </w:rPr>
        <w:t xml:space="preserve">Часть III. Инструкция по заполнению заявки на участие в закупке.</w:t>
      </w:r>
      <w:r>
        <w:rPr>
          <w:rFonts w:ascii="Times New Roman" w:hAnsi="Times New Roman" w:cs="Times New Roman"/>
          <w:b/>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1. В соответствии с частью 4 статьи 43 Федерального закона № 44-ФЗ участник закупки вправе подать </w:t>
      </w:r>
      <w:r>
        <w:rPr>
          <w:rFonts w:ascii="Times New Roman" w:hAnsi="Times New Roman" w:cs="Times New Roman"/>
          <w:sz w:val="24"/>
          <w:szCs w:val="24"/>
        </w:rPr>
        <w:t xml:space="preserve">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w:t>
      </w:r>
      <w:r>
        <w:rPr>
          <w:rFonts w:ascii="Times New Roman" w:hAnsi="Times New Roman" w:cs="Times New Roman"/>
          <w:sz w:val="24"/>
          <w:szCs w:val="24"/>
        </w:rPr>
        <w:t xml:space="preserve">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3. В соответствии с пунктом 1 части 6 статьи 43 Федерального закона № 44-ФЗ подать зая</w:t>
      </w:r>
      <w:r>
        <w:rPr>
          <w:rFonts w:ascii="Times New Roman" w:hAnsi="Times New Roman" w:cs="Times New Roman"/>
          <w:sz w:val="24"/>
          <w:szCs w:val="24"/>
        </w:rPr>
        <w:t xml:space="preserve">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w:t>
      </w:r>
      <w:r>
        <w:rPr>
          <w:rFonts w:ascii="Times New Roman" w:hAnsi="Times New Roman" w:cs="Times New Roman"/>
          <w:sz w:val="24"/>
          <w:szCs w:val="24"/>
        </w:rPr>
        <w:t xml:space="preserve">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д) указания в соответствии с подпунктом «б» пункта 2 части 1 статьи 43 Федерального закона № 44-ФЗ иностранного государства в качестве страны происхожден</w:t>
      </w:r>
      <w:r>
        <w:rPr>
          <w:rFonts w:ascii="Times New Roman" w:hAnsi="Times New Roman" w:cs="Times New Roman"/>
          <w:sz w:val="24"/>
          <w:szCs w:val="24"/>
        </w:rPr>
        <w:t xml:space="preserve">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w:t>
      </w:r>
      <w:r>
        <w:rPr>
          <w:rFonts w:ascii="Times New Roman" w:hAnsi="Times New Roman" w:cs="Times New Roman"/>
          <w:sz w:val="24"/>
          <w:szCs w:val="24"/>
        </w:rPr>
        <w:t xml:space="preserve">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w:t>
      </w:r>
      <w:r>
        <w:rPr>
          <w:rFonts w:ascii="Times New Roman" w:hAnsi="Times New Roman" w:cs="Times New Roman"/>
          <w:sz w:val="24"/>
          <w:szCs w:val="24"/>
        </w:rPr>
        <w:t xml:space="preserve">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w:t>
      </w:r>
      <w:r>
        <w:rPr>
          <w:rFonts w:ascii="Times New Roman" w:hAnsi="Times New Roman" w:cs="Times New Roman"/>
          <w:sz w:val="24"/>
          <w:szCs w:val="24"/>
        </w:rPr>
        <w:t xml:space="preserve">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w:t>
      </w:r>
      <w:r>
        <w:rPr>
          <w:rFonts w:ascii="Times New Roman" w:hAnsi="Times New Roman" w:cs="Times New Roman"/>
          <w:sz w:val="24"/>
          <w:szCs w:val="24"/>
        </w:rPr>
        <w:t xml:space="preserve">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л) подачи заявки участником закупки, являющимся</w:t>
      </w:r>
      <w:r>
        <w:rPr>
          <w:rFonts w:ascii="Times New Roman" w:hAnsi="Times New Roman" w:cs="Times New Roman"/>
          <w:sz w:val="24"/>
          <w:szCs w:val="24"/>
        </w:rPr>
        <w:t xml:space="preserve">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w:t>
      </w:r>
      <w:r>
        <w:rPr>
          <w:rFonts w:ascii="Times New Roman" w:hAnsi="Times New Roman" w:cs="Times New Roman"/>
          <w:sz w:val="24"/>
          <w:szCs w:val="24"/>
        </w:rPr>
        <w:t xml:space="preserve">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w:t>
      </w:r>
      <w:r>
        <w:rPr>
          <w:rFonts w:ascii="Times New Roman" w:hAnsi="Times New Roman" w:cs="Times New Roman"/>
          <w:sz w:val="24"/>
          <w:szCs w:val="24"/>
        </w:rPr>
        <w:t xml:space="preserve">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w:t>
      </w:r>
      <w:r>
        <w:rPr>
          <w:rFonts w:ascii="Times New Roman" w:hAnsi="Times New Roman" w:cs="Times New Roman"/>
          <w:sz w:val="24"/>
          <w:szCs w:val="24"/>
        </w:rPr>
        <w:t xml:space="preserve">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t xml:space="preserve">муниципальных нужд» (далее – КТРУ), заказчико</w:t>
      </w:r>
      <w:r>
        <w:rPr>
          <w:rFonts w:ascii="Times New Roman" w:hAnsi="Times New Roman" w:cs="Times New Roman"/>
          <w:sz w:val="24"/>
          <w:szCs w:val="24"/>
        </w:rPr>
        <w:t xml:space="preserve">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Times New Roman" w:hAnsi="Times New Roman" w:cs="Times New Roman"/>
          <w:sz w:val="24"/>
          <w:szCs w:val="24"/>
        </w:rPr>
      </w:r>
    </w:p>
    <w:p>
      <w:pPr>
        <w:pBdr/>
        <w:spacing/>
        <w:ind/>
        <w:rPr/>
      </w:pPr>
      <w:r/>
      <w:r/>
    </w:p>
    <w:p>
      <w:pPr>
        <w:pBdr/>
        <w:spacing w:after="0" w:line="240" w:lineRule="auto"/>
        <w:ind/>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ind/>
        <w:rPr/>
      </w:pPr>
      <w:r/>
      <w:r/>
    </w:p>
    <w:sectPr>
      <w:footnotePr/>
      <w:endnotePr/>
      <w:type w:val="nextPage"/>
      <w:pgSz w:w="12240" w:h="15840" w:orient="portrait"/>
      <w:pgMar w:top="1383" w:right="1134" w:bottom="1701" w:left="1134" w:header="709" w:footer="709" w:gutter="0"/>
      <w:cols w:equalWidth="1" w:space="708" w:num="1" w:sep="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scadia Mono">
    <w:panose1 w:val="020B0609020000020004"/>
  </w:font>
  <w:font w:name="Times New Roman">
    <w:panose1 w:val="02020603050405020304"/>
  </w:font>
  <w:font w:name="Wingdings">
    <w:panose1 w:val="05000000000000000000"/>
  </w:font>
  <w:font w:name="Courier New">
    <w:panose1 w:val="02070309020205020404"/>
  </w:font>
  <w:font w:name="Symbol">
    <w:panose1 w:val="05050102010706020507"/>
  </w:font>
  <w:font w:name="Segoe UI">
    <w:panose1 w:val="020B0502040204020203"/>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8C13A2"/>
    <w:lvl w:ilvl="0">
      <w:isLgl w:val="false"/>
      <w:lvlJc w:val="left"/>
      <w:lvlText w:val=""/>
      <w:numFmt w:val="bullet"/>
      <w:pPr>
        <w:pBdr/>
        <w:spacing/>
        <w:ind w:hanging="360" w:left="1425"/>
      </w:pPr>
      <w:rPr>
        <w:rFonts w:hint="default" w:ascii="Symbol" w:hAnsi="Symbol"/>
      </w:rPr>
      <w:start w:val="1"/>
      <w:suff w:val="tab"/>
    </w:lvl>
    <w:lvl w:ilvl="1">
      <w:isLgl w:val="false"/>
      <w:lvlJc w:val="left"/>
      <w:lvlText w:val="o"/>
      <w:numFmt w:val="bullet"/>
      <w:pPr>
        <w:pBdr/>
        <w:spacing/>
        <w:ind w:hanging="360" w:left="2145"/>
      </w:pPr>
      <w:rPr>
        <w:rFonts w:hint="default" w:ascii="Courier New" w:hAnsi="Courier New" w:cs="Courier New"/>
      </w:rPr>
      <w:start w:val="1"/>
      <w:suff w:val="tab"/>
    </w:lvl>
    <w:lvl w:ilvl="2">
      <w:isLgl w:val="false"/>
      <w:lvlJc w:val="left"/>
      <w:lvlText w:val=""/>
      <w:numFmt w:val="bullet"/>
      <w:pPr>
        <w:pBdr/>
        <w:spacing/>
        <w:ind w:hanging="360" w:left="2865"/>
      </w:pPr>
      <w:rPr>
        <w:rFonts w:hint="default" w:ascii="Wingdings" w:hAnsi="Wingdings"/>
      </w:rPr>
      <w:start w:val="1"/>
      <w:suff w:val="tab"/>
    </w:lvl>
    <w:lvl w:ilvl="3">
      <w:isLgl w:val="false"/>
      <w:lvlJc w:val="left"/>
      <w:lvlText w:val=""/>
      <w:numFmt w:val="bullet"/>
      <w:pPr>
        <w:pBdr/>
        <w:spacing/>
        <w:ind w:hanging="360" w:left="3585"/>
      </w:pPr>
      <w:rPr>
        <w:rFonts w:hint="default" w:ascii="Symbol" w:hAnsi="Symbol"/>
      </w:rPr>
      <w:start w:val="1"/>
      <w:suff w:val="tab"/>
    </w:lvl>
    <w:lvl w:ilvl="4">
      <w:isLgl w:val="false"/>
      <w:lvlJc w:val="left"/>
      <w:lvlText w:val="o"/>
      <w:numFmt w:val="bullet"/>
      <w:pPr>
        <w:pBdr/>
        <w:spacing/>
        <w:ind w:hanging="360" w:left="4305"/>
      </w:pPr>
      <w:rPr>
        <w:rFonts w:hint="default" w:ascii="Courier New" w:hAnsi="Courier New" w:cs="Courier New"/>
      </w:rPr>
      <w:start w:val="1"/>
      <w:suff w:val="tab"/>
    </w:lvl>
    <w:lvl w:ilvl="5">
      <w:isLgl w:val="false"/>
      <w:lvlJc w:val="left"/>
      <w:lvlText w:val=""/>
      <w:numFmt w:val="bullet"/>
      <w:pPr>
        <w:pBdr/>
        <w:spacing/>
        <w:ind w:hanging="360" w:left="5025"/>
      </w:pPr>
      <w:rPr>
        <w:rFonts w:hint="default" w:ascii="Wingdings" w:hAnsi="Wingdings"/>
      </w:rPr>
      <w:start w:val="1"/>
      <w:suff w:val="tab"/>
    </w:lvl>
    <w:lvl w:ilvl="6">
      <w:isLgl w:val="false"/>
      <w:lvlJc w:val="left"/>
      <w:lvlText w:val=""/>
      <w:numFmt w:val="bullet"/>
      <w:pPr>
        <w:pBdr/>
        <w:spacing/>
        <w:ind w:hanging="360" w:left="5745"/>
      </w:pPr>
      <w:rPr>
        <w:rFonts w:hint="default" w:ascii="Symbol" w:hAnsi="Symbol"/>
      </w:rPr>
      <w:start w:val="1"/>
      <w:suff w:val="tab"/>
    </w:lvl>
    <w:lvl w:ilvl="7">
      <w:isLgl w:val="false"/>
      <w:lvlJc w:val="left"/>
      <w:lvlText w:val="o"/>
      <w:numFmt w:val="bullet"/>
      <w:pPr>
        <w:pBdr/>
        <w:spacing/>
        <w:ind w:hanging="360" w:left="6465"/>
      </w:pPr>
      <w:rPr>
        <w:rFonts w:hint="default" w:ascii="Courier New" w:hAnsi="Courier New" w:cs="Courier New"/>
      </w:rPr>
      <w:start w:val="1"/>
      <w:suff w:val="tab"/>
    </w:lvl>
    <w:lvl w:ilvl="8">
      <w:isLgl w:val="false"/>
      <w:lvlJc w:val="left"/>
      <w:lvlText w:val=""/>
      <w:numFmt w:val="bullet"/>
      <w:pPr>
        <w:pBdr/>
        <w:spacing/>
        <w:ind w:hanging="360" w:left="7185"/>
      </w:pPr>
      <w:rPr>
        <w:rFonts w:hint="default" w:ascii="Wingdings" w:hAnsi="Wingdings"/>
      </w:rPr>
      <w:start w:val="1"/>
      <w:suff w:val="tab"/>
    </w:lvl>
  </w:abstractNum>
  <w:abstractNum w:abstractNumId="1">
    <w:nsid w:val="2FB72CD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318B54C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3C75036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54EA4A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2"/>
  </w:num>
  <w:num w:numId="2">
    <w:abstractNumId w:val="3"/>
  </w:num>
  <w:num w:numId="3">
    <w:abstractNumId w:val="0"/>
  </w:num>
  <w:num w:numId="4">
    <w:abstractNumId w:val="1"/>
  </w:num>
  <w:num w:numId="5">
    <w:abstractNumId w:val="4"/>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67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7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7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7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7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7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7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7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7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7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7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7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7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7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7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7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7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7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7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7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7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7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7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7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7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7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7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7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7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7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7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7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7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7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7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7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7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7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7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7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7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7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7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7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7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7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7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7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7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7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7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7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7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7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7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7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7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7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7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7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7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7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7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7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7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7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7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7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7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7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7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7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7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7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7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7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7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7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7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7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7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7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7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7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7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7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7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7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7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7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7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7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7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7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7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7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7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7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7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7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7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75"/>
    <w:next w:val="675"/>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75"/>
    <w:next w:val="675"/>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75"/>
    <w:next w:val="675"/>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75"/>
    <w:next w:val="675"/>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75"/>
    <w:next w:val="675"/>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75"/>
    <w:next w:val="675"/>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75"/>
    <w:next w:val="675"/>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75"/>
    <w:next w:val="675"/>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75"/>
    <w:next w:val="675"/>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76"/>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676"/>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76"/>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76"/>
    <w:link w:val="142"/>
    <w:uiPriority w:val="9"/>
    <w:pPr>
      <w:pBdr/>
      <w:spacing/>
      <w:ind/>
    </w:pPr>
    <w:rPr>
      <w:rFonts w:ascii="Arial" w:hAnsi="Arial" w:eastAsia="Arial" w:cs="Arial"/>
      <w:i/>
      <w:iCs/>
      <w:color w:val="0f4761" w:themeColor="accent1" w:themeShade="BF"/>
    </w:rPr>
  </w:style>
  <w:style w:type="character" w:styleId="154">
    <w:name w:val="Heading 5 Char"/>
    <w:basedOn w:val="676"/>
    <w:link w:val="143"/>
    <w:uiPriority w:val="9"/>
    <w:pPr>
      <w:pBdr/>
      <w:spacing/>
      <w:ind/>
    </w:pPr>
    <w:rPr>
      <w:rFonts w:ascii="Arial" w:hAnsi="Arial" w:eastAsia="Arial" w:cs="Arial"/>
      <w:color w:val="0f4761" w:themeColor="accent1" w:themeShade="BF"/>
    </w:rPr>
  </w:style>
  <w:style w:type="character" w:styleId="155">
    <w:name w:val="Heading 6 Char"/>
    <w:basedOn w:val="676"/>
    <w:link w:val="144"/>
    <w:uiPriority w:val="9"/>
    <w:pPr>
      <w:pBdr/>
      <w:spacing/>
      <w:ind/>
    </w:pPr>
    <w:rPr>
      <w:rFonts w:ascii="Arial" w:hAnsi="Arial" w:eastAsia="Arial" w:cs="Arial"/>
      <w:i/>
      <w:iCs/>
      <w:color w:val="595959" w:themeColor="text1" w:themeTint="A6"/>
    </w:rPr>
  </w:style>
  <w:style w:type="character" w:styleId="156">
    <w:name w:val="Heading 7 Char"/>
    <w:basedOn w:val="676"/>
    <w:link w:val="145"/>
    <w:uiPriority w:val="9"/>
    <w:pPr>
      <w:pBdr/>
      <w:spacing/>
      <w:ind/>
    </w:pPr>
    <w:rPr>
      <w:rFonts w:ascii="Arial" w:hAnsi="Arial" w:eastAsia="Arial" w:cs="Arial"/>
      <w:color w:val="595959" w:themeColor="text1" w:themeTint="A6"/>
    </w:rPr>
  </w:style>
  <w:style w:type="character" w:styleId="157">
    <w:name w:val="Heading 8 Char"/>
    <w:basedOn w:val="676"/>
    <w:link w:val="146"/>
    <w:uiPriority w:val="9"/>
    <w:pPr>
      <w:pBdr/>
      <w:spacing/>
      <w:ind/>
    </w:pPr>
    <w:rPr>
      <w:rFonts w:ascii="Arial" w:hAnsi="Arial" w:eastAsia="Arial" w:cs="Arial"/>
      <w:i/>
      <w:iCs/>
      <w:color w:val="272727" w:themeColor="text1" w:themeTint="D8"/>
    </w:rPr>
  </w:style>
  <w:style w:type="character" w:styleId="158">
    <w:name w:val="Heading 9 Char"/>
    <w:basedOn w:val="676"/>
    <w:link w:val="147"/>
    <w:uiPriority w:val="9"/>
    <w:pPr>
      <w:pBdr/>
      <w:spacing/>
      <w:ind/>
    </w:pPr>
    <w:rPr>
      <w:rFonts w:ascii="Arial" w:hAnsi="Arial" w:eastAsia="Arial" w:cs="Arial"/>
      <w:i/>
      <w:iCs/>
      <w:color w:val="272727" w:themeColor="text1" w:themeTint="D8"/>
    </w:rPr>
  </w:style>
  <w:style w:type="paragraph" w:styleId="159">
    <w:name w:val="Title"/>
    <w:basedOn w:val="675"/>
    <w:next w:val="675"/>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76"/>
    <w:link w:val="159"/>
    <w:uiPriority w:val="10"/>
    <w:pPr>
      <w:pBdr/>
      <w:spacing/>
      <w:ind/>
    </w:pPr>
    <w:rPr>
      <w:rFonts w:ascii="Arial" w:hAnsi="Arial" w:eastAsia="Arial" w:cs="Arial"/>
      <w:spacing w:val="-10"/>
      <w:sz w:val="56"/>
      <w:szCs w:val="56"/>
    </w:rPr>
  </w:style>
  <w:style w:type="paragraph" w:styleId="161">
    <w:name w:val="Subtitle"/>
    <w:basedOn w:val="675"/>
    <w:next w:val="675"/>
    <w:link w:val="162"/>
    <w:uiPriority w:val="11"/>
    <w:qFormat/>
    <w:pPr>
      <w:numPr>
        <w:ilvl w:val="1"/>
      </w:numPr>
      <w:pBdr/>
      <w:spacing/>
      <w:ind/>
    </w:pPr>
    <w:rPr>
      <w:color w:val="595959" w:themeColor="text1" w:themeTint="A6"/>
      <w:spacing w:val="15"/>
      <w:sz w:val="28"/>
      <w:szCs w:val="28"/>
    </w:rPr>
  </w:style>
  <w:style w:type="character" w:styleId="162">
    <w:name w:val="Subtitle Char"/>
    <w:basedOn w:val="676"/>
    <w:link w:val="161"/>
    <w:uiPriority w:val="11"/>
    <w:pPr>
      <w:pBdr/>
      <w:spacing/>
      <w:ind/>
    </w:pPr>
    <w:rPr>
      <w:color w:val="595959" w:themeColor="text1" w:themeTint="A6"/>
      <w:spacing w:val="15"/>
      <w:sz w:val="28"/>
      <w:szCs w:val="28"/>
    </w:rPr>
  </w:style>
  <w:style w:type="paragraph" w:styleId="163">
    <w:name w:val="Quote"/>
    <w:basedOn w:val="675"/>
    <w:next w:val="675"/>
    <w:link w:val="164"/>
    <w:uiPriority w:val="29"/>
    <w:qFormat/>
    <w:pPr>
      <w:pBdr/>
      <w:spacing w:before="160"/>
      <w:ind/>
      <w:jc w:val="center"/>
    </w:pPr>
    <w:rPr>
      <w:i/>
      <w:iCs/>
      <w:color w:val="404040" w:themeColor="text1" w:themeTint="BF"/>
    </w:rPr>
  </w:style>
  <w:style w:type="character" w:styleId="164">
    <w:name w:val="Quote Char"/>
    <w:basedOn w:val="676"/>
    <w:link w:val="163"/>
    <w:uiPriority w:val="29"/>
    <w:pPr>
      <w:pBdr/>
      <w:spacing/>
      <w:ind/>
    </w:pPr>
    <w:rPr>
      <w:i/>
      <w:iCs/>
      <w:color w:val="404040" w:themeColor="text1" w:themeTint="BF"/>
    </w:rPr>
  </w:style>
  <w:style w:type="character" w:styleId="166">
    <w:name w:val="Intense Emphasis"/>
    <w:basedOn w:val="676"/>
    <w:uiPriority w:val="21"/>
    <w:qFormat/>
    <w:pPr>
      <w:pBdr/>
      <w:spacing/>
      <w:ind/>
    </w:pPr>
    <w:rPr>
      <w:i/>
      <w:iCs/>
      <w:color w:val="0f4761" w:themeColor="accent1" w:themeShade="BF"/>
    </w:rPr>
  </w:style>
  <w:style w:type="paragraph" w:styleId="167">
    <w:name w:val="Intense Quote"/>
    <w:basedOn w:val="675"/>
    <w:next w:val="675"/>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76"/>
    <w:link w:val="167"/>
    <w:uiPriority w:val="30"/>
    <w:pPr>
      <w:pBdr/>
      <w:spacing/>
      <w:ind/>
    </w:pPr>
    <w:rPr>
      <w:i/>
      <w:iCs/>
      <w:color w:val="0f4761" w:themeColor="accent1" w:themeShade="BF"/>
    </w:rPr>
  </w:style>
  <w:style w:type="character" w:styleId="169">
    <w:name w:val="Intense Reference"/>
    <w:basedOn w:val="676"/>
    <w:uiPriority w:val="32"/>
    <w:qFormat/>
    <w:pPr>
      <w:pBdr/>
      <w:spacing/>
      <w:ind/>
    </w:pPr>
    <w:rPr>
      <w:b/>
      <w:bCs/>
      <w:smallCaps/>
      <w:color w:val="0f4761" w:themeColor="accent1" w:themeShade="BF"/>
      <w:spacing w:val="5"/>
    </w:rPr>
  </w:style>
  <w:style w:type="paragraph" w:styleId="170">
    <w:name w:val="No Spacing"/>
    <w:basedOn w:val="675"/>
    <w:uiPriority w:val="1"/>
    <w:qFormat/>
    <w:pPr>
      <w:pBdr/>
      <w:spacing w:after="0" w:line="240" w:lineRule="auto"/>
      <w:ind/>
    </w:pPr>
  </w:style>
  <w:style w:type="character" w:styleId="171">
    <w:name w:val="Subtle Emphasis"/>
    <w:basedOn w:val="676"/>
    <w:uiPriority w:val="19"/>
    <w:qFormat/>
    <w:pPr>
      <w:pBdr/>
      <w:spacing/>
      <w:ind/>
    </w:pPr>
    <w:rPr>
      <w:i/>
      <w:iCs/>
      <w:color w:val="404040" w:themeColor="text1" w:themeTint="BF"/>
    </w:rPr>
  </w:style>
  <w:style w:type="character" w:styleId="172">
    <w:name w:val="Emphasis"/>
    <w:basedOn w:val="676"/>
    <w:uiPriority w:val="20"/>
    <w:qFormat/>
    <w:pPr>
      <w:pBdr/>
      <w:spacing/>
      <w:ind/>
    </w:pPr>
    <w:rPr>
      <w:i/>
      <w:iCs/>
    </w:rPr>
  </w:style>
  <w:style w:type="character" w:styleId="173">
    <w:name w:val="Strong"/>
    <w:basedOn w:val="676"/>
    <w:uiPriority w:val="22"/>
    <w:qFormat/>
    <w:pPr>
      <w:pBdr/>
      <w:spacing/>
      <w:ind/>
    </w:pPr>
    <w:rPr>
      <w:b/>
      <w:bCs/>
    </w:rPr>
  </w:style>
  <w:style w:type="character" w:styleId="174">
    <w:name w:val="Subtle Reference"/>
    <w:basedOn w:val="676"/>
    <w:uiPriority w:val="31"/>
    <w:qFormat/>
    <w:pPr>
      <w:pBdr/>
      <w:spacing/>
      <w:ind/>
    </w:pPr>
    <w:rPr>
      <w:smallCaps/>
      <w:color w:val="5a5a5a" w:themeColor="text1" w:themeTint="A5"/>
    </w:rPr>
  </w:style>
  <w:style w:type="character" w:styleId="175">
    <w:name w:val="Book Title"/>
    <w:basedOn w:val="676"/>
    <w:uiPriority w:val="33"/>
    <w:qFormat/>
    <w:pPr>
      <w:pBdr/>
      <w:spacing/>
      <w:ind/>
    </w:pPr>
    <w:rPr>
      <w:b/>
      <w:bCs/>
      <w:i/>
      <w:iCs/>
      <w:spacing w:val="5"/>
    </w:rPr>
  </w:style>
  <w:style w:type="paragraph" w:styleId="176">
    <w:name w:val="Header"/>
    <w:basedOn w:val="675"/>
    <w:link w:val="177"/>
    <w:uiPriority w:val="99"/>
    <w:unhideWhenUsed/>
    <w:pPr>
      <w:pBdr/>
      <w:tabs>
        <w:tab w:val="center" w:leader="none" w:pos="4844"/>
        <w:tab w:val="right" w:leader="none" w:pos="9689"/>
      </w:tabs>
      <w:spacing w:after="0" w:line="240" w:lineRule="auto"/>
      <w:ind/>
    </w:pPr>
  </w:style>
  <w:style w:type="character" w:styleId="177">
    <w:name w:val="Header Char"/>
    <w:basedOn w:val="676"/>
    <w:link w:val="176"/>
    <w:uiPriority w:val="99"/>
    <w:pPr>
      <w:pBdr/>
      <w:spacing/>
      <w:ind/>
    </w:pPr>
  </w:style>
  <w:style w:type="paragraph" w:styleId="178">
    <w:name w:val="Footer"/>
    <w:basedOn w:val="675"/>
    <w:link w:val="179"/>
    <w:uiPriority w:val="99"/>
    <w:unhideWhenUsed/>
    <w:pPr>
      <w:pBdr/>
      <w:tabs>
        <w:tab w:val="center" w:leader="none" w:pos="4844"/>
        <w:tab w:val="right" w:leader="none" w:pos="9689"/>
      </w:tabs>
      <w:spacing w:after="0" w:line="240" w:lineRule="auto"/>
      <w:ind/>
    </w:pPr>
  </w:style>
  <w:style w:type="character" w:styleId="179">
    <w:name w:val="Footer Char"/>
    <w:basedOn w:val="676"/>
    <w:link w:val="178"/>
    <w:uiPriority w:val="99"/>
    <w:pPr>
      <w:pBdr/>
      <w:spacing/>
      <w:ind/>
    </w:pPr>
  </w:style>
  <w:style w:type="paragraph" w:styleId="180">
    <w:name w:val="Caption"/>
    <w:basedOn w:val="675"/>
    <w:next w:val="675"/>
    <w:uiPriority w:val="35"/>
    <w:unhideWhenUsed/>
    <w:qFormat/>
    <w:pPr>
      <w:pBdr/>
      <w:spacing w:after="200" w:line="240" w:lineRule="auto"/>
      <w:ind/>
    </w:pPr>
    <w:rPr>
      <w:i/>
      <w:iCs/>
      <w:color w:val="0e2841" w:themeColor="text2"/>
      <w:sz w:val="18"/>
      <w:szCs w:val="18"/>
    </w:rPr>
  </w:style>
  <w:style w:type="paragraph" w:styleId="181">
    <w:name w:val="footnote text"/>
    <w:basedOn w:val="675"/>
    <w:link w:val="182"/>
    <w:uiPriority w:val="99"/>
    <w:semiHidden/>
    <w:unhideWhenUsed/>
    <w:pPr>
      <w:pBdr/>
      <w:spacing w:after="0" w:line="240" w:lineRule="auto"/>
      <w:ind/>
    </w:pPr>
    <w:rPr>
      <w:sz w:val="20"/>
      <w:szCs w:val="20"/>
    </w:rPr>
  </w:style>
  <w:style w:type="character" w:styleId="182">
    <w:name w:val="Footnote Text Char"/>
    <w:basedOn w:val="676"/>
    <w:link w:val="181"/>
    <w:uiPriority w:val="99"/>
    <w:semiHidden/>
    <w:pPr>
      <w:pBdr/>
      <w:spacing/>
      <w:ind/>
    </w:pPr>
    <w:rPr>
      <w:sz w:val="20"/>
      <w:szCs w:val="20"/>
    </w:rPr>
  </w:style>
  <w:style w:type="character" w:styleId="183">
    <w:name w:val="footnote reference"/>
    <w:basedOn w:val="676"/>
    <w:uiPriority w:val="99"/>
    <w:semiHidden/>
    <w:unhideWhenUsed/>
    <w:pPr>
      <w:pBdr/>
      <w:spacing/>
      <w:ind/>
    </w:pPr>
    <w:rPr>
      <w:vertAlign w:val="superscript"/>
    </w:rPr>
  </w:style>
  <w:style w:type="paragraph" w:styleId="184">
    <w:name w:val="endnote text"/>
    <w:basedOn w:val="675"/>
    <w:link w:val="185"/>
    <w:uiPriority w:val="99"/>
    <w:semiHidden/>
    <w:unhideWhenUsed/>
    <w:pPr>
      <w:pBdr/>
      <w:spacing w:after="0" w:line="240" w:lineRule="auto"/>
      <w:ind/>
    </w:pPr>
    <w:rPr>
      <w:sz w:val="20"/>
      <w:szCs w:val="20"/>
    </w:rPr>
  </w:style>
  <w:style w:type="character" w:styleId="185">
    <w:name w:val="Endnote Text Char"/>
    <w:basedOn w:val="676"/>
    <w:link w:val="184"/>
    <w:uiPriority w:val="99"/>
    <w:semiHidden/>
    <w:pPr>
      <w:pBdr/>
      <w:spacing/>
      <w:ind/>
    </w:pPr>
    <w:rPr>
      <w:sz w:val="20"/>
      <w:szCs w:val="20"/>
    </w:rPr>
  </w:style>
  <w:style w:type="character" w:styleId="186">
    <w:name w:val="endnote reference"/>
    <w:basedOn w:val="676"/>
    <w:uiPriority w:val="99"/>
    <w:semiHidden/>
    <w:unhideWhenUsed/>
    <w:pPr>
      <w:pBdr/>
      <w:spacing/>
      <w:ind/>
    </w:pPr>
    <w:rPr>
      <w:vertAlign w:val="superscript"/>
    </w:rPr>
  </w:style>
  <w:style w:type="character" w:styleId="188">
    <w:name w:val="FollowedHyperlink"/>
    <w:basedOn w:val="676"/>
    <w:uiPriority w:val="99"/>
    <w:semiHidden/>
    <w:unhideWhenUsed/>
    <w:pPr>
      <w:pBdr/>
      <w:spacing/>
      <w:ind/>
    </w:pPr>
    <w:rPr>
      <w:color w:val="954f72" w:themeColor="followedHyperlink"/>
      <w:u w:val="single"/>
    </w:rPr>
  </w:style>
  <w:style w:type="paragraph" w:styleId="189">
    <w:name w:val="toc 1"/>
    <w:basedOn w:val="675"/>
    <w:next w:val="675"/>
    <w:uiPriority w:val="39"/>
    <w:unhideWhenUsed/>
    <w:pPr>
      <w:pBdr/>
      <w:spacing w:after="100"/>
      <w:ind/>
    </w:pPr>
  </w:style>
  <w:style w:type="paragraph" w:styleId="190">
    <w:name w:val="toc 2"/>
    <w:basedOn w:val="675"/>
    <w:next w:val="675"/>
    <w:uiPriority w:val="39"/>
    <w:unhideWhenUsed/>
    <w:pPr>
      <w:pBdr/>
      <w:spacing w:after="100"/>
      <w:ind w:left="220"/>
    </w:pPr>
  </w:style>
  <w:style w:type="paragraph" w:styleId="191">
    <w:name w:val="toc 3"/>
    <w:basedOn w:val="675"/>
    <w:next w:val="675"/>
    <w:uiPriority w:val="39"/>
    <w:unhideWhenUsed/>
    <w:pPr>
      <w:pBdr/>
      <w:spacing w:after="100"/>
      <w:ind w:left="440"/>
    </w:pPr>
  </w:style>
  <w:style w:type="paragraph" w:styleId="192">
    <w:name w:val="toc 4"/>
    <w:basedOn w:val="675"/>
    <w:next w:val="675"/>
    <w:uiPriority w:val="39"/>
    <w:unhideWhenUsed/>
    <w:pPr>
      <w:pBdr/>
      <w:spacing w:after="100"/>
      <w:ind w:left="660"/>
    </w:pPr>
  </w:style>
  <w:style w:type="paragraph" w:styleId="193">
    <w:name w:val="toc 5"/>
    <w:basedOn w:val="675"/>
    <w:next w:val="675"/>
    <w:uiPriority w:val="39"/>
    <w:unhideWhenUsed/>
    <w:pPr>
      <w:pBdr/>
      <w:spacing w:after="100"/>
      <w:ind w:left="880"/>
    </w:pPr>
  </w:style>
  <w:style w:type="paragraph" w:styleId="194">
    <w:name w:val="toc 6"/>
    <w:basedOn w:val="675"/>
    <w:next w:val="675"/>
    <w:uiPriority w:val="39"/>
    <w:unhideWhenUsed/>
    <w:pPr>
      <w:pBdr/>
      <w:spacing w:after="100"/>
      <w:ind w:left="1100"/>
    </w:pPr>
  </w:style>
  <w:style w:type="paragraph" w:styleId="195">
    <w:name w:val="toc 7"/>
    <w:basedOn w:val="675"/>
    <w:next w:val="675"/>
    <w:uiPriority w:val="39"/>
    <w:unhideWhenUsed/>
    <w:pPr>
      <w:pBdr/>
      <w:spacing w:after="100"/>
      <w:ind w:left="1320"/>
    </w:pPr>
  </w:style>
  <w:style w:type="paragraph" w:styleId="196">
    <w:name w:val="toc 8"/>
    <w:basedOn w:val="675"/>
    <w:next w:val="675"/>
    <w:uiPriority w:val="39"/>
    <w:unhideWhenUsed/>
    <w:pPr>
      <w:pBdr/>
      <w:spacing w:after="100"/>
      <w:ind w:left="1540"/>
    </w:pPr>
  </w:style>
  <w:style w:type="paragraph" w:styleId="197">
    <w:name w:val="toc 9"/>
    <w:basedOn w:val="675"/>
    <w:next w:val="675"/>
    <w:uiPriority w:val="39"/>
    <w:unhideWhenUsed/>
    <w:pPr>
      <w:pBdr/>
      <w:spacing w:after="100"/>
      <w:ind w:left="1760"/>
    </w:pPr>
  </w:style>
  <w:style w:type="character" w:styleId="198">
    <w:name w:val="Placeholder Text"/>
    <w:basedOn w:val="676"/>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75"/>
    <w:next w:val="675"/>
    <w:uiPriority w:val="99"/>
    <w:unhideWhenUsed/>
    <w:pPr>
      <w:pBdr/>
      <w:spacing w:after="0" w:afterAutospacing="0"/>
      <w:ind/>
    </w:pPr>
  </w:style>
  <w:style w:type="paragraph" w:styleId="675" w:default="1">
    <w:name w:val="Normal"/>
    <w:qFormat/>
    <w:pPr>
      <w:pBdr/>
      <w:spacing/>
      <w:ind/>
    </w:pPr>
    <w:rPr>
      <w:lang w:val="ru-RU"/>
    </w:rPr>
  </w:style>
  <w:style w:type="character" w:styleId="676" w:default="1">
    <w:name w:val="Default Paragraph Font"/>
    <w:uiPriority w:val="1"/>
    <w:semiHidden/>
    <w:unhideWhenUsed/>
    <w:pPr>
      <w:pBdr/>
      <w:spacing/>
      <w:ind/>
    </w:pPr>
  </w:style>
  <w:style w:type="table" w:styleId="67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78" w:default="1">
    <w:name w:val="No List"/>
    <w:uiPriority w:val="99"/>
    <w:semiHidden/>
    <w:unhideWhenUsed/>
    <w:pPr>
      <w:pBdr/>
      <w:spacing/>
      <w:ind/>
    </w:pPr>
  </w:style>
  <w:style w:type="table" w:styleId="679">
    <w:name w:val="Table Grid"/>
    <w:basedOn w:val="677"/>
    <w:uiPriority w:val="39"/>
    <w:pPr>
      <w:pBdr/>
      <w:spacing w:after="0" w:line="240" w:lineRule="auto"/>
      <w:ind/>
    </w:pPr>
    <w:rPr>
      <w:lang w:val="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680">
    <w:name w:val="annotation reference"/>
    <w:basedOn w:val="676"/>
    <w:uiPriority w:val="99"/>
    <w:semiHidden/>
    <w:unhideWhenUsed/>
    <w:pPr>
      <w:pBdr/>
      <w:spacing/>
      <w:ind/>
    </w:pPr>
    <w:rPr>
      <w:sz w:val="16"/>
      <w:szCs w:val="16"/>
    </w:rPr>
  </w:style>
  <w:style w:type="paragraph" w:styleId="681">
    <w:name w:val="annotation text"/>
    <w:basedOn w:val="675"/>
    <w:link w:val="682"/>
    <w:uiPriority w:val="99"/>
    <w:unhideWhenUsed/>
    <w:pPr>
      <w:pBdr/>
      <w:spacing w:line="240" w:lineRule="auto"/>
      <w:ind/>
    </w:pPr>
    <w:rPr>
      <w:sz w:val="20"/>
      <w:szCs w:val="20"/>
    </w:rPr>
  </w:style>
  <w:style w:type="character" w:styleId="682" w:customStyle="1">
    <w:name w:val="Текст примечания Знак"/>
    <w:basedOn w:val="676"/>
    <w:link w:val="681"/>
    <w:uiPriority w:val="99"/>
    <w:pPr>
      <w:pBdr/>
      <w:spacing/>
      <w:ind/>
    </w:pPr>
    <w:rPr>
      <w:sz w:val="20"/>
      <w:szCs w:val="20"/>
      <w:lang w:val="ru-RU"/>
    </w:rPr>
  </w:style>
  <w:style w:type="paragraph" w:styleId="683">
    <w:name w:val="List Paragraph"/>
    <w:basedOn w:val="675"/>
    <w:uiPriority w:val="34"/>
    <w:qFormat/>
    <w:pPr>
      <w:pBdr/>
      <w:spacing/>
      <w:ind w:left="720"/>
      <w:contextualSpacing w:val="true"/>
    </w:pPr>
  </w:style>
  <w:style w:type="paragraph" w:styleId="684">
    <w:name w:val="Balloon Text"/>
    <w:basedOn w:val="675"/>
    <w:link w:val="685"/>
    <w:uiPriority w:val="99"/>
    <w:semiHidden/>
    <w:unhideWhenUsed/>
    <w:pPr>
      <w:pBdr/>
      <w:spacing w:after="0" w:line="240" w:lineRule="auto"/>
      <w:ind/>
    </w:pPr>
    <w:rPr>
      <w:rFonts w:ascii="Segoe UI" w:hAnsi="Segoe UI" w:cs="Segoe UI"/>
      <w:sz w:val="18"/>
      <w:szCs w:val="18"/>
    </w:rPr>
  </w:style>
  <w:style w:type="character" w:styleId="685" w:customStyle="1">
    <w:name w:val="Текст выноски Знак"/>
    <w:basedOn w:val="676"/>
    <w:link w:val="684"/>
    <w:uiPriority w:val="99"/>
    <w:semiHidden/>
    <w:pPr>
      <w:pBdr/>
      <w:spacing/>
      <w:ind/>
    </w:pPr>
    <w:rPr>
      <w:rFonts w:ascii="Segoe UI" w:hAnsi="Segoe UI" w:cs="Segoe UI"/>
      <w:sz w:val="18"/>
      <w:szCs w:val="18"/>
      <w:lang w:val="ru-RU"/>
    </w:rPr>
  </w:style>
  <w:style w:type="character" w:styleId="686">
    <w:name w:val="Hyperlink"/>
    <w:basedOn w:val="676"/>
    <w:uiPriority w:val="99"/>
    <w:semiHidden/>
    <w:unhideWhenUsed/>
    <w:pPr>
      <w:pBdr/>
      <w:spacing/>
      <w:ind/>
    </w:pPr>
    <w:rPr>
      <w:color w:val="0563c1" w:themeColor="hyperlink"/>
      <w:u w:val="single"/>
    </w:rPr>
  </w:style>
</w:styles>
</file>

<file path=word/webSettings.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word/styles.xml" Id="rId1" /><Relationship Type="http://schemas.openxmlformats.org/officeDocument/2006/relationships/settings" Target="/word/settings.xml" Id="rId2" /><Relationship Type="http://schemas.openxmlformats.org/officeDocument/2006/relationships/webSettings" Target="/word/webSettings.xml" Id="rId3" /><Relationship Type="http://schemas.openxmlformats.org/officeDocument/2006/relationships/fontTable" Target="/word/fontTable.xml" Id="rId4" /><Relationship Type="http://schemas.openxmlformats.org/officeDocument/2006/relationships/theme" Target="/word/theme/theme11.xml" Id="rId5" /><Relationship Type="http://schemas.openxmlformats.org/officeDocument/2006/relationships/numbering" Target="/word/numbering.xml" Id="rId6" /><Relationship Type="http://schemas.openxmlformats.org/officeDocument/2006/relationships/footnotes" Target="/word/footnotes.xml" Id="rId7" /><Relationship Type="http://schemas.openxmlformats.org/officeDocument/2006/relationships/endnotes" Target="/word/endnotes.xml" Id="rId8" /><Relationship Type="http://schemas.openxmlformats.org/officeDocument/2006/relationships/customXml" Target="/customXml/item1.xml" Id="rId9" /></Relationships>
</file>

<file path=word/theme/theme1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045FBF65-8288-45A5-AA8B-1A29E19F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revision>55</cp:revision>
  <dcterms:created xsi:type="dcterms:W3CDTF">2022-12-11T09:17:00Z</dcterms:created>
  <dcterms:modified xsi:type="dcterms:W3CDTF">2026-08-24T06:54:07Z</dcterms:modified>
</cp:coreProperties>
</file>