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460"/>
        <w:gridCol w:w="2475"/>
        <w:gridCol w:w="1437"/>
        <w:gridCol w:w="1435"/>
        <w:gridCol w:w="268"/>
        <w:gridCol w:w="1170"/>
        <w:gridCol w:w="2002"/>
        <w:gridCol w:w="1241"/>
        <w:gridCol w:w="354"/>
        <w:gridCol w:w="910"/>
        <w:gridCol w:w="2816"/>
      </w:tblGrid>
      <w:tr>
        <w:trPr/>
        <w:tc>
          <w:tcPr>
            <w:tcW w:w="14568" w:type="dxa"/>
            <w:gridSpan w:val="11"/>
            <w:tcBorders/>
            <w:vAlign w:val="bottom"/>
          </w:tcPr>
          <w:p>
            <w:pPr>
              <w:pStyle w:val="ConsPlusNormal"/>
              <w:jc w:val="center"/>
              <w:rPr/>
            </w:pPr>
            <w:bookmarkStart w:id="0" w:name="Par266"/>
            <w:bookmarkEnd w:id="0"/>
            <w:r>
              <w:rPr/>
              <w:t>ПОРЯДОК</w:t>
            </w:r>
          </w:p>
          <w:p>
            <w:pPr>
              <w:pStyle w:val="ConsPlusNormal"/>
              <w:jc w:val="center"/>
              <w:rPr/>
            </w:pPr>
            <w:r>
              <w:rPr/>
              <w:t>рассмотрения и оценки заявок на участие в конкурсе</w:t>
            </w:r>
          </w:p>
        </w:tc>
      </w:tr>
      <w:tr>
        <w:trPr/>
        <w:tc>
          <w:tcPr>
            <w:tcW w:w="14568" w:type="dxa"/>
            <w:gridSpan w:val="11"/>
            <w:tcBorders/>
          </w:tcPr>
          <w:p>
            <w:pPr>
              <w:pStyle w:val="ConsPlusNormal"/>
              <w:numPr>
                <w:ilvl w:val="0"/>
                <w:numId w:val="0"/>
              </w:numPr>
              <w:ind w:hanging="0" w:left="0"/>
              <w:jc w:val="center"/>
              <w:outlineLvl w:val="2"/>
              <w:rPr/>
            </w:pPr>
            <w:bookmarkStart w:id="1" w:name="Par268"/>
            <w:bookmarkEnd w:id="1"/>
            <w:r>
              <w:rPr/>
              <w:t>I. Информация о заказчике и закупке товаров, работ, услуг для обеспечения государственных и муниципальных нужд (далее - закупка)</w:t>
            </w:r>
          </w:p>
        </w:tc>
      </w:tr>
      <w:tr>
        <w:trPr/>
        <w:tc>
          <w:tcPr>
            <w:tcW w:w="14568" w:type="dxa"/>
            <w:gridSpan w:val="11"/>
            <w:tcBorders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413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64" w:type="dxa"/>
            <w:gridSpan w:val="2"/>
            <w:tcBorders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/>
            </w:pPr>
            <w:r>
              <w:rPr/>
              <w:t>Коды</w:t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  <w:t>Полное наименование</w:t>
            </w:r>
          </w:p>
        </w:tc>
        <w:tc>
          <w:tcPr>
            <w:tcW w:w="4413" w:type="dxa"/>
            <w:gridSpan w:val="3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64" w:type="dxa"/>
            <w:gridSpan w:val="2"/>
            <w:tcBorders>
              <w:right w:val="single" w:sz="4" w:space="0" w:color="000000"/>
            </w:tcBorders>
            <w:vAlign w:val="bottom"/>
          </w:tcPr>
          <w:p>
            <w:pPr>
              <w:pStyle w:val="ConsPlusNormal"/>
              <w:jc w:val="right"/>
              <w:rPr/>
            </w:pPr>
            <w:r>
              <w:rPr/>
              <w:t>ИНН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ConsPlusNormal"/>
              <w:rPr>
                <w:color w:val="0070C0"/>
              </w:rPr>
            </w:pPr>
            <w:r>
              <w:rPr>
                <w:color w:val="0070C0"/>
              </w:rPr>
              <w:t>5503079976</w:t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4413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МИНИСТЕРСТВО ВНУТРЕННЕЙ ПОЛИТИКИ ОМСКОЙ ОБЛАСТИ</w:t>
            </w:r>
          </w:p>
        </w:tc>
        <w:tc>
          <w:tcPr>
            <w:tcW w:w="1264" w:type="dxa"/>
            <w:gridSpan w:val="2"/>
            <w:tcBorders>
              <w:right w:val="single" w:sz="4" w:space="0" w:color="000000"/>
            </w:tcBorders>
            <w:vAlign w:val="bottom"/>
          </w:tcPr>
          <w:p>
            <w:pPr>
              <w:pStyle w:val="ConsPlusNormal"/>
              <w:jc w:val="right"/>
              <w:rPr/>
            </w:pPr>
            <w:r>
              <w:rPr/>
              <w:t>КПП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ConsPlusNormal"/>
              <w:rPr>
                <w:color w:val="0070C0"/>
              </w:rPr>
            </w:pPr>
            <w:r>
              <w:rPr>
                <w:color w:val="0070C0"/>
              </w:rPr>
            </w:r>
          </w:p>
          <w:p>
            <w:pPr>
              <w:pStyle w:val="ConsPlusNormal"/>
              <w:rPr>
                <w:color w:val="0070C0"/>
              </w:rPr>
            </w:pPr>
            <w:r>
              <w:rPr>
                <w:color w:val="0070C0"/>
              </w:rPr>
              <w:t>550301001</w:t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  <w:t>Место нахождения, телефон, адрес электронной почты</w:t>
            </w:r>
          </w:p>
        </w:tc>
        <w:tc>
          <w:tcPr>
            <w:tcW w:w="441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644002, ОМСКАЯ ОБЛАСТЬ, ГОРОД ОМСК, УЛИЦА ПЕТРА НЕКРАСОВА, 3; n</w:t>
            </w:r>
            <w:r>
              <w:rPr>
                <w:lang w:val="en-US"/>
              </w:rPr>
              <w:t>shelkova</w:t>
            </w:r>
            <w:r>
              <w:rPr/>
              <w:t>@</w:t>
            </w:r>
            <w:r>
              <w:rPr>
                <w:lang w:val="en-US"/>
              </w:rPr>
              <w:t>mvp</w:t>
            </w:r>
            <w:r>
              <w:rPr/>
              <w:t>.</w:t>
            </w:r>
            <w:bookmarkStart w:id="2" w:name="_GoBack_Копия_1"/>
            <w:bookmarkEnd w:id="2"/>
            <w:r>
              <w:rPr/>
              <w:t>omskportal.ru; 8-3812-79-06-98</w:t>
            </w:r>
          </w:p>
        </w:tc>
        <w:tc>
          <w:tcPr>
            <w:tcW w:w="1264" w:type="dxa"/>
            <w:gridSpan w:val="2"/>
            <w:tcBorders>
              <w:right w:val="single" w:sz="4" w:space="0" w:color="000000"/>
            </w:tcBorders>
            <w:vAlign w:val="bottom"/>
          </w:tcPr>
          <w:p>
            <w:pPr>
              <w:pStyle w:val="ConsPlusNormal"/>
              <w:jc w:val="right"/>
              <w:rPr>
                <w:rFonts w:eastAsia="" w:eastAsiaTheme="minorEastAsia"/>
                <w:highlight w:val="none"/>
                <w:shd w:fill="FFFFFF" w:val="clear"/>
              </w:rPr>
            </w:pPr>
            <w:r>
              <w:rPr>
                <w:rFonts w:eastAsia="" w:eastAsiaTheme="minorEastAsia"/>
                <w:shd w:fill="FFFFFF" w:val="clear"/>
              </w:rPr>
              <w:t>по ОКТМО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ConsPlusNormal"/>
              <w:rPr>
                <w:color w:val="0070C0"/>
              </w:rPr>
            </w:pPr>
            <w:r>
              <w:rPr>
                <w:color w:val="0070C0"/>
              </w:rPr>
            </w:r>
          </w:p>
          <w:p>
            <w:pPr>
              <w:pStyle w:val="ConsPlusNormal"/>
              <w:rPr>
                <w:color w:val="0070C0"/>
              </w:rPr>
            </w:pPr>
            <w:r>
              <w:rPr>
                <w:color w:val="0070C0"/>
              </w:rPr>
            </w:r>
          </w:p>
          <w:p>
            <w:pPr>
              <w:pStyle w:val="ConsPlusNormal"/>
              <w:rPr>
                <w:color w:val="0070C0"/>
              </w:rPr>
            </w:pPr>
            <w:r>
              <w:rPr>
                <w:color w:val="0070C0"/>
              </w:rPr>
            </w:r>
          </w:p>
          <w:p>
            <w:pPr>
              <w:pStyle w:val="ConsPlusNormal"/>
              <w:rPr>
                <w:color w:val="0070C0"/>
              </w:rPr>
            </w:pPr>
            <w:r>
              <w:rPr>
                <w:color w:val="0070C0"/>
              </w:rPr>
              <w:t>52701000001</w:t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  <w:t>Наименование бюджетного, автономного учреждения,</w:t>
            </w:r>
          </w:p>
        </w:tc>
        <w:tc>
          <w:tcPr>
            <w:tcW w:w="4413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64" w:type="dxa"/>
            <w:gridSpan w:val="2"/>
            <w:tcBorders>
              <w:right w:val="single" w:sz="4" w:space="0" w:color="000000"/>
            </w:tcBorders>
            <w:vAlign w:val="bottom"/>
          </w:tcPr>
          <w:p>
            <w:pPr>
              <w:pStyle w:val="ConsPlusNormal"/>
              <w:jc w:val="right"/>
              <w:rPr/>
            </w:pPr>
            <w:r>
              <w:rPr/>
              <w:t>ИНН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  <w:t>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w="4413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64" w:type="dxa"/>
            <w:gridSpan w:val="2"/>
            <w:tcBorders>
              <w:right w:val="single" w:sz="4" w:space="0" w:color="000000"/>
            </w:tcBorders>
            <w:vAlign w:val="bottom"/>
          </w:tcPr>
          <w:p>
            <w:pPr>
              <w:pStyle w:val="ConsPlusNormal"/>
              <w:jc w:val="right"/>
              <w:rPr/>
            </w:pPr>
            <w:r>
              <w:rPr/>
              <w:t>КПП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  <w:t>Место нахождения, телефон, адрес электронной почты</w:t>
            </w:r>
          </w:p>
        </w:tc>
        <w:tc>
          <w:tcPr>
            <w:tcW w:w="441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26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ConsPlusNormal"/>
              <w:jc w:val="right"/>
              <w:rPr/>
            </w:pPr>
            <w:r>
              <w:rPr/>
              <w:t>по ОКТМО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6075" w:type="dxa"/>
            <w:gridSpan w:val="5"/>
            <w:tcBorders/>
          </w:tcPr>
          <w:p>
            <w:pPr>
              <w:pStyle w:val="ConsPlusNormal"/>
              <w:rPr/>
            </w:pPr>
            <w:r>
              <w:rPr/>
              <w:t>Наименование объекта закупки</w:t>
            </w:r>
          </w:p>
        </w:tc>
        <w:tc>
          <w:tcPr>
            <w:tcW w:w="8493" w:type="dxa"/>
            <w:gridSpan w:val="6"/>
            <w:tcBorders>
              <w:top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/>
              <w:t xml:space="preserve">Оказание услуг по созданию и размещению </w:t>
            </w:r>
            <w:r>
              <w:rPr>
                <w:bCs/>
              </w:rPr>
              <w:t xml:space="preserve">информационных материалов </w:t>
            </w:r>
            <w:r>
              <w:rPr/>
              <w:t xml:space="preserve">о </w:t>
            </w:r>
            <w:r>
              <w:rPr>
                <w:bCs/>
              </w:rPr>
              <w:t>деятельности Губернатора Омской области, Правительства Омской области, о социально-экономическом, общественно-политическом, научно-техническом и информационном развитии Омской области</w:t>
            </w:r>
            <w:r>
              <w:rPr/>
              <w:t xml:space="preserve"> на сайте средства массовой информации в сети Интернет с дублированием (анонсированием) информации в социальных сетях</w:t>
            </w:r>
            <w:bookmarkStart w:id="3" w:name="_GoBack"/>
            <w:bookmarkEnd w:id="3"/>
          </w:p>
        </w:tc>
      </w:tr>
      <w:tr>
        <w:trPr>
          <w:trHeight w:val="425" w:hRule="atLeast"/>
        </w:trPr>
        <w:tc>
          <w:tcPr>
            <w:tcW w:w="14568" w:type="dxa"/>
            <w:gridSpan w:val="11"/>
            <w:tcBorders/>
          </w:tcPr>
          <w:p>
            <w:pPr>
              <w:pStyle w:val="ConsPlusNormal"/>
              <w:numPr>
                <w:ilvl w:val="0"/>
                <w:numId w:val="0"/>
              </w:numPr>
              <w:ind w:hanging="0" w:left="0"/>
              <w:outlineLvl w:val="2"/>
              <w:rPr/>
            </w:pPr>
            <w:r>
              <w:rPr/>
              <w:t>II. Критерии и показатели оценки заявок на участие в закупке</w:t>
            </w:r>
          </w:p>
        </w:tc>
      </w:tr>
      <w:tr>
        <w:trPr/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N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Критерий оценки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Значимость критерия оценки, процентов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Показатель оценки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Значимость показателя оценки, процентов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Показатель оценки, детализирующий показатель оценки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Значимость показателя, детализирующего показатель оценки, процентов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Формула оценки или шкала оценки</w:t>
            </w:r>
          </w:p>
        </w:tc>
      </w:tr>
      <w:tr>
        <w:trPr/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Цена контракта, сумма цен единиц товара, работы, услуги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60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-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-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-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pacing w:val="-1"/>
              </w:rPr>
              <w:t>Оценка заявок осуществляется по формулам, предусмотренным пунктами 9 или 10 Положения об оценке заявок на участие в закупке товаров, работ, услуг для обеспечения государственных и муниципальных нужд, утвержденного постановлением Правительства Российской Федерации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20.12.2021 № 2369 и признании утратившими силу некоторых актов и отдельных положений некоторых актов Правительства Российской Федерации» (далее - Положение)</w:t>
            </w:r>
          </w:p>
        </w:tc>
      </w:tr>
      <w:tr>
        <w:trPr>
          <w:trHeight w:val="1164" w:hRule="atLeast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2.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Квалификация участников закупки, в том числе наличие 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 (далее – квалификация участников закупки)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40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наличие у участников закупки опыта работы, связанного с предметом контракта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100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характеристика квалификации участников закупки N 1 (общее количество исполненных участником закупки договоров)</w:t>
            </w:r>
          </w:p>
          <w:p>
            <w:pPr>
              <w:pStyle w:val="ConsPlusNormal"/>
              <w:rPr/>
            </w:pPr>
            <w:r>
              <w:rPr/>
            </w:r>
          </w:p>
          <w:p>
            <w:pPr>
              <w:pStyle w:val="ConsPlusNormal"/>
              <w:rPr/>
            </w:pPr>
            <w:r>
              <w:rPr/>
              <w:t>установлено предельное максимальное значение характеристики – 15 шт.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100</w:t>
            </w:r>
          </w:p>
        </w:tc>
        <w:tc>
          <w:tcPr>
            <w:tcW w:w="3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pacing w:val="-1"/>
              </w:rPr>
              <w:t xml:space="preserve">Оценка заявок осуществляется по формуле, предусмотренной подпунктом «е» пункта 20 и 21 </w:t>
            </w:r>
            <w:r>
              <w:rPr>
                <w:rFonts w:eastAsia="" w:eastAsiaTheme="minorEastAsia"/>
                <w:spacing w:val="-1"/>
                <w:shd w:fill="FFFFFF" w:val="clear"/>
              </w:rPr>
              <w:t xml:space="preserve">Положения, где </w:t>
            </w:r>
            <w:r>
              <w:rPr/>
            </w:r>
            <m:oMath xmlns:m="http://schemas.openxmlformats.org/officeDocument/2006/math">
              <m:sSubSup>
                <m:e>
                  <m:r>
                    <w:rPr>
                      <w:rFonts w:ascii="Cambria Math" w:hAnsi="Cambria Math"/>
                    </w:rPr>
                    <m:t xml:space="preserve">X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max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пред</m:t>
                  </m:r>
                </m:sup>
              </m:sSubSup>
            </m:oMath>
            <w:r>
              <w:rPr>
                <w:rFonts w:eastAsia="" w:eastAsiaTheme="minorEastAsia"/>
                <w:spacing w:val="-1"/>
                <w:shd w:fill="FFFFFF" w:val="clear"/>
              </w:rPr>
              <w:t>= 15.</w:t>
            </w:r>
          </w:p>
        </w:tc>
      </w:tr>
    </w:tbl>
    <w:p>
      <w:pPr>
        <w:pStyle w:val="ConsPlusNormal"/>
        <w:jc w:val="both"/>
        <w:rPr/>
      </w:pPr>
      <w:r>
        <w:rPr/>
      </w:r>
    </w:p>
    <w:tbl>
      <w:tblPr>
        <w:tblW w:w="5000" w:type="pct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14570"/>
      </w:tblGrid>
      <w:tr>
        <w:trPr/>
        <w:tc>
          <w:tcPr>
            <w:tcW w:w="14570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ind w:hanging="0" w:left="0"/>
              <w:jc w:val="center"/>
              <w:outlineLvl w:val="2"/>
              <w:rPr/>
            </w:pPr>
            <w:bookmarkStart w:id="4" w:name="Par425"/>
            <w:bookmarkEnd w:id="4"/>
            <w:r>
              <w:rPr/>
      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</w:t>
            </w:r>
            <w:hyperlink w:anchor="Par306" w:tgtFrame="II. Критерии и показатели оценки заявок на участие в закупке">
              <w:r>
                <w:rPr/>
                <w:t>разделом II</w:t>
              </w:r>
            </w:hyperlink>
            <w:r>
              <w:rPr/>
              <w:t xml:space="preserve"> настоящего документа</w:t>
            </w:r>
          </w:p>
        </w:tc>
      </w:tr>
    </w:tbl>
    <w:p>
      <w:pPr>
        <w:pStyle w:val="ConsPlusNormal"/>
        <w:jc w:val="both"/>
        <w:rPr/>
      </w:pPr>
      <w:r>
        <w:rPr/>
      </w:r>
    </w:p>
    <w:tbl>
      <w:tblPr>
        <w:tblW w:w="5000" w:type="pct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645"/>
        <w:gridCol w:w="5025"/>
        <w:gridCol w:w="8900"/>
      </w:tblGrid>
      <w:tr>
        <w:trPr/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N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графой 3</w:t>
            </w:r>
          </w:p>
        </w:tc>
        <w:tc>
          <w:tcPr>
            <w:tcW w:w="8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Положение о применения критерия оценки, показателя оценки, показателя оценки, детализирующего показатель оценки</w:t>
            </w:r>
          </w:p>
        </w:tc>
      </w:tr>
      <w:tr>
        <w:trPr/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>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bookmarkStart w:id="5" w:name="Par431"/>
            <w:bookmarkEnd w:id="5"/>
            <w:r>
              <w:rPr/>
              <w:t>2</w:t>
            </w:r>
          </w:p>
        </w:tc>
        <w:tc>
          <w:tcPr>
            <w:tcW w:w="8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bookmarkStart w:id="6" w:name="Par432"/>
            <w:bookmarkEnd w:id="6"/>
            <w:r>
              <w:rPr/>
              <w:t>3</w:t>
            </w:r>
          </w:p>
        </w:tc>
      </w:tr>
      <w:tr>
        <w:trPr/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  <w:t>1.1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left"/>
              <w:rPr/>
            </w:pPr>
            <w:r>
              <w:rPr/>
              <w:t>Квалификация участников закупки:</w:t>
            </w:r>
          </w:p>
          <w:p>
            <w:pPr>
              <w:pStyle w:val="ConsPlusNormal"/>
              <w:jc w:val="left"/>
              <w:rPr/>
            </w:pPr>
            <w:r>
              <w:rPr/>
              <w:t xml:space="preserve"> </w:t>
            </w:r>
            <w:r>
              <w:rPr/>
              <w:t>- наличие у участников закупки опыта оказания услуги, связанного с предметом контракта:</w:t>
            </w:r>
          </w:p>
          <w:p>
            <w:pPr>
              <w:pStyle w:val="ConsPlusNormal"/>
              <w:jc w:val="left"/>
              <w:rPr/>
            </w:pPr>
            <w:r>
              <w:rPr/>
              <w:t>общее количество исполненных участником закупки договоров,</w:t>
            </w:r>
            <w:r>
              <w:rPr>
                <w:rFonts w:eastAsia="Calibri" w:cs="Tahoma"/>
                <w:lang w:eastAsia="en-US"/>
              </w:rPr>
              <w:t xml:space="preserve"> установлено </w:t>
            </w:r>
            <w:r>
              <w:rPr/>
              <w:t>предельное максимальное значение характеристики – 15 шт.</w:t>
            </w:r>
          </w:p>
        </w:tc>
        <w:tc>
          <w:tcPr>
            <w:tcW w:w="8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lineRule="auto" w:line="240" w:before="0" w:after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 оценке принимается:</w:t>
            </w:r>
          </w:p>
          <w:p>
            <w:pPr>
              <w:pStyle w:val="Standard"/>
              <w:widowControl w:val="false"/>
              <w:spacing w:lineRule="auto" w:line="240" w:before="0" w:after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исключительно исполненный договор (договоры)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, подтверждающий наличие у участника закупки опыта оказания услуг по созданию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и/или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подготовке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и/или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изготовлению и размещению информационных материалов о деятельности органов государственной власти, органов местного самоуправления на сайтах в сети Интернет,</w:t>
            </w:r>
          </w:p>
          <w:p>
            <w:pPr>
              <w:pStyle w:val="Standard"/>
              <w:widowControl w:val="false"/>
              <w:spacing w:lineRule="auto" w:line="240" w:before="0" w:after="0"/>
              <w:ind w:firstLine="54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акт (акты) приемки оказанных услуг, составленные при исполнении такого договора (договоров), при этом последний акт, составленный при исполнении договора, должен быть подписан не ранее чем за 5 лет до даты окончания срока подачи заявок.</w:t>
            </w:r>
          </w:p>
          <w:p>
            <w:pPr>
              <w:pStyle w:val="Standard"/>
              <w:widowControl w:val="false"/>
              <w:spacing w:lineRule="auto" w:line="240" w:before="0" w:after="0"/>
              <w:ind w:firstLine="54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и договоры, заключенные и исполненные в соответствии с  Федеральным законом от 18.07.2011 № 223-ФЗ «О закупках товаров, работ, услуг отдельными видами юридических лиц».</w:t>
            </w:r>
          </w:p>
          <w:p>
            <w:pPr>
              <w:pStyle w:val="Normal"/>
              <w:spacing w:lineRule="auto" w:line="240" w:before="0" w:after="0"/>
              <w:ind w:firstLine="505"/>
              <w:jc w:val="both"/>
              <w:rPr/>
            </w:pPr>
            <w:r>
              <w:rPr>
                <w:rFonts w:cs="Times New Roman" w:ascii="Times New Roman" w:hAnsi="Times New Roman"/>
                <w:spacing w:val="-1"/>
                <w:sz w:val="24"/>
                <w:szCs w:val="24"/>
              </w:rPr>
              <w:t>К оценке принимаются документы, в случае их представления в заявке в полном объеме и со всеми приложениями. Такие документы направляются в форме электронных документов или в форме электронных образов бумажных документов или указываются номера реестровых записей договоров из соответствующих реестров.</w:t>
            </w:r>
          </w:p>
        </w:tc>
      </w:tr>
    </w:tbl>
    <w:p>
      <w:pPr>
        <w:pStyle w:val="ConsPlusNormal"/>
        <w:jc w:val="both"/>
        <w:rPr/>
      </w:pPr>
      <w:r>
        <w:rPr/>
      </w:r>
    </w:p>
    <w:sectPr>
      <w:headerReference w:type="default" r:id="rId2"/>
      <w:type w:val="nextPage"/>
      <w:pgSz w:orient="landscape" w:w="16838" w:h="11906"/>
      <w:pgMar w:left="1134" w:right="1134" w:gutter="0" w:header="708" w:top="1134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jc w:val="center"/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>
        <w:sz w:val="10"/>
        <w:szCs w:val="10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2"/>
        <w:b w:val="false"/>
        <w:szCs w:val="22"/>
        <w:rFonts w:ascii="Times New Roman" w:hAnsi="Times New Roman" w:cs="Times New Roman"/>
      </w:rPr>
    </w:lvl>
    <w:lvl w:ilvl="1">
      <w:start w:val="1"/>
      <w:pStyle w:val="Heading2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sz w:val="26"/>
        <w:i w:val="false"/>
        <w:b w:val="false"/>
        <w:szCs w:val="26"/>
        <w:iCs w:val="false"/>
        <w:bCs w:val="false"/>
        <w:rFonts w:ascii="Times New Roman" w:hAnsi="Times New Roman" w:cs="Times New Roman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sz w:val="28"/>
        <w:b w:val="false"/>
        <w:szCs w:val="28"/>
        <w:rFonts w:cs="Times New Roman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  <w:rFonts w:cs="Times New Roman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a77b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1"/>
    <w:qFormat/>
    <w:rsid w:val="00eb577b"/>
    <w:pPr>
      <w:keepNext w:val="true"/>
      <w:numPr>
        <w:ilvl w:val="0"/>
        <w:numId w:val="1"/>
      </w:numPr>
      <w:spacing w:lineRule="auto" w:line="240" w:before="240" w:after="60"/>
      <w:jc w:val="center"/>
      <w:outlineLvl w:val="0"/>
    </w:pPr>
    <w:rPr>
      <w:rFonts w:ascii="Times New Roman" w:hAnsi="Times New Roman" w:eastAsia="Times New Roman" w:cs="Times New Roman"/>
      <w:b/>
      <w:bCs/>
      <w:kern w:val="2"/>
      <w:sz w:val="36"/>
      <w:szCs w:val="36"/>
    </w:rPr>
  </w:style>
  <w:style w:type="paragraph" w:styleId="Heading2">
    <w:name w:val="Heading 2"/>
    <w:basedOn w:val="Normal"/>
    <w:next w:val="Normal"/>
    <w:link w:val="2"/>
    <w:qFormat/>
    <w:rsid w:val="00eb577b"/>
    <w:pPr>
      <w:keepNext w:val="true"/>
      <w:numPr>
        <w:ilvl w:val="1"/>
        <w:numId w:val="1"/>
      </w:numPr>
      <w:spacing w:lineRule="auto" w:line="240" w:before="0" w:after="60"/>
      <w:jc w:val="center"/>
      <w:outlineLvl w:val="1"/>
    </w:pPr>
    <w:rPr>
      <w:rFonts w:ascii="Times New Roman" w:hAnsi="Times New Roman" w:eastAsia="Times New Roman" w:cs="Times New Roman"/>
      <w:b/>
      <w:bCs/>
      <w:sz w:val="30"/>
      <w:szCs w:val="30"/>
    </w:rPr>
  </w:style>
  <w:style w:type="paragraph" w:styleId="Heading3">
    <w:name w:val="Heading 3"/>
    <w:basedOn w:val="Normal"/>
    <w:next w:val="Normal"/>
    <w:link w:val="3"/>
    <w:qFormat/>
    <w:rsid w:val="00eb577b"/>
    <w:pPr>
      <w:keepNext w:val="true"/>
      <w:numPr>
        <w:ilvl w:val="2"/>
        <w:numId w:val="1"/>
      </w:numPr>
      <w:spacing w:lineRule="auto" w:line="240" w:before="240" w:after="60"/>
      <w:jc w:val="both"/>
      <w:outlineLvl w:val="2"/>
    </w:pPr>
    <w:rPr>
      <w:rFonts w:ascii="Arial" w:hAnsi="Arial" w:eastAsia="Times New Roman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Верхний колонтитул Знак"/>
    <w:basedOn w:val="DefaultParagraphFont"/>
    <w:uiPriority w:val="99"/>
    <w:semiHidden/>
    <w:qFormat/>
    <w:rsid w:val="005a77bd"/>
    <w:rPr>
      <w:rFonts w:eastAsia="" w:eastAsiaTheme="minorEastAsia"/>
      <w:lang w:eastAsia="ru-RU"/>
    </w:rPr>
  </w:style>
  <w:style w:type="character" w:styleId="Style12" w:customStyle="1">
    <w:name w:val="Нижний колонтитул Знак"/>
    <w:basedOn w:val="DefaultParagraphFont"/>
    <w:uiPriority w:val="99"/>
    <w:semiHidden/>
    <w:qFormat/>
    <w:rsid w:val="005a77bd"/>
    <w:rPr>
      <w:rFonts w:eastAsia="" w:eastAsiaTheme="minorEastAsia"/>
      <w:lang w:eastAsia="ru-RU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a77bd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uiPriority w:val="99"/>
    <w:semiHidden/>
    <w:qFormat/>
    <w:rsid w:val="005a77bd"/>
    <w:rPr>
      <w:rFonts w:eastAsia="" w:eastAsiaTheme="minorEastAsia"/>
      <w:sz w:val="20"/>
      <w:szCs w:val="20"/>
      <w:lang w:eastAsia="ru-RU"/>
    </w:rPr>
  </w:style>
  <w:style w:type="character" w:styleId="Style14" w:customStyle="1">
    <w:name w:val="Тема примечания Знак"/>
    <w:basedOn w:val="Style13"/>
    <w:link w:val="Annotationsubject"/>
    <w:uiPriority w:val="99"/>
    <w:semiHidden/>
    <w:qFormat/>
    <w:rsid w:val="005a77bd"/>
    <w:rPr>
      <w:rFonts w:eastAsia="" w:eastAsiaTheme="minorEastAsia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5a77bd"/>
    <w:rPr>
      <w:rFonts w:ascii="Tahoma" w:hAnsi="Tahoma" w:eastAsia="" w:cs="Tahoma" w:eastAsiaTheme="minorEastAsia"/>
      <w:sz w:val="16"/>
      <w:szCs w:val="16"/>
      <w:lang w:eastAsia="ru-RU"/>
    </w:rPr>
  </w:style>
  <w:style w:type="character" w:styleId="1" w:customStyle="1">
    <w:name w:val="Заголовок 1 Знак"/>
    <w:basedOn w:val="DefaultParagraphFont"/>
    <w:uiPriority w:val="9"/>
    <w:qFormat/>
    <w:rsid w:val="00eb577b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qFormat/>
    <w:rsid w:val="00eb577b"/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character" w:styleId="3" w:customStyle="1">
    <w:name w:val="Заголовок 3 Знак"/>
    <w:basedOn w:val="DefaultParagraphFont"/>
    <w:qFormat/>
    <w:rsid w:val="00eb577b"/>
    <w:rPr>
      <w:rFonts w:ascii="Arial" w:hAnsi="Arial" w:eastAsia="Times New Roman" w:cs="Arial"/>
      <w:b/>
      <w:bCs/>
      <w:sz w:val="24"/>
      <w:szCs w:val="24"/>
      <w:lang w:eastAsia="ru-RU"/>
    </w:rPr>
  </w:style>
  <w:style w:type="character" w:styleId="11" w:customStyle="1">
    <w:name w:val="Заголовок 1 Знак1"/>
    <w:basedOn w:val="DefaultParagraphFont"/>
    <w:qFormat/>
    <w:locked/>
    <w:rsid w:val="00eb577b"/>
    <w:rPr>
      <w:rFonts w:ascii="Times New Roman" w:hAnsi="Times New Roman" w:eastAsia="Times New Roman" w:cs="Times New Roman"/>
      <w:b/>
      <w:bCs/>
      <w:kern w:val="2"/>
      <w:sz w:val="36"/>
      <w:szCs w:val="36"/>
      <w:lang w:eastAsia="ru-RU"/>
    </w:rPr>
  </w:style>
  <w:style w:type="character" w:styleId="Hyperlink">
    <w:name w:val="Hyperlink"/>
    <w:basedOn w:val="DefaultParagraphFont"/>
    <w:uiPriority w:val="99"/>
    <w:unhideWhenUsed/>
    <w:rsid w:val="00eb577b"/>
    <w:rPr>
      <w:color w:themeColor="hyperlink" w:val="0000FF"/>
      <w:u w:val="single"/>
    </w:rPr>
  </w:style>
  <w:style w:type="character" w:styleId="Style16" w:customStyle="1">
    <w:name w:val="Без интервала Знак"/>
    <w:link w:val="NoSpacing"/>
    <w:uiPriority w:val="1"/>
    <w:qFormat/>
    <w:locked/>
    <w:rsid w:val="007b1261"/>
    <w:rPr>
      <w:rFonts w:ascii="Calibri" w:hAnsi="Calibri" w:eastAsia="Calibri" w:cs="Times New Roman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ConsPlusNormal" w:customStyle="1">
    <w:name w:val="ConsPlusNormal"/>
    <w:qFormat/>
    <w:rsid w:val="005a77bd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semiHidden/>
    <w:unhideWhenUsed/>
    <w:rsid w:val="005a77b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semiHidden/>
    <w:unhideWhenUsed/>
    <w:rsid w:val="005a77b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Style13"/>
    <w:uiPriority w:val="99"/>
    <w:semiHidden/>
    <w:unhideWhenUsed/>
    <w:qFormat/>
    <w:rsid w:val="005a77b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uiPriority w:val="99"/>
    <w:semiHidden/>
    <w:unhideWhenUsed/>
    <w:qFormat/>
    <w:rsid w:val="005a77bd"/>
    <w:pPr/>
    <w:rPr>
      <w:b/>
      <w:bCs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5a77b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link w:val="Style16"/>
    <w:uiPriority w:val="1"/>
    <w:qFormat/>
    <w:rsid w:val="007b1261"/>
    <w:pPr>
      <w:widowControl/>
      <w:suppressAutoHyphens w:val="true"/>
      <w:bidi w:val="0"/>
      <w:spacing w:lineRule="auto" w:line="240"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andard" w:customStyle="1">
    <w:name w:val="Standard"/>
    <w:qFormat/>
    <w:rsid w:val="004e2810"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ahoma" w:asciiTheme="minorHAns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LibreOffice/7.6.2.1$Windows_X86_64 LibreOffice_project/56f7684011345957bbf33a7ee678afaf4d2ba333</Application>
  <AppVersion>15.0000</AppVersion>
  <Pages>4</Pages>
  <Words>622</Words>
  <Characters>4411</Characters>
  <CharactersWithSpaces>4975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2022-02-28T07:47:00Z</dcterms:created>
  <dc:creator>Засько</dc:creator>
  <dc:description/>
  <dc:language>ru-RU</dc:language>
  <cp:lastModifiedBy/>
  <cp:lastPrinted>2026-10-09T12:17:52Z</cp:lastPrinted>
  <dcterms:modified xsi:type="dcterms:W3CDTF">2026-10-09T12:17:42Z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