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pPr>
      <w:r>
        <w:rPr>
          <w:b/>
          <w:bCs/>
        </w:rPr>
        <w:t>ТРЕБОВАНИЯ К СОДЕРЖАНИЮ, СОСТАВУ ЗАЯВКИ НА УЧАСТИЕ В ЭЛЕКТРОННОМ КОНКУРСЕ И ИНСТРУКЦИЯ ПО ЕЕ ЗАПОЛНЕНИЮ</w:t>
      </w:r>
      <w:r>
        <w:rPr/>
        <w:t xml:space="preserve"> </w:t>
      </w:r>
    </w:p>
    <w:p>
      <w:pPr>
        <w:pStyle w:val="Normal"/>
        <w:spacing w:before="0" w:after="0"/>
        <w:rPr/>
      </w:pPr>
      <w:r>
        <w:rPr/>
      </w:r>
    </w:p>
    <w:p>
      <w:pPr>
        <w:pStyle w:val="Normal"/>
        <w:spacing w:before="0" w:after="0"/>
        <w:ind w:firstLine="567"/>
        <w:rPr/>
      </w:pPr>
      <w:r>
        <w:rPr>
          <w:b/>
          <w:bCs/>
        </w:rPr>
        <w:t>1. Требования к содержанию и составу заявки на участие в электронном конкурсе, подаваемой участником закупки</w:t>
      </w:r>
    </w:p>
    <w:p>
      <w:pPr>
        <w:pStyle w:val="Normal"/>
        <w:spacing w:before="0" w:after="0"/>
        <w:ind w:firstLine="567"/>
        <w:rPr/>
      </w:pPr>
      <w:r>
        <w:rPr/>
        <w:t>1.1. Заявка на участие в электронном конкурсе должна содержать следующие документы и информацию об участнике закупки</w:t>
      </w:r>
    </w:p>
    <w:p>
      <w:pPr>
        <w:pStyle w:val="Normal"/>
        <w:spacing w:before="0" w:after="0"/>
        <w:rPr/>
      </w:pPr>
      <w:r>
        <w:rPr/>
      </w:r>
    </w:p>
    <w:tbl>
      <w:tblPr>
        <w:tblStyle w:val="af4"/>
        <w:tblW w:w="5000" w:type="pct"/>
        <w:jc w:val="left"/>
        <w:tblInd w:w="108" w:type="dxa"/>
        <w:tblLayout w:type="fixed"/>
        <w:tblCellMar>
          <w:top w:w="0" w:type="dxa"/>
          <w:left w:w="108" w:type="dxa"/>
          <w:bottom w:w="0" w:type="dxa"/>
          <w:right w:w="108" w:type="dxa"/>
        </w:tblCellMar>
        <w:tblLook w:val="04a0"/>
      </w:tblPr>
      <w:tblGrid>
        <w:gridCol w:w="1709"/>
        <w:gridCol w:w="5776"/>
        <w:gridCol w:w="3972"/>
        <w:gridCol w:w="4019"/>
      </w:tblGrid>
      <w:tr>
        <w:trPr/>
        <w:tc>
          <w:tcPr>
            <w:tcW w:w="1709" w:type="dxa"/>
            <w:tcBorders/>
          </w:tcPr>
          <w:p>
            <w:pPr>
              <w:pStyle w:val="Normal"/>
              <w:widowControl/>
              <w:suppressAutoHyphens w:val="true"/>
              <w:spacing w:before="0" w:after="0"/>
              <w:jc w:val="center"/>
              <w:rPr>
                <w:sz w:val="24"/>
                <w:szCs w:val="24"/>
              </w:rPr>
            </w:pPr>
            <w:r>
              <w:rPr>
                <w:kern w:val="0"/>
                <w:sz w:val="24"/>
                <w:szCs w:val="24"/>
                <w:lang w:val="ru-RU" w:bidi="ar-SA"/>
              </w:rPr>
              <w:t>Основание по закону № 44-ФЗ</w:t>
            </w:r>
          </w:p>
        </w:tc>
        <w:tc>
          <w:tcPr>
            <w:tcW w:w="5776" w:type="dxa"/>
            <w:tcBorders/>
          </w:tcPr>
          <w:p>
            <w:pPr>
              <w:pStyle w:val="Normal"/>
              <w:widowControl/>
              <w:suppressAutoHyphens w:val="true"/>
              <w:spacing w:before="0" w:after="0"/>
              <w:jc w:val="center"/>
              <w:rPr>
                <w:sz w:val="24"/>
                <w:szCs w:val="24"/>
              </w:rPr>
            </w:pPr>
            <w:r>
              <w:rPr>
                <w:kern w:val="0"/>
                <w:sz w:val="24"/>
                <w:szCs w:val="24"/>
                <w:lang w:val="ru-RU" w:bidi="ar-SA"/>
              </w:rPr>
              <w:t>Документы и информация</w:t>
            </w:r>
          </w:p>
        </w:tc>
        <w:tc>
          <w:tcPr>
            <w:tcW w:w="3972" w:type="dxa"/>
            <w:tcBorders/>
          </w:tcPr>
          <w:p>
            <w:pPr>
              <w:pStyle w:val="Normal"/>
              <w:widowControl/>
              <w:suppressAutoHyphens w:val="true"/>
              <w:spacing w:before="0" w:after="0"/>
              <w:jc w:val="center"/>
              <w:rPr>
                <w:sz w:val="24"/>
                <w:szCs w:val="24"/>
              </w:rPr>
            </w:pPr>
            <w:r>
              <w:rPr>
                <w:kern w:val="0"/>
                <w:sz w:val="24"/>
                <w:szCs w:val="24"/>
                <w:lang w:val="ru-RU" w:bidi="ar-SA"/>
              </w:rPr>
              <w:t>Требование к наличию документов и информации/ исчерпывающий перечень таких документов</w:t>
            </w:r>
          </w:p>
        </w:tc>
        <w:tc>
          <w:tcPr>
            <w:tcW w:w="4019" w:type="dxa"/>
            <w:tcBorders/>
          </w:tcPr>
          <w:p>
            <w:pPr>
              <w:pStyle w:val="Normal"/>
              <w:widowControl/>
              <w:suppressAutoHyphens w:val="true"/>
              <w:spacing w:before="0" w:after="0"/>
              <w:jc w:val="center"/>
              <w:rPr>
                <w:sz w:val="24"/>
                <w:szCs w:val="24"/>
              </w:rPr>
            </w:pPr>
            <w:r>
              <w:rPr>
                <w:kern w:val="0"/>
                <w:sz w:val="24"/>
                <w:szCs w:val="24"/>
                <w:lang w:val="ru-RU" w:bidi="ar-SA"/>
              </w:rPr>
              <w:t>Порядок предоставления информации и документов</w:t>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«а» п. 1 ч.1 ст. 43 Закона № 44-ФЗ</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4019" w:type="dxa"/>
            <w:vMerge w:val="restart"/>
            <w:tcBorders/>
          </w:tcPr>
          <w:p>
            <w:pPr>
              <w:pStyle w:val="Normal"/>
              <w:widowControl/>
              <w:suppressAutoHyphens w:val="true"/>
              <w:spacing w:before="0" w:after="0"/>
              <w:rPr>
                <w:sz w:val="24"/>
                <w:szCs w:val="24"/>
              </w:rPr>
            </w:pPr>
            <w:r>
              <w:rPr>
                <w:kern w:val="0"/>
                <w:sz w:val="24"/>
                <w:szCs w:val="24"/>
                <w:lang w:val="ru-RU" w:bidi="ar-SA"/>
              </w:rPr>
              <w:t>Указанные информация и документы, предусмотренные настоящими пунктами, не включаются участником закупки в заявку на участие в закупке. Такие информация и документы в случаях, предусмотренных Законом № 44-ФЗ,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pPr>
              <w:pStyle w:val="Normal"/>
              <w:widowControl/>
              <w:suppressAutoHyphens w:val="true"/>
              <w:spacing w:before="0" w:after="0"/>
              <w:rPr>
                <w:sz w:val="24"/>
                <w:szCs w:val="24"/>
              </w:rPr>
            </w:pPr>
            <w:r>
              <w:rPr>
                <w:kern w:val="0"/>
                <w:sz w:val="24"/>
                <w:szCs w:val="24"/>
                <w:lang w:val="ru-RU" w:bidi="ar-SA"/>
              </w:rPr>
            </w:r>
          </w:p>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«б» п. 1 ч.1 ст. 43 Закона № 44-ФЗ</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«в»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«г»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«д»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«е»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«ж»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rHeight w:val="701" w:hRule="atLeast"/>
        </w:trPr>
        <w:tc>
          <w:tcPr>
            <w:tcW w:w="1709" w:type="dxa"/>
            <w:tcBorders/>
          </w:tcPr>
          <w:p>
            <w:pPr>
              <w:pStyle w:val="Normal"/>
              <w:widowControl/>
              <w:suppressAutoHyphens w:val="true"/>
              <w:spacing w:before="0" w:after="0"/>
              <w:rPr>
                <w:sz w:val="24"/>
                <w:szCs w:val="24"/>
              </w:rPr>
            </w:pPr>
            <w:r>
              <w:rPr>
                <w:kern w:val="0"/>
                <w:sz w:val="24"/>
                <w:szCs w:val="24"/>
                <w:lang w:val="ru-RU" w:bidi="ar-SA"/>
              </w:rPr>
              <w:t>пп. «з»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rHeight w:val="701" w:hRule="atLeast"/>
        </w:trPr>
        <w:tc>
          <w:tcPr>
            <w:tcW w:w="1709" w:type="dxa"/>
            <w:tcBorders/>
          </w:tcPr>
          <w:p>
            <w:pPr>
              <w:pStyle w:val="Normal"/>
              <w:widowControl/>
              <w:suppressAutoHyphens w:val="true"/>
              <w:spacing w:before="0" w:after="0"/>
              <w:rPr>
                <w:sz w:val="24"/>
                <w:szCs w:val="24"/>
              </w:rPr>
            </w:pPr>
            <w:r>
              <w:rPr>
                <w:kern w:val="0"/>
                <w:sz w:val="24"/>
                <w:szCs w:val="24"/>
                <w:lang w:val="ru-RU" w:bidi="ar-SA"/>
              </w:rPr>
              <w:t>пп. «и»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rHeight w:val="879" w:hRule="atLeast"/>
        </w:trPr>
        <w:tc>
          <w:tcPr>
            <w:tcW w:w="1709" w:type="dxa"/>
            <w:tcBorders/>
          </w:tcPr>
          <w:p>
            <w:pPr>
              <w:pStyle w:val="Normal"/>
              <w:widowControl/>
              <w:suppressAutoHyphens w:val="true"/>
              <w:spacing w:before="0" w:after="0"/>
              <w:rPr>
                <w:sz w:val="24"/>
                <w:szCs w:val="24"/>
              </w:rPr>
            </w:pPr>
            <w:r>
              <w:rPr>
                <w:kern w:val="0"/>
                <w:sz w:val="24"/>
                <w:szCs w:val="24"/>
                <w:lang w:val="ru-RU" w:bidi="ar-SA"/>
              </w:rPr>
              <w:t>пп. «к»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Декларация о принадлежности участника закупки к организации инвалидов, предусмотренной частью 2 статьи 29 Закона № 44-ФЗ (если участник закупки является такой организацией)</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r>
        <w:trPr/>
        <w:tc>
          <w:tcPr>
            <w:tcW w:w="1709" w:type="dxa"/>
            <w:tcBorders/>
          </w:tcPr>
          <w:p>
            <w:pPr>
              <w:pStyle w:val="Normal"/>
              <w:widowControl/>
              <w:suppressAutoHyphens w:val="true"/>
              <w:spacing w:before="0" w:after="0"/>
              <w:rPr>
                <w:sz w:val="24"/>
                <w:szCs w:val="24"/>
              </w:rPr>
            </w:pPr>
            <w:r>
              <w:rPr>
                <w:kern w:val="0"/>
                <w:sz w:val="24"/>
                <w:szCs w:val="24"/>
                <w:lang w:val="ru-RU" w:bidi="ar-SA"/>
              </w:rPr>
              <w:t>пп. «л» п. 1 ч.1 ст. 43 Закона № 44</w:t>
            </w:r>
          </w:p>
        </w:tc>
        <w:tc>
          <w:tcPr>
            <w:tcW w:w="9748" w:type="dxa"/>
            <w:gridSpan w:val="2"/>
            <w:tcBorders/>
          </w:tcPr>
          <w:p>
            <w:pPr>
              <w:pStyle w:val="Normal"/>
              <w:widowControl/>
              <w:suppressAutoHyphens w:val="true"/>
              <w:spacing w:before="0" w:after="0"/>
              <w:rPr>
                <w:sz w:val="24"/>
                <w:szCs w:val="24"/>
              </w:rPr>
            </w:pPr>
            <w:r>
              <w:rPr>
                <w:kern w:val="0"/>
                <w:sz w:val="24"/>
                <w:szCs w:val="24"/>
                <w:lang w:val="ru-RU" w:bidi="ar-SA"/>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 44-ФЗ</w:t>
            </w:r>
          </w:p>
        </w:tc>
        <w:tc>
          <w:tcPr>
            <w:tcW w:w="4019" w:type="dxa"/>
            <w:vMerge w:val="continue"/>
            <w:tcBorders/>
          </w:tcPr>
          <w:p>
            <w:pPr>
              <w:pStyle w:val="Normal"/>
              <w:widowControl/>
              <w:suppressAutoHyphens w:val="true"/>
              <w:spacing w:before="0" w:after="0"/>
              <w:rPr>
                <w:sz w:val="24"/>
                <w:szCs w:val="24"/>
              </w:rPr>
            </w:pPr>
            <w:r>
              <w:rPr>
                <w:kern w:val="0"/>
                <w:sz w:val="24"/>
                <w:szCs w:val="24"/>
                <w:lang w:val="ru-RU" w:bidi="ar-SA"/>
              </w:rPr>
            </w:r>
          </w:p>
        </w:tc>
      </w:tr>
    </w:tbl>
    <w:p>
      <w:pPr>
        <w:pStyle w:val="Normal"/>
        <w:spacing w:before="0" w:after="0"/>
        <w:rPr/>
      </w:pPr>
      <w:r>
        <w:rPr/>
      </w:r>
    </w:p>
    <w:p>
      <w:pPr>
        <w:pStyle w:val="Normal"/>
        <w:spacing w:before="0" w:after="0"/>
        <w:ind w:firstLine="567"/>
        <w:rPr/>
      </w:pPr>
      <w:r>
        <w:rPr/>
        <w:t xml:space="preserve">Заявка на участие в электронном конкурсе состоит </w:t>
      </w:r>
      <w:r>
        <w:rPr>
          <w:b/>
          <w:bCs/>
          <w:i/>
          <w:iCs/>
        </w:rPr>
        <w:t>из второй и третьей части:</w:t>
      </w:r>
    </w:p>
    <w:p>
      <w:pPr>
        <w:pStyle w:val="Normal"/>
        <w:spacing w:before="0" w:after="0"/>
        <w:ind w:firstLine="567"/>
        <w:rPr/>
      </w:pPr>
      <w:r>
        <w:rPr>
          <w:b/>
          <w:bCs/>
        </w:rPr>
        <w:t>1.2. Вторая часть</w:t>
      </w:r>
      <w:r>
        <w:rPr/>
        <w:t xml:space="preserve"> должна содержать следующие информацию и документы об участнике закупки:</w:t>
      </w:r>
    </w:p>
    <w:p>
      <w:pPr>
        <w:pStyle w:val="Normal"/>
        <w:spacing w:before="0" w:after="0"/>
        <w:rPr/>
      </w:pPr>
      <w:r>
        <w:rPr/>
      </w:r>
    </w:p>
    <w:tbl>
      <w:tblPr>
        <w:tblStyle w:val="af4"/>
        <w:tblW w:w="5000" w:type="pct"/>
        <w:jc w:val="left"/>
        <w:tblInd w:w="108" w:type="dxa"/>
        <w:tblLayout w:type="fixed"/>
        <w:tblCellMar>
          <w:top w:w="0" w:type="dxa"/>
          <w:left w:w="108" w:type="dxa"/>
          <w:bottom w:w="0" w:type="dxa"/>
          <w:right w:w="108" w:type="dxa"/>
        </w:tblCellMar>
        <w:tblLook w:val="04a0"/>
      </w:tblPr>
      <w:tblGrid>
        <w:gridCol w:w="1753"/>
        <w:gridCol w:w="5720"/>
        <w:gridCol w:w="3967"/>
        <w:gridCol w:w="4037"/>
      </w:tblGrid>
      <w:tr>
        <w:trPr/>
        <w:tc>
          <w:tcPr>
            <w:tcW w:w="1753" w:type="dxa"/>
            <w:tcBorders/>
          </w:tcPr>
          <w:p>
            <w:pPr>
              <w:pStyle w:val="Normal"/>
              <w:widowControl/>
              <w:suppressAutoHyphens w:val="true"/>
              <w:spacing w:before="0" w:after="0"/>
              <w:jc w:val="center"/>
              <w:rPr>
                <w:sz w:val="24"/>
                <w:szCs w:val="24"/>
              </w:rPr>
            </w:pPr>
            <w:r>
              <w:rPr>
                <w:b/>
                <w:bCs/>
                <w:i/>
                <w:iCs/>
                <w:kern w:val="0"/>
                <w:sz w:val="24"/>
                <w:szCs w:val="24"/>
                <w:lang w:val="ru-RU" w:bidi="ar-SA"/>
              </w:rPr>
              <w:t>Основание по закону № 44-ФЗ</w:t>
            </w:r>
          </w:p>
        </w:tc>
        <w:tc>
          <w:tcPr>
            <w:tcW w:w="5720" w:type="dxa"/>
            <w:tcBorders/>
          </w:tcPr>
          <w:p>
            <w:pPr>
              <w:pStyle w:val="Normal"/>
              <w:widowControl/>
              <w:suppressAutoHyphens w:val="true"/>
              <w:spacing w:before="0" w:after="0"/>
              <w:jc w:val="center"/>
              <w:rPr>
                <w:sz w:val="24"/>
                <w:szCs w:val="24"/>
              </w:rPr>
            </w:pPr>
            <w:r>
              <w:rPr>
                <w:b/>
                <w:bCs/>
                <w:i/>
                <w:iCs/>
                <w:kern w:val="0"/>
                <w:sz w:val="24"/>
                <w:szCs w:val="24"/>
                <w:lang w:val="ru-RU" w:bidi="ar-SA"/>
              </w:rPr>
              <w:t>Документы и информация</w:t>
            </w:r>
          </w:p>
        </w:tc>
        <w:tc>
          <w:tcPr>
            <w:tcW w:w="3967" w:type="dxa"/>
            <w:tcBorders/>
          </w:tcPr>
          <w:p>
            <w:pPr>
              <w:pStyle w:val="Normal"/>
              <w:widowControl/>
              <w:suppressAutoHyphens w:val="true"/>
              <w:spacing w:before="0" w:after="0"/>
              <w:jc w:val="center"/>
              <w:rPr>
                <w:sz w:val="24"/>
                <w:szCs w:val="24"/>
              </w:rPr>
            </w:pPr>
            <w:r>
              <w:rPr>
                <w:b/>
                <w:bCs/>
                <w:i/>
                <w:iCs/>
                <w:kern w:val="0"/>
                <w:sz w:val="24"/>
                <w:szCs w:val="24"/>
                <w:lang w:val="ru-RU" w:bidi="ar-SA"/>
              </w:rPr>
              <w:t>Требование к наличию документов и информации/ исчерпывающий перечень таких документов</w:t>
            </w:r>
          </w:p>
        </w:tc>
        <w:tc>
          <w:tcPr>
            <w:tcW w:w="4037" w:type="dxa"/>
            <w:tcBorders/>
          </w:tcPr>
          <w:p>
            <w:pPr>
              <w:pStyle w:val="Normal"/>
              <w:widowControl/>
              <w:suppressAutoHyphens w:val="true"/>
              <w:spacing w:before="0" w:after="0"/>
              <w:jc w:val="center"/>
              <w:rPr>
                <w:sz w:val="24"/>
                <w:szCs w:val="24"/>
              </w:rPr>
            </w:pPr>
            <w:r>
              <w:rPr>
                <w:b/>
                <w:bCs/>
                <w:i/>
                <w:iCs/>
                <w:kern w:val="0"/>
                <w:sz w:val="24"/>
                <w:szCs w:val="24"/>
                <w:lang w:val="ru-RU" w:bidi="ar-SA"/>
              </w:rPr>
              <w:t>Порядок предоставления информации и документов</w:t>
            </w:r>
          </w:p>
        </w:tc>
      </w:tr>
      <w:tr>
        <w:trPr>
          <w:trHeight w:val="701"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«м»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967" w:type="dxa"/>
            <w:tcBorders/>
          </w:tcPr>
          <w:p>
            <w:pPr>
              <w:pStyle w:val="Normal"/>
              <w:widowControl/>
              <w:suppressAutoHyphens w:val="true"/>
              <w:spacing w:before="0" w:after="0"/>
              <w:rPr>
                <w:sz w:val="24"/>
                <w:szCs w:val="24"/>
              </w:rPr>
            </w:pPr>
            <w:r>
              <w:rPr>
                <w:kern w:val="0"/>
                <w:sz w:val="24"/>
                <w:szCs w:val="24"/>
                <w:lang w:val="ru-RU" w:bidi="ar-SA"/>
              </w:rPr>
              <w:t>Требуется</w:t>
            </w:r>
          </w:p>
        </w:tc>
        <w:tc>
          <w:tcPr>
            <w:tcW w:w="4037" w:type="dxa"/>
            <w:tcBorders/>
          </w:tcPr>
          <w:p>
            <w:pPr>
              <w:pStyle w:val="Normal"/>
              <w:widowControl/>
              <w:suppressAutoHyphens w:val="true"/>
              <w:spacing w:before="0" w:after="0"/>
              <w:rPr>
                <w:sz w:val="24"/>
                <w:szCs w:val="24"/>
              </w:rPr>
            </w:pPr>
            <w:r>
              <w:rPr>
                <w:kern w:val="0"/>
                <w:sz w:val="24"/>
                <w:szCs w:val="24"/>
                <w:lang w:val="ru-RU" w:bidi="ar-SA"/>
              </w:rPr>
              <w:t>Указанные документы, предусмотренные настоящими пунктами, включаются участником закупки в заявку на участие в закупке.</w:t>
            </w:r>
          </w:p>
          <w:p>
            <w:pPr>
              <w:pStyle w:val="Normal"/>
              <w:widowControl/>
              <w:suppressAutoHyphens w:val="true"/>
              <w:spacing w:before="0" w:after="0"/>
              <w:rPr>
                <w:sz w:val="24"/>
                <w:szCs w:val="24"/>
              </w:rPr>
            </w:pPr>
            <w:r>
              <w:rPr>
                <w:kern w:val="0"/>
                <w:sz w:val="24"/>
                <w:szCs w:val="24"/>
                <w:lang w:val="ru-RU" w:bidi="ar-SA"/>
              </w:rPr>
            </w:r>
          </w:p>
        </w:tc>
      </w:tr>
      <w:tr>
        <w:trPr>
          <w:trHeight w:val="849"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«н»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Документы, подтверждающие соответствие участника закупки требованиям, установленным пунктом 1 части 1 статьи 31 Закона № 44-ФЗ</w:t>
            </w:r>
          </w:p>
        </w:tc>
        <w:tc>
          <w:tcPr>
            <w:tcW w:w="3967" w:type="dxa"/>
            <w:tcBorders/>
          </w:tcPr>
          <w:p>
            <w:pPr>
              <w:pStyle w:val="Normal"/>
              <w:widowControl/>
              <w:suppressAutoHyphens w:val="true"/>
              <w:spacing w:before="0" w:after="0"/>
              <w:rPr>
                <w:sz w:val="24"/>
                <w:szCs w:val="24"/>
              </w:rPr>
            </w:pPr>
            <w:r>
              <w:rPr>
                <w:kern w:val="0"/>
                <w:sz w:val="24"/>
                <w:szCs w:val="24"/>
                <w:lang w:val="ru-RU" w:bidi="ar-SA"/>
              </w:rPr>
              <w:t>Не требуется.</w:t>
            </w:r>
          </w:p>
        </w:tc>
        <w:tc>
          <w:tcPr>
            <w:tcW w:w="4037" w:type="dxa"/>
            <w:tcBorders/>
          </w:tcPr>
          <w:p>
            <w:pPr>
              <w:pStyle w:val="Normal"/>
              <w:widowControl/>
              <w:suppressAutoHyphens w:val="true"/>
              <w:spacing w:before="0" w:after="0"/>
              <w:rPr>
                <w:sz w:val="24"/>
                <w:szCs w:val="24"/>
              </w:rPr>
            </w:pPr>
            <w:r>
              <w:rPr>
                <w:kern w:val="0"/>
                <w:sz w:val="24"/>
                <w:szCs w:val="24"/>
                <w:lang w:val="ru-RU" w:bidi="ar-SA"/>
              </w:rPr>
            </w:r>
          </w:p>
        </w:tc>
      </w:tr>
      <w:tr>
        <w:trPr>
          <w:trHeight w:val="849"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«н»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Законом № 44-ФЗ</w:t>
            </w:r>
          </w:p>
        </w:tc>
        <w:tc>
          <w:tcPr>
            <w:tcW w:w="3967" w:type="dxa"/>
            <w:tcBorders/>
          </w:tcPr>
          <w:p>
            <w:pPr>
              <w:pStyle w:val="Normal"/>
              <w:widowControl/>
              <w:suppressAutoHyphens w:val="true"/>
              <w:spacing w:before="0" w:after="0"/>
              <w:rPr>
                <w:sz w:val="24"/>
                <w:szCs w:val="24"/>
              </w:rPr>
            </w:pPr>
            <w:r>
              <w:rPr>
                <w:kern w:val="0"/>
                <w:sz w:val="24"/>
                <w:szCs w:val="24"/>
                <w:lang w:val="ru-RU" w:bidi="ar-SA"/>
              </w:rPr>
              <w:t>Не требуется.</w:t>
            </w:r>
          </w:p>
        </w:tc>
        <w:tc>
          <w:tcPr>
            <w:tcW w:w="4037" w:type="dxa"/>
            <w:tcBorders/>
          </w:tcPr>
          <w:p>
            <w:pPr>
              <w:pStyle w:val="Normal"/>
              <w:widowControl/>
              <w:suppressAutoHyphens w:val="true"/>
              <w:spacing w:before="0" w:after="0"/>
              <w:rPr>
                <w:sz w:val="24"/>
                <w:szCs w:val="24"/>
              </w:rPr>
            </w:pPr>
            <w:r>
              <w:rPr>
                <w:kern w:val="0"/>
                <w:sz w:val="24"/>
                <w:szCs w:val="24"/>
                <w:lang w:val="ru-RU" w:bidi="ar-SA"/>
              </w:rPr>
              <w:t>Документы, подтверждающие соответствие участника закупки дополнительным требованиям, установленным настоящим пунктом (при наличии таких требований), не включаются участником закупки в заявку на участие в закупке. Такие документы в случаях, предусмотренных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c>
          <w:tcPr>
            <w:tcW w:w="1753" w:type="dxa"/>
            <w:tcBorders/>
          </w:tcPr>
          <w:p>
            <w:pPr>
              <w:pStyle w:val="Normal"/>
              <w:widowControl/>
              <w:suppressAutoHyphens w:val="true"/>
              <w:spacing w:before="0" w:after="0"/>
              <w:rPr>
                <w:sz w:val="24"/>
                <w:szCs w:val="24"/>
              </w:rPr>
            </w:pPr>
            <w:r>
              <w:rPr>
                <w:kern w:val="0"/>
                <w:sz w:val="24"/>
                <w:szCs w:val="24"/>
                <w:lang w:val="ru-RU" w:bidi="ar-SA"/>
              </w:rPr>
              <w:t>пп. «о»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Декларация о соответствии участника закупки требованиям, установленным пунктами 3 - 5, 7 - 11 части 1 статьи 31 Закона № 44-ФЗ</w:t>
            </w:r>
          </w:p>
        </w:tc>
        <w:tc>
          <w:tcPr>
            <w:tcW w:w="3967" w:type="dxa"/>
            <w:tcBorders/>
          </w:tcPr>
          <w:p>
            <w:pPr>
              <w:pStyle w:val="Normal"/>
              <w:widowControl/>
              <w:suppressAutoHyphens w:val="true"/>
              <w:spacing w:before="0" w:after="0"/>
              <w:rPr>
                <w:sz w:val="24"/>
                <w:szCs w:val="24"/>
              </w:rPr>
            </w:pPr>
            <w:r>
              <w:rPr>
                <w:kern w:val="0"/>
                <w:sz w:val="24"/>
                <w:szCs w:val="24"/>
                <w:lang w:val="ru-RU" w:bidi="ar-SA"/>
              </w:rPr>
              <w:t>Требуется.</w:t>
            </w:r>
          </w:p>
        </w:tc>
        <w:tc>
          <w:tcPr>
            <w:tcW w:w="4037" w:type="dxa"/>
            <w:tcBorders/>
          </w:tcPr>
          <w:p>
            <w:pPr>
              <w:pStyle w:val="Normal"/>
              <w:widowControl/>
              <w:suppressAutoHyphens w:val="true"/>
              <w:spacing w:before="0" w:after="0"/>
              <w:rPr>
                <w:sz w:val="24"/>
                <w:szCs w:val="24"/>
              </w:rPr>
            </w:pPr>
            <w:r>
              <w:rPr>
                <w:kern w:val="0"/>
                <w:sz w:val="24"/>
                <w:szCs w:val="24"/>
                <w:lang w:val="ru-RU" w:bidi="ar-SA"/>
              </w:rPr>
              <w:t>Указанные информация и документы, предусмотренные настоящими пунктами, включаются участником закупки в заявку на участие в закупке.</w:t>
            </w:r>
          </w:p>
        </w:tc>
      </w:tr>
      <w:tr>
        <w:trPr>
          <w:trHeight w:val="2267"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«п»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967" w:type="dxa"/>
            <w:tcBorders/>
          </w:tcPr>
          <w:p>
            <w:pPr>
              <w:pStyle w:val="Normal"/>
              <w:widowControl/>
              <w:suppressAutoHyphens w:val="true"/>
              <w:spacing w:before="0" w:after="0"/>
              <w:rPr>
                <w:sz w:val="24"/>
                <w:szCs w:val="24"/>
              </w:rPr>
            </w:pPr>
            <w:r>
              <w:rPr>
                <w:kern w:val="0"/>
                <w:sz w:val="24"/>
                <w:szCs w:val="24"/>
                <w:lang w:val="ru-RU" w:bidi="ar-SA"/>
              </w:rPr>
              <w:t>Требуется.</w:t>
            </w:r>
          </w:p>
        </w:tc>
        <w:tc>
          <w:tcPr>
            <w:tcW w:w="4037" w:type="dxa"/>
            <w:tcBorders/>
          </w:tcPr>
          <w:p>
            <w:pPr>
              <w:pStyle w:val="Normal"/>
              <w:widowControl/>
              <w:suppressAutoHyphens w:val="true"/>
              <w:spacing w:before="0" w:after="0"/>
              <w:rPr>
                <w:sz w:val="24"/>
                <w:szCs w:val="24"/>
              </w:rPr>
            </w:pPr>
            <w:r>
              <w:rPr>
                <w:kern w:val="0"/>
                <w:sz w:val="24"/>
                <w:szCs w:val="24"/>
                <w:lang w:val="ru-RU" w:bidi="ar-SA"/>
              </w:rPr>
              <w:t>Указанные информация и документы, предусмотренные настоящими пунктами, включаются участником закупки в заявку на участие в закупке.</w:t>
            </w:r>
          </w:p>
        </w:tc>
      </w:tr>
      <w:tr>
        <w:trPr>
          <w:trHeight w:val="2267"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«р» п. 1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Документы, подтверждающие квалификацию участника закупки</w:t>
            </w:r>
          </w:p>
        </w:tc>
        <w:tc>
          <w:tcPr>
            <w:tcW w:w="3967" w:type="dxa"/>
            <w:tcBorders/>
          </w:tcPr>
          <w:p>
            <w:pPr>
              <w:pStyle w:val="Normal"/>
              <w:widowControl/>
              <w:suppressAutoHyphens w:val="true"/>
              <w:spacing w:before="0" w:after="0"/>
              <w:rPr>
                <w:sz w:val="24"/>
                <w:szCs w:val="24"/>
              </w:rPr>
            </w:pPr>
            <w:r>
              <w:rPr>
                <w:kern w:val="0"/>
                <w:sz w:val="24"/>
                <w:szCs w:val="24"/>
                <w:lang w:val="ru-RU" w:bidi="ar-SA"/>
              </w:rPr>
              <w:t>Требуется.</w:t>
            </w:r>
          </w:p>
          <w:p>
            <w:pPr>
              <w:pStyle w:val="Normal"/>
              <w:widowControl/>
              <w:suppressAutoHyphens w:val="true"/>
              <w:spacing w:before="0" w:after="0"/>
              <w:rPr>
                <w:sz w:val="24"/>
                <w:szCs w:val="24"/>
              </w:rPr>
            </w:pPr>
            <w:r>
              <w:rPr>
                <w:kern w:val="0"/>
                <w:sz w:val="24"/>
                <w:szCs w:val="24"/>
                <w:lang w:val="ru-RU" w:bidi="ar-SA"/>
              </w:rPr>
            </w:r>
          </w:p>
          <w:p>
            <w:pPr>
              <w:pStyle w:val="Normal"/>
              <w:widowControl/>
              <w:suppressAutoHyphens w:val="true"/>
              <w:spacing w:before="0" w:after="0"/>
              <w:rPr>
                <w:sz w:val="24"/>
                <w:szCs w:val="24"/>
              </w:rPr>
            </w:pPr>
            <w:r>
              <w:rPr>
                <w:kern w:val="0"/>
                <w:sz w:val="24"/>
                <w:szCs w:val="24"/>
                <w:lang w:val="ru-RU" w:bidi="ar-SA"/>
              </w:rPr>
              <w:t xml:space="preserve">В соответствии с разделом </w:t>
            </w:r>
            <w:r>
              <w:rPr>
                <w:kern w:val="0"/>
                <w:sz w:val="24"/>
                <w:szCs w:val="24"/>
                <w:lang w:val="en-US" w:bidi="ar-SA"/>
              </w:rPr>
              <w:t>III</w:t>
            </w:r>
            <w:r>
              <w:rPr>
                <w:kern w:val="0"/>
                <w:sz w:val="24"/>
                <w:szCs w:val="24"/>
                <w:lang w:val="ru-RU" w:bidi="ar-SA"/>
              </w:rPr>
              <w:t xml:space="preserve"> документа «Порядок рассмотрения и оценки заявок на участие в конкурсе».</w:t>
            </w:r>
          </w:p>
          <w:p>
            <w:pPr>
              <w:pStyle w:val="Normal"/>
              <w:widowControl/>
              <w:suppressAutoHyphens w:val="true"/>
              <w:spacing w:before="0" w:after="0"/>
              <w:rPr>
                <w:sz w:val="24"/>
                <w:szCs w:val="24"/>
              </w:rPr>
            </w:pPr>
            <w:r>
              <w:rPr>
                <w:kern w:val="0"/>
                <w:sz w:val="24"/>
                <w:szCs w:val="24"/>
                <w:lang w:val="ru-RU" w:bidi="ar-SA"/>
              </w:rPr>
            </w:r>
          </w:p>
          <w:p>
            <w:pPr>
              <w:pStyle w:val="Normal"/>
              <w:widowControl/>
              <w:suppressAutoHyphens w:val="true"/>
              <w:spacing w:before="0" w:after="0"/>
              <w:rPr>
                <w:sz w:val="24"/>
                <w:szCs w:val="24"/>
              </w:rPr>
            </w:pPr>
            <w:r>
              <w:rPr>
                <w:kern w:val="0"/>
                <w:sz w:val="24"/>
                <w:szCs w:val="24"/>
                <w:lang w:val="ru-RU" w:bidi="ar-SA"/>
              </w:rPr>
              <w:t>Отсутствие таких документов не является основанием для признания заявки не соответствующей требованиям Закона № 44ФЗ.</w:t>
            </w:r>
          </w:p>
        </w:tc>
        <w:tc>
          <w:tcPr>
            <w:tcW w:w="4037" w:type="dxa"/>
            <w:tcBorders/>
          </w:tcPr>
          <w:p>
            <w:pPr>
              <w:pStyle w:val="Normal"/>
              <w:widowControl/>
              <w:suppressAutoHyphens w:val="true"/>
              <w:spacing w:before="0" w:after="0"/>
              <w:rPr>
                <w:sz w:val="24"/>
                <w:szCs w:val="24"/>
              </w:rPr>
            </w:pPr>
            <w:r>
              <w:rPr>
                <w:kern w:val="0"/>
                <w:sz w:val="24"/>
                <w:szCs w:val="24"/>
                <w:lang w:val="ru-RU" w:bidi="ar-SA"/>
              </w:rPr>
              <w:t>Указанные информация и документы, предусмотренные настоящими пунктами, включаются участником закупки в заявку на участие в закупке</w:t>
            </w:r>
          </w:p>
        </w:tc>
      </w:tr>
      <w:tr>
        <w:trPr>
          <w:trHeight w:val="968" w:hRule="atLeast"/>
        </w:trPr>
        <w:tc>
          <w:tcPr>
            <w:tcW w:w="1753" w:type="dxa"/>
            <w:tcBorders/>
          </w:tcPr>
          <w:p>
            <w:pPr>
              <w:pStyle w:val="Normal"/>
              <w:widowControl/>
              <w:suppressAutoHyphens w:val="true"/>
              <w:spacing w:before="0" w:after="0"/>
              <w:rPr>
                <w:sz w:val="24"/>
                <w:szCs w:val="24"/>
              </w:rPr>
            </w:pPr>
            <w:r>
              <w:rPr>
                <w:kern w:val="0"/>
                <w:sz w:val="24"/>
                <w:szCs w:val="24"/>
                <w:lang w:val="ru-RU" w:bidi="ar-SA"/>
              </w:rPr>
              <w:t>пп. «в» п. 2 ч.1 ст. 43 Закона № 44</w:t>
            </w:r>
          </w:p>
        </w:tc>
        <w:tc>
          <w:tcPr>
            <w:tcW w:w="5720" w:type="dxa"/>
            <w:tcBorders/>
          </w:tcPr>
          <w:p>
            <w:pPr>
              <w:pStyle w:val="Normal"/>
              <w:widowControl/>
              <w:suppressAutoHyphens w:val="true"/>
              <w:spacing w:before="0" w:after="0"/>
              <w:rPr>
                <w:sz w:val="24"/>
                <w:szCs w:val="24"/>
              </w:rPr>
            </w:pPr>
            <w:r>
              <w:rPr>
                <w:kern w:val="0"/>
                <w:sz w:val="24"/>
                <w:szCs w:val="24"/>
                <w:lang w:val="ru-RU" w:bidi="ar-SA"/>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3967" w:type="dxa"/>
            <w:tcBorders/>
          </w:tcPr>
          <w:p>
            <w:pPr>
              <w:pStyle w:val="Normal"/>
              <w:widowControl/>
              <w:suppressAutoHyphens w:val="true"/>
              <w:spacing w:before="0" w:after="0"/>
              <w:rPr>
                <w:sz w:val="24"/>
                <w:szCs w:val="24"/>
              </w:rPr>
            </w:pPr>
            <w:r>
              <w:rPr>
                <w:kern w:val="0"/>
                <w:sz w:val="24"/>
                <w:szCs w:val="24"/>
                <w:lang w:val="ru-RU" w:bidi="ar-SA"/>
              </w:rPr>
              <w:t>Не требуется</w:t>
            </w:r>
          </w:p>
          <w:p>
            <w:pPr>
              <w:pStyle w:val="Normal"/>
              <w:widowControl/>
              <w:suppressAutoHyphens w:val="true"/>
              <w:spacing w:before="0" w:after="0"/>
              <w:rPr>
                <w:sz w:val="24"/>
                <w:szCs w:val="24"/>
              </w:rPr>
            </w:pPr>
            <w:r>
              <w:rPr>
                <w:kern w:val="0"/>
                <w:sz w:val="24"/>
                <w:szCs w:val="24"/>
                <w:lang w:val="ru-RU" w:bidi="ar-SA"/>
              </w:rPr>
            </w:r>
          </w:p>
          <w:p>
            <w:pPr>
              <w:pStyle w:val="Normal"/>
              <w:widowControl/>
              <w:suppressAutoHyphens w:val="true"/>
              <w:spacing w:before="0" w:after="0"/>
              <w:rPr>
                <w:sz w:val="24"/>
                <w:szCs w:val="24"/>
              </w:rPr>
            </w:pPr>
            <w:r>
              <w:rPr>
                <w:kern w:val="0"/>
                <w:sz w:val="24"/>
                <w:szCs w:val="24"/>
                <w:lang w:val="ru-RU" w:bidi="ar-SA"/>
              </w:rPr>
            </w:r>
          </w:p>
        </w:tc>
        <w:tc>
          <w:tcPr>
            <w:tcW w:w="4037" w:type="dxa"/>
            <w:tcBorders/>
          </w:tcPr>
          <w:p>
            <w:pPr>
              <w:pStyle w:val="Normal"/>
              <w:widowControl/>
              <w:suppressAutoHyphens w:val="true"/>
              <w:spacing w:before="0" w:after="0"/>
              <w:rPr>
                <w:sz w:val="24"/>
                <w:szCs w:val="24"/>
              </w:rPr>
            </w:pPr>
            <w:r>
              <w:rPr>
                <w:kern w:val="0"/>
                <w:sz w:val="24"/>
                <w:szCs w:val="24"/>
                <w:lang w:val="ru-RU" w:bidi="ar-SA"/>
              </w:rPr>
            </w:r>
          </w:p>
        </w:tc>
      </w:tr>
      <w:tr>
        <w:trPr>
          <w:trHeight w:val="2267" w:hRule="atLeast"/>
        </w:trPr>
        <w:tc>
          <w:tcPr>
            <w:tcW w:w="1753" w:type="dxa"/>
            <w:tcBorders>
              <w:top w:val="nil"/>
            </w:tcBorders>
          </w:tcPr>
          <w:p>
            <w:pPr>
              <w:pStyle w:val="Normal"/>
              <w:widowControl/>
              <w:suppressAutoHyphens w:val="true"/>
              <w:spacing w:before="0" w:after="0"/>
              <w:rPr>
                <w:sz w:val="24"/>
                <w:szCs w:val="24"/>
              </w:rPr>
            </w:pPr>
            <w:r>
              <w:rPr>
                <w:kern w:val="0"/>
                <w:sz w:val="24"/>
                <w:szCs w:val="24"/>
                <w:lang w:val="ru-RU" w:bidi="ar-SA"/>
              </w:rPr>
              <w:t>Часть 18 ст.44 Закона № 44</w:t>
            </w:r>
          </w:p>
        </w:tc>
        <w:tc>
          <w:tcPr>
            <w:tcW w:w="5720" w:type="dxa"/>
            <w:tcBorders>
              <w:top w:val="nil"/>
            </w:tcBorders>
          </w:tcPr>
          <w:p>
            <w:pPr>
              <w:pStyle w:val="Normal"/>
              <w:widowControl/>
              <w:suppressAutoHyphens w:val="true"/>
              <w:spacing w:before="0" w:after="0"/>
              <w:rPr>
                <w:sz w:val="24"/>
                <w:szCs w:val="24"/>
              </w:rPr>
            </w:pPr>
            <w:r>
              <w:rPr>
                <w:kern w:val="0"/>
                <w:sz w:val="24"/>
                <w:szCs w:val="24"/>
                <w:lang w:val="ru-RU" w:bidi="ar-SA"/>
              </w:rPr>
              <w:t>Информация и документы, подтверждающие предоставление обеспечения заявки на участие в закупке, в форме электронных документов или форме электронных образов бумажных документов (если участником закупки является юридическое лицо, зарегистрированное на территории государства-члена Евразийского экономического союза, за исключением Российской Федерации, или физическое лицо, являющееся гражданином государства-члена Евразийского экономического союза, за исключением Российской Федерации, которым внесены денежные средства в качестве обеспечения заявки на участие в закупке)</w:t>
            </w:r>
          </w:p>
        </w:tc>
        <w:tc>
          <w:tcPr>
            <w:tcW w:w="3967" w:type="dxa"/>
            <w:tcBorders>
              <w:top w:val="nil"/>
            </w:tcBorders>
          </w:tcPr>
          <w:p>
            <w:pPr>
              <w:pStyle w:val="Normal"/>
              <w:widowControl/>
              <w:suppressAutoHyphens w:val="true"/>
              <w:spacing w:before="0" w:after="0"/>
              <w:rPr>
                <w:sz w:val="24"/>
                <w:szCs w:val="24"/>
              </w:rPr>
            </w:pPr>
            <w:r>
              <w:rPr>
                <w:kern w:val="0"/>
                <w:sz w:val="24"/>
                <w:szCs w:val="24"/>
                <w:lang w:val="ru-RU" w:bidi="ar-SA"/>
              </w:rPr>
              <w:t>Не требуется</w:t>
            </w:r>
          </w:p>
        </w:tc>
        <w:tc>
          <w:tcPr>
            <w:tcW w:w="4037" w:type="dxa"/>
            <w:tcBorders>
              <w:top w:val="nil"/>
            </w:tcBorders>
          </w:tcPr>
          <w:p>
            <w:pPr>
              <w:pStyle w:val="Normal"/>
              <w:widowControl/>
              <w:suppressAutoHyphens w:val="true"/>
              <w:spacing w:before="0" w:after="0"/>
              <w:rPr>
                <w:sz w:val="24"/>
                <w:szCs w:val="24"/>
              </w:rPr>
            </w:pPr>
            <w:r>
              <w:rPr>
                <w:kern w:val="0"/>
                <w:sz w:val="24"/>
                <w:szCs w:val="24"/>
                <w:lang w:val="ru-RU" w:bidi="ar-SA"/>
              </w:rPr>
            </w:r>
          </w:p>
        </w:tc>
      </w:tr>
    </w:tbl>
    <w:p>
      <w:pPr>
        <w:pStyle w:val="Normal"/>
        <w:spacing w:before="0" w:after="0"/>
        <w:rPr/>
      </w:pPr>
      <w:r>
        <w:rPr/>
      </w:r>
    </w:p>
    <w:p>
      <w:pPr>
        <w:pStyle w:val="Normal"/>
        <w:spacing w:before="0" w:after="0"/>
        <w:ind w:firstLine="567"/>
        <w:rPr/>
      </w:pPr>
      <w:r>
        <w:rPr>
          <w:b/>
          <w:bCs/>
        </w:rPr>
        <w:t>1.3. Третья часть</w:t>
      </w:r>
      <w:r>
        <w:rPr/>
        <w:t xml:space="preserve"> должна содержать предложение участника закупки </w:t>
      </w:r>
      <w:r>
        <w:rPr>
          <w:b/>
          <w:bCs/>
          <w:i/>
          <w:iCs/>
        </w:rPr>
        <w:t>о сумме цен единиц услуг.</w:t>
      </w:r>
    </w:p>
    <w:p>
      <w:pPr>
        <w:pStyle w:val="Normal"/>
        <w:spacing w:before="0" w:after="0"/>
        <w:ind w:firstLine="567"/>
        <w:rPr/>
      </w:pPr>
      <w:r>
        <w:rPr/>
      </w:r>
    </w:p>
    <w:p>
      <w:pPr>
        <w:pStyle w:val="Normal"/>
        <w:spacing w:before="0" w:after="0"/>
        <w:ind w:firstLine="567"/>
        <w:rPr/>
      </w:pPr>
      <w:r>
        <w:rPr>
          <w:b/>
          <w:bCs/>
        </w:rPr>
        <w:t>2. Инструкция по заполнению заявки на участие в электронном конкурсе</w:t>
      </w:r>
    </w:p>
    <w:p>
      <w:pPr>
        <w:pStyle w:val="Normal"/>
        <w:spacing w:before="0" w:after="0"/>
        <w:ind w:firstLine="567"/>
        <w:rPr/>
      </w:pPr>
      <w:r>
        <w:rPr/>
        <w:t>2.1. Заявка на участие в электронном конкурсе, подготовленная участником закупки, составляется на русском языке.</w:t>
      </w:r>
      <w:bookmarkStart w:id="0" w:name="_Ref119430333"/>
      <w:r>
        <w:rPr/>
        <w:t xml:space="preserve"> </w:t>
      </w:r>
      <w:bookmarkStart w:id="1" w:name="_Toc123405470"/>
      <w:bookmarkStart w:id="2" w:name="_Ref119429817"/>
      <w:bookmarkEnd w:id="0"/>
      <w:r>
        <w:rPr/>
        <w:t>Входящие в заявку на участие в электронном конкурсе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bookmarkEnd w:id="1"/>
      <w:bookmarkEnd w:id="2"/>
      <w:r>
        <w:rPr/>
        <w:t xml:space="preserve"> Заявка должна составляться в соответствии с Правилами русской орфографии и пунктуации,</w:t>
      </w:r>
      <w:r>
        <w:rPr>
          <w:rStyle w:val="11"/>
          <w:sz w:val="24"/>
          <w:szCs w:val="24"/>
        </w:rPr>
        <w:t xml:space="preserve"> </w:t>
      </w:r>
      <w:r>
        <w:rPr>
          <w:rStyle w:val="Emphasis"/>
        </w:rPr>
        <w:t>утвержденными Академией наук СССР, Министерством высшего образования СССР и Министерством просвещения РСФСР в 1956 году.</w:t>
      </w:r>
    </w:p>
    <w:p>
      <w:pPr>
        <w:pStyle w:val="Normal"/>
        <w:spacing w:before="0" w:after="0"/>
        <w:ind w:firstLine="567"/>
        <w:rPr/>
      </w:pPr>
      <w:r>
        <w:rPr/>
        <w:t>2.2. Все документы, входящие в состав заявки на участие в электронном конкурсе, должны иметь четко читаемый текст.</w:t>
      </w:r>
    </w:p>
    <w:p>
      <w:pPr>
        <w:pStyle w:val="Normal"/>
        <w:spacing w:before="0" w:after="0"/>
        <w:ind w:firstLine="567"/>
        <w:rPr/>
      </w:pPr>
      <w:r>
        <w:rPr/>
        <w:t>2.3.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содержащиеся в заявке на участие в электронном конкурсе, должны быть достоверны и не должны допускать двусмысленных толкований.</w:t>
      </w:r>
    </w:p>
    <w:p>
      <w:pPr>
        <w:pStyle w:val="Normal"/>
        <w:spacing w:before="0" w:after="0"/>
        <w:ind w:firstLine="567"/>
        <w:rPr/>
      </w:pPr>
      <w:r>
        <w:rPr/>
        <w:t>2.4. Случаи использования при описании объекта закупки не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показателей, требований, условных обозначений и терминологии обусловлены невозможностью в полной мере охватить все необходимые заказчику функциональные, технические, качественные, эксплуатационные характеристики объекта закупки.</w:t>
      </w:r>
    </w:p>
    <w:p>
      <w:pPr>
        <w:pStyle w:val="Normal"/>
        <w:spacing w:before="0" w:after="0"/>
        <w:rPr/>
      </w:pPr>
      <w:r>
        <w:rPr/>
      </w:r>
    </w:p>
    <w:sectPr>
      <w:type w:val="nextPage"/>
      <w:pgSz w:orient="landscape" w:w="16838" w:h="11906"/>
      <w:pgMar w:left="680" w:right="680" w:gutter="0" w:header="0" w:top="680" w:footer="0" w:bottom="6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432"/>
        </w:tabs>
        <w:ind w:left="432" w:hanging="432"/>
      </w:pPr>
      <w:rPr>
        <w:sz w:val="22"/>
        <w:b w:val="false"/>
        <w:szCs w:val="22"/>
        <w:rFonts w:ascii="Times New Roman" w:hAnsi="Times New Roman" w:cs="Times New Roman"/>
      </w:rPr>
    </w:lvl>
    <w:lvl w:ilvl="1">
      <w:start w:val="1"/>
      <w:pStyle w:val="Heading2"/>
      <w:numFmt w:val="decimal"/>
      <w:lvlText w:val="%1.%2."/>
      <w:lvlJc w:val="left"/>
      <w:pPr>
        <w:tabs>
          <w:tab w:val="num" w:pos="576"/>
        </w:tabs>
        <w:ind w:left="576" w:hanging="576"/>
      </w:pPr>
      <w:rPr>
        <w:rFonts w:cs="Times New Roman"/>
      </w:rPr>
    </w:lvl>
    <w:lvl w:ilvl="2">
      <w:start w:val="1"/>
      <w:pStyle w:val="Heading3"/>
      <w:numFmt w:val="decimal"/>
      <w:lvlText w:val="%1.%2.%3."/>
      <w:lvlJc w:val="left"/>
      <w:pPr>
        <w:tabs>
          <w:tab w:val="num" w:pos="170"/>
        </w:tabs>
        <w:ind w:left="720" w:hanging="720"/>
      </w:pPr>
      <w:rPr>
        <w:sz w:val="26"/>
        <w:i w:val="false"/>
        <w:b w:val="false"/>
        <w:szCs w:val="26"/>
        <w:iCs w:val="false"/>
        <w:bCs w:val="false"/>
        <w:rFonts w:ascii="Times New Roman" w:hAnsi="Times New Roman" w:cs="Times New Roman"/>
      </w:rPr>
    </w:lvl>
    <w:lvl w:ilvl="3">
      <w:start w:val="1"/>
      <w:numFmt w:val="decimal"/>
      <w:lvlText w:val="%4)"/>
      <w:lvlJc w:val="left"/>
      <w:pPr>
        <w:tabs>
          <w:tab w:val="num" w:pos="360"/>
        </w:tabs>
        <w:ind w:left="360" w:hanging="360"/>
      </w:pPr>
      <w:rPr>
        <w:sz w:val="28"/>
        <w:b w:val="false"/>
        <w:szCs w:val="28"/>
        <w:rFonts w:cs="Times New Roman"/>
      </w:rPr>
    </w:lvl>
    <w:lvl w:ilvl="4">
      <w:start w:val="1"/>
      <w:numFmt w:val="russianLower"/>
      <w:lvlText w:val="%5)"/>
      <w:lvlJc w:val="left"/>
      <w:pPr>
        <w:tabs>
          <w:tab w:val="num" w:pos="1800"/>
        </w:tabs>
        <w:ind w:left="1800" w:hanging="360"/>
      </w:pPr>
      <w:rPr>
        <w:sz w:val="26"/>
        <w:szCs w:val="26"/>
        <w:rFonts w:cs="Times New Roman"/>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867d6"/>
    <w:pPr>
      <w:widowControl/>
      <w:suppressAutoHyphens w:val="true"/>
      <w:bidi w:val="0"/>
      <w:spacing w:before="0" w:after="60"/>
      <w:jc w:val="both"/>
    </w:pPr>
    <w:rPr>
      <w:rFonts w:ascii="Times New Roman" w:hAnsi="Times New Roman" w:eastAsia="Times New Roman" w:cs="Times New Roman"/>
      <w:color w:val="auto"/>
      <w:kern w:val="0"/>
      <w:sz w:val="24"/>
      <w:szCs w:val="24"/>
      <w:lang w:eastAsia="ru-RU" w:val="ru-RU" w:bidi="ar-SA"/>
    </w:rPr>
  </w:style>
  <w:style w:type="paragraph" w:styleId="Heading1" w:customStyle="1">
    <w:name w:val="Heading 1"/>
    <w:basedOn w:val="Normal"/>
    <w:next w:val="Normal"/>
    <w:link w:val="11"/>
    <w:uiPriority w:val="99"/>
    <w:qFormat/>
    <w:rsid w:val="009867d6"/>
    <w:pPr>
      <w:keepNext w:val="true"/>
      <w:numPr>
        <w:ilvl w:val="0"/>
        <w:numId w:val="1"/>
      </w:numPr>
      <w:spacing w:before="240" w:after="60"/>
      <w:jc w:val="center"/>
      <w:outlineLvl w:val="0"/>
    </w:pPr>
    <w:rPr>
      <w:b/>
      <w:bCs/>
      <w:kern w:val="2"/>
      <w:sz w:val="36"/>
      <w:szCs w:val="36"/>
    </w:rPr>
  </w:style>
  <w:style w:type="paragraph" w:styleId="Heading2" w:customStyle="1">
    <w:name w:val="Heading 2"/>
    <w:basedOn w:val="Normal"/>
    <w:next w:val="Normal"/>
    <w:link w:val="2"/>
    <w:uiPriority w:val="99"/>
    <w:qFormat/>
    <w:rsid w:val="009867d6"/>
    <w:pPr>
      <w:keepNext w:val="true"/>
      <w:numPr>
        <w:ilvl w:val="1"/>
        <w:numId w:val="1"/>
      </w:numPr>
      <w:jc w:val="center"/>
      <w:outlineLvl w:val="1"/>
    </w:pPr>
    <w:rPr>
      <w:b/>
      <w:bCs/>
      <w:sz w:val="30"/>
      <w:szCs w:val="30"/>
    </w:rPr>
  </w:style>
  <w:style w:type="paragraph" w:styleId="Heading3" w:customStyle="1">
    <w:name w:val="Heading 3"/>
    <w:basedOn w:val="Normal"/>
    <w:next w:val="Normal"/>
    <w:link w:val="3"/>
    <w:uiPriority w:val="99"/>
    <w:qFormat/>
    <w:rsid w:val="009867d6"/>
    <w:pPr>
      <w:keepNext w:val="true"/>
      <w:numPr>
        <w:ilvl w:val="2"/>
        <w:numId w:val="1"/>
      </w:numPr>
      <w:spacing w:before="240" w:after="60"/>
      <w:outlineLvl w:val="2"/>
    </w:pPr>
    <w:rPr>
      <w:rFonts w:ascii="Arial" w:hAnsi="Arial" w:cs="Arial"/>
      <w:b/>
      <w:bC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rsid w:val="009867d6"/>
    <w:rPr>
      <w:rFonts w:ascii="Cambria" w:hAnsi="Cambria" w:eastAsia="" w:cs="" w:asciiTheme="majorHAnsi" w:cstheme="majorBidi" w:eastAsiaTheme="majorEastAsia" w:hAnsiTheme="majorHAnsi"/>
      <w:b/>
      <w:bCs/>
      <w:color w:themeColor="accent1" w:themeShade="bf" w:val="365F91"/>
      <w:sz w:val="28"/>
      <w:szCs w:val="28"/>
      <w:lang w:eastAsia="ru-RU"/>
    </w:rPr>
  </w:style>
  <w:style w:type="character" w:styleId="2" w:customStyle="1">
    <w:name w:val="Заголовок 2 Знак"/>
    <w:basedOn w:val="DefaultParagraphFont"/>
    <w:uiPriority w:val="99"/>
    <w:qFormat/>
    <w:rsid w:val="009867d6"/>
    <w:rPr>
      <w:rFonts w:ascii="Times New Roman" w:hAnsi="Times New Roman" w:eastAsia="Times New Roman" w:cs="Times New Roman"/>
      <w:b/>
      <w:bCs/>
      <w:sz w:val="30"/>
      <w:szCs w:val="30"/>
      <w:lang w:eastAsia="ru-RU"/>
    </w:rPr>
  </w:style>
  <w:style w:type="character" w:styleId="3" w:customStyle="1">
    <w:name w:val="Заголовок 3 Знак"/>
    <w:basedOn w:val="DefaultParagraphFont"/>
    <w:uiPriority w:val="99"/>
    <w:qFormat/>
    <w:rsid w:val="009867d6"/>
    <w:rPr>
      <w:rFonts w:ascii="Arial" w:hAnsi="Arial" w:eastAsia="Times New Roman" w:cs="Arial"/>
      <w:b/>
      <w:bCs/>
      <w:sz w:val="24"/>
      <w:szCs w:val="24"/>
      <w:lang w:eastAsia="ru-RU"/>
    </w:rPr>
  </w:style>
  <w:style w:type="character" w:styleId="11" w:customStyle="1">
    <w:name w:val="Заголовок 1 Знак1"/>
    <w:basedOn w:val="DefaultParagraphFont"/>
    <w:uiPriority w:val="99"/>
    <w:qFormat/>
    <w:locked/>
    <w:rsid w:val="009867d6"/>
    <w:rPr>
      <w:rFonts w:ascii="Times New Roman" w:hAnsi="Times New Roman" w:eastAsia="Times New Roman" w:cs="Times New Roman"/>
      <w:b/>
      <w:bCs/>
      <w:kern w:val="2"/>
      <w:sz w:val="36"/>
      <w:szCs w:val="36"/>
      <w:lang w:eastAsia="ru-RU"/>
    </w:rPr>
  </w:style>
  <w:style w:type="character" w:styleId="Hyperlink">
    <w:name w:val="Hyperlink"/>
    <w:basedOn w:val="DefaultParagraphFont"/>
    <w:uiPriority w:val="99"/>
    <w:rsid w:val="009867d6"/>
    <w:rPr>
      <w:rFonts w:cs="Times New Roman"/>
      <w:color w:val="0000FF"/>
      <w:u w:val="single"/>
    </w:rPr>
  </w:style>
  <w:style w:type="character" w:styleId="Emphasis">
    <w:name w:val="Emphasis"/>
    <w:basedOn w:val="DefaultParagraphFont"/>
    <w:uiPriority w:val="20"/>
    <w:qFormat/>
    <w:rsid w:val="009867d6"/>
    <w:rPr>
      <w:i/>
      <w:iCs/>
    </w:rPr>
  </w:style>
  <w:style w:type="character" w:styleId="Style11" w:customStyle="1">
    <w:name w:val="Абзац списка Знак"/>
    <w:link w:val="ListParagraph"/>
    <w:qFormat/>
    <w:locked/>
    <w:rsid w:val="009867d6"/>
    <w:rPr>
      <w:rFonts w:ascii="Times New Roman" w:hAnsi="Times New Roman" w:eastAsia="Times New Roman" w:cs="Times New Roman"/>
      <w:sz w:val="24"/>
      <w:szCs w:val="24"/>
    </w:rPr>
  </w:style>
  <w:style w:type="character" w:styleId="ConsPlusNormal" w:customStyle="1">
    <w:name w:val="ConsPlusNormal Знак"/>
    <w:link w:val="ConsPlusNormal1"/>
    <w:qFormat/>
    <w:locked/>
    <w:rsid w:val="009867d6"/>
    <w:rPr>
      <w:rFonts w:ascii="Arial" w:hAnsi="Arial" w:eastAsia="Times New Roman" w:cs="Arial"/>
      <w:sz w:val="20"/>
      <w:szCs w:val="20"/>
      <w:lang w:eastAsia="ru-RU"/>
    </w:rPr>
  </w:style>
  <w:style w:type="character" w:styleId="Annotationreference">
    <w:name w:val="annotation reference"/>
    <w:basedOn w:val="DefaultParagraphFont"/>
    <w:uiPriority w:val="99"/>
    <w:semiHidden/>
    <w:unhideWhenUsed/>
    <w:qFormat/>
    <w:rsid w:val="009867d6"/>
    <w:rPr>
      <w:sz w:val="16"/>
      <w:szCs w:val="16"/>
    </w:rPr>
  </w:style>
  <w:style w:type="character" w:styleId="Style12" w:customStyle="1">
    <w:name w:val="Текст примечания Знак"/>
    <w:basedOn w:val="DefaultParagraphFont"/>
    <w:link w:val="Annotationtext"/>
    <w:uiPriority w:val="99"/>
    <w:qFormat/>
    <w:rsid w:val="009867d6"/>
    <w:rPr>
      <w:rFonts w:ascii="Times New Roman" w:hAnsi="Times New Roman" w:eastAsia="Times New Roman" w:cs="Times New Roman"/>
      <w:sz w:val="20"/>
      <w:szCs w:val="20"/>
      <w:lang w:eastAsia="ru-RU"/>
    </w:rPr>
  </w:style>
  <w:style w:type="character" w:styleId="Style13" w:customStyle="1">
    <w:name w:val="Тема примечания Знак"/>
    <w:basedOn w:val="Style12"/>
    <w:link w:val="Annotationsubject"/>
    <w:uiPriority w:val="99"/>
    <w:semiHidden/>
    <w:qFormat/>
    <w:rsid w:val="009867d6"/>
    <w:rPr>
      <w:b/>
      <w:bCs/>
    </w:rPr>
  </w:style>
  <w:style w:type="character" w:styleId="Style14" w:customStyle="1">
    <w:name w:val="Текст выноски Знак"/>
    <w:basedOn w:val="DefaultParagraphFont"/>
    <w:link w:val="BalloonText"/>
    <w:uiPriority w:val="99"/>
    <w:semiHidden/>
    <w:qFormat/>
    <w:rsid w:val="009867d6"/>
    <w:rPr>
      <w:rFonts w:ascii="Tahoma" w:hAnsi="Tahoma" w:eastAsia="Times New Roman" w:cs="Tahoma"/>
      <w:sz w:val="16"/>
      <w:szCs w:val="16"/>
      <w:lang w:eastAsia="ru-RU"/>
    </w:rPr>
  </w:style>
  <w:style w:type="character" w:styleId="Apple-style-span" w:customStyle="1">
    <w:name w:val="apple-style-span"/>
    <w:basedOn w:val="DefaultParagraphFont"/>
    <w:qFormat/>
    <w:rsid w:val="00681582"/>
    <w:rPr/>
  </w:style>
  <w:style w:type="character" w:styleId="FollowedHyperlink">
    <w:name w:val="FollowedHyperlink"/>
    <w:basedOn w:val="DefaultParagraphFont"/>
    <w:uiPriority w:val="99"/>
    <w:semiHidden/>
    <w:unhideWhenUsed/>
    <w:rsid w:val="00ec5637"/>
    <w:rPr>
      <w:color w:themeColor="followedHyperlink" w:val="800080"/>
      <w:u w:val="single"/>
    </w:rPr>
  </w:style>
  <w:style w:type="character" w:styleId="Blk" w:customStyle="1">
    <w:name w:val="blk"/>
    <w:basedOn w:val="DefaultParagraphFont"/>
    <w:qFormat/>
    <w:rsid w:val="00644af6"/>
    <w:rPr/>
  </w:style>
  <w:style w:type="character" w:styleId="Style15" w:customStyle="1">
    <w:name w:val="Цветовое выделение для Текст"/>
    <w:qFormat/>
    <w:rsid w:val="00552af5"/>
    <w:rPr/>
  </w:style>
  <w:style w:type="paragraph" w:styleId="Style16" w:customStyle="1">
    <w:name w:val="Заголовок"/>
    <w:basedOn w:val="Normal"/>
    <w:next w:val="BodyText"/>
    <w:qFormat/>
    <w:rsid w:val="00552af5"/>
    <w:pPr>
      <w:keepNext w:val="true"/>
      <w:spacing w:before="240" w:after="120"/>
    </w:pPr>
    <w:rPr>
      <w:rFonts w:ascii="Liberation Sans" w:hAnsi="Liberation Sans" w:eastAsia="Microsoft YaHei" w:cs="Arial Unicode MS"/>
      <w:sz w:val="28"/>
      <w:szCs w:val="28"/>
    </w:rPr>
  </w:style>
  <w:style w:type="paragraph" w:styleId="BodyText">
    <w:name w:val="Body Text"/>
    <w:basedOn w:val="Normal"/>
    <w:rsid w:val="00552af5"/>
    <w:pPr>
      <w:spacing w:lineRule="auto" w:line="276" w:before="0" w:after="140"/>
    </w:pPr>
    <w:rPr/>
  </w:style>
  <w:style w:type="paragraph" w:styleId="List">
    <w:name w:val="List"/>
    <w:basedOn w:val="BodyText"/>
    <w:rsid w:val="00552af5"/>
    <w:pPr/>
    <w:rPr>
      <w:rFonts w:cs="Arial Unicode MS"/>
    </w:rPr>
  </w:style>
  <w:style w:type="paragraph" w:styleId="Caption" w:customStyle="1">
    <w:name w:val="Caption"/>
    <w:basedOn w:val="Normal"/>
    <w:qFormat/>
    <w:rsid w:val="00552af5"/>
    <w:pPr>
      <w:suppressLineNumbers/>
      <w:spacing w:before="120" w:after="120"/>
    </w:pPr>
    <w:rPr>
      <w:rFonts w:cs="Arial Unicode MS"/>
      <w:i/>
      <w:iCs/>
    </w:rPr>
  </w:style>
  <w:style w:type="paragraph" w:styleId="Style17">
    <w:name w:val="Указатель"/>
    <w:basedOn w:val="Normal"/>
    <w:qFormat/>
    <w:pPr>
      <w:suppressLineNumbers/>
    </w:pPr>
    <w:rPr>
      <w:rFonts w:cs="Arial Unicode MS"/>
    </w:rPr>
  </w:style>
  <w:style w:type="paragraph" w:styleId="Indexheading">
    <w:name w:val="index heading"/>
    <w:basedOn w:val="Normal"/>
    <w:qFormat/>
    <w:rsid w:val="00552af5"/>
    <w:pPr>
      <w:suppressLineNumbers/>
    </w:pPr>
    <w:rPr>
      <w:rFonts w:cs="Arial Unicode MS"/>
    </w:rPr>
  </w:style>
  <w:style w:type="paragraph" w:styleId="ConsPlusNormal1" w:customStyle="1">
    <w:name w:val="ConsPlusNormal"/>
    <w:link w:val="ConsPlusNormal"/>
    <w:qFormat/>
    <w:rsid w:val="009867d6"/>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ListParagraph">
    <w:name w:val="List Paragraph"/>
    <w:basedOn w:val="Normal"/>
    <w:link w:val="Style11"/>
    <w:qFormat/>
    <w:rsid w:val="009867d6"/>
    <w:pPr>
      <w:spacing w:before="0" w:after="60"/>
      <w:ind w:left="720"/>
      <w:contextualSpacing/>
    </w:pPr>
    <w:rPr/>
  </w:style>
  <w:style w:type="paragraph" w:styleId="Annotationtext">
    <w:name w:val="annotation text"/>
    <w:basedOn w:val="Normal"/>
    <w:link w:val="Style12"/>
    <w:uiPriority w:val="99"/>
    <w:unhideWhenUsed/>
    <w:qFormat/>
    <w:rsid w:val="009867d6"/>
    <w:pPr/>
    <w:rPr>
      <w:sz w:val="20"/>
      <w:szCs w:val="20"/>
    </w:rPr>
  </w:style>
  <w:style w:type="paragraph" w:styleId="Annotationsubject">
    <w:name w:val="annotation subject"/>
    <w:basedOn w:val="Annotationtext"/>
    <w:next w:val="Annotationtext"/>
    <w:link w:val="Style13"/>
    <w:uiPriority w:val="99"/>
    <w:semiHidden/>
    <w:unhideWhenUsed/>
    <w:qFormat/>
    <w:rsid w:val="009867d6"/>
    <w:pPr/>
    <w:rPr>
      <w:b/>
      <w:bCs/>
    </w:rPr>
  </w:style>
  <w:style w:type="paragraph" w:styleId="BalloonText">
    <w:name w:val="Balloon Text"/>
    <w:basedOn w:val="Normal"/>
    <w:link w:val="Style14"/>
    <w:uiPriority w:val="99"/>
    <w:semiHidden/>
    <w:unhideWhenUsed/>
    <w:qFormat/>
    <w:rsid w:val="009867d6"/>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4">
    <w:name w:val="Table Grid"/>
    <w:basedOn w:val="a1"/>
    <w:uiPriority w:val="59"/>
    <w:rsid w:val="00ec0f8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1944</TotalTime>
  <Application>LibreOffice/7.6.2.1$Windows_X86_64 LibreOffice_project/56f7684011345957bbf33a7ee678afaf4d2ba333</Application>
  <AppVersion>15.0000</AppVersion>
  <Pages>5</Pages>
  <Words>1501</Words>
  <Characters>10483</Characters>
  <CharactersWithSpaces>11912</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2022-01-10T04:59:00Z</dcterms:created>
  <dc:creator>guks_11</dc:creator>
  <dc:description/>
  <dc:language>ru-RU</dc:language>
  <cp:lastModifiedBy/>
  <cp:lastPrinted>2025-09-09T05:16:00Z</cp:lastPrinted>
  <dcterms:modified xsi:type="dcterms:W3CDTF">2026-09-16T10:05:55Z</dcterms:modified>
  <cp:revision>106</cp:revision>
  <dc:subject/>
  <dc:title/>
</cp:coreProperties>
</file>

<file path=docProps/custom.xml><?xml version="1.0" encoding="utf-8"?>
<Properties xmlns="http://schemas.openxmlformats.org/officeDocument/2006/custom-properties" xmlns:vt="http://schemas.openxmlformats.org/officeDocument/2006/docPropsVTypes"/>
</file>