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spacing w:before="0" w:after="0"/>
        <w:contextualSpacing/>
        <w:jc w:val="right"/>
        <w:rPr>
          <w:rFonts w:ascii="Liberation Serif" w:hAnsi="Liberation Serif"/>
        </w:rPr>
      </w:pPr>
      <w:r>
        <w:rPr>
          <w:rFonts w:ascii="Liberation Serif" w:hAnsi="Liberation Serif"/>
          <w:color w:val="000000"/>
          <w:sz w:val="22"/>
          <w:szCs w:val="22"/>
          <w:lang w:eastAsia="ru-RU"/>
        </w:rPr>
        <w:t>Утверждено</w:t>
      </w:r>
    </w:p>
    <w:p>
      <w:pPr>
        <w:pStyle w:val="Normal"/>
        <w:suppressAutoHyphens w:val="false"/>
        <w:spacing w:before="0" w:after="0"/>
        <w:contextualSpacing/>
        <w:jc w:val="right"/>
        <w:rPr>
          <w:rFonts w:ascii="Liberation Serif" w:hAnsi="Liberation Serif"/>
        </w:rPr>
      </w:pPr>
      <w:r>
        <w:rPr>
          <w:rFonts w:ascii="Liberation Serif" w:hAnsi="Liberation Serif"/>
          <w:color w:val="000000"/>
          <w:sz w:val="22"/>
          <w:szCs w:val="22"/>
          <w:lang w:eastAsia="ru-RU"/>
        </w:rPr>
        <w:t>Распоряжением администрации</w:t>
      </w:r>
    </w:p>
    <w:p>
      <w:pPr>
        <w:pStyle w:val="Normal"/>
        <w:suppressAutoHyphens w:val="false"/>
        <w:spacing w:before="0" w:after="0"/>
        <w:contextualSpacing/>
        <w:jc w:val="right"/>
        <w:rPr>
          <w:rFonts w:ascii="Liberation Serif" w:hAnsi="Liberation Serif"/>
        </w:rPr>
      </w:pPr>
      <w:r>
        <w:rPr>
          <w:rFonts w:ascii="Liberation Serif" w:hAnsi="Liberation Serif"/>
          <w:color w:val="000000"/>
          <w:sz w:val="22"/>
          <w:szCs w:val="22"/>
          <w:lang w:eastAsia="ru-RU"/>
        </w:rPr>
        <w:t>Камышловского муниципального района</w:t>
      </w:r>
    </w:p>
    <w:p>
      <w:pPr>
        <w:pStyle w:val="Normal"/>
        <w:suppressAutoHyphens w:val="false"/>
        <w:spacing w:before="0" w:after="0"/>
        <w:contextualSpacing/>
        <w:jc w:val="right"/>
        <w:rPr>
          <w:rFonts w:ascii="Liberation Serif" w:hAnsi="Liberation Serif"/>
        </w:rPr>
      </w:pPr>
      <w:r>
        <w:rPr>
          <w:rFonts w:ascii="Liberation Serif" w:hAnsi="Liberation Serif"/>
          <w:color w:val="000000"/>
          <w:sz w:val="22"/>
          <w:szCs w:val="22"/>
          <w:lang w:eastAsia="ru-RU"/>
        </w:rPr>
        <w:t xml:space="preserve"> </w:t>
      </w:r>
      <w:r>
        <w:rPr>
          <w:rFonts w:ascii="Liberation Serif" w:hAnsi="Liberation Serif"/>
          <w:color w:val="000000"/>
          <w:sz w:val="22"/>
          <w:szCs w:val="22"/>
          <w:lang w:eastAsia="ru-RU"/>
        </w:rPr>
        <w:t>от «____» ___________202</w:t>
      </w:r>
      <w:r>
        <w:rPr>
          <w:rFonts w:ascii="Liberation Serif" w:hAnsi="Liberation Serif"/>
          <w:color w:val="000000"/>
          <w:sz w:val="22"/>
          <w:szCs w:val="22"/>
          <w:lang w:eastAsia="ru-RU"/>
        </w:rPr>
        <w:t>6</w:t>
      </w:r>
      <w:r>
        <w:rPr>
          <w:rFonts w:ascii="Liberation Serif" w:hAnsi="Liberation Serif"/>
          <w:color w:val="000000"/>
          <w:sz w:val="22"/>
          <w:szCs w:val="22"/>
          <w:lang w:eastAsia="ru-RU"/>
        </w:rPr>
        <w:t xml:space="preserve"> г. №_____</w:t>
      </w:r>
    </w:p>
    <w:p>
      <w:pPr>
        <w:pStyle w:val="Normal"/>
        <w:keepNext w:val="true"/>
        <w:keepLines/>
        <w:suppressLineNumbers/>
        <w:ind w:firstLine="680"/>
        <w:jc w:val="center"/>
        <w:rPr>
          <w:rFonts w:ascii="Liberation Serif" w:hAnsi="Liberation Serif" w:cs="Liberation Serif"/>
          <w:b/>
          <w:kern w:val="2"/>
          <w:sz w:val="22"/>
          <w:szCs w:val="22"/>
        </w:rPr>
      </w:pPr>
      <w:r>
        <w:rPr>
          <w:rFonts w:cs="Liberation Serif" w:ascii="Liberation Serif" w:hAnsi="Liberation Serif"/>
          <w:b/>
          <w:kern w:val="2"/>
          <w:sz w:val="22"/>
          <w:szCs w:val="22"/>
        </w:rPr>
      </w:r>
    </w:p>
    <w:p>
      <w:pPr>
        <w:pStyle w:val="Normal"/>
        <w:keepNext w:val="true"/>
        <w:keepLines/>
        <w:suppressLineNumbers/>
        <w:ind w:firstLine="680"/>
        <w:jc w:val="center"/>
        <w:rPr>
          <w:rFonts w:ascii="Liberation Serif" w:hAnsi="Liberation Serif"/>
        </w:rPr>
      </w:pPr>
      <w:r>
        <w:rPr>
          <w:rFonts w:cs="Liberation Serif" w:ascii="Liberation Serif" w:hAnsi="Liberation Serif"/>
          <w:b/>
          <w:kern w:val="2"/>
          <w:sz w:val="22"/>
          <w:szCs w:val="22"/>
        </w:rPr>
        <w:fldChar w:fldCharType="begin"/>
      </w:r>
      <w:r>
        <w:rPr>
          <w:sz w:val="22"/>
          <w:b/>
          <w:kern w:val="2"/>
          <w:szCs w:val="22"/>
          <w:rFonts w:cs="Liberation Serif" w:ascii="Liberation Serif" w:hAnsi="Liberation Serif"/>
        </w:rPr>
        <w:instrText xml:space="preserve"> MERGEFIELD TableStart:demand </w:instrText>
      </w:r>
      <w:r>
        <w:rPr>
          <w:sz w:val="22"/>
          <w:b/>
          <w:kern w:val="2"/>
          <w:szCs w:val="22"/>
          <w:rFonts w:cs="Liberation Serif" w:ascii="Liberation Serif" w:hAnsi="Liberation Serif"/>
        </w:rPr>
        <w:fldChar w:fldCharType="separate"/>
      </w:r>
      <w:r>
        <w:rPr>
          <w:sz w:val="22"/>
          <w:b/>
          <w:kern w:val="2"/>
          <w:szCs w:val="22"/>
          <w:rFonts w:cs="Liberation Serif" w:ascii="Liberation Serif" w:hAnsi="Liberation Serif"/>
        </w:rPr>
      </w:r>
      <w:r>
        <w:rPr>
          <w:sz w:val="22"/>
          <w:b/>
          <w:kern w:val="2"/>
          <w:szCs w:val="22"/>
          <w:rFonts w:cs="Liberation Serif" w:ascii="Liberation Serif" w:hAnsi="Liberation Serif"/>
        </w:rPr>
        <w:fldChar w:fldCharType="end"/>
      </w:r>
      <w:r>
        <w:rPr>
          <w:rFonts w:cs="Liberation Serif" w:ascii="Liberation Serif" w:hAnsi="Liberation Serif"/>
          <w:b/>
          <w:kern w:val="2"/>
          <w:sz w:val="22"/>
          <w:szCs w:val="22"/>
        </w:rPr>
        <w:t xml:space="preserve"> </w:t>
      </w:r>
    </w:p>
    <w:p>
      <w:pPr>
        <w:pStyle w:val="Normal"/>
        <w:keepLines/>
        <w:suppressLineNumbers/>
        <w:jc w:val="center"/>
        <w:rPr>
          <w:rFonts w:ascii="Liberation Serif" w:hAnsi="Liberation Serif"/>
        </w:rPr>
      </w:pPr>
      <w:r>
        <w:rPr>
          <w:rFonts w:cs="Liberation Serif" w:ascii="Liberation Serif" w:hAnsi="Liberation Serif"/>
          <w:b/>
          <w:caps/>
          <w:kern w:val="2"/>
          <w:sz w:val="22"/>
          <w:szCs w:val="22"/>
        </w:rPr>
        <w:t>ТРЕБОВАНИЯ К СОДЕРЖАНИЮ, СОСТАВУ ЗАЯВКИ НА УЧАСТИЕ В ЗАКУПКЕ</w:t>
      </w:r>
    </w:p>
    <w:p>
      <w:pPr>
        <w:pStyle w:val="Normal"/>
        <w:keepLines/>
        <w:suppressLineNumbers/>
        <w:jc w:val="center"/>
        <w:rPr>
          <w:rFonts w:ascii="Liberation Serif" w:hAnsi="Liberation Serif"/>
        </w:rPr>
      </w:pPr>
      <w:r>
        <w:rPr>
          <w:rFonts w:cs="Liberation Serif" w:ascii="Liberation Serif" w:hAnsi="Liberation Serif"/>
          <w:b/>
          <w:caps/>
          <w:kern w:val="2"/>
          <w:sz w:val="22"/>
          <w:szCs w:val="22"/>
        </w:rPr>
        <w:t xml:space="preserve"> </w:t>
      </w:r>
    </w:p>
    <w:p>
      <w:pPr>
        <w:pStyle w:val="Normal"/>
        <w:ind w:firstLine="708"/>
        <w:jc w:val="both"/>
        <w:rPr>
          <w:rFonts w:ascii="Liberation Serif" w:hAnsi="Liberation Serif"/>
        </w:rPr>
      </w:pPr>
      <w:bookmarkStart w:id="0" w:name="org_type"/>
      <w:bookmarkEnd w:id="0"/>
      <w:r>
        <w:rPr>
          <w:rFonts w:cs="Liberation Serif" w:ascii="Liberation Serif" w:hAnsi="Liberation Serif"/>
          <w:b/>
          <w:bCs/>
          <w:sz w:val="22"/>
          <w:szCs w:val="22"/>
        </w:rPr>
        <w:t>Объект закупки:</w:t>
      </w:r>
      <w:r>
        <w:rPr>
          <w:rFonts w:cs="Liberation Serif" w:ascii="Liberation Serif" w:hAnsi="Liberation Serif"/>
          <w:bCs/>
          <w:sz w:val="22"/>
          <w:szCs w:val="22"/>
        </w:rPr>
        <w:t xml:space="preserve"> </w:t>
      </w:r>
      <w:r>
        <w:rPr>
          <w:rFonts w:ascii="Liberation Serif" w:hAnsi="Liberation Serif"/>
          <w:sz w:val="22"/>
          <w:szCs w:val="22"/>
          <w:lang w:eastAsia="ru-RU"/>
        </w:rPr>
        <w:t xml:space="preserve">Оказание услуг по оцифровке архивных документов, </w:t>
      </w:r>
      <w:bookmarkStart w:id="1" w:name="_GoBack"/>
      <w:bookmarkEnd w:id="1"/>
      <w:r>
        <w:rPr>
          <w:rFonts w:ascii="Liberation Serif" w:hAnsi="Liberation Serif"/>
          <w:sz w:val="22"/>
          <w:szCs w:val="22"/>
          <w:lang w:eastAsia="ru-RU"/>
        </w:rPr>
        <w:t>находящихся на хранении в администрации Камышловского муниципального района и ввод, полученной информации в имеющуюся в администрации автоматизированную информационную систему</w:t>
      </w:r>
    </w:p>
    <w:p>
      <w:pPr>
        <w:pStyle w:val="Normal"/>
        <w:ind w:firstLine="708"/>
        <w:jc w:val="both"/>
        <w:rPr>
          <w:rFonts w:ascii="Liberation Serif" w:hAnsi="Liberation Serif"/>
        </w:rPr>
      </w:pPr>
      <w:r>
        <w:rPr>
          <w:rFonts w:cs="Liberation Serif" w:ascii="Liberation Serif" w:hAnsi="Liberation Serif"/>
          <w:b/>
          <w:bCs/>
          <w:sz w:val="22"/>
          <w:szCs w:val="22"/>
        </w:rPr>
        <w:t>Заказчик (Муниципальный заказчик):</w:t>
      </w:r>
      <w:r>
        <w:rPr>
          <w:rFonts w:cs="Liberation Serif" w:ascii="Liberation Serif" w:hAnsi="Liberation Serif"/>
          <w:bCs/>
          <w:sz w:val="22"/>
          <w:szCs w:val="22"/>
        </w:rPr>
        <w:t xml:space="preserve"> Администрация Камышловского муниципального района. </w:t>
      </w:r>
    </w:p>
    <w:p>
      <w:pPr>
        <w:pStyle w:val="Normal"/>
        <w:ind w:firstLine="708"/>
        <w:jc w:val="both"/>
        <w:rPr>
          <w:rFonts w:ascii="Liberation Serif" w:hAnsi="Liberation Serif"/>
        </w:rPr>
      </w:pPr>
      <w:r>
        <w:rPr>
          <w:rFonts w:cs="Liberation Serif" w:ascii="Liberation Serif" w:hAnsi="Liberation Serif"/>
          <w:bCs/>
          <w:sz w:val="22"/>
          <w:szCs w:val="22"/>
        </w:rPr>
        <w:t xml:space="preserve">Настоящие требования к содержанию, составу заявки на участие в закупке (далее – требования) подготовлены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 </w:t>
      </w:r>
    </w:p>
    <w:p>
      <w:pPr>
        <w:pStyle w:val="Normal"/>
        <w:ind w:firstLine="708"/>
        <w:jc w:val="both"/>
        <w:rPr>
          <w:rFonts w:ascii="Liberation Serif" w:hAnsi="Liberation Serif"/>
        </w:rPr>
      </w:pPr>
      <w:r>
        <w:rPr>
          <w:rFonts w:cs="Liberation Serif" w:ascii="Liberation Serif" w:hAnsi="Liberation Serif"/>
          <w:bCs/>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ind w:firstLine="708"/>
        <w:jc w:val="both"/>
        <w:rPr>
          <w:rFonts w:ascii="Liberation Serif" w:hAnsi="Liberation Serif"/>
        </w:rPr>
      </w:pPr>
      <w:r>
        <w:rPr>
          <w:rFonts w:cs="Liberation Serif" w:ascii="Liberation Serif" w:hAnsi="Liberation Serif"/>
          <w:bCs/>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pPr>
        <w:pStyle w:val="Normal"/>
        <w:rPr>
          <w:rFonts w:ascii="Liberation Serif" w:hAnsi="Liberation Serif" w:cs="Liberation Serif"/>
          <w:bCs/>
          <w:sz w:val="22"/>
          <w:szCs w:val="22"/>
        </w:rPr>
      </w:pPr>
      <w:r>
        <w:rPr>
          <w:rFonts w:cs="Liberation Serif" w:ascii="Liberation Serif" w:hAnsi="Liberation Serif"/>
          <w:bCs/>
          <w:sz w:val="22"/>
          <w:szCs w:val="22"/>
        </w:rPr>
      </w:r>
    </w:p>
    <w:tbl>
      <w:tblPr>
        <w:tblW w:w="10207" w:type="dxa"/>
        <w:jc w:val="left"/>
        <w:tblInd w:w="-67" w:type="dxa"/>
        <w:tblLayout w:type="fixed"/>
        <w:tblCellMar>
          <w:top w:w="75" w:type="dxa"/>
          <w:left w:w="75" w:type="dxa"/>
          <w:bottom w:w="75" w:type="dxa"/>
          <w:right w:w="75" w:type="dxa"/>
        </w:tblCellMar>
        <w:tblLook w:val="0000" w:noHBand="0" w:noVBand="0" w:firstColumn="0" w:lastRow="0" w:lastColumn="0" w:firstRow="0"/>
      </w:tblPr>
      <w:tblGrid>
        <w:gridCol w:w="567"/>
        <w:gridCol w:w="9640"/>
      </w:tblGrid>
      <w:tr>
        <w:trPr/>
        <w:tc>
          <w:tcPr>
            <w:tcW w:w="567"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1.</w:t>
            </w:r>
          </w:p>
        </w:tc>
        <w:tc>
          <w:tcPr>
            <w:tcW w:w="9640"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jc w:val="both"/>
              <w:rPr>
                <w:rFonts w:ascii="Liberation Serif" w:hAnsi="Liberation Serif"/>
              </w:rPr>
            </w:pPr>
            <w:r>
              <w:rPr>
                <w:rFonts w:ascii="Liberation Serif" w:hAnsi="Liberation Serif"/>
                <w:b/>
                <w:sz w:val="22"/>
                <w:szCs w:val="22"/>
              </w:rPr>
              <w:t>Информация и документы об участнике закупки, предоставляемые участником закупки в составе заявки на участие в закупке</w:t>
            </w:r>
          </w:p>
        </w:tc>
      </w:tr>
      <w:tr>
        <w:trPr/>
        <w:tc>
          <w:tcPr>
            <w:tcW w:w="567"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1.1.</w:t>
            </w:r>
          </w:p>
        </w:tc>
        <w:tc>
          <w:tcPr>
            <w:tcW w:w="964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uppressLineNumbers/>
              <w:jc w:val="both"/>
              <w:rPr>
                <w:rFonts w:ascii="Liberation Serif" w:hAnsi="Liberation Serif"/>
              </w:rPr>
            </w:pPr>
            <w:r>
              <w:rPr>
                <w:rFonts w:ascii="Liberation Serif" w:hAnsi="Liberation Serif"/>
                <w:sz w:val="22"/>
                <w:szCs w:val="22"/>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c>
          <w:tcPr>
            <w:tcW w:w="567"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1.2.</w:t>
            </w:r>
          </w:p>
        </w:tc>
        <w:tc>
          <w:tcPr>
            <w:tcW w:w="964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uppressLineNumbers/>
              <w:jc w:val="both"/>
              <w:rPr>
                <w:rFonts w:ascii="Liberation Serif" w:hAnsi="Liberation Serif"/>
              </w:rPr>
            </w:pPr>
            <w:r>
              <w:rPr>
                <w:rFonts w:ascii="Liberation Serif" w:hAnsi="Liberation Serif"/>
                <w:sz w:val="22"/>
                <w:szCs w:val="22"/>
              </w:rPr>
              <w:t>документы, подтверждающие соответствие участника закупки требованиям, установленным пунктом 1 части 1 статьи 31 Закона о контрактной системе:</w:t>
            </w:r>
          </w:p>
          <w:p>
            <w:pPr>
              <w:pStyle w:val="Normal"/>
              <w:suppressLineNumbers/>
              <w:jc w:val="both"/>
              <w:rPr>
                <w:rFonts w:ascii="Liberation Serif" w:hAnsi="Liberation Serif"/>
              </w:rPr>
            </w:pPr>
            <w:r>
              <w:rPr>
                <w:rFonts w:ascii="Liberation Serif" w:hAnsi="Liberation Serif"/>
                <w:sz w:val="22"/>
                <w:szCs w:val="22"/>
              </w:rPr>
              <w:t>не установлены</w:t>
            </w:r>
          </w:p>
        </w:tc>
      </w:tr>
      <w:tr>
        <w:trPr/>
        <w:tc>
          <w:tcPr>
            <w:tcW w:w="567"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1.3.</w:t>
            </w:r>
          </w:p>
        </w:tc>
        <w:tc>
          <w:tcPr>
            <w:tcW w:w="964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uppressLineNumbers/>
              <w:jc w:val="both"/>
              <w:rPr>
                <w:rFonts w:ascii="Liberation Serif" w:hAnsi="Liberation Serif"/>
              </w:rPr>
            </w:pPr>
            <w:r>
              <w:rPr>
                <w:rFonts w:ascii="Liberation Serif" w:hAnsi="Liberation Serif"/>
                <w:sz w:val="22"/>
                <w:szCs w:val="22"/>
              </w:rPr>
              <w:t>декларация о соответствии участника закупки требованиям, установленным пунктами 3 - 5, 7 - 11 части 1 статьи 31 Закон о контрактной системе, а также информация, предусмотренная пп. «в» п. 1 ч. 1 ст. 43 Закон о контрактной системе</w:t>
            </w:r>
            <w:r>
              <w:rPr>
                <w:rStyle w:val="FootnoteReference"/>
                <w:rFonts w:ascii="Liberation Serif" w:hAnsi="Liberation Serif"/>
                <w:sz w:val="22"/>
                <w:szCs w:val="22"/>
              </w:rPr>
              <w:footnoteReference w:id="2"/>
            </w:r>
          </w:p>
        </w:tc>
      </w:tr>
      <w:tr>
        <w:trPr/>
        <w:tc>
          <w:tcPr>
            <w:tcW w:w="567"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1.4.</w:t>
            </w:r>
          </w:p>
        </w:tc>
        <w:tc>
          <w:tcPr>
            <w:tcW w:w="964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uppressLineNumbers/>
              <w:jc w:val="both"/>
              <w:rPr>
                <w:rFonts w:ascii="Liberation Serif" w:hAnsi="Liberation Serif"/>
              </w:rPr>
            </w:pPr>
            <w:r>
              <w:rPr>
                <w:rFonts w:ascii="Liberation Serif" w:hAnsi="Liberation Serif"/>
                <w:sz w:val="22"/>
                <w:szCs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c>
          <w:tcPr>
            <w:tcW w:w="567"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2.</w:t>
            </w:r>
          </w:p>
        </w:tc>
        <w:tc>
          <w:tcPr>
            <w:tcW w:w="9640"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jc w:val="both"/>
              <w:rPr>
                <w:rFonts w:ascii="Liberation Serif" w:hAnsi="Liberation Serif"/>
              </w:rPr>
            </w:pPr>
            <w:r>
              <w:rPr>
                <w:rFonts w:ascii="Liberation Serif" w:hAnsi="Liberation Serif"/>
                <w:b/>
                <w:sz w:val="22"/>
                <w:szCs w:val="22"/>
              </w:rPr>
              <w:t>Предложение участника закупки в отношении объекта закупки в случае осуществления закупки работ или услуг (всключая строительно-монтажные), при которых НЕ производится поставка товаров:</w:t>
            </w:r>
          </w:p>
        </w:tc>
      </w:tr>
      <w:tr>
        <w:trPr>
          <w:trHeight w:val="200" w:hRule="atLeast"/>
        </w:trPr>
        <w:tc>
          <w:tcPr>
            <w:tcW w:w="567"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2.1.</w:t>
            </w:r>
          </w:p>
        </w:tc>
        <w:tc>
          <w:tcPr>
            <w:tcW w:w="964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uppressLineNumbers/>
              <w:jc w:val="both"/>
              <w:rPr>
                <w:rFonts w:ascii="Liberation Serif" w:hAnsi="Liberation Serif"/>
              </w:rPr>
            </w:pPr>
            <w:r>
              <w:rPr>
                <w:rFonts w:ascii="Liberation Serif" w:hAnsi="Liberation Serif"/>
                <w:sz w:val="22"/>
                <w:szCs w:val="22"/>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не установлено;</w:t>
            </w:r>
          </w:p>
        </w:tc>
      </w:tr>
      <w:tr>
        <w:trPr>
          <w:trHeight w:val="510" w:hRule="atLeast"/>
        </w:trPr>
        <w:tc>
          <w:tcPr>
            <w:tcW w:w="567"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2.2.</w:t>
            </w:r>
          </w:p>
        </w:tc>
        <w:tc>
          <w:tcPr>
            <w:tcW w:w="964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suppressLineNumbers/>
              <w:jc w:val="both"/>
              <w:rPr>
                <w:rFonts w:ascii="Liberation Serif" w:hAnsi="Liberation Serif"/>
              </w:rPr>
            </w:pPr>
            <w:r>
              <w:rPr>
                <w:rFonts w:ascii="Liberation Serif" w:hAnsi="Liberation Serif"/>
                <w:sz w:val="22"/>
                <w:szCs w:val="22"/>
              </w:rPr>
              <w:t>Заявка может содержать иные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trPr/>
        <w:tc>
          <w:tcPr>
            <w:tcW w:w="567" w:type="dxa"/>
            <w:vMerge w:val="restart"/>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3.</w:t>
            </w:r>
          </w:p>
        </w:tc>
        <w:tc>
          <w:tcPr>
            <w:tcW w:w="9640"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jc w:val="both"/>
              <w:rPr>
                <w:rFonts w:ascii="Liberation Serif" w:hAnsi="Liberation Serif"/>
              </w:rPr>
            </w:pPr>
            <w:r>
              <w:rPr>
                <w:rFonts w:ascii="Liberation Serif" w:hAnsi="Liberation Serif"/>
                <w:b/>
                <w:sz w:val="22"/>
                <w:szCs w:val="22"/>
              </w:rPr>
              <w:t>Информация и документы, определенные в соответствии со статьей 14 Закона о контрактной системе:</w:t>
            </w:r>
          </w:p>
        </w:tc>
      </w:tr>
      <w:tr>
        <w:trPr/>
        <w:tc>
          <w:tcPr>
            <w:tcW w:w="567" w:type="dxa"/>
            <w:vMerge w:val="continue"/>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b/>
                <w:sz w:val="22"/>
                <w:szCs w:val="22"/>
              </w:rPr>
            </w:pPr>
            <w:r>
              <w:rPr>
                <w:rFonts w:ascii="Liberation Serif" w:hAnsi="Liberation Serif"/>
                <w:b/>
                <w:sz w:val="22"/>
                <w:szCs w:val="22"/>
              </w:rPr>
            </w:r>
          </w:p>
        </w:tc>
        <w:tc>
          <w:tcPr>
            <w:tcW w:w="964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rPr>
            </w:pPr>
            <w:r>
              <w:rPr>
                <w:rFonts w:ascii="Liberation Serif" w:hAnsi="Liberation Serif"/>
                <w:sz w:val="22"/>
                <w:szCs w:val="22"/>
              </w:rPr>
              <w:t>Не установлены</w:t>
            </w:r>
          </w:p>
        </w:tc>
      </w:tr>
      <w:tr>
        <w:trPr/>
        <w:tc>
          <w:tcPr>
            <w:tcW w:w="567" w:type="dxa"/>
            <w:vMerge w:val="restart"/>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rPr>
            </w:pPr>
            <w:r>
              <w:rPr>
                <w:rFonts w:ascii="Liberation Serif" w:hAnsi="Liberation Serif"/>
                <w:b/>
                <w:sz w:val="22"/>
                <w:szCs w:val="22"/>
              </w:rPr>
              <w:t>4.</w:t>
            </w:r>
          </w:p>
        </w:tc>
        <w:tc>
          <w:tcPr>
            <w:tcW w:w="9640"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jc w:val="both"/>
              <w:rPr>
                <w:rFonts w:ascii="Liberation Serif" w:hAnsi="Liberation Serif"/>
              </w:rPr>
            </w:pPr>
            <w:r>
              <w:rPr>
                <w:rFonts w:ascii="Liberation Serif" w:hAnsi="Liberation Serif"/>
                <w:b/>
                <w:sz w:val="22"/>
                <w:szCs w:val="22"/>
              </w:rPr>
              <w:t>Инструкция по заполнению заявки на участие в электронном аукционе</w:t>
            </w:r>
          </w:p>
        </w:tc>
      </w:tr>
      <w:tr>
        <w:trPr/>
        <w:tc>
          <w:tcPr>
            <w:tcW w:w="567" w:type="dxa"/>
            <w:vMerge w:val="continue"/>
            <w:tcBorders>
              <w:top w:val="single" w:sz="4" w:space="0" w:color="000000"/>
              <w:left w:val="single" w:sz="4" w:space="0" w:color="000000"/>
              <w:bottom w:val="single" w:sz="4" w:space="0" w:color="000000"/>
              <w:right w:val="single" w:sz="4" w:space="0" w:color="000000"/>
            </w:tcBorders>
            <w:shd w:color="auto" w:fill="F2F2F2" w:themeFill="background1" w:themeFillShade="f2" w:val="clear"/>
          </w:tcPr>
          <w:p>
            <w:pPr>
              <w:pStyle w:val="Normal"/>
              <w:suppressLineNumbers/>
              <w:rPr>
                <w:rFonts w:ascii="Liberation Serif" w:hAnsi="Liberation Serif"/>
                <w:b/>
                <w:sz w:val="22"/>
                <w:szCs w:val="22"/>
              </w:rPr>
            </w:pPr>
            <w:r>
              <w:rPr>
                <w:rFonts w:ascii="Liberation Serif" w:hAnsi="Liberation Serif"/>
                <w:b/>
                <w:sz w:val="22"/>
                <w:szCs w:val="22"/>
              </w:rPr>
            </w:r>
          </w:p>
        </w:tc>
        <w:tc>
          <w:tcPr>
            <w:tcW w:w="964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LineNumbers/>
              <w:jc w:val="both"/>
              <w:rPr>
                <w:rFonts w:ascii="Liberation Serif" w:hAnsi="Liberation Serif"/>
              </w:rPr>
            </w:pPr>
            <w:r>
              <w:rPr>
                <w:rFonts w:ascii="Liberation Serif" w:hAnsi="Liberation Serif"/>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pPr>
              <w:pStyle w:val="Normal"/>
              <w:suppressLineNumbers/>
              <w:jc w:val="both"/>
              <w:rPr>
                <w:rFonts w:ascii="Liberation Serif" w:hAnsi="Liberation Serif"/>
              </w:rPr>
            </w:pPr>
            <w:r>
              <w:rPr>
                <w:rFonts w:ascii="Liberation Serif" w:hAnsi="Liberation Serif"/>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системе оператору электронной площадки.</w:t>
            </w:r>
          </w:p>
          <w:p>
            <w:pPr>
              <w:pStyle w:val="Normal"/>
              <w:suppressLineNumbers/>
              <w:jc w:val="both"/>
              <w:rPr>
                <w:rFonts w:ascii="Liberation Serif" w:hAnsi="Liberation Serif"/>
              </w:rPr>
            </w:pPr>
            <w:r>
              <w:rPr>
                <w:rFonts w:ascii="Liberation Serif" w:hAnsi="Liberation Serif"/>
                <w:sz w:val="22"/>
                <w:szCs w:val="22"/>
              </w:rPr>
              <w:t>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2.1статьи 31 Закона о контрактной системе, участнику закупки, аккредитованному на электронной площадке, необходимо направить оператору этой электронной площадки информацию и документы, предусмотренные перечнем, установленным Правительством Российской Федерации в соответствии с частью 3 статьи 31 настоящего Федерального закона.</w:t>
            </w:r>
          </w:p>
          <w:p>
            <w:pPr>
              <w:pStyle w:val="Normal"/>
              <w:suppressLineNumbers/>
              <w:jc w:val="both"/>
              <w:rPr>
                <w:rFonts w:ascii="Liberation Serif" w:hAnsi="Liberation Serif"/>
              </w:rPr>
            </w:pPr>
            <w:r>
              <w:rPr>
                <w:rFonts w:ascii="Liberation Serif" w:hAnsi="Liberation Serif"/>
                <w:sz w:val="22"/>
                <w:szCs w:val="22"/>
              </w:rPr>
              <w:t>Ответственность за недостоверность информации и (или) документов, направленных оператору электронной площадки, в соответствии со статьей 24.2 Закона о контрактной системе,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pPr>
              <w:pStyle w:val="Normal"/>
              <w:suppressLineNumbers/>
              <w:jc w:val="both"/>
              <w:rPr>
                <w:rFonts w:ascii="Liberation Serif" w:hAnsi="Liberation Serif"/>
              </w:rPr>
            </w:pPr>
            <w:r>
              <w:rPr>
                <w:rFonts w:ascii="Liberation Serif" w:hAnsi="Liberation Serif"/>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suppressLineNumbers/>
              <w:jc w:val="both"/>
              <w:rPr>
                <w:rFonts w:ascii="Liberation Serif" w:hAnsi="Liberation Serif"/>
              </w:rPr>
            </w:pPr>
            <w:r>
              <w:rPr>
                <w:rFonts w:ascii="Liberation Serif" w:hAnsi="Liberation Serif"/>
                <w:sz w:val="22"/>
                <w:szCs w:val="22"/>
              </w:rPr>
              <w:t>Участник закупки, подавший заявку на участие в закупке, вправе в соответствии с частью 10 статьи 43 Закона о контрактной системе отозвать такую заявку:</w:t>
            </w:r>
          </w:p>
          <w:p>
            <w:pPr>
              <w:pStyle w:val="Normal"/>
              <w:suppressLineNumbers/>
              <w:jc w:val="both"/>
              <w:rPr>
                <w:rFonts w:ascii="Liberation Serif" w:hAnsi="Liberation Serif"/>
              </w:rPr>
            </w:pPr>
            <w:r>
              <w:rPr>
                <w:rFonts w:ascii="Liberation Serif" w:hAnsi="Liberation Serif"/>
                <w:sz w:val="22"/>
                <w:szCs w:val="22"/>
              </w:rPr>
              <w:t>1) до окончания срока подачи заявок на участие в закупке;</w:t>
            </w:r>
          </w:p>
          <w:p>
            <w:pPr>
              <w:pStyle w:val="Normal"/>
              <w:suppressLineNumbers/>
              <w:jc w:val="both"/>
              <w:rPr>
                <w:rFonts w:ascii="Liberation Serif" w:hAnsi="Liberation Serif"/>
              </w:rPr>
            </w:pPr>
            <w:r>
              <w:rPr>
                <w:rFonts w:ascii="Liberation Serif" w:hAnsi="Liberation Serif"/>
                <w:sz w:val="22"/>
                <w:szCs w:val="22"/>
              </w:rPr>
              <w:t>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w:t>
            </w:r>
          </w:p>
          <w:p>
            <w:pPr>
              <w:pStyle w:val="Normal"/>
              <w:suppressLineNumbers/>
              <w:jc w:val="both"/>
              <w:rPr>
                <w:rFonts w:ascii="Liberation Serif" w:hAnsi="Liberation Serif"/>
              </w:rPr>
            </w:pPr>
            <w:r>
              <w:rPr>
                <w:rFonts w:ascii="Liberation Serif" w:hAnsi="Liberation Serif"/>
                <w:sz w:val="22"/>
                <w:szCs w:val="22"/>
              </w:rPr>
              <w:t>Не допускается отзыв заявок, которым в соответствии с Законом о контрактной системе присвоены первые три порядковых номера.</w:t>
            </w:r>
          </w:p>
          <w:p>
            <w:pPr>
              <w:pStyle w:val="Normal"/>
              <w:suppressLineNumbers/>
              <w:jc w:val="both"/>
              <w:rPr>
                <w:rFonts w:ascii="Liberation Serif" w:hAnsi="Liberation Serif"/>
              </w:rPr>
            </w:pPr>
            <w:r>
              <w:rPr>
                <w:rFonts w:ascii="Liberation Serif" w:hAnsi="Liberation Serif"/>
                <w:sz w:val="22"/>
                <w:szCs w:val="22"/>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pPr>
              <w:pStyle w:val="Normal"/>
              <w:suppressLineNumbers/>
              <w:jc w:val="both"/>
              <w:rPr>
                <w:rFonts w:ascii="Liberation Serif" w:hAnsi="Liberation Serif"/>
              </w:rPr>
            </w:pPr>
            <w:r>
              <w:rPr>
                <w:rFonts w:ascii="Liberation Serif" w:hAnsi="Liberation Serif"/>
                <w:sz w:val="22"/>
                <w:szCs w:val="22"/>
              </w:rPr>
              <w:t>Требования к содержанию, составу заявки на участие в закупке содержаться в электронном документе, входящем в состав извещения об осуществлении закупки.</w:t>
            </w:r>
          </w:p>
          <w:p>
            <w:pPr>
              <w:pStyle w:val="Normal"/>
              <w:suppressLineNumbers/>
              <w:jc w:val="both"/>
              <w:rPr>
                <w:rFonts w:ascii="Liberation Serif" w:hAnsi="Liberation Serif"/>
              </w:rPr>
            </w:pPr>
            <w:r>
              <w:rPr>
                <w:rFonts w:ascii="Liberation Serif" w:hAnsi="Liberation Serif"/>
                <w:sz w:val="22"/>
                <w:szCs w:val="22"/>
              </w:rPr>
              <w:t>Сведения, которые включаются в заявку на участие в закупке, не должны допускать двусмысленных толкований.</w:t>
            </w:r>
          </w:p>
          <w:p>
            <w:pPr>
              <w:pStyle w:val="Normal"/>
              <w:suppressLineNumbers/>
              <w:jc w:val="both"/>
              <w:rPr>
                <w:rFonts w:ascii="Liberation Serif" w:hAnsi="Liberation Serif"/>
              </w:rPr>
            </w:pPr>
            <w:r>
              <w:rPr>
                <w:rFonts w:ascii="Liberation Serif" w:hAnsi="Liberation Serif"/>
                <w:sz w:val="22"/>
                <w:szCs w:val="22"/>
              </w:rPr>
              <w:t>Все документы, входящие в состав заявки на участие в закупке, должны иметь четко читаемый текст.</w:t>
            </w:r>
          </w:p>
        </w:tc>
      </w:tr>
    </w:tbl>
    <w:tbl>
      <w:tblPr>
        <w:tblStyle w:val="aff1"/>
        <w:tblW w:w="10207" w:type="dxa"/>
        <w:jc w:val="left"/>
        <w:tblInd w:w="-34" w:type="dxa"/>
        <w:tblLayout w:type="fixed"/>
        <w:tblCellMar>
          <w:top w:w="0" w:type="dxa"/>
          <w:left w:w="108" w:type="dxa"/>
          <w:bottom w:w="0" w:type="dxa"/>
          <w:right w:w="108" w:type="dxa"/>
        </w:tblCellMar>
        <w:tblLook w:val="04a0" w:noHBand="0" w:noVBand="1" w:firstColumn="1" w:lastRow="0" w:lastColumn="0" w:firstRow="1"/>
      </w:tblPr>
      <w:tblGrid>
        <w:gridCol w:w="573"/>
        <w:gridCol w:w="7628"/>
        <w:gridCol w:w="2006"/>
      </w:tblGrid>
      <w:tr>
        <w:trPr/>
        <w:tc>
          <w:tcPr>
            <w:tcW w:w="573" w:type="dxa"/>
            <w:tcBorders/>
            <w:shd w:color="auto" w:fill="F2F2F2" w:themeFill="background1" w:themeFillShade="f2" w:val="clear"/>
          </w:tcPr>
          <w:p>
            <w:pPr>
              <w:pStyle w:val="Normal"/>
              <w:widowControl/>
              <w:spacing w:before="0" w:after="0"/>
              <w:jc w:val="left"/>
              <w:rPr>
                <w:rFonts w:ascii="Liberation Serif" w:hAnsi="Liberation Serif" w:eastAsia="Times New Roman" w:cs="Times New Roman"/>
                <w:kern w:val="0"/>
                <w:lang w:val="ru-RU" w:bidi="ar-SA"/>
              </w:rPr>
            </w:pPr>
            <w:r>
              <w:rPr>
                <w:rFonts w:eastAsia="Times New Roman" w:cs="Times New Roman" w:ascii="Liberation Serif" w:hAnsi="Liberation Serif"/>
                <w:b/>
                <w:kern w:val="0"/>
                <w:sz w:val="22"/>
                <w:szCs w:val="22"/>
                <w:lang w:val="ru-RU" w:bidi="ar-SA"/>
              </w:rPr>
              <w:t>5.</w:t>
            </w:r>
          </w:p>
        </w:tc>
        <w:tc>
          <w:tcPr>
            <w:tcW w:w="9634" w:type="dxa"/>
            <w:gridSpan w:val="2"/>
            <w:tcBorders/>
            <w:shd w:color="auto" w:fill="F2F2F2" w:themeFill="background1" w:themeFillShade="f2" w:val="clear"/>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b/>
                <w:kern w:val="0"/>
                <w:sz w:val="22"/>
                <w:szCs w:val="22"/>
                <w:lang w:val="ru-RU" w:bidi="ar-SA"/>
              </w:rPr>
              <w:t>Информация и документы участника закупки, предоставляемые заказчику оператором электронной площадки</w:t>
            </w:r>
          </w:p>
        </w:tc>
      </w:tr>
      <w:tr>
        <w:trPr/>
        <w:tc>
          <w:tcPr>
            <w:tcW w:w="573" w:type="dxa"/>
            <w:tcBorders/>
          </w:tcPr>
          <w:p>
            <w:pPr>
              <w:pStyle w:val="Normal"/>
              <w:widowControl/>
              <w:spacing w:before="0" w:after="0"/>
              <w:jc w:val="left"/>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5.1.</w:t>
            </w:r>
          </w:p>
        </w:tc>
        <w:tc>
          <w:tcPr>
            <w:tcW w:w="9634" w:type="dxa"/>
            <w:gridSpan w:val="2"/>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rPr/>
        <w:tc>
          <w:tcPr>
            <w:tcW w:w="573" w:type="dxa"/>
            <w:tcBorders/>
          </w:tcPr>
          <w:p>
            <w:pPr>
              <w:pStyle w:val="ListParagraph"/>
              <w:widowControl/>
              <w:spacing w:before="0" w:after="0"/>
              <w:ind w:left="0"/>
              <w:rPr>
                <w:rFonts w:ascii="Liberation Serif" w:hAnsi="Liberation Serif" w:eastAsia="Times New Roman" w:cs="Times New Roman"/>
                <w:kern w:val="0"/>
                <w:lang w:bidi="ar-SA"/>
              </w:rPr>
            </w:pPr>
            <w:r>
              <w:rPr>
                <w:rFonts w:eastAsia="Times New Roman" w:cs="Times New Roman" w:ascii="Liberation Serif" w:hAnsi="Liberation Serif"/>
                <w:kern w:val="0"/>
                <w:sz w:val="22"/>
                <w:szCs w:val="22"/>
                <w:lang w:val="ru-RU" w:bidi="ar-SA"/>
              </w:rPr>
              <w:t>5</w:t>
            </w:r>
            <w:r>
              <w:rPr>
                <w:rFonts w:eastAsia="Times New Roman" w:cs="Times New Roman" w:ascii="Liberation Serif" w:hAnsi="Liberation Serif"/>
                <w:kern w:val="0"/>
                <w:sz w:val="22"/>
                <w:szCs w:val="22"/>
                <w:lang w:bidi="ar-SA"/>
              </w:rPr>
              <w:t>.2.</w:t>
            </w:r>
          </w:p>
        </w:tc>
        <w:tc>
          <w:tcPr>
            <w:tcW w:w="9634" w:type="dxa"/>
            <w:gridSpan w:val="2"/>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rPr/>
        <w:tc>
          <w:tcPr>
            <w:tcW w:w="573" w:type="dxa"/>
            <w:tcBorders/>
          </w:tcPr>
          <w:p>
            <w:pPr>
              <w:pStyle w:val="ListParagraph"/>
              <w:widowControl/>
              <w:spacing w:before="0" w:after="0"/>
              <w:ind w:left="0"/>
              <w:rPr>
                <w:rFonts w:ascii="Liberation Serif" w:hAnsi="Liberation Serif" w:eastAsia="Times New Roman" w:cs="Times New Roman"/>
                <w:kern w:val="0"/>
                <w:lang w:bidi="ar-SA"/>
              </w:rPr>
            </w:pPr>
            <w:r>
              <w:rPr>
                <w:rFonts w:eastAsia="Times New Roman" w:cs="Times New Roman" w:ascii="Liberation Serif" w:hAnsi="Liberation Serif"/>
                <w:kern w:val="0"/>
                <w:sz w:val="22"/>
                <w:szCs w:val="22"/>
                <w:lang w:val="ru-RU" w:bidi="ar-SA"/>
              </w:rPr>
              <w:t>5.</w:t>
            </w:r>
            <w:r>
              <w:rPr>
                <w:rFonts w:eastAsia="Times New Roman" w:cs="Times New Roman" w:ascii="Liberation Serif" w:hAnsi="Liberation Serif"/>
                <w:kern w:val="0"/>
                <w:sz w:val="22"/>
                <w:szCs w:val="22"/>
                <w:lang w:bidi="ar-SA"/>
              </w:rPr>
              <w:t>3.</w:t>
            </w:r>
          </w:p>
        </w:tc>
        <w:tc>
          <w:tcPr>
            <w:tcW w:w="9634" w:type="dxa"/>
            <w:gridSpan w:val="2"/>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rPr/>
        <w:tc>
          <w:tcPr>
            <w:tcW w:w="573" w:type="dxa"/>
            <w:tcBorders/>
          </w:tcPr>
          <w:p>
            <w:pPr>
              <w:pStyle w:val="ListParagraph"/>
              <w:widowControl/>
              <w:spacing w:before="0" w:after="0"/>
              <w:ind w:left="0"/>
              <w:rPr>
                <w:rFonts w:ascii="Liberation Serif" w:hAnsi="Liberation Serif" w:eastAsia="Times New Roman" w:cs="Times New Roman"/>
                <w:kern w:val="0"/>
                <w:lang w:bidi="ar-SA"/>
              </w:rPr>
            </w:pPr>
            <w:r>
              <w:rPr>
                <w:rFonts w:eastAsia="Times New Roman" w:cs="Times New Roman" w:ascii="Liberation Serif" w:hAnsi="Liberation Serif"/>
                <w:kern w:val="0"/>
                <w:sz w:val="22"/>
                <w:szCs w:val="22"/>
                <w:lang w:val="ru-RU" w:bidi="ar-SA"/>
              </w:rPr>
              <w:t>5</w:t>
            </w:r>
            <w:r>
              <w:rPr>
                <w:rFonts w:eastAsia="Times New Roman" w:cs="Times New Roman" w:ascii="Liberation Serif" w:hAnsi="Liberation Serif"/>
                <w:kern w:val="0"/>
                <w:sz w:val="22"/>
                <w:szCs w:val="22"/>
                <w:lang w:bidi="ar-SA"/>
              </w:rPr>
              <w:t>.4.</w:t>
            </w:r>
          </w:p>
        </w:tc>
        <w:tc>
          <w:tcPr>
            <w:tcW w:w="9634" w:type="dxa"/>
            <w:gridSpan w:val="2"/>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rPr/>
        <w:tc>
          <w:tcPr>
            <w:tcW w:w="573" w:type="dxa"/>
            <w:tcBorders/>
          </w:tcPr>
          <w:p>
            <w:pPr>
              <w:pStyle w:val="ListParagraph"/>
              <w:widowControl/>
              <w:spacing w:before="0" w:after="0"/>
              <w:ind w:left="0"/>
              <w:rPr>
                <w:rFonts w:ascii="Liberation Serif" w:hAnsi="Liberation Serif" w:eastAsia="Times New Roman" w:cs="Times New Roman"/>
                <w:kern w:val="0"/>
                <w:lang w:bidi="ar-SA"/>
              </w:rPr>
            </w:pPr>
            <w:r>
              <w:rPr>
                <w:rFonts w:eastAsia="Times New Roman" w:cs="Times New Roman" w:ascii="Liberation Serif" w:hAnsi="Liberation Serif"/>
                <w:kern w:val="0"/>
                <w:sz w:val="22"/>
                <w:szCs w:val="22"/>
                <w:lang w:val="ru-RU" w:bidi="ar-SA"/>
              </w:rPr>
              <w:t>5</w:t>
            </w:r>
            <w:r>
              <w:rPr>
                <w:rFonts w:eastAsia="Times New Roman" w:cs="Times New Roman" w:ascii="Liberation Serif" w:hAnsi="Liberation Serif"/>
                <w:kern w:val="0"/>
                <w:sz w:val="22"/>
                <w:szCs w:val="22"/>
                <w:lang w:bidi="ar-SA"/>
              </w:rPr>
              <w:t>.5.</w:t>
            </w:r>
          </w:p>
        </w:tc>
        <w:tc>
          <w:tcPr>
            <w:tcW w:w="9634" w:type="dxa"/>
            <w:gridSpan w:val="2"/>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rPr/>
        <w:tc>
          <w:tcPr>
            <w:tcW w:w="573" w:type="dxa"/>
            <w:tcBorders/>
          </w:tcPr>
          <w:p>
            <w:pPr>
              <w:pStyle w:val="ListParagraph"/>
              <w:widowControl/>
              <w:spacing w:before="0" w:after="0"/>
              <w:ind w:left="0"/>
              <w:rPr>
                <w:rFonts w:ascii="Liberation Serif" w:hAnsi="Liberation Serif" w:eastAsia="Times New Roman" w:cs="Times New Roman"/>
                <w:kern w:val="0"/>
                <w:lang w:bidi="ar-SA"/>
              </w:rPr>
            </w:pPr>
            <w:r>
              <w:rPr>
                <w:rFonts w:eastAsia="Times New Roman" w:cs="Times New Roman" w:ascii="Liberation Serif" w:hAnsi="Liberation Serif"/>
                <w:kern w:val="0"/>
                <w:sz w:val="22"/>
                <w:szCs w:val="22"/>
                <w:lang w:val="ru-RU" w:bidi="ar-SA"/>
              </w:rPr>
              <w:t>5</w:t>
            </w:r>
            <w:r>
              <w:rPr>
                <w:rFonts w:eastAsia="Times New Roman" w:cs="Times New Roman" w:ascii="Liberation Serif" w:hAnsi="Liberation Serif"/>
                <w:kern w:val="0"/>
                <w:sz w:val="22"/>
                <w:szCs w:val="22"/>
                <w:lang w:bidi="ar-SA"/>
              </w:rPr>
              <w:t>.6.</w:t>
            </w:r>
          </w:p>
        </w:tc>
        <w:tc>
          <w:tcPr>
            <w:tcW w:w="9634" w:type="dxa"/>
            <w:gridSpan w:val="2"/>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rPr/>
        <w:tc>
          <w:tcPr>
            <w:tcW w:w="573" w:type="dxa"/>
            <w:tcBorders/>
          </w:tcPr>
          <w:p>
            <w:pPr>
              <w:pStyle w:val="ListParagraph"/>
              <w:widowControl/>
              <w:spacing w:before="0" w:after="0"/>
              <w:ind w:left="0"/>
              <w:rPr>
                <w:rFonts w:ascii="Liberation Serif" w:hAnsi="Liberation Serif" w:eastAsia="Times New Roman" w:cs="Times New Roman"/>
                <w:kern w:val="0"/>
                <w:lang w:bidi="ar-SA"/>
              </w:rPr>
            </w:pPr>
            <w:r>
              <w:rPr>
                <w:rFonts w:eastAsia="Times New Roman" w:cs="Times New Roman" w:ascii="Liberation Serif" w:hAnsi="Liberation Serif"/>
                <w:kern w:val="0"/>
                <w:sz w:val="22"/>
                <w:szCs w:val="22"/>
                <w:lang w:val="ru-RU" w:bidi="ar-SA"/>
              </w:rPr>
              <w:t>5</w:t>
            </w:r>
            <w:r>
              <w:rPr>
                <w:rFonts w:eastAsia="Times New Roman" w:cs="Times New Roman" w:ascii="Liberation Serif" w:hAnsi="Liberation Serif"/>
                <w:kern w:val="0"/>
                <w:sz w:val="22"/>
                <w:szCs w:val="22"/>
                <w:lang w:bidi="ar-SA"/>
              </w:rPr>
              <w:t>.7.</w:t>
            </w:r>
          </w:p>
        </w:tc>
        <w:tc>
          <w:tcPr>
            <w:tcW w:w="9634" w:type="dxa"/>
            <w:gridSpan w:val="2"/>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trPr/>
        <w:tc>
          <w:tcPr>
            <w:tcW w:w="573" w:type="dxa"/>
            <w:tcBorders/>
          </w:tcPr>
          <w:p>
            <w:pPr>
              <w:pStyle w:val="ListParagraph"/>
              <w:widowControl/>
              <w:spacing w:before="0" w:after="0"/>
              <w:ind w:left="0"/>
              <w:rPr>
                <w:rFonts w:ascii="Liberation Serif" w:hAnsi="Liberation Serif" w:eastAsia="Times New Roman" w:cs="Times New Roman"/>
                <w:kern w:val="0"/>
                <w:lang w:bidi="ar-SA"/>
              </w:rPr>
            </w:pPr>
            <w:r>
              <w:rPr>
                <w:rFonts w:eastAsia="Times New Roman" w:cs="Times New Roman" w:ascii="Liberation Serif" w:hAnsi="Liberation Serif"/>
                <w:kern w:val="0"/>
                <w:sz w:val="22"/>
                <w:szCs w:val="22"/>
                <w:lang w:val="ru-RU" w:bidi="ar-SA"/>
              </w:rPr>
              <w:t>5</w:t>
            </w:r>
            <w:r>
              <w:rPr>
                <w:rFonts w:eastAsia="Times New Roman" w:cs="Times New Roman" w:ascii="Liberation Serif" w:hAnsi="Liberation Serif"/>
                <w:kern w:val="0"/>
                <w:sz w:val="22"/>
                <w:szCs w:val="22"/>
                <w:lang w:bidi="ar-SA"/>
              </w:rPr>
              <w:t>.8.</w:t>
            </w:r>
          </w:p>
        </w:tc>
        <w:tc>
          <w:tcPr>
            <w:tcW w:w="9634" w:type="dxa"/>
            <w:gridSpan w:val="2"/>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rPr/>
        <w:tc>
          <w:tcPr>
            <w:tcW w:w="573" w:type="dxa"/>
            <w:vMerge w:val="restart"/>
            <w:tcBorders/>
          </w:tcPr>
          <w:p>
            <w:pPr>
              <w:pStyle w:val="ListParagraph"/>
              <w:widowControl/>
              <w:spacing w:before="0" w:after="0"/>
              <w:ind w:left="0"/>
              <w:rPr>
                <w:rFonts w:ascii="Liberation Serif" w:hAnsi="Liberation Serif" w:eastAsia="Times New Roman" w:cs="Times New Roman"/>
                <w:kern w:val="0"/>
                <w:lang w:bidi="ar-SA"/>
              </w:rPr>
            </w:pPr>
            <w:r>
              <w:rPr>
                <w:rFonts w:eastAsia="Times New Roman" w:cs="Times New Roman" w:ascii="Liberation Serif" w:hAnsi="Liberation Serif"/>
                <w:kern w:val="0"/>
                <w:sz w:val="22"/>
                <w:szCs w:val="22"/>
                <w:lang w:val="ru-RU" w:bidi="ar-SA"/>
              </w:rPr>
              <w:t>5</w:t>
            </w:r>
            <w:r>
              <w:rPr>
                <w:rFonts w:eastAsia="Times New Roman" w:cs="Times New Roman" w:ascii="Liberation Serif" w:hAnsi="Liberation Serif"/>
                <w:kern w:val="0"/>
                <w:sz w:val="22"/>
                <w:szCs w:val="22"/>
                <w:lang w:bidi="ar-SA"/>
              </w:rPr>
              <w:t>.9.</w:t>
            </w:r>
          </w:p>
        </w:tc>
        <w:tc>
          <w:tcPr>
            <w:tcW w:w="7628" w:type="dxa"/>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Декларация о принадлежности участника закупки к социально ориентированным некоммерческим организациям (Основание часть 3 статьи 30 Закона о контрактной системе);</w:t>
            </w:r>
          </w:p>
        </w:tc>
        <w:tc>
          <w:tcPr>
            <w:tcW w:w="2006" w:type="dxa"/>
            <w:tcBorders/>
          </w:tcPr>
          <w:p>
            <w:pPr>
              <w:pStyle w:val="Normal"/>
              <w:widowControl/>
              <w:suppressLineNumbers/>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Требуется</w:t>
            </w:r>
          </w:p>
          <w:p>
            <w:pPr>
              <w:pStyle w:val="Normal"/>
              <w:widowControl/>
              <w:spacing w:before="0" w:after="0"/>
              <w:jc w:val="both"/>
              <w:rPr>
                <w:rFonts w:ascii="Liberation Serif" w:hAnsi="Liberation Serif" w:eastAsia="Times New Roman" w:cs="Times New Roman"/>
                <w:b/>
                <w:kern w:val="0"/>
                <w:sz w:val="22"/>
                <w:szCs w:val="22"/>
                <w:lang w:val="ru-RU" w:bidi="ar-SA"/>
              </w:rPr>
            </w:pPr>
            <w:r>
              <w:rPr>
                <w:rFonts w:eastAsia="Times New Roman" w:cs="Times New Roman" w:ascii="Liberation Serif" w:hAnsi="Liberation Serif"/>
                <w:b/>
                <w:kern w:val="0"/>
                <w:sz w:val="22"/>
                <w:szCs w:val="22"/>
                <w:lang w:val="ru-RU" w:bidi="ar-SA"/>
              </w:rPr>
            </w:r>
          </w:p>
        </w:tc>
      </w:tr>
      <w:tr>
        <w:trPr/>
        <w:tc>
          <w:tcPr>
            <w:tcW w:w="573" w:type="dxa"/>
            <w:vMerge w:val="continue"/>
            <w:tcBorders/>
          </w:tcPr>
          <w:p>
            <w:pPr>
              <w:pStyle w:val="Normal"/>
              <w:widowControl/>
              <w:spacing w:before="0" w:after="0"/>
              <w:jc w:val="both"/>
              <w:rPr>
                <w:rFonts w:ascii="Liberation Serif" w:hAnsi="Liberation Serif" w:eastAsia="Times New Roman" w:cs="Times New Roman"/>
                <w:kern w:val="0"/>
                <w:sz w:val="22"/>
                <w:szCs w:val="22"/>
                <w:lang w:val="ru-RU" w:bidi="ar-SA"/>
              </w:rPr>
            </w:pPr>
            <w:r>
              <w:rPr>
                <w:rFonts w:eastAsia="Times New Roman" w:cs="Times New Roman" w:ascii="Liberation Serif" w:hAnsi="Liberation Serif"/>
                <w:kern w:val="0"/>
                <w:sz w:val="22"/>
                <w:szCs w:val="22"/>
                <w:lang w:val="ru-RU" w:bidi="ar-SA"/>
              </w:rPr>
            </w:r>
          </w:p>
        </w:tc>
        <w:tc>
          <w:tcPr>
            <w:tcW w:w="7628" w:type="dxa"/>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2006" w:type="dxa"/>
            <w:tcBorders/>
          </w:tcPr>
          <w:p>
            <w:pPr>
              <w:pStyle w:val="Normal"/>
              <w:widowControl/>
              <w:suppressLineNumbers/>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Не требуется</w:t>
            </w:r>
          </w:p>
          <w:p>
            <w:pPr>
              <w:pStyle w:val="Normal"/>
              <w:widowControl/>
              <w:spacing w:before="0" w:after="0"/>
              <w:jc w:val="both"/>
              <w:rPr>
                <w:rFonts w:ascii="Liberation Serif" w:hAnsi="Liberation Serif" w:eastAsia="Times New Roman" w:cs="Times New Roman"/>
                <w:b/>
                <w:kern w:val="0"/>
                <w:sz w:val="22"/>
                <w:szCs w:val="22"/>
                <w:lang w:val="ru-RU" w:bidi="ar-SA"/>
              </w:rPr>
            </w:pPr>
            <w:r>
              <w:rPr>
                <w:rFonts w:eastAsia="Times New Roman" w:cs="Times New Roman" w:ascii="Liberation Serif" w:hAnsi="Liberation Serif"/>
                <w:b/>
                <w:kern w:val="0"/>
                <w:sz w:val="22"/>
                <w:szCs w:val="22"/>
                <w:lang w:val="ru-RU" w:bidi="ar-SA"/>
              </w:rPr>
            </w:r>
          </w:p>
        </w:tc>
      </w:tr>
      <w:tr>
        <w:trPr/>
        <w:tc>
          <w:tcPr>
            <w:tcW w:w="573" w:type="dxa"/>
            <w:vMerge w:val="continue"/>
            <w:tcBorders/>
          </w:tcPr>
          <w:p>
            <w:pPr>
              <w:pStyle w:val="Normal"/>
              <w:widowControl/>
              <w:spacing w:before="0" w:after="0"/>
              <w:jc w:val="both"/>
              <w:rPr>
                <w:rFonts w:ascii="Liberation Serif" w:hAnsi="Liberation Serif" w:eastAsia="Times New Roman" w:cs="Times New Roman"/>
                <w:kern w:val="0"/>
                <w:sz w:val="22"/>
                <w:szCs w:val="22"/>
                <w:lang w:val="ru-RU" w:bidi="ar-SA"/>
              </w:rPr>
            </w:pPr>
            <w:r>
              <w:rPr>
                <w:rFonts w:eastAsia="Times New Roman" w:cs="Times New Roman" w:ascii="Liberation Serif" w:hAnsi="Liberation Serif"/>
                <w:kern w:val="0"/>
                <w:sz w:val="22"/>
                <w:szCs w:val="22"/>
                <w:lang w:val="ru-RU" w:bidi="ar-SA"/>
              </w:rPr>
            </w:r>
          </w:p>
        </w:tc>
        <w:tc>
          <w:tcPr>
            <w:tcW w:w="7628" w:type="dxa"/>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p>
        </w:tc>
        <w:tc>
          <w:tcPr>
            <w:tcW w:w="2006" w:type="dxa"/>
            <w:tcBorders/>
          </w:tcPr>
          <w:p>
            <w:pPr>
              <w:pStyle w:val="Normal"/>
              <w:widowControl/>
              <w:suppressLineNumbers/>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kern w:val="0"/>
                <w:sz w:val="22"/>
                <w:szCs w:val="22"/>
                <w:lang w:val="ru-RU" w:bidi="ar-SA"/>
              </w:rPr>
              <w:t>Не требуется</w:t>
            </w:r>
          </w:p>
          <w:p>
            <w:pPr>
              <w:pStyle w:val="Normal"/>
              <w:widowControl/>
              <w:spacing w:before="0" w:after="0"/>
              <w:jc w:val="both"/>
              <w:rPr>
                <w:rFonts w:ascii="Liberation Serif" w:hAnsi="Liberation Serif" w:eastAsia="Times New Roman" w:cs="Times New Roman"/>
                <w:b/>
                <w:kern w:val="0"/>
                <w:sz w:val="22"/>
                <w:szCs w:val="22"/>
                <w:lang w:val="ru-RU" w:bidi="ar-SA"/>
              </w:rPr>
            </w:pPr>
            <w:r>
              <w:rPr>
                <w:rFonts w:eastAsia="Times New Roman" w:cs="Times New Roman" w:ascii="Liberation Serif" w:hAnsi="Liberation Serif"/>
                <w:b/>
                <w:kern w:val="0"/>
                <w:sz w:val="22"/>
                <w:szCs w:val="22"/>
                <w:lang w:val="ru-RU" w:bidi="ar-SA"/>
              </w:rPr>
            </w:r>
          </w:p>
        </w:tc>
      </w:tr>
      <w:tr>
        <w:trPr/>
        <w:tc>
          <w:tcPr>
            <w:tcW w:w="573" w:type="dxa"/>
            <w:tcBorders/>
          </w:tcPr>
          <w:p>
            <w:pPr>
              <w:pStyle w:val="Normal"/>
              <w:widowControl/>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b/>
                <w:kern w:val="0"/>
                <w:sz w:val="22"/>
                <w:szCs w:val="22"/>
                <w:lang w:val="ru-RU" w:bidi="ar-SA"/>
              </w:rPr>
              <w:t>6.</w:t>
            </w:r>
          </w:p>
        </w:tc>
        <w:tc>
          <w:tcPr>
            <w:tcW w:w="9634" w:type="dxa"/>
            <w:gridSpan w:val="2"/>
            <w:tcBorders/>
          </w:tcPr>
          <w:p>
            <w:pPr>
              <w:pStyle w:val="Normal"/>
              <w:widowControl/>
              <w:suppressLineNumbers/>
              <w:spacing w:before="0" w:after="0"/>
              <w:jc w:val="both"/>
              <w:rPr>
                <w:rFonts w:ascii="Liberation Serif" w:hAnsi="Liberation Serif" w:eastAsia="Times New Roman" w:cs="Times New Roman"/>
                <w:kern w:val="0"/>
                <w:lang w:val="ru-RU" w:bidi="ar-SA"/>
              </w:rPr>
            </w:pPr>
            <w:r>
              <w:rPr>
                <w:rFonts w:eastAsia="Times New Roman" w:cs="Times New Roman" w:ascii="Liberation Serif" w:hAnsi="Liberation Serif"/>
                <w:b/>
                <w:kern w:val="0"/>
                <w:sz w:val="22"/>
                <w:szCs w:val="22"/>
                <w:lang w:val="ru-RU" w:bidi="ar-SA"/>
              </w:rPr>
              <w:t>Информация и документы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в случае предоставления обеспечения заявки на участие в закупке с учетом особенностей, установленных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r>
      <w:tr>
        <w:trPr/>
        <w:tc>
          <w:tcPr>
            <w:tcW w:w="573" w:type="dxa"/>
            <w:tcBorders>
              <w:top w:val="nil"/>
            </w:tcBorders>
          </w:tcPr>
          <w:p>
            <w:pPr>
              <w:pStyle w:val="Normal"/>
              <w:widowControl/>
              <w:spacing w:before="0" w:after="0"/>
              <w:jc w:val="both"/>
              <w:rPr>
                <w:rFonts w:ascii="Liberation Serif" w:hAnsi="Liberation Serif" w:eastAsia="Times New Roman" w:cs="Times New Roman"/>
                <w:b/>
                <w:kern w:val="0"/>
                <w:sz w:val="22"/>
                <w:szCs w:val="22"/>
                <w:lang w:val="ru-RU" w:bidi="ar-SA"/>
              </w:rPr>
            </w:pPr>
            <w:r>
              <w:rPr>
                <w:rFonts w:eastAsia="Times New Roman" w:cs="Times New Roman" w:ascii="Liberation Serif" w:hAnsi="Liberation Serif"/>
                <w:b/>
                <w:kern w:val="0"/>
                <w:sz w:val="22"/>
                <w:szCs w:val="22"/>
                <w:lang w:val="ru-RU" w:bidi="ar-SA"/>
              </w:rPr>
              <w:t>6.1.</w:t>
            </w:r>
          </w:p>
        </w:tc>
        <w:tc>
          <w:tcPr>
            <w:tcW w:w="9634" w:type="dxa"/>
            <w:gridSpan w:val="2"/>
            <w:tcBorders>
              <w:top w:val="nil"/>
            </w:tcBorders>
          </w:tcPr>
          <w:p>
            <w:pPr>
              <w:pStyle w:val="Normal"/>
              <w:widowControl/>
              <w:suppressLineNumbers/>
              <w:spacing w:before="0" w:after="0"/>
              <w:jc w:val="both"/>
              <w:rPr>
                <w:rFonts w:ascii="Liberation Serif" w:hAnsi="Liberation Serif" w:eastAsia="Times New Roman" w:cs="Times New Roman"/>
                <w:kern w:val="0"/>
                <w:sz w:val="22"/>
                <w:szCs w:val="22"/>
                <w:lang w:val="ru-RU" w:bidi="ar-SA"/>
              </w:rPr>
            </w:pPr>
            <w:r>
              <w:rPr>
                <w:rFonts w:eastAsia="Times New Roman" w:cs="Times New Roman" w:ascii="Liberation Serif" w:hAnsi="Liberation Serif"/>
                <w:kern w:val="0"/>
                <w:sz w:val="22"/>
                <w:szCs w:val="22"/>
                <w:lang w:val="ru-RU" w:bidi="ar-SA"/>
              </w:rPr>
              <w:t>Не установлено</w:t>
            </w:r>
          </w:p>
        </w:tc>
      </w:tr>
      <w:tr>
        <w:trPr/>
        <w:tc>
          <w:tcPr>
            <w:tcW w:w="573" w:type="dxa"/>
            <w:tcBorders>
              <w:top w:val="nil"/>
            </w:tcBorders>
          </w:tcPr>
          <w:p>
            <w:pPr>
              <w:pStyle w:val="Normal"/>
              <w:widowControl/>
              <w:spacing w:before="0" w:after="0"/>
              <w:jc w:val="both"/>
              <w:rPr>
                <w:rFonts w:ascii="Liberation Serif" w:hAnsi="Liberation Serif" w:eastAsia="Times New Roman" w:cs="Times New Roman"/>
                <w:b/>
                <w:kern w:val="0"/>
                <w:sz w:val="22"/>
                <w:szCs w:val="22"/>
                <w:lang w:val="ru-RU" w:bidi="ar-SA"/>
              </w:rPr>
            </w:pPr>
            <w:r>
              <w:rPr>
                <w:rFonts w:eastAsia="Times New Roman" w:cs="Times New Roman" w:ascii="Liberation Serif" w:hAnsi="Liberation Serif"/>
                <w:b/>
                <w:kern w:val="0"/>
                <w:sz w:val="22"/>
                <w:szCs w:val="22"/>
                <w:lang w:val="ru-RU" w:bidi="ar-SA"/>
              </w:rPr>
              <w:t>7.</w:t>
            </w:r>
          </w:p>
        </w:tc>
        <w:tc>
          <w:tcPr>
            <w:tcW w:w="9634" w:type="dxa"/>
            <w:gridSpan w:val="2"/>
            <w:tcBorders>
              <w:top w:val="nil"/>
            </w:tcBorders>
          </w:tcPr>
          <w:p>
            <w:pPr>
              <w:pStyle w:val="Normal"/>
              <w:rPr>
                <w:rFonts w:ascii="Liberation Serif" w:hAnsi="Liberation Serif"/>
              </w:rPr>
            </w:pPr>
            <w:r>
              <w:rPr>
                <w:rFonts w:ascii="Liberation Serif" w:hAnsi="Liberation Serif"/>
                <w:b/>
                <w:bCs/>
              </w:rPr>
              <w:t>Заказчик предупреждает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pPr>
        <w:pStyle w:val="Normal"/>
        <w:suppressLineNumbers/>
        <w:rPr>
          <w:rFonts w:ascii="Liberation Serif" w:hAnsi="Liberation Serif"/>
        </w:rPr>
      </w:pP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ПриказМФ РФ№126нУсловия допуска товаров, происходящих из иностранного государства или группы иностранных государств, для целей осуществления закупок товаров в соответствии с приказом Министерства финансов Российской Федерации от 4 июня 2018 г. №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нужд»Участникам закупки, предлагающим к поставке товары, происходящие из государств – членов Евразийского экономического союза предоставляются преференции в отношении цены контракта в размере 15 % в отношении товаров, указанных в приложении N 1, в размере 20 процентов в отношении товаров, указанных в приложении N 2 и закупаемых при реализации национальных проектов (программ), в порядке, предусмотренном Приказом Минфина России от 4 июня 2018 г. №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(далее – Приказ 126н).Примечание 1:Участник электронного аукциона обязан декларировать в заявке на участие в электронном аукционе страну происхождения поставляемого товара.Ответственность за достоверность сведений о стране происхождения товара, указанного в заявке на участие в электронном аукционе, несет участник закупки.Примечание 2:Наименование страны происхождения товаров указывается в соответствии с Общероссийским классификатором стран мира ОК (МК (ИСО 3166) 004-97) 025-2001 "" "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"ПП РФ№656Запрет на допуск отдельных видов товаров машиностроения, происходящих из иностранных государств в соответствии с Постановлением Правительства РФ от 14.07.2014 №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нужд»Установлен запрет на допуск отдельных видов товаров машиностроения, происходящих из иностранных государств, в соответствии с Постановлением Правительства Российской Федерации от 14.07.2014г. №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"ПП РФ№102Ограничение допуска отдельных видов медицинских изделий, происходящих из иностранных государств в соответствии с Постановлением Правительства РФ 05.02.2015 № 102 «Об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"ПП РФ№1289Ограничение допуска лекарственных препаратов, включенных в перечень ЖНВЛП и происходящих из иностранных государств в соответствии с Постановлением Правительства РФ от 30.11.2015 №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нужд»Установлено ограничение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в соответствии с Постановлением Правительства РФ № 1289 от 30.11.2015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(далее – Постановление № 1289).Отклоняются все заявки (окончательные предложения), содержащие предложения о поставке лекарственных препаратов, происходящих из иностранных государств (за исключением государств - членов Евразийского экономического союза), в том числе о поставке 2 и более лекарственных препаратов, страной происхождения хотя бы одного из которых не является государство - член Евразийского экономического союза, за исключением заявок (окончательных предложений), которые содержат предложения о поставке оригинальных или референтных лекарственных препаратов по перечню оригинальных и референтных лекарственных препаратов, предназначенных для обеспечения несовершеннолетних граждан, больных злокачественными новообразованиями лимфоидной, кроветворной и родственных им тканей, утвержденных Постановлением № 1289, при условии, что на участие в определении поставщика подано не менее 2 заявок (окончательных предложений), которые удовлетворяют требованиям извещения об осуществлении закупки и (или) документации о закупке и которые одновременно:содержат предложения о поставке лекарственных препаратов, страной происхождения которых являются государства - члены Евразийского экономического союза;не содержат предложений о поставке лекарственных препаратов одного и того же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от 26.06.2006 № 135-ФЗ, при сопоставлении этих заявок (окончательных предложений).В случае если после отклонения заявок (окончательных предложений) в порядке, установленном пунктом 1 Постановления № 1289, хотя бы одна заявка (окончательное предложение) содержит предложение о поставке лекарственных препаратов, все стадии производства которых,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и при этом сведения о таких фармацевтических субстанциях в установленном порядке включены в регистрационное досье на эти лекарственные препараты, в отношении таких лекарственных препаратов применяются условия допуска для целей осуществления закупок товаров, происходящих из иностранного государства или группы иностранных государств,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осуществления закупок товаров, работ, услуг для обеспечения государственных и муниципальных нужд.Подтверждением соответствия лекарственного препарата и фармацевтической субстанции, является декларирование участником закупки в заявке (окончательном предложении) сведений о документе, подтверждающем соответствие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утвержденных Решением Совета Евразийской экономической комиссии от 3 ноября 2016 г. № 77 «Об утверждении Правил надлежащей производственной практики Евразийского экономического союза», или Правил надлежащей производственной практики, утвержденных Министерством промышленности и торговли Российской Федерации в соответствии с частью 1 статьи 45 Федерального закона «Об обращении лекарственных средств», и сведений о документе, содержащем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выдаваемом Министерством промышленности и торговли Российской Федерации в установленном им порядке.Подтверждением страны происхождения лекарственного препарата является:- сертификат о происхождении товара, выдаваемый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указанными Правилами.или- заключение о подтверждении производства промышленной продукции на территории Российской Федерации, выдаваемое Министерством промышленности и торговли Российской Федерации в соответствии с Правилами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Федерации».В случае если заявка (окончательное предложение), содержащая предложение о поставке лекарственного препарата, происходящего из иностранного государства (за исключением государств - членов Евразийского экономического союза), не отклоняется в соответствии с установленными Постановлением Правительства РФ № 1289 от 30.11.2015 ограничениями, применяются условия допуска для целей осуществления закупок товаров, происходящих из иностранного государства или группы иностранных государств, устанавливаемые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осуществления закупок товаров, работ, услуг для обеспечения государственных и муниципальных нужд." "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"ПП РФ№1236Запрет на допуск программного обеспечения, происходящего из иностранных государств в соответствии с Постановлением Правительства РФ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нужд»Установлен запрет на допуск программ для электронных вычислительных машин и баз данных, реализуемых независимо от вида договора на материальном носителе и (или) в электронном виде по каналам связи, происходящих из иностранных государств (за исключением программного обеспечения, включенного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а также исключительных прав на такое программное обеспечение и прав использования такого программного обеспечения, для целей осуществления закупок для обеспечения государственных и муниципальных нуждПодтверждением происхождения программ для электронных вычислительных машин и баз данных из Российской Федерации является наличие в реестре Российского программного обеспечения сведений о таких программах для электронных вычислительных машин и баз данных;Подтверждением, что программа для электронных вычислительных машин и баз данных относится к государству - члену Евразийского экономического союза, за исключением Российской Федерации, является наличие в реестре евразийского программного обеспечения сведений о таких программах для электронных вычислительных машин и баз данных."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"ПП РФ№832Ограничения допуска отдельных видов пищевых продуктов, происходящих из иностранных государств в соответствии с Постановлением Правительства РФ от 22.08.2016 №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нужд»Установлено ограничение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Отклоняются от участия в конкурентных способах определения поставщиков все заявки (окончательные предложения) на участие в определении поставщика (далее - заявка), содержащие предложения о поставке пищевых продуктов, происходящих из иностранных государств (за исключением государств - членов Евразийского экономического союза), при условии, что на участие в определении поставщика подано не менее 2 удовлетворяющих требованиям извещения об осуществлении закупки и (или) документации о закупке заявок, которые одновременно:содержат предложения о поставке видов пищевых продуктов, являющихся объектом закупки и включенных в перечень, страной происхождения которых являются государства - члены Евразийского экономического союза;не содержат предложений о поставке одного и того же вида пищевых продуктов одного производителя.Подтверждением страны происхождения товаров (пищевых продуктов), включенных в перечень, является указание (декларирование) участником закупки в заявке наименования страны происхождения и производителя пищевых продуктов, включенных в перечень. Наименование страны происхождения товаров (пищевых продуктов) указывается в соответствии с Общероссийским классификатором стран мира."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ПП РФ№878Ограничение на допуск радиоэлектронной продукции, происходящей из иностранных государств, для целей осуществления закупок для обеспечения государственных и муниципальных нужд в соответствии с Постановлением Правительства РФ от 10.07.2019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Федерации»Установлено ограничение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 в соответствии с Постановлением Правительства РФ от 10.07.2019 г.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Федерации»При осуществлении закупок радиоэлектронной продукции, включенной в перечень, отклонются все заявки (окончательные предложения), содержащие предложения о поставке радиоэлектронной продукции, происходящей из иностранных государств (за исключением государств - членов Евразийского экономического союза), при условии, что на участие в закупке подана 1 (или более) удовлетворяющая требованиям извещения об осуществлении закупки и (или) документации о закупке заявка (окончательное предложение), содержащая предложение о поставке радиоэлектронной продукции, произведенной на территориях государств - членов Евразийского экономического союза.Подтверждением производства радиоэлектронной продукции является:на территории Российской Федерации - наличие сведений о такой продукции в реестре;на территории государства - члена Евразийского экономического союза - наличие сведений о такой продукции в евразийском реестре промышленных товаров государств - членов Евразийского экономического союза, формирование и ведение которого устанавливаются правом Евразийского экономического союза (далее - евразийский реестр промышленных товаров).Подтверждением соответствия поставляемой радиоэлектронной продукции требованиям, установленным постановлением от 10.07.2019 № 878, является:в отношении товаров, страной происхождения которых является Российская Федерация, - декларация содержащая номера реестровых записей из реестра, а также информацию о совокупном количестве баллов за выполнение технологических операций (условий) на территории Российской Федерации, если такое предусмотрено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(далее - совокупное количество баллов). в отношении товаров, страной происхождения которых является государство - член Евразийского экономического союза, за исключением Российской Федерации, - декларация содержащая номера реестровых записей из евразийского реестра промышленных товаров, а также информацию о совокупном количестве баллов за выполнение технологических операций (условий) на территории государства - члена Евразийского экономического союза, если такое предусмотрено решением Совета Евразийской экономической комиссии от 23 ноября 2020 г. N 105 Об утверждении Правил определения страны происхождения отдельных видов товаров для целей государственных (муниципальных) закупок " (для продукции, в отношении которой установлены требования о совокупном количестве баллов за выполнение (освоение) соответствующих операций (условий). Информация о реестровых записях о товаре включается в контракт.При исполнении контракта поставщик (подрядчик, исполнитель) при передаче товара (результатов работы) обязан представить заказчику документы, подтверждающие страну происхождения товара, на основании которых осуществляется включение продукции в реестр или евразийский реестр промышленных товаров.Подавая заявку, участник закупки соглашается с условием о внесении сведений о таком товаре в реестр или евразийский реестр промышленных товаров, а также о необходимости представить на стадии исполнения контракта сведения и документы, указанные в пункте 3(1) ПП РФ от 10.07.2019 № 878"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"ПП РФ№1746Установление запрета на допуск отдельных видов товаров, происходящих из иностранных государств в соответствии с Постановлением Правительства РФ № 1746 от 21.12.2019)Установлен запрет на допуск программно-аппаратных комплексов систем хранения данных, относящихся к коду по Общероссийскому классификатору продукции по видам экономической деятельности ОК 034-2014 (КПЕС 2008) 26.20.2 «Устройства запоминающие и прочие устройства хранения данных», происходящих из иностранных государств, для целей осуществления закупок товаров (работ, услуг) для обеспечения государственных и муниципальных нужд.Подтверждением производства товаров на территории Российской Федерации является наличие сведений о товаре в едином реестре российской радиоэлектронной продукции. Подтверждением соответствия товаров требованиям извещения об осуществлении закупки и (или) документации о закупке является декларация участника закупки о нахождении радиоэлектронной продукции в едином реестре российской радиоэлектронной продукции с указанием номера реестровой записи."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r>
        <w:rPr>
          <w:rFonts w:cs="Liberation Serif" w:ascii="Liberation Serif" w:hAnsi="Liberation Serif"/>
          <w:sz w:val="22"/>
          <w:szCs w:val="22"/>
        </w:rPr>
        <w:fldChar w:fldCharType="begin"/>
      </w:r>
      <w:r>
        <w:rPr>
          <w:sz w:val="22"/>
          <w:szCs w:val="22"/>
          <w:rFonts w:cs="Liberation Serif" w:ascii="Liberation Serif" w:hAnsi="Liberation Serif"/>
        </w:rPr>
        <w:instrText xml:space="preserve"> IF FORMULA 1 ПП РФ№617Ограничение допуска отдельных видов промышленных товаров, происходящих из иностранных государств в соответствии с Постановлением Правительства РФ от 30.04.2020 №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 (далее - Постановление № 617)Установлено ограничение допуска отдельных видов промышленных товаров, происходящих из иностранных государств в соответствии с Постановлением № 617 Отклоняются все заявки (окончательные предложения), содержащие предложения о поставке отдельных видов промышленных товаров, происходящих из иностранных государств (за исключением государств - членов Евразийского экономического союза) (далее - заявки), при условии, что на участие в закупке подано не менее 2 заявок, удовлетворяющих требованиям извещения об осуществлении закупки и (или) документации о закупке, которые одновременно:- содержат предложения о поставке отдельных видов промышленных товаров, страной происхождения которых являются только государства - члены Евразийского экономического союза;- не содержат предложений о поставке одного и того же вида промышленного товара одного производителя либо производителей, входящих в одну группу лиц, соответствующую признакам, предусмотренным статьей 9 Федерального закона О защите конкуренции , при сопоставлении заявок (окончательных предложений).Подтверждением страны происхождения отдельных видов промышленных товаров является одно из следующих условий:- наличие сведений об отдельных видах промышленных товаров в реестре промышленной продукции, произведенной на территории Российской Федерации, ведение которого осуществляет Министерство промышленности и торговли Российской Федерации в соответствии с пунктом 9 постановления Правительства Российской Федерации 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;или- наличие сертификата о происхождении отдельного вида промышленного товара, выдаваемого уполномоченным органом (организацией) государства - члена Евразийского экономического союза (за исключением Российской Федерации)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указанными Правилами.Подтверждением соблюдения ограничений, установленных Постановлением 617, является информация о нахождении отдельного вида промышленных товаров в реестре российской промышленной продукции с указанием номера реестровой записи и совокупном количестве баллов за выполнение технологических операций (условий) на территории Российской Федерации, если это предусмотрено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 "" ""</w:instrText>
      </w:r>
      <w:r>
        <w:rPr>
          <w:sz w:val="22"/>
          <w:szCs w:val="22"/>
          <w:rFonts w:cs="Liberation Serif" w:ascii="Liberation Serif" w:hAnsi="Liberation Serif"/>
        </w:rPr>
        <w:fldChar w:fldCharType="separate"/>
      </w:r>
      <w:r>
        <w:rPr>
          <w:sz w:val="22"/>
          <w:szCs w:val="22"/>
          <w:rFonts w:cs="Liberation Serif" w:ascii="Liberation Serif" w:hAnsi="Liberation Serif"/>
        </w:rPr>
      </w:r>
      <w:r>
        <w:rPr>
          <w:sz w:val="22"/>
          <w:szCs w:val="22"/>
          <w:rFonts w:cs="Liberation Serif" w:ascii="Liberation Serif" w:hAnsi="Liberation Serif"/>
        </w:rPr>
        <w:fldChar w:fldCharType="end"/>
      </w:r>
    </w:p>
    <w:p>
      <w:pPr>
        <w:pStyle w:val="Normal"/>
        <w:suppressLineNumbers/>
        <w:jc w:val="center"/>
        <w:rPr>
          <w:rFonts w:ascii="Liberation Serif" w:hAnsi="Liberation Serif"/>
          <w:b/>
          <w:sz w:val="22"/>
          <w:szCs w:val="22"/>
        </w:rPr>
      </w:pPr>
      <w:r>
        <w:rPr>
          <w:rFonts w:ascii="Liberation Serif" w:hAnsi="Liberation Serif"/>
          <w:b/>
          <w:sz w:val="22"/>
          <w:szCs w:val="22"/>
        </w:rPr>
      </w:r>
    </w:p>
    <w:p>
      <w:pPr>
        <w:pStyle w:val="Normal"/>
        <w:numPr>
          <w:ilvl w:val="0"/>
          <w:numId w:val="0"/>
        </w:numPr>
        <w:suppressAutoHyphens w:val="false"/>
        <w:spacing w:before="0" w:after="0"/>
        <w:ind w:hanging="0" w:left="0"/>
        <w:contextualSpacing/>
        <w:jc w:val="both"/>
        <w:outlineLvl w:val="0"/>
        <w:rPr>
          <w:rFonts w:ascii="Liberation Serif" w:hAnsi="Liberation Serif"/>
          <w:sz w:val="18"/>
          <w:szCs w:val="18"/>
          <w:lang w:eastAsia="ru-RU"/>
        </w:rPr>
      </w:pPr>
      <w:r>
        <w:rPr>
          <w:rFonts w:ascii="Liberation Serif" w:hAnsi="Liberation Serif"/>
          <w:sz w:val="18"/>
          <w:szCs w:val="18"/>
          <w:lang w:eastAsia="ru-RU"/>
        </w:rPr>
      </w:r>
    </w:p>
    <w:p>
      <w:pPr>
        <w:pStyle w:val="Normal"/>
        <w:suppressLineNumbers/>
        <w:rPr>
          <w:rFonts w:ascii="Liberation Serif" w:hAnsi="Liberation Serif"/>
          <w:b/>
          <w:sz w:val="22"/>
          <w:szCs w:val="22"/>
        </w:rPr>
      </w:pPr>
      <w:r>
        <w:rPr>
          <w:rFonts w:ascii="Liberation Serif" w:hAnsi="Liberation Serif"/>
          <w:b/>
          <w:sz w:val="22"/>
          <w:szCs w:val="22"/>
        </w:rPr>
      </w:r>
    </w:p>
    <w:sectPr>
      <w:headerReference w:type="even" r:id="rId2"/>
      <w:headerReference w:type="default" r:id="rId3"/>
      <w:headerReference w:type="first" r:id="rId4"/>
      <w:footnotePr>
        <w:numFmt w:val="decimal"/>
        <w:numRestart w:val="eachPage"/>
      </w:footnotePr>
      <w:type w:val="nextPage"/>
      <w:pgSz w:w="11906" w:h="16838"/>
      <w:pgMar w:left="1134" w:right="851" w:gutter="0" w:header="720" w:top="1134" w:footer="0" w:bottom="851"/>
      <w:pgNumType w:fmt="decimal"/>
      <w:formProt w:val="false"/>
      <w:titlePg/>
      <w:textDirection w:val="lrTb"/>
      <w:docGrid w:type="default" w:linePitch="36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swiss"/>
    <w:pitch w:val="default"/>
  </w:font>
  <w:font w:name="OpenSymbol">
    <w:altName w:val="Arial Unicode MS"/>
    <w:charset w:val="01"/>
    <w:family w:val="roman"/>
    <w:pitch w:val="default"/>
  </w:font>
  <w:font w:name="Segoe UI">
    <w:charset w:val="01"/>
    <w:family w:val="roman"/>
    <w:pitch w:val="default"/>
  </w:font>
  <w:font w:name="Calibri">
    <w:charset w:val="01"/>
    <w:family w:val="roman"/>
    <w:pitch w:val="default"/>
  </w:font>
  <w:font w:name="PT Astra Serif">
    <w:charset w:val="01"/>
    <w:family w:val="roman"/>
    <w:pitch w:val="default"/>
  </w:font>
  <w:font w:name="Liberation Sans">
    <w:altName w:val="Arial"/>
    <w:charset w:val="01"/>
    <w:family w:val="roman"/>
    <w:pitch w:val="default"/>
  </w:font>
  <w:font w:name="Courier New">
    <w:charset w:val="01"/>
    <w:family w:val="roman"/>
    <w:pitch w:val="default"/>
  </w:font>
  <w:font w:name="Liberation Serif">
    <w:altName w:val="Times New Roman"/>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pPr>
      <w:r>
        <w:rPr>
          <w:rStyle w:val="Style13"/>
        </w:rPr>
        <w:footnoteRef/>
      </w:r>
      <w:r>
        <w:rPr/>
        <w:t xml:space="preserve"> </w:t>
      </w:r>
      <w:r>
        <w:rPr/>
        <w:t>В соответствии со ст. 8 Федерального закона от 02.07.2021 № 360-ФЗ «О внесении изменений в отдельные законодательные акты Российской Федерации».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4</w:t>
    </w:r>
    <w:r>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embedSystemFonts/>
  <w:defaultTabStop w:val="708"/>
  <w:autoHyphenation w:val="true"/>
  <w:hyphenationZone w:val="360"/>
  <w:footnotePr>
    <w:numFmt w:val="decimal"/>
    <w:numRestart w:val="eachPage"/>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umentProtection w:edit="readOnly" w:enforcement="0"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qFormat="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f1ac4"/>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ar-SA" w:bidi="ar-SA"/>
    </w:rPr>
  </w:style>
  <w:style w:type="paragraph" w:styleId="Heading1">
    <w:name w:val="heading 1"/>
    <w:basedOn w:val="Normal"/>
    <w:next w:val="Normal"/>
    <w:link w:val="11"/>
    <w:uiPriority w:val="9"/>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link w:val="2"/>
    <w:uiPriority w:val="9"/>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3"/>
    <w:uiPriority w:val="9"/>
    <w:qFormat/>
    <w:pPr>
      <w:keepNext w:val="true"/>
      <w:numPr>
        <w:ilvl w:val="2"/>
        <w:numId w:val="1"/>
      </w:numPr>
      <w:spacing w:before="240" w:after="60"/>
      <w:outlineLvl w:val="2"/>
    </w:pPr>
    <w:rPr>
      <w:rFonts w:ascii="Arial" w:hAnsi="Arial" w:cs="Arial"/>
      <w:b/>
      <w:bCs/>
      <w:sz w:val="26"/>
      <w:szCs w:val="26"/>
    </w:rPr>
  </w:style>
  <w:style w:type="paragraph" w:styleId="Heading9">
    <w:name w:val="heading 9"/>
    <w:basedOn w:val="Normal"/>
    <w:next w:val="Normal"/>
    <w:link w:val="9"/>
    <w:uiPriority w:val="9"/>
    <w:qFormat/>
    <w:pPr>
      <w:numPr>
        <w:ilvl w:val="8"/>
        <w:numId w:val="1"/>
      </w:num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1" w:customStyle="1">
    <w:name w:val="Основной шрифт абзаца1"/>
    <w:qFormat/>
    <w:rPr/>
  </w:style>
  <w:style w:type="character" w:styleId="publication" w:customStyle="1">
    <w:name w:val="publication"/>
    <w:qFormat/>
    <w:rPr>
      <w:rFonts w:ascii="Arial" w:hAnsi="Arial" w:cs="Arial"/>
      <w:color w:val="FFFFFF"/>
      <w:sz w:val="22"/>
      <w:szCs w:val="22"/>
      <w:shd w:fill="000000" w:val="clear"/>
      <w:lang w:val="en-US"/>
    </w:rPr>
  </w:style>
  <w:style w:type="character" w:styleId="PageNumber">
    <w:name w:val="page number"/>
    <w:basedOn w:val="1"/>
    <w:uiPriority w:val="99"/>
    <w:qFormat/>
    <w:rPr/>
  </w:style>
  <w:style w:type="character" w:styleId="Hyperlink">
    <w:name w:val="Hyperlink"/>
    <w:uiPriority w:val="99"/>
    <w:rPr>
      <w:color w:val="0000FF"/>
      <w:u w:val="single"/>
    </w:rPr>
  </w:style>
  <w:style w:type="character" w:styleId="Strong">
    <w:name w:val="Strong"/>
    <w:uiPriority w:val="22"/>
    <w:qFormat/>
    <w:rPr>
      <w:b/>
      <w:bCs/>
    </w:rPr>
  </w:style>
  <w:style w:type="character" w:styleId="user" w:customStyle="1">
    <w:name w:val="Символ нумерации (user)"/>
    <w:qFormat/>
    <w:rPr/>
  </w:style>
  <w:style w:type="character" w:styleId="Style10" w:customStyle="1">
    <w:name w:val="Маркеры списка"/>
    <w:qFormat/>
    <w:rPr>
      <w:rFonts w:ascii="OpenSymbol" w:hAnsi="OpenSymbol" w:eastAsia="OpenSymbol" w:cs="OpenSymbol"/>
    </w:rPr>
  </w:style>
  <w:style w:type="character" w:styleId="FollowedHyperlink">
    <w:name w:val="FollowedHyperlink"/>
    <w:uiPriority w:val="99"/>
    <w:rPr>
      <w:color w:val="800000"/>
      <w:u w:val="single"/>
    </w:rPr>
  </w:style>
  <w:style w:type="character" w:styleId="Style11" w:customStyle="1">
    <w:name w:val="Текст выноски Знак"/>
    <w:link w:val="BalloonText"/>
    <w:uiPriority w:val="99"/>
    <w:semiHidden/>
    <w:qFormat/>
    <w:rsid w:val="0047610d"/>
    <w:rPr>
      <w:rFonts w:ascii="Segoe UI" w:hAnsi="Segoe UI" w:cs="Segoe UI"/>
      <w:sz w:val="18"/>
      <w:szCs w:val="18"/>
      <w:lang w:eastAsia="ar-SA"/>
    </w:rPr>
  </w:style>
  <w:style w:type="character" w:styleId="Style12" w:customStyle="1">
    <w:name w:val="Текст сноски Знак"/>
    <w:uiPriority w:val="99"/>
    <w:qFormat/>
    <w:rsid w:val="00b7348a"/>
    <w:rPr>
      <w:lang w:eastAsia="ar-SA"/>
    </w:rPr>
  </w:style>
  <w:style w:type="character" w:styleId="user1">
    <w:name w:val="Символ сноски (user)"/>
    <w:uiPriority w:val="99"/>
    <w:semiHidden/>
    <w:unhideWhenUsed/>
    <w:qFormat/>
    <w:rsid w:val="00b7348a"/>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ConsPlusNormal" w:customStyle="1">
    <w:name w:val="ConsPlusNormal Знак"/>
    <w:link w:val="ConsPlusNormal1"/>
    <w:qFormat/>
    <w:locked/>
    <w:rsid w:val="006f092f"/>
    <w:rPr>
      <w:rFonts w:ascii="Arial" w:hAnsi="Arial" w:cs="Arial"/>
    </w:rPr>
  </w:style>
  <w:style w:type="character" w:styleId="Style14" w:customStyle="1">
    <w:name w:val="Верхний колонтитул Знак"/>
    <w:uiPriority w:val="99"/>
    <w:qFormat/>
    <w:rsid w:val="00f52517"/>
    <w:rPr>
      <w:sz w:val="24"/>
      <w:szCs w:val="24"/>
      <w:lang w:eastAsia="ar-SA"/>
    </w:rPr>
  </w:style>
  <w:style w:type="character" w:styleId="Style15" w:customStyle="1">
    <w:name w:val="Основной текст Знак"/>
    <w:uiPriority w:val="99"/>
    <w:qFormat/>
    <w:locked/>
    <w:rsid w:val="00a34988"/>
    <w:rPr>
      <w:sz w:val="24"/>
      <w:szCs w:val="24"/>
      <w:lang w:eastAsia="ar-SA"/>
    </w:rPr>
  </w:style>
  <w:style w:type="character" w:styleId="CommentReference">
    <w:name w:val="annotation reference"/>
    <w:uiPriority w:val="99"/>
    <w:semiHidden/>
    <w:unhideWhenUsed/>
    <w:qFormat/>
    <w:rsid w:val="006d72e3"/>
    <w:rPr>
      <w:sz w:val="16"/>
      <w:szCs w:val="16"/>
    </w:rPr>
  </w:style>
  <w:style w:type="character" w:styleId="Style16" w:customStyle="1">
    <w:name w:val="Текст примечания Знак"/>
    <w:uiPriority w:val="99"/>
    <w:semiHidden/>
    <w:qFormat/>
    <w:rsid w:val="006d72e3"/>
    <w:rPr>
      <w:lang w:eastAsia="ar-SA"/>
    </w:rPr>
  </w:style>
  <w:style w:type="character" w:styleId="Style17" w:customStyle="1">
    <w:name w:val="Тема примечания Знак"/>
    <w:link w:val="annotationsubject"/>
    <w:uiPriority w:val="99"/>
    <w:semiHidden/>
    <w:qFormat/>
    <w:rsid w:val="006d72e3"/>
    <w:rPr>
      <w:b/>
      <w:bCs/>
      <w:lang w:eastAsia="ar-SA"/>
    </w:rPr>
  </w:style>
  <w:style w:type="character" w:styleId="QuoteChar" w:customStyle="1">
    <w:name w:val="Quote Char"/>
    <w:link w:val="21"/>
    <w:qFormat/>
    <w:rsid w:val="008e63a6"/>
    <w:rPr>
      <w:rFonts w:ascii="Calibri" w:hAnsi="Calibri"/>
      <w:i/>
      <w:sz w:val="24"/>
      <w:szCs w:val="24"/>
      <w:lang w:val="x-none" w:eastAsia="x-none"/>
    </w:rPr>
  </w:style>
  <w:style w:type="character" w:styleId="Style18" w:customStyle="1">
    <w:name w:val="Абзац списка Знак"/>
    <w:link w:val="ListParagraph"/>
    <w:uiPriority w:val="34"/>
    <w:qFormat/>
    <w:rsid w:val="007644cf"/>
    <w:rPr>
      <w:sz w:val="24"/>
      <w:szCs w:val="24"/>
      <w:lang w:val="x-none" w:eastAsia="en-US"/>
    </w:rPr>
  </w:style>
  <w:style w:type="character" w:styleId="PlaceholderText">
    <w:name w:val="Placeholder Text"/>
    <w:basedOn w:val="DefaultParagraphFont"/>
    <w:uiPriority w:val="99"/>
    <w:semiHidden/>
    <w:qFormat/>
    <w:rsid w:val="00b13d60"/>
    <w:rPr>
      <w:color w:val="808080"/>
    </w:rPr>
  </w:style>
  <w:style w:type="character" w:styleId="user2">
    <w:name w:val="Символ концевой сноски (user)"/>
    <w:uiPriority w:val="99"/>
    <w:semiHidden/>
    <w:unhideWhenUsed/>
    <w:qFormat/>
    <w:rsid w:val="00b66244"/>
    <w:rPr>
      <w:vertAlign w:val="superscript"/>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11" w:customStyle="1">
    <w:name w:val="Заголовок 1 Знак"/>
    <w:basedOn w:val="DefaultParagraphFont"/>
    <w:uiPriority w:val="9"/>
    <w:qFormat/>
    <w:locked/>
    <w:rsid w:val="00b31e73"/>
    <w:rPr>
      <w:rFonts w:ascii="Arial" w:hAnsi="Arial" w:cs="Arial"/>
      <w:b/>
      <w:bCs/>
      <w:kern w:val="2"/>
      <w:sz w:val="32"/>
      <w:szCs w:val="32"/>
      <w:lang w:eastAsia="ar-SA"/>
    </w:rPr>
  </w:style>
  <w:style w:type="character" w:styleId="2" w:customStyle="1">
    <w:name w:val="Заголовок 2 Знак"/>
    <w:basedOn w:val="DefaultParagraphFont"/>
    <w:uiPriority w:val="9"/>
    <w:qFormat/>
    <w:locked/>
    <w:rsid w:val="00b31e73"/>
    <w:rPr>
      <w:rFonts w:ascii="Arial" w:hAnsi="Arial" w:cs="Arial"/>
      <w:b/>
      <w:bCs/>
      <w:i/>
      <w:iCs/>
      <w:sz w:val="28"/>
      <w:szCs w:val="28"/>
      <w:lang w:eastAsia="ar-SA"/>
    </w:rPr>
  </w:style>
  <w:style w:type="character" w:styleId="3" w:customStyle="1">
    <w:name w:val="Заголовок 3 Знак"/>
    <w:basedOn w:val="DefaultParagraphFont"/>
    <w:uiPriority w:val="9"/>
    <w:qFormat/>
    <w:locked/>
    <w:rsid w:val="00b31e73"/>
    <w:rPr>
      <w:rFonts w:ascii="Arial" w:hAnsi="Arial" w:cs="Arial"/>
      <w:b/>
      <w:bCs/>
      <w:sz w:val="26"/>
      <w:szCs w:val="26"/>
      <w:lang w:eastAsia="ar-SA"/>
    </w:rPr>
  </w:style>
  <w:style w:type="character" w:styleId="9" w:customStyle="1">
    <w:name w:val="Заголовок 9 Знак"/>
    <w:basedOn w:val="DefaultParagraphFont"/>
    <w:uiPriority w:val="9"/>
    <w:qFormat/>
    <w:locked/>
    <w:rsid w:val="00b31e73"/>
    <w:rPr>
      <w:rFonts w:ascii="Arial" w:hAnsi="Arial" w:cs="Arial"/>
      <w:sz w:val="22"/>
      <w:szCs w:val="22"/>
      <w:lang w:eastAsia="ar-SA"/>
    </w:rPr>
  </w:style>
  <w:style w:type="character" w:styleId="Style20" w:customStyle="1">
    <w:name w:val="Название Знак"/>
    <w:basedOn w:val="DefaultParagraphFont"/>
    <w:uiPriority w:val="10"/>
    <w:qFormat/>
    <w:locked/>
    <w:rsid w:val="00b31e73"/>
    <w:rPr>
      <w:rFonts w:ascii="Arial" w:hAnsi="Arial" w:eastAsia="MS Mincho" w:cs="Tahoma"/>
      <w:sz w:val="28"/>
      <w:szCs w:val="28"/>
      <w:lang w:eastAsia="ar-SA"/>
    </w:rPr>
  </w:style>
  <w:style w:type="character" w:styleId="Style21" w:customStyle="1">
    <w:name w:val="Подзаголовок Знак"/>
    <w:basedOn w:val="DefaultParagraphFont"/>
    <w:uiPriority w:val="11"/>
    <w:qFormat/>
    <w:locked/>
    <w:rsid w:val="00b31e73"/>
    <w:rPr>
      <w:rFonts w:ascii="Arial" w:hAnsi="Arial" w:eastAsia="MS Mincho" w:cs="Tahoma"/>
      <w:i/>
      <w:iCs/>
      <w:sz w:val="28"/>
      <w:szCs w:val="28"/>
      <w:lang w:eastAsia="ar-SA"/>
    </w:rPr>
  </w:style>
  <w:style w:type="character" w:styleId="Style22" w:customStyle="1">
    <w:name w:val="Нижний колонтитул Знак"/>
    <w:basedOn w:val="DefaultParagraphFont"/>
    <w:uiPriority w:val="99"/>
    <w:qFormat/>
    <w:locked/>
    <w:rsid w:val="00b31e73"/>
    <w:rPr>
      <w:sz w:val="24"/>
      <w:szCs w:val="24"/>
      <w:lang w:eastAsia="ar-SA"/>
    </w:rPr>
  </w:style>
  <w:style w:type="character" w:styleId="Style23" w:customStyle="1">
    <w:name w:val="Красная строка Знак"/>
    <w:basedOn w:val="Style15"/>
    <w:uiPriority w:val="99"/>
    <w:qFormat/>
    <w:locked/>
    <w:rsid w:val="00b31e73"/>
    <w:rPr>
      <w:sz w:val="24"/>
      <w:szCs w:val="24"/>
      <w:lang w:eastAsia="ar-SA"/>
    </w:rPr>
  </w:style>
  <w:style w:type="character" w:styleId="Style24" w:customStyle="1">
    <w:name w:val="Текст концевой сноски Знак"/>
    <w:basedOn w:val="DefaultParagraphFont"/>
    <w:uiPriority w:val="99"/>
    <w:semiHidden/>
    <w:qFormat/>
    <w:rsid w:val="00560fd5"/>
    <w:rPr>
      <w:lang w:eastAsia="ar-SA"/>
    </w:rPr>
  </w:style>
  <w:style w:type="paragraph" w:styleId="Style25">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link w:val="Style15"/>
    <w:uiPriority w:val="99"/>
    <w:qFormat/>
    <w:pPr/>
    <w:rPr/>
  </w:style>
  <w:style w:type="paragraph" w:styleId="List">
    <w:name w:val="List"/>
    <w:basedOn w:val="BodyText"/>
    <w:uiPriority w:val="99"/>
    <w:pPr/>
    <w:rPr>
      <w:rFonts w:cs="Tahoma"/>
    </w:rPr>
  </w:style>
  <w:style w:type="paragraph" w:styleId="Caption">
    <w:name w:val="caption"/>
    <w:basedOn w:val="Normal"/>
    <w:qFormat/>
    <w:pPr>
      <w:suppressLineNumbers/>
      <w:spacing w:before="120" w:after="120"/>
    </w:pPr>
    <w:rPr>
      <w:rFonts w:cs="Arial"/>
      <w:i/>
      <w:iCs/>
      <w:sz w:val="24"/>
      <w:szCs w:val="24"/>
    </w:rPr>
  </w:style>
  <w:style w:type="paragraph" w:styleId="Style26">
    <w:name w:val="Указатель"/>
    <w:basedOn w:val="Normal"/>
    <w:qFormat/>
    <w:pPr>
      <w:suppressLineNumbers/>
    </w:pPr>
    <w:rPr>
      <w:rFonts w:ascii="PT Astra Serif" w:hAnsi="PT Astra Serif" w:cs="FreeSans"/>
    </w:rPr>
  </w:style>
  <w:style w:type="paragraph" w:styleId="user3">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4">
    <w:name w:val="Указатель (user)"/>
    <w:basedOn w:val="Normal"/>
    <w:qFormat/>
    <w:pPr>
      <w:suppressLineNumbers/>
    </w:pPr>
    <w:rPr>
      <w:rFonts w:cs="Arial"/>
    </w:rPr>
  </w:style>
  <w:style w:type="paragraph" w:styleId="12" w:customStyle="1">
    <w:name w:val="Заголовок1"/>
    <w:basedOn w:val="Normal"/>
    <w:next w:val="BodyText"/>
    <w:qFormat/>
    <w:pPr>
      <w:keepNext w:val="true"/>
      <w:spacing w:before="240" w:after="120"/>
    </w:pPr>
    <w:rPr>
      <w:rFonts w:ascii="Arial" w:hAnsi="Arial" w:eastAsia="MS Mincho" w:cs="Tahoma"/>
      <w:sz w:val="28"/>
      <w:szCs w:val="28"/>
    </w:rPr>
  </w:style>
  <w:style w:type="paragraph" w:styleId="Title">
    <w:name w:val="Title"/>
    <w:basedOn w:val="12"/>
    <w:next w:val="Subtitle"/>
    <w:link w:val="Style20"/>
    <w:uiPriority w:val="10"/>
    <w:qFormat/>
    <w:pPr/>
    <w:rPr/>
  </w:style>
  <w:style w:type="paragraph" w:styleId="Subtitle">
    <w:name w:val="Subtitle"/>
    <w:basedOn w:val="12"/>
    <w:next w:val="BodyText"/>
    <w:link w:val="Style21"/>
    <w:uiPriority w:val="11"/>
    <w:qFormat/>
    <w:pPr>
      <w:jc w:val="center"/>
    </w:pPr>
    <w:rPr>
      <w:i/>
      <w:iCs/>
    </w:rPr>
  </w:style>
  <w:style w:type="paragraph" w:styleId="13" w:customStyle="1">
    <w:name w:val="Название1"/>
    <w:basedOn w:val="Normal"/>
    <w:qFormat/>
    <w:pPr>
      <w:suppressLineNumbers/>
      <w:spacing w:before="120" w:after="120"/>
    </w:pPr>
    <w:rPr>
      <w:rFonts w:cs="Tahoma"/>
      <w:i/>
      <w:iCs/>
    </w:rPr>
  </w:style>
  <w:style w:type="paragraph" w:styleId="14" w:customStyle="1">
    <w:name w:val="Указатель1"/>
    <w:basedOn w:val="Normal"/>
    <w:qFormat/>
    <w:pPr>
      <w:suppressLineNumbers/>
    </w:pPr>
    <w:rPr>
      <w:rFonts w:cs="Tahoma"/>
    </w:rPr>
  </w:style>
  <w:style w:type="paragraph" w:styleId="variable" w:customStyle="1">
    <w:name w:val="variable"/>
    <w:basedOn w:val="Normal"/>
    <w:qFormat/>
    <w:pPr/>
    <w:rPr>
      <w:b/>
    </w:rPr>
  </w:style>
  <w:style w:type="paragraph" w:styleId="Style27">
    <w:name w:val="Колонтитул"/>
    <w:basedOn w:val="Normal"/>
    <w:qFormat/>
    <w:pPr/>
    <w:rPr/>
  </w:style>
  <w:style w:type="paragraph" w:styleId="Style28">
    <w:name w:val="Колонтитулы"/>
    <w:basedOn w:val="Normal"/>
    <w:qFormat/>
    <w:pPr/>
    <w:rPr/>
  </w:style>
  <w:style w:type="paragraph" w:styleId="Footer">
    <w:name w:val="footer"/>
    <w:basedOn w:val="Normal"/>
    <w:link w:val="Style22"/>
    <w:uiPriority w:val="99"/>
    <w:pPr>
      <w:tabs>
        <w:tab w:val="clear" w:pos="708"/>
        <w:tab w:val="center" w:pos="4677" w:leader="none"/>
        <w:tab w:val="right" w:pos="9355" w:leader="none"/>
      </w:tabs>
    </w:pPr>
    <w:rPr/>
  </w:style>
  <w:style w:type="paragraph" w:styleId="Header">
    <w:name w:val="header"/>
    <w:basedOn w:val="Normal"/>
    <w:link w:val="Style14"/>
    <w:uiPriority w:val="99"/>
    <w:pPr>
      <w:tabs>
        <w:tab w:val="clear" w:pos="708"/>
        <w:tab w:val="center" w:pos="4677" w:leader="none"/>
        <w:tab w:val="right" w:pos="9355" w:leader="none"/>
      </w:tabs>
    </w:pPr>
    <w:rPr/>
  </w:style>
  <w:style w:type="paragraph" w:styleId="user5" w:customStyle="1">
    <w:name w:val="Содержимое таблицы (user)"/>
    <w:basedOn w:val="Normal"/>
    <w:qFormat/>
    <w:pPr>
      <w:suppressLineNumbers/>
    </w:pPr>
    <w:rPr/>
  </w:style>
  <w:style w:type="paragraph" w:styleId="user6" w:customStyle="1">
    <w:name w:val="Заголовок таблицы (user)"/>
    <w:basedOn w:val="user5"/>
    <w:qFormat/>
    <w:pPr>
      <w:jc w:val="center"/>
    </w:pPr>
    <w:rPr>
      <w:b/>
      <w:bCs/>
    </w:rPr>
  </w:style>
  <w:style w:type="paragraph" w:styleId="user7" w:customStyle="1">
    <w:name w:val="Горизонтальная линия (user)"/>
    <w:basedOn w:val="Normal"/>
    <w:next w:val="BodyText"/>
    <w:qFormat/>
    <w:pPr>
      <w:suppressLineNumbers/>
      <w:pBdr>
        <w:bottom w:val="double" w:sz="2" w:space="0" w:color="808080"/>
      </w:pBdr>
      <w:spacing w:before="0" w:after="283"/>
    </w:pPr>
    <w:rPr>
      <w:sz w:val="12"/>
      <w:szCs w:val="12"/>
    </w:rPr>
  </w:style>
  <w:style w:type="paragraph" w:styleId="BodyTextFirstIndent">
    <w:name w:val="Body Text First Indent"/>
    <w:basedOn w:val="BodyText"/>
    <w:link w:val="Style23"/>
    <w:uiPriority w:val="99"/>
    <w:pPr>
      <w:ind w:firstLine="283"/>
    </w:pPr>
    <w:rPr/>
  </w:style>
  <w:style w:type="paragraph" w:styleId="Style29" w:customStyle="1">
    <w:name w:val="СОтступомПоЛевомуКраю"/>
    <w:basedOn w:val="Normal"/>
    <w:qFormat/>
    <w:pPr>
      <w:ind w:firstLine="705"/>
    </w:pPr>
    <w:rPr/>
  </w:style>
  <w:style w:type="paragraph" w:styleId="user8" w:customStyle="1">
    <w:name w:val="Содержимое врезки (user)"/>
    <w:basedOn w:val="BodyText"/>
    <w:qFormat/>
    <w:pPr/>
    <w:rPr/>
  </w:style>
  <w:style w:type="paragraph" w:styleId="user9" w:customStyle="1">
    <w:name w:val="Содержимое списка (user)"/>
    <w:basedOn w:val="Normal"/>
    <w:qFormat/>
    <w:pPr>
      <w:ind w:left="567"/>
    </w:pPr>
    <w:rPr/>
  </w:style>
  <w:style w:type="paragraph" w:styleId="BalloonText">
    <w:name w:val="Balloon Text"/>
    <w:basedOn w:val="Normal"/>
    <w:link w:val="Style11"/>
    <w:uiPriority w:val="99"/>
    <w:semiHidden/>
    <w:unhideWhenUsed/>
    <w:qFormat/>
    <w:rsid w:val="0047610d"/>
    <w:pPr/>
    <w:rPr>
      <w:rFonts w:ascii="Segoe UI" w:hAnsi="Segoe UI" w:cs="Segoe UI"/>
      <w:sz w:val="18"/>
      <w:szCs w:val="18"/>
    </w:rPr>
  </w:style>
  <w:style w:type="paragraph" w:styleId="FootnoteText">
    <w:name w:val="footnote text"/>
    <w:basedOn w:val="Normal"/>
    <w:link w:val="Style12"/>
    <w:uiPriority w:val="99"/>
    <w:unhideWhenUsed/>
    <w:rsid w:val="00b7348a"/>
    <w:pPr/>
    <w:rPr>
      <w:sz w:val="20"/>
      <w:szCs w:val="20"/>
    </w:rPr>
  </w:style>
  <w:style w:type="paragraph" w:styleId="ConsPlusNormal1" w:customStyle="1">
    <w:name w:val="ConsPlusNormal"/>
    <w:link w:val="ConsPlusNormal"/>
    <w:qFormat/>
    <w:rsid w:val="006f092f"/>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NormalWeb">
    <w:name w:val="Normal (Web)"/>
    <w:basedOn w:val="Normal"/>
    <w:uiPriority w:val="99"/>
    <w:semiHidden/>
    <w:unhideWhenUsed/>
    <w:qFormat/>
    <w:rsid w:val="00a34988"/>
    <w:pPr>
      <w:suppressAutoHyphens w:val="false"/>
      <w:spacing w:beforeAutospacing="1" w:afterAutospacing="1"/>
    </w:pPr>
    <w:rPr>
      <w:lang w:eastAsia="ru-RU"/>
    </w:rPr>
  </w:style>
  <w:style w:type="paragraph" w:styleId="CommentText">
    <w:name w:val="annotation text"/>
    <w:basedOn w:val="Normal"/>
    <w:link w:val="Style16"/>
    <w:uiPriority w:val="99"/>
    <w:semiHidden/>
    <w:unhideWhenUsed/>
    <w:qFormat/>
    <w:rsid w:val="006d72e3"/>
    <w:pPr/>
    <w:rPr>
      <w:sz w:val="20"/>
      <w:szCs w:val="20"/>
    </w:rPr>
  </w:style>
  <w:style w:type="paragraph" w:styleId="annotationsubject">
    <w:name w:val="annotation subject"/>
    <w:basedOn w:val="CommentText"/>
    <w:next w:val="CommentText"/>
    <w:link w:val="Style17"/>
    <w:uiPriority w:val="99"/>
    <w:semiHidden/>
    <w:unhideWhenUsed/>
    <w:qFormat/>
    <w:rsid w:val="006d72e3"/>
    <w:pPr/>
    <w:rPr>
      <w:b/>
      <w:bCs/>
    </w:rPr>
  </w:style>
  <w:style w:type="paragraph" w:styleId="21" w:customStyle="1">
    <w:name w:val="Цитата 21"/>
    <w:basedOn w:val="Normal"/>
    <w:next w:val="Normal"/>
    <w:link w:val="QuoteChar"/>
    <w:qFormat/>
    <w:rsid w:val="008e63a6"/>
    <w:pPr>
      <w:suppressAutoHyphens w:val="false"/>
      <w:jc w:val="both"/>
    </w:pPr>
    <w:rPr>
      <w:rFonts w:ascii="Calibri" w:hAnsi="Calibri"/>
      <w:i/>
      <w:lang w:val="x-none" w:eastAsia="x-none"/>
    </w:rPr>
  </w:style>
  <w:style w:type="paragraph" w:styleId="ListParagraph">
    <w:name w:val="List Paragraph"/>
    <w:basedOn w:val="Normal"/>
    <w:link w:val="Style18"/>
    <w:uiPriority w:val="34"/>
    <w:qFormat/>
    <w:rsid w:val="007644cf"/>
    <w:pPr>
      <w:suppressAutoHyphens w:val="false"/>
      <w:ind w:left="708"/>
      <w:jc w:val="both"/>
    </w:pPr>
    <w:rPr>
      <w:lang w:val="x-none" w:eastAsia="en-US"/>
    </w:rPr>
  </w:style>
  <w:style w:type="paragraph" w:styleId="ConsNonformat" w:customStyle="1">
    <w:name w:val="ConsNonformat"/>
    <w:qFormat/>
    <w:rsid w:val="001f1ac4"/>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EndnoteText">
    <w:name w:val="endnote text"/>
    <w:basedOn w:val="Normal"/>
    <w:link w:val="Style24"/>
    <w:uiPriority w:val="99"/>
    <w:semiHidden/>
    <w:unhideWhenUsed/>
    <w:rsid w:val="00560fd5"/>
    <w:pPr/>
    <w:rPr>
      <w:sz w:val="20"/>
      <w:szCs w:val="20"/>
    </w:rPr>
  </w:style>
  <w:style w:type="numbering" w:styleId="Style30"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1">
    <w:name w:val="Table Grid"/>
    <w:basedOn w:val="a1"/>
    <w:uiPriority w:val="39"/>
    <w:rsid w:val="0027212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6E6CC-8BA5-4D4B-B366-1AD96418D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SYS_DEMAND_EA_LESS_5 (2)</Template>
  <TotalTime>22</TotalTime>
  <Application>LibreOffice/25.8.3.2$Linux_X86_64 LibreOffice_project/580$Build-2</Application>
  <AppVersion>15.0000</AppVersion>
  <Pages>4</Pages>
  <Words>1596</Words>
  <Characters>11764</Characters>
  <CharactersWithSpaces>13290</CharactersWithSpaces>
  <Paragraphs>81</Paragraphs>
  <Company>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2023-08-28T10:42:00Z</dcterms:created>
  <dc:creator>Шестакова Евгения Николаевна</dc:creator>
  <dc:description/>
  <dc:language>ru-RU</dc:language>
  <cp:lastModifiedBy/>
  <cp:lastPrinted>2022-01-12T10:57:00Z</cp:lastPrinted>
  <dcterms:modified xsi:type="dcterms:W3CDTF">2026-05-21T10:30:52Z</dcterms:modified>
  <cp:revision>12</cp:revision>
  <dc:subject/>
  <dc:title>Приложение</dc:title>
</cp:coreProperties>
</file>

<file path=docProps/custom.xml><?xml version="1.0" encoding="utf-8"?>
<Properties xmlns="http://schemas.openxmlformats.org/officeDocument/2006/custom-properties" xmlns:vt="http://schemas.openxmlformats.org/officeDocument/2006/docPropsVTypes"/>
</file>