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207" w:type="dxa"/>
        <w:jc w:val="left"/>
        <w:tblInd w:w="-634" w:type="dxa"/>
        <w:tblLayout w:type="fixed"/>
        <w:tblCellMar>
          <w:top w:w="75" w:type="dxa"/>
          <w:left w:w="75" w:type="dxa"/>
          <w:bottom w:w="75" w:type="dxa"/>
          <w:right w:w="75" w:type="dxa"/>
        </w:tblCellMar>
        <w:tblLook w:firstRow="0" w:noVBand="0" w:lastRow="0" w:firstColumn="0" w:lastColumn="0" w:noHBand="0" w:val="0000"/>
      </w:tblPr>
      <w:tblGrid>
        <w:gridCol w:w="423"/>
        <w:gridCol w:w="9783"/>
      </w:tblGrid>
      <w:tr>
        <w:trPr/>
        <w:tc>
          <w:tcPr>
            <w:tcW w:w="423" w:type="dxa"/>
            <w:vMerge w:val="restart"/>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rPr>
                <w:rFonts w:ascii="Liberation Serif" w:hAnsi="Liberation Serif" w:eastAsia="Times New Roman" w:cs="Times New Roman"/>
                <w:lang w:eastAsia="ar-SA"/>
              </w:rPr>
            </w:pPr>
            <w:r>
              <w:rPr>
                <w:rFonts w:eastAsia="Times New Roman" w:cs="Times New Roman" w:ascii="Liberation Serif" w:hAnsi="Liberation Serif"/>
                <w:lang w:eastAsia="ar-SA"/>
              </w:rPr>
            </w:r>
          </w:p>
        </w:tc>
        <w:tc>
          <w:tcPr>
            <w:tcW w:w="9783"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jc w:val="both"/>
              <w:rPr>
                <w:rFonts w:ascii="Liberation Serif" w:hAnsi="Liberation Serif" w:eastAsia="Times New Roman" w:cs="Times New Roman"/>
                <w:b/>
                <w:lang w:eastAsia="ar-SA"/>
              </w:rPr>
            </w:pPr>
            <w:r>
              <w:rPr>
                <w:rFonts w:eastAsia="Times New Roman" w:cs="Times New Roman" w:ascii="Liberation Serif" w:hAnsi="Liberation Serif"/>
                <w:b/>
                <w:lang w:eastAsia="ar-SA"/>
              </w:rPr>
              <w:t>Требования к участникам закупки в соответствии со статьей 31 Федерального закона от 05.04.2013 № 44-ФЗ</w:t>
            </w:r>
          </w:p>
        </w:tc>
      </w:tr>
      <w:tr>
        <w:trPr/>
        <w:tc>
          <w:tcPr>
            <w:tcW w:w="423" w:type="dxa"/>
            <w:vMerge w:val="continue"/>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rPr>
                <w:rFonts w:ascii="Liberation Serif" w:hAnsi="Liberation Serif" w:eastAsia="Times New Roman" w:cs="Times New Roman"/>
                <w:lang w:eastAsia="ar-SA"/>
              </w:rPr>
            </w:pPr>
            <w:r>
              <w:rPr>
                <w:rFonts w:eastAsia="Times New Roman" w:cs="Times New Roman" w:ascii="Liberation Serif" w:hAnsi="Liberation Serif"/>
                <w:lang w:eastAsia="ar-SA"/>
              </w:rPr>
            </w:r>
          </w:p>
        </w:tc>
        <w:tc>
          <w:tcPr>
            <w:tcW w:w="9783"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Единые требования в соответствии с ч. 1 статьи 31 Федерального закона от 05.04.2013 № 44-ФЗ:</w:t>
            </w:r>
          </w:p>
          <w:p>
            <w:pPr>
              <w:pStyle w:val="ListParagraph"/>
              <w:suppressLineNumbers/>
              <w:suppressAutoHyphens w:val="true"/>
              <w:spacing w:lineRule="auto" w:line="240" w:before="0" w:after="0"/>
              <w:ind w:left="0"/>
              <w:contextualSpacing/>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4) 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а) физическим лицом (в том числе зарегистрированным в качестве индивидуального предпринимателя), являющимся участником закупки;</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10.1) участник закупки не является иностранным агентом;</w:t>
            </w:r>
          </w:p>
          <w:p>
            <w:pPr>
              <w:pStyle w:val="Normal"/>
              <w:suppressLineNumbers/>
              <w:suppressAutoHyphens w:val="true"/>
              <w:spacing w:lineRule="auto" w:line="240" w:before="0" w:after="0"/>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11) отсутствие у участника закупки ограничений для участия в закупках, установленных законодательством Российской Федерации.</w:t>
            </w:r>
          </w:p>
        </w:tc>
      </w:tr>
      <w:tr>
        <w:trPr/>
        <w:tc>
          <w:tcPr>
            <w:tcW w:w="423" w:type="dxa"/>
            <w:vMerge w:val="restart"/>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rPr>
                <w:rFonts w:ascii="Liberation Serif" w:hAnsi="Liberation Serif" w:eastAsia="Times New Roman" w:cs="Times New Roman"/>
                <w:lang w:eastAsia="ar-SA"/>
              </w:rPr>
            </w:pPr>
            <w:r>
              <w:rPr>
                <w:rFonts w:eastAsia="Times New Roman" w:cs="Times New Roman" w:ascii="Liberation Serif" w:hAnsi="Liberation Serif"/>
                <w:lang w:eastAsia="ar-SA"/>
              </w:rPr>
            </w:r>
          </w:p>
        </w:tc>
        <w:tc>
          <w:tcPr>
            <w:tcW w:w="9783"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jc w:val="both"/>
              <w:rPr>
                <w:rFonts w:ascii="Liberation Serif" w:hAnsi="Liberation Serif" w:eastAsia="Times New Roman" w:cs="Times New Roman"/>
                <w:b/>
                <w:lang w:eastAsia="ar-SA"/>
              </w:rPr>
            </w:pPr>
            <w:r>
              <w:rPr>
                <w:rFonts w:eastAsia="Times New Roman" w:cs="Times New Roman" w:ascii="Liberation Serif" w:hAnsi="Liberation Serif"/>
                <w:b/>
                <w:lang w:eastAsia="ar-SA"/>
              </w:rPr>
              <w:t xml:space="preserve">Порядок внесения денежных средств в </w:t>
            </w:r>
            <w:r>
              <w:rPr>
                <w:rFonts w:eastAsia="Times New Roman" w:cs="Times New Roman" w:ascii="Liberation Serif" w:hAnsi="Liberation Serif"/>
                <w:b/>
              </w:rPr>
              <w:t>качестве обеспечения заявки</w:t>
            </w:r>
          </w:p>
        </w:tc>
      </w:tr>
      <w:tr>
        <w:trPr/>
        <w:tc>
          <w:tcPr>
            <w:tcW w:w="423" w:type="dxa"/>
            <w:vMerge w:val="continue"/>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jc w:val="center"/>
              <w:rPr>
                <w:rFonts w:ascii="Liberation Serif" w:hAnsi="Liberation Serif" w:eastAsia="Times New Roman" w:cs="Times New Roman"/>
                <w:lang w:eastAsia="ar-SA"/>
              </w:rPr>
            </w:pPr>
            <w:r>
              <w:rPr>
                <w:rFonts w:eastAsia="Times New Roman" w:cs="Times New Roman" w:ascii="Liberation Serif" w:hAnsi="Liberation Serif"/>
                <w:lang w:eastAsia="ar-SA"/>
              </w:rPr>
            </w:r>
          </w:p>
        </w:tc>
        <w:tc>
          <w:tcPr>
            <w:tcW w:w="9783" w:type="dxa"/>
            <w:tcBorders>
              <w:top w:val="single" w:sz="4" w:space="0" w:color="000000"/>
              <w:left w:val="single" w:sz="4" w:space="0" w:color="000000"/>
              <w:bottom w:val="single" w:sz="4" w:space="0" w:color="000000"/>
              <w:right w:val="single" w:sz="4" w:space="0" w:color="000000"/>
            </w:tcBorders>
          </w:tcPr>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от 05.04.2013 № 44-ФЗ, и в соответствии с постановлением Правительства РФ от 10.04.2023 N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лицами"(далее Постановление).</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При проведении электронных процедур:</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1) обеспечение заявки на участие в закупке предоставляется одним из следующих способов:</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а) путем блокирования денежных средств, внесенных участником закупки на банковский счет, открытый таким участником в банке, включенном в перечень, утвержденный Правительством Российской Федерации (далее - специальный счет).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б) путем предоставления независимой гарантии, соответствующей требованиям статьи 45 Федерального закона от 05.04.2013 № 44-ФЗ;</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в)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указанный выше в настоящем подпункте.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 № 44-ФЗ;</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Федерального закона № 44-ФЗ. Возврат таких денежных средств участнику закупки не осуществляется в случае, предусмотренном пунктом 7 части 10 статьи 44 Федерального закона № 44-ФЗ.</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3) в случае предоставления обеспечения заявки на участие в закупке в виде денежных средств:</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в) банк не позднее сорока минут с момента получения информации, предусмотренной подпунктом "б" пункта 3 ст. 44 Федерального закона от 05.04.2013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Федерального закона от 05.04.2013 № 44-ФЗ возврат заявки подавшему ее участнику закупки;</w:t>
            </w:r>
          </w:p>
          <w:p>
            <w:pPr>
              <w:pStyle w:val="Normal"/>
              <w:suppressLineNumbers/>
              <w:suppressAutoHyphens w:val="true"/>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Федерального закона от 05.04.2013 № 44-ФЗ.</w:t>
            </w:r>
          </w:p>
        </w:tc>
      </w:tr>
      <w:tr>
        <w:trPr/>
        <w:tc>
          <w:tcPr>
            <w:tcW w:w="423" w:type="dxa"/>
            <w:vMerge w:val="restart"/>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rPr>
                <w:rFonts w:ascii="Liberation Serif" w:hAnsi="Liberation Serif" w:eastAsia="Times New Roman" w:cs="Times New Roman"/>
                <w:lang w:eastAsia="ar-SA"/>
              </w:rPr>
            </w:pPr>
            <w:r>
              <w:rPr>
                <w:rFonts w:eastAsia="Times New Roman" w:cs="Times New Roman" w:ascii="Liberation Serif" w:hAnsi="Liberation Serif"/>
                <w:lang w:eastAsia="ar-SA"/>
              </w:rPr>
            </w:r>
          </w:p>
        </w:tc>
        <w:tc>
          <w:tcPr>
            <w:tcW w:w="9783"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jc w:val="both"/>
              <w:rPr>
                <w:rFonts w:ascii="Liberation Serif" w:hAnsi="Liberation Serif" w:eastAsia="Times New Roman" w:cs="Times New Roman"/>
                <w:b/>
                <w:lang w:eastAsia="ar-SA"/>
              </w:rPr>
            </w:pPr>
            <w:r>
              <w:rPr>
                <w:rFonts w:eastAsia="Times New Roman" w:cs="Times New Roman" w:ascii="Liberation Serif" w:hAnsi="Liberation Serif"/>
                <w:b/>
                <w:lang w:eastAsia="ar-SA"/>
              </w:rPr>
              <w:t>Условия независимой гарантии и порядок ее предоставления в качестве обеспечения заявки</w:t>
            </w:r>
          </w:p>
        </w:tc>
      </w:tr>
      <w:tr>
        <w:trPr/>
        <w:tc>
          <w:tcPr>
            <w:tcW w:w="423" w:type="dxa"/>
            <w:vMerge w:val="continue"/>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jc w:val="center"/>
              <w:rPr>
                <w:rFonts w:ascii="Liberation Serif" w:hAnsi="Liberation Serif" w:eastAsia="Times New Roman" w:cs="Times New Roman"/>
                <w:lang w:eastAsia="ar-SA"/>
              </w:rPr>
            </w:pPr>
            <w:r>
              <w:rPr>
                <w:rFonts w:eastAsia="Times New Roman" w:cs="Times New Roman" w:ascii="Liberation Serif" w:hAnsi="Liberation Serif"/>
                <w:lang w:eastAsia="ar-SA"/>
              </w:rPr>
            </w:r>
          </w:p>
        </w:tc>
        <w:tc>
          <w:tcPr>
            <w:tcW w:w="97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утвержденной постановлением Правительства РФ от 08.11.2013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на условиях, определенных гражданским законодательством и статьей 45 Закона № 44-ФЗ.</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Требования к независимой гарантии:</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1) в соответствии с частью 2 статьи 45 Закона № 44-ФЗ независимая гарантия должна быть безотзывной и должна содержать:</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обязательства принципала, надлежащее исполнение которых обеспечивается независимой гарантией;</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срок действия независимой гарантии с учетом требований статьи 44 Закона № 44-ФЗ (такой срок должен составлять не менее месяца с даты окончания срока подачи заявок);</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в соответствии с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 xml:space="preserve">    • </w:t>
            </w:r>
            <w:r>
              <w:rPr>
                <w:rFonts w:eastAsia="Times New Roman" w:cs="Times New Roman" w:ascii="Liberation Serif" w:hAnsi="Liberation Serif"/>
              </w:rPr>
              <w:t xml:space="preserve">условия о рассмотрении споров, возникающих в связи с исполнением обязательств по независимой гарантии, в </w:t>
            </w:r>
            <w:r>
              <w:rPr>
                <w:rFonts w:eastAsia="Times New Roman" w:cs="Times New Roman" w:ascii="Liberation Serif" w:hAnsi="Liberation Serif"/>
                <w:b/>
                <w:bCs/>
              </w:rPr>
              <w:t>Арбитражном суде Свердловской области</w:t>
            </w:r>
            <w:r>
              <w:rPr>
                <w:rFonts w:eastAsia="Times New Roman" w:cs="Times New Roman" w:ascii="Liberation Serif" w:hAnsi="Liberation Serif"/>
              </w:rPr>
              <w:t>.</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3) независимая гарантия должна соответствовать дополнительным требованиям, установленным Постановлением № 1005.</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Независимая гарантия, используемая для целей Закона № 44-ФЗ, информация о ней и документы, предусмотренные частью 9 статьи 45 Закона № 44-ФЗ,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 45 Закона № 44-ФЗ.</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Правительством Российской Федерации устанавливаются:</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1) дополнительные требования к независимой гарантии, используемой для целей Закона № 44-ФЗ;</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2)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3) порядок и сроки предоставления выписок из реестра;</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4) типовая форма независимой гарантии, используемой для целей Закона № 44-ФЗ;</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t>5) форма требования об осуществлении уплаты денежной суммы по независимой гарантии.</w:t>
            </w:r>
          </w:p>
          <w:p>
            <w:pPr>
              <w:pStyle w:val="Normal"/>
              <w:spacing w:lineRule="auto" w:line="240" w:before="0" w:after="0"/>
              <w:ind w:firstLine="350"/>
              <w:jc w:val="both"/>
              <w:rPr>
                <w:rFonts w:ascii="Liberation Serif" w:hAnsi="Liberation Serif" w:eastAsia="Times New Roman" w:cs="Times New Roman"/>
              </w:rPr>
            </w:pPr>
            <w:r>
              <w:rPr>
                <w:rFonts w:eastAsia="Times New Roman" w:cs="Times New Roman" w:ascii="Liberation Serif" w:hAnsi="Liberation Serif"/>
              </w:rPr>
            </w:r>
          </w:p>
        </w:tc>
      </w:tr>
      <w:tr>
        <w:trPr/>
        <w:tc>
          <w:tcPr>
            <w:tcW w:w="423" w:type="dxa"/>
            <w:vMerge w:val="restart"/>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pacing w:before="0" w:after="200"/>
              <w:rPr>
                <w:rFonts w:ascii="Liberation Serif" w:hAnsi="Liberation Serif" w:cs="Times New Roman"/>
              </w:rPr>
            </w:pPr>
            <w:r>
              <w:rPr>
                <w:rFonts w:cs="Times New Roman" w:ascii="Liberation Serif" w:hAnsi="Liberation Serif"/>
              </w:rPr>
            </w:r>
          </w:p>
        </w:tc>
        <w:tc>
          <w:tcPr>
            <w:tcW w:w="9783"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uppressAutoHyphens w:val="true"/>
              <w:spacing w:lineRule="auto" w:line="240" w:before="0" w:after="0"/>
              <w:rPr>
                <w:rFonts w:ascii="Liberation Serif" w:hAnsi="Liberation Serif" w:eastAsia="Times New Roman" w:cs="Times New Roman"/>
                <w:b/>
                <w:lang w:eastAsia="ar-SA"/>
              </w:rPr>
            </w:pPr>
            <w:r>
              <w:rPr>
                <w:rFonts w:eastAsia="Times New Roman" w:cs="Times New Roman" w:ascii="Liberation Serif" w:hAnsi="Liberation Serif"/>
                <w:b/>
                <w:lang w:eastAsia="ar-SA"/>
              </w:rPr>
              <w:t>Порядок предоставления обеспечения исполнения контракта, гарантийных обязательств, требования к такому обеспечению</w:t>
            </w:r>
          </w:p>
        </w:tc>
      </w:tr>
      <w:tr>
        <w:trPr/>
        <w:tc>
          <w:tcPr>
            <w:tcW w:w="423" w:type="dxa"/>
            <w:vMerge w:val="continue"/>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spacing w:before="0" w:after="200"/>
              <w:jc w:val="center"/>
              <w:rPr>
                <w:rFonts w:ascii="Liberation Serif" w:hAnsi="Liberation Serif" w:cs="Times New Roman"/>
              </w:rPr>
            </w:pPr>
            <w:r>
              <w:rPr>
                <w:rFonts w:cs="Times New Roman" w:ascii="Liberation Serif" w:hAnsi="Liberation Serif"/>
              </w:rPr>
            </w:r>
          </w:p>
        </w:tc>
        <w:tc>
          <w:tcPr>
            <w:tcW w:w="9783" w:type="dxa"/>
            <w:tcBorders>
              <w:top w:val="single" w:sz="4" w:space="0" w:color="000000"/>
              <w:left w:val="single" w:sz="4" w:space="0" w:color="000000"/>
              <w:bottom w:val="single" w:sz="4" w:space="0" w:color="000000"/>
              <w:right w:val="single" w:sz="4" w:space="0" w:color="000000"/>
            </w:tcBorders>
          </w:tcPr>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w:t>
            </w:r>
            <w:r>
              <w:rPr>
                <w:rFonts w:cs="Times New Roman" w:ascii="Liberation Serif" w:hAnsi="Liberation Serif"/>
              </w:rPr>
              <w:t xml:space="preserve"> </w:t>
            </w:r>
            <w:r>
              <w:rPr>
                <w:rFonts w:eastAsia="Times New Roman" w:cs="Times New Roman" w:ascii="Liberation Serif" w:hAnsi="Liberation Serif"/>
                <w:lang w:eastAsia="ar-SA"/>
              </w:rPr>
              <w:t>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Федерального закона от 05.04.2013 № 44-ФЗ.</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Федерального закона от 05.04.2013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Предусмотренное частями 7 и 7.1 статьи</w:t>
            </w:r>
            <w:r>
              <w:rPr>
                <w:rFonts w:cs="Times New Roman" w:ascii="Liberation Serif" w:hAnsi="Liberation Serif"/>
              </w:rPr>
              <w:t xml:space="preserve"> 96 </w:t>
            </w:r>
            <w:r>
              <w:rPr>
                <w:rFonts w:eastAsia="Times New Roman" w:cs="Times New Roman" w:ascii="Liberation Serif" w:hAnsi="Liberation Serif"/>
                <w:lang w:eastAsia="ar-SA"/>
              </w:rPr>
              <w:t>Федерального закона от 05.04.2013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от 05.04.2013 №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Положения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об обеспечении исполнения контракта, включая положения о предоставлении такого обеспечения с учетом положений статьи 37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об обеспечении гарантийных обязательств не применяются в случае:</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1) заключения контракта с участником закупки, который является казенным учреждением;</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2) осуществления закупки услуги по предоставлению кредита;</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Normal"/>
              <w:suppressLineNumbers/>
              <w:suppressAutoHyphens w:val="true"/>
              <w:spacing w:lineRule="auto" w:line="240" w:before="0" w:after="0"/>
              <w:ind w:firstLine="425"/>
              <w:jc w:val="both"/>
              <w:rPr>
                <w:rFonts w:ascii="Liberation Serif" w:hAnsi="Liberation Serif" w:eastAsia="Times New Roman" w:cs="Times New Roman"/>
                <w:lang w:eastAsia="ar-SA"/>
              </w:rPr>
            </w:pPr>
            <w:r>
              <w:rPr>
                <w:rFonts w:eastAsia="Times New Roman" w:cs="Times New Roman" w:ascii="Liberation Serif" w:hAnsi="Liberation Serif"/>
                <w:lang w:eastAsia="ar-SA"/>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освобождается от предоставления обеспечения исполнения контракта, в том числе с учетом положений статьи 37 Федерального закона</w:t>
            </w:r>
            <w:r>
              <w:rPr>
                <w:rFonts w:cs="Times New Roman" w:ascii="Liberation Serif" w:hAnsi="Liberation Serif"/>
              </w:rPr>
              <w:t xml:space="preserve"> </w:t>
            </w:r>
            <w:r>
              <w:rPr>
                <w:rFonts w:eastAsia="Times New Roman" w:cs="Times New Roman" w:ascii="Liberation Serif" w:hAnsi="Liberation Serif"/>
                <w:lang w:eastAsia="ar-SA"/>
              </w:rPr>
              <w:t>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tc>
      </w:tr>
    </w:tbl>
    <w:p>
      <w:pPr>
        <w:pStyle w:val="Normal"/>
        <w:spacing w:before="0" w:after="200"/>
        <w:rPr>
          <w:rFonts w:ascii="Liberation Serif" w:hAnsi="Liberation Serif"/>
        </w:rPr>
      </w:pPr>
      <w:r>
        <w:rPr>
          <w:rFonts w:ascii="Liberation Serif" w:hAnsi="Liberation Serif"/>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Segoe UI">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сноски Знак"/>
    <w:basedOn w:val="DefaultParagraphFont"/>
    <w:uiPriority w:val="99"/>
    <w:qFormat/>
    <w:rsid w:val="000a26a2"/>
    <w:rPr>
      <w:rFonts w:ascii="Times New Roman" w:hAnsi="Times New Roman" w:eastAsia="Times New Roman" w:cs="Times New Roman"/>
      <w:sz w:val="20"/>
      <w:szCs w:val="20"/>
      <w:lang w:eastAsia="ar-SA"/>
    </w:rPr>
  </w:style>
  <w:style w:type="character" w:styleId="Style15">
    <w:name w:val="Символ сноски"/>
    <w:uiPriority w:val="99"/>
    <w:semiHidden/>
    <w:unhideWhenUsed/>
    <w:qFormat/>
    <w:rsid w:val="000a26a2"/>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0a26a2"/>
    <w:rPr>
      <w:color w:themeColor="hyperlink" w:val="0000FF"/>
      <w:u w:val="single"/>
    </w:rPr>
  </w:style>
  <w:style w:type="character" w:styleId="Style16" w:customStyle="1">
    <w:name w:val="Текст выноски Знак"/>
    <w:basedOn w:val="DefaultParagraphFont"/>
    <w:link w:val="BalloonText"/>
    <w:uiPriority w:val="99"/>
    <w:semiHidden/>
    <w:qFormat/>
    <w:rsid w:val="00f43bd8"/>
    <w:rPr>
      <w:rFonts w:ascii="Segoe UI" w:hAnsi="Segoe UI" w:cs="Segoe UI"/>
      <w:sz w:val="18"/>
      <w:szCs w:val="18"/>
    </w:rPr>
  </w:style>
  <w:style w:type="character" w:styleId="Style17" w:customStyle="1">
    <w:name w:val="Верхний колонтитул Знак"/>
    <w:basedOn w:val="DefaultParagraphFont"/>
    <w:uiPriority w:val="99"/>
    <w:qFormat/>
    <w:rsid w:val="00ce030d"/>
    <w:rPr/>
  </w:style>
  <w:style w:type="character" w:styleId="Style18" w:customStyle="1">
    <w:name w:val="Нижний колонтитул Знак"/>
    <w:basedOn w:val="DefaultParagraphFont"/>
    <w:uiPriority w:val="99"/>
    <w:qFormat/>
    <w:rsid w:val="00ce030d"/>
    <w:rPr/>
  </w:style>
  <w:style w:type="paragraph" w:styleId="Style19">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rPr>
  </w:style>
  <w:style w:type="paragraph" w:styleId="FootnoteText">
    <w:name w:val="Footnote Text"/>
    <w:basedOn w:val="Normal"/>
    <w:link w:val="Style14"/>
    <w:uiPriority w:val="99"/>
    <w:unhideWhenUsed/>
    <w:rsid w:val="000a26a2"/>
    <w:pPr>
      <w:suppressAutoHyphens w:val="true"/>
      <w:spacing w:lineRule="auto" w:line="240" w:before="0" w:after="0"/>
    </w:pPr>
    <w:rPr>
      <w:rFonts w:ascii="Times New Roman" w:hAnsi="Times New Roman" w:eastAsia="Times New Roman" w:cs="Times New Roman"/>
      <w:sz w:val="20"/>
      <w:szCs w:val="20"/>
      <w:lang w:eastAsia="ar-SA"/>
    </w:rPr>
  </w:style>
  <w:style w:type="paragraph" w:styleId="ListParagraph">
    <w:name w:val="List Paragraph"/>
    <w:basedOn w:val="Normal"/>
    <w:uiPriority w:val="34"/>
    <w:qFormat/>
    <w:rsid w:val="00c10f39"/>
    <w:pPr>
      <w:spacing w:before="0" w:after="200"/>
      <w:ind w:left="720"/>
      <w:contextualSpacing/>
    </w:pPr>
    <w:rPr/>
  </w:style>
  <w:style w:type="paragraph" w:styleId="BalloonText">
    <w:name w:val="Balloon Text"/>
    <w:basedOn w:val="Normal"/>
    <w:link w:val="Style16"/>
    <w:uiPriority w:val="99"/>
    <w:semiHidden/>
    <w:unhideWhenUsed/>
    <w:qFormat/>
    <w:rsid w:val="00f43bd8"/>
    <w:pPr>
      <w:spacing w:lineRule="auto" w:line="240" w:before="0" w:after="0"/>
    </w:pPr>
    <w:rPr>
      <w:rFonts w:ascii="Segoe UI" w:hAnsi="Segoe UI" w:cs="Segoe UI"/>
      <w:sz w:val="18"/>
      <w:szCs w:val="18"/>
    </w:rPr>
  </w:style>
  <w:style w:type="paragraph" w:styleId="Style21">
    <w:name w:val="Колонтитул"/>
    <w:basedOn w:val="Normal"/>
    <w:qFormat/>
    <w:pPr/>
    <w:rPr/>
  </w:style>
  <w:style w:type="paragraph" w:styleId="Header">
    <w:name w:val="Header"/>
    <w:basedOn w:val="Normal"/>
    <w:link w:val="Style17"/>
    <w:uiPriority w:val="99"/>
    <w:unhideWhenUsed/>
    <w:rsid w:val="00ce030d"/>
    <w:pPr>
      <w:tabs>
        <w:tab w:val="clear" w:pos="708"/>
        <w:tab w:val="center" w:pos="4677" w:leader="none"/>
        <w:tab w:val="right" w:pos="9355" w:leader="none"/>
      </w:tabs>
      <w:spacing w:lineRule="auto" w:line="240" w:before="0" w:after="0"/>
    </w:pPr>
    <w:rPr/>
  </w:style>
  <w:style w:type="paragraph" w:styleId="Footer">
    <w:name w:val="Footer"/>
    <w:basedOn w:val="Normal"/>
    <w:link w:val="Style18"/>
    <w:uiPriority w:val="99"/>
    <w:unhideWhenUsed/>
    <w:rsid w:val="00ce030d"/>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TotalTime>
  <Application>LibreOffice/7.6.2.1$Windows_X86_64 LibreOffice_project/56f7684011345957bbf33a7ee678afaf4d2ba333</Application>
  <AppVersion>15.0000</AppVersion>
  <Pages>6</Pages>
  <Words>2967</Words>
  <Characters>21167</Characters>
  <CharactersWithSpaces>24096</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2023-08-17T08:45:00Z</dcterms:created>
  <dc:creator>Евгения</dc:creator>
  <dc:description/>
  <dc:language>ru-RU</dc:language>
  <cp:lastModifiedBy/>
  <cp:lastPrinted>2022-01-11T03:38:00Z</cp:lastPrinted>
  <dcterms:modified xsi:type="dcterms:W3CDTF">2025-03-25T16:35:56Z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