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center"/>
        <w:rPr>
          <w:rFonts w:ascii="Times New Roman" w:hAnsi="Times New Roman" w:eastAsia="Courier New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Courier New" w:cs="Times New Roman"/>
          <w:b/>
          <w:color w:val="000000" w:themeColor="text1"/>
          <w:sz w:val="20"/>
          <w:szCs w:val="20"/>
        </w:rPr>
        <w:t xml:space="preserve">ТРЕБОВАНИЯ К СОДЕРЖАНИЮ, СОСТАВУ ЗАЯВКИ НА УЧАСТИЕ В ЗАКУПКЕ </w:t>
      </w:r>
      <w:r>
        <w:rPr>
          <w:color w:val="000000" w:themeColor="text1"/>
        </w:rPr>
      </w:r>
      <w:r/>
    </w:p>
    <w:p>
      <w:pPr>
        <w:pStyle w:val="844"/>
        <w:jc w:val="center"/>
        <w:rPr>
          <w:rFonts w:ascii="Times New Roman" w:hAnsi="Times New Roman" w:eastAsia="Courier New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eastAsia="Courier New" w:cs="Times New Roman"/>
          <w:b/>
          <w:color w:val="000000" w:themeColor="text1"/>
          <w:sz w:val="20"/>
          <w:szCs w:val="20"/>
        </w:rPr>
        <w:t xml:space="preserve">И ИНСТРУКЦИЯ ПО ЕЕ ЗАПОЛНЕНИЮ</w:t>
      </w:r>
      <w:r>
        <w:rPr>
          <w:color w:val="000000" w:themeColor="text1"/>
        </w:rPr>
      </w:r>
      <w:r/>
    </w:p>
    <w:p>
      <w:pPr>
        <w:pStyle w:val="844"/>
        <w:jc w:val="center"/>
        <w:rPr>
          <w:rFonts w:ascii="Times New Roman" w:hAnsi="Times New Roman" w:eastAsia="Courier New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Courier New" w:cs="Times New Roman"/>
          <w:color w:val="000000" w:themeColor="text1"/>
          <w:sz w:val="20"/>
          <w:szCs w:val="20"/>
        </w:rPr>
      </w:r>
      <w:r>
        <w:rPr>
          <w:color w:val="000000" w:themeColor="text1"/>
        </w:rPr>
      </w:r>
      <w:r/>
    </w:p>
    <w:tbl>
      <w:tblPr>
        <w:tblStyle w:val="847"/>
        <w:tblW w:w="10881" w:type="dxa"/>
        <w:tblLook w:val="04A0" w:firstRow="1" w:lastRow="0" w:firstColumn="1" w:lastColumn="0" w:noHBand="0" w:noVBand="1"/>
      </w:tblPr>
      <w:tblGrid>
        <w:gridCol w:w="534"/>
        <w:gridCol w:w="5103"/>
        <w:gridCol w:w="5244"/>
      </w:tblGrid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№ п/п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Требования к содержанию, составу заявки 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на участие в закупке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Текст пояснений</w:t>
            </w:r>
            <w:r>
              <w:rPr>
                <w:color w:val="000000" w:themeColor="text1"/>
              </w:rPr>
            </w:r>
            <w:r/>
          </w:p>
        </w:tc>
      </w:tr>
      <w:tr>
        <w:trPr>
          <w:trHeight w:val="495"/>
        </w:trPr>
        <w:tc>
          <w:tcPr>
            <w:gridSpan w:val="3"/>
            <w:shd w:val="clear" w:color="auto" w:fill="d9d9d9" w:themeFill="background1" w:themeFillShade="D9"/>
            <w:tcW w:w="10881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Информация и документы об участнике закупки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vAlign w:val="center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color w:val="000000" w:themeColor="text1"/>
              </w:rPr>
            </w:r>
            <w:r/>
          </w:p>
        </w:tc>
      </w:tr>
      <w:tr>
        <w:trPr>
          <w:trHeight w:val="701"/>
        </w:trPr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hyperlink w:tooltip="#P777" w:anchor="P777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пунктами 3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tooltip="#P780" w:anchor="P780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5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, </w:t>
            </w:r>
            <w:hyperlink w:tooltip="#P782" w:anchor="P782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7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tooltip="#P791" w:anchor="P791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11 части 1 статьи 31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Федерального закона № 44-ФЗ.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Если информация и документы, которые подтверждают соответствие участника закупки требованиям, установленным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</w:t>
            </w:r>
            <w:r>
              <w:rPr>
                <w:rFonts w:ascii="Times New Roman" w:hAnsi="Times New Roman" w:eastAsia="Courier New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tcW w:w="5244" w:type="dxa"/>
            <w:vAlign w:val="center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eastAsia="Courier New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vAlign w:val="center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eastAsia="Courier New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spacing w:line="220" w:lineRule="atLeast"/>
              <w:rPr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Информация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документы, которые подтверждают соответствие участника закупки требованиям, установленным пунктом 1 части 1 статьи 31 Федерального закона № 44-ФЗ (в случае установления требований о предоставлении соответствующих 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информации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документов в извещении об осуществлении закупки).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spacing w:line="220" w:lineRule="atLeast"/>
              <w:rPr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ственных реестрах, размещенных в информационно-телекоммуникационной сети «Интернет»,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</w:rPr>
              <w:t xml:space="preserve">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е 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>
          <w:trHeight w:val="0"/>
        </w:trPr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Информация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документы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, подтверждающие 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соответствие участника закупки дополнительным требованиям, установленным в соответствии с </w:t>
            </w:r>
            <w:hyperlink w:tooltip="#P795" w:anchor="P795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частями 2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и </w:t>
            </w:r>
            <w:hyperlink w:tooltip="#P801" w:anchor="P801" w:history="1">
              <w:r>
                <w:rPr>
                  <w:rFonts w:ascii="Times New Roman" w:hAnsi="Times New Roman" w:eastAsia="Courier New" w:cs="Times New Roman"/>
                  <w:color w:val="000000" w:themeColor="text1"/>
                  <w:sz w:val="20"/>
                  <w:szCs w:val="20"/>
                </w:rPr>
                <w:t xml:space="preserve">2.1</w:t>
              </w:r>
            </w:hyperlink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(при наличии таких требований) статьи 31 Федерального закона № 44-ФЗ, если иное не предусмотрено Федеральным законом № 44-ФЗ.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eastAsia="Courier New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 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gridSpan w:val="3"/>
            <w:tcW w:w="10881" w:type="dxa"/>
            <w:vMerge w:val="restart"/>
            <w:textDirection w:val="lrTb"/>
            <w:noWrap w:val="false"/>
          </w:tcPr>
          <w:p>
            <w:pPr>
              <w:pStyle w:val="844"/>
              <w:contextualSpacing/>
              <w:jc w:val="both"/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Courier New" w:cs="Times New Roman"/>
                <w:b/>
                <w:bCs/>
                <w:color w:val="000000" w:themeColor="text1"/>
                <w:sz w:val="20"/>
                <w:szCs w:val="20"/>
                <w:highlight w:val="white"/>
                <w:vertAlign w:val="superscript"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В целях исключения необоснованного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отклонени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за несоответстви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участника закупки требованиям, </w:t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установленным </w:t>
            </w:r>
            <w:bookmarkStart w:id="0" w:name="undefined"/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fldChar w:fldCharType="begin"/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instrText xml:space="preserve">HYPERLINK \l "P777" \o "#P777"</w:instrTex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пунктами 3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- </w:t>
            </w:r>
            <w:hyperlink w:tooltip="#P780" w:anchor="P780" w:history="1">
              <w:r>
                <w:rPr>
                  <w:rFonts w:ascii="Times New Roman" w:hAnsi="Times New Roman" w:eastAsia="Courier New" w:cs="Times New Roman"/>
                  <w:b/>
                  <w:bCs/>
                  <w:i/>
                  <w:color w:val="000000" w:themeColor="text1"/>
                  <w:sz w:val="20"/>
                  <w:szCs w:val="20"/>
                  <w:highlight w:val="white"/>
                </w:rPr>
                <w:t xml:space="preserve">5</w:t>
              </w:r>
            </w:hyperlink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, </w:t>
            </w:r>
            <w:hyperlink w:tooltip="#P782" w:anchor="P782" w:history="1">
              <w:r>
                <w:rPr>
                  <w:rFonts w:ascii="Times New Roman" w:hAnsi="Times New Roman" w:eastAsia="Courier New" w:cs="Times New Roman"/>
                  <w:b/>
                  <w:bCs/>
                  <w:i/>
                  <w:color w:val="000000" w:themeColor="text1"/>
                  <w:sz w:val="20"/>
                  <w:szCs w:val="20"/>
                  <w:highlight w:val="white"/>
                </w:rPr>
                <w:t xml:space="preserve">7</w:t>
              </w:r>
            </w:hyperlink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- </w:t>
            </w:r>
            <w:hyperlink w:tooltip="#P791" w:anchor="P791" w:history="1">
              <w:r>
                <w:rPr>
                  <w:rFonts w:ascii="Times New Roman" w:hAnsi="Times New Roman" w:eastAsia="Courier New" w:cs="Times New Roman"/>
                  <w:b/>
                  <w:bCs/>
                  <w:i/>
                  <w:color w:val="000000" w:themeColor="text1"/>
                  <w:sz w:val="20"/>
                  <w:szCs w:val="20"/>
                  <w:highlight w:val="white"/>
                </w:rPr>
                <w:t xml:space="preserve">11 части 1 статьи 31</w:t>
              </w:r>
            </w:hyperlink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Федерального закона № 44-ФЗ</w:t>
            </w:r>
            <w:bookmarkEnd w:id="0"/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рекомендуем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в составе заявки участника закупки предоставлять «</w:t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Выписку из сервиса оценки юридических лиц или индивидуальных предпринимателей»</w:t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Федеральной налоговой службы России</w:t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(инструкция по получению выписки прилагается)</w:t>
            </w:r>
            <w:r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/>
          </w:p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Непредставление выписки не является основанием для отклонения заявки участника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/>
          </w:p>
        </w:tc>
      </w:tr>
      <w:tr>
        <w:trPr>
          <w:trHeight w:val="340"/>
        </w:trPr>
        <w:tc>
          <w:tcPr>
            <w:gridSpan w:val="3"/>
            <w:shd w:val="clear" w:color="auto" w:fill="d9d9d9" w:themeFill="background1" w:themeFillShade="D9"/>
            <w:tcW w:w="10881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2. Предложение участника закупки в отношении объекта закупки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2.1.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Характеристики предла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гаемого участником закупки товара (в том числе поставляемого заказчику при выполнении закупаемых работ, оказании закупаемых услуг), соответствующие показателям, установленным в описании объекта закупки, товарный знак (при наличии у товара товарного знака).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  <w:highlight w:val="none"/>
              </w:rPr>
            </w:r>
            <w:r/>
          </w:p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*Информация о товаре</w:t>
            </w:r>
            <w:r>
              <w:rPr>
                <w:rFonts w:ascii="Times New Roman" w:hAnsi="Times New Roman" w:eastAsia="Courier New" w:cs="Times New Roman"/>
                <w:b/>
                <w:i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может не включаться в заявку на участи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Не 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2.2.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Наименование страны происхождения товара в соответствии с общероссийским классификатором, используемым для идентификации стран мира.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Не 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2.3.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подтверждающие соответствие товара, работы или услуги требованиям, установленным в соответс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  <w:t xml:space="preserve">е установлено.</w:t>
            </w:r>
            <w:r>
              <w:rPr>
                <w:i w:val="0"/>
                <w:iCs w:val="0"/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2.4.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При формировании предложения в отношении объекта закупки Участник закупки вправе предоставить иные информацию и документы, в том числе эскиз, рисунок, чертеж, фотография, иное изображение предлагаемого участником закупки товара.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vMerge w:val="restart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</w:rPr>
              <w:t xml:space="preserve">2.5.</w:t>
            </w:r>
            <w:r>
              <w:rPr>
                <w:rFonts w:ascii="Times New Roman" w:hAnsi="Times New Roman" w:eastAsia="Courier New" w:cs="Times New Roman"/>
              </w:rPr>
            </w:r>
            <w:r/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pStyle w:val="844"/>
              <w:jc w:val="both"/>
              <w:rPr>
                <w:rFonts w:ascii="Times New Roman" w:hAnsi="Times New Roman" w:eastAsia="Courier New" w:cs="Times New Roman"/>
              </w:rPr>
            </w:pPr>
            <w:r>
              <w:rPr>
                <w:rFonts w:ascii="Times New Roman" w:hAnsi="Times New Roman" w:eastAsia="Courier New" w:cs="Times New Roman"/>
                <w:sz w:val="20"/>
                <w:szCs w:val="20"/>
              </w:rPr>
              <w:t xml:space="preserve">Предложение участника закупки о цене контракта, либо, в случае, предусмотренном частью 24 статьи 22 Федерального закона  № 44-ФЗ - предложение участника электронного запроса котировок о сумме цен единиц товара, работы, услуги;</w:t>
            </w:r>
            <w:r>
              <w:rPr>
                <w:rFonts w:ascii="Times New Roman" w:hAnsi="Times New Roman" w:eastAsia="Courier New" w:cs="Times New Roman"/>
              </w:rPr>
            </w:r>
            <w:r/>
          </w:p>
        </w:tc>
        <w:tc>
          <w:tcPr>
            <w:tcW w:w="524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Установлено.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</w:tr>
      <w:tr>
        <w:trPr/>
        <w:tc>
          <w:tcPr>
            <w:gridSpan w:val="3"/>
            <w:shd w:val="clear" w:color="auto" w:fill="d9d9d9" w:themeFill="background1" w:themeFillShade="D9"/>
            <w:tcW w:w="10881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3. Информация и документы, предусмотренные нормативными правовыми актами, принятыми в соответствии с </w:t>
            </w:r>
            <w:hyperlink w:tooltip="#P293" w:anchor="P293" w:history="1">
              <w:r>
                <w:rPr>
                  <w:rFonts w:ascii="Times New Roman" w:hAnsi="Times New Roman" w:eastAsia="Courier New" w:cs="Times New Roman"/>
                  <w:b/>
                  <w:color w:val="000000" w:themeColor="text1"/>
                  <w:sz w:val="20"/>
                  <w:szCs w:val="20"/>
                </w:rPr>
                <w:t xml:space="preserve">частями 3</w:t>
              </w:r>
            </w:hyperlink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 и </w:t>
            </w:r>
            <w:hyperlink w:tooltip="#P295" w:anchor="P295" w:history="1">
              <w:r>
                <w:rPr>
                  <w:rFonts w:ascii="Times New Roman" w:hAnsi="Times New Roman" w:eastAsia="Courier New" w:cs="Times New Roman"/>
                  <w:b/>
                  <w:color w:val="000000" w:themeColor="text1"/>
                  <w:sz w:val="20"/>
                  <w:szCs w:val="20"/>
                </w:rPr>
                <w:t xml:space="preserve">4 статьи 14</w:t>
              </w:r>
            </w:hyperlink>
            <w:r>
              <w:rPr>
                <w:rFonts w:ascii="Times New Roman" w:hAnsi="Times New Roman" w:eastAsia="Courier New" w:cs="Times New Roman"/>
                <w:b/>
                <w:color w:val="000000" w:themeColor="text1"/>
                <w:sz w:val="20"/>
                <w:szCs w:val="20"/>
              </w:rPr>
              <w:t xml:space="preserve"> Федерального закона № 44-ФЗ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3.1.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 случае отсутствия таких информации и документов в заявке на уча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844"/>
              <w:ind w:firstLine="482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Установлен запрет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Постановлением Правительства Российской Федерации о мерах по предоставлению национального режима от 23.12.2024 № 1875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844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pStyle w:val="844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  <w:t xml:space="preserve">п. 146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ind w:firstLine="540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 xml:space="preserve">порядковый номер реестровой записи из единого реестра российских программ для электронных вычислительных машин и баз данных </w:t>
            </w: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п.146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когда установлены дополнительные требования согласно ПП 325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 xml:space="preserve">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</w:t>
            </w:r>
            <w:hyperlink r:id="rId10" w:tooltip="https://login.consultant.ru/link/?req=doc&amp;base=LAW&amp;n=301290&amp;dst=100017&amp;field=134&amp;date=23.01.2025" w:history="1">
              <w:r>
                <w:rPr>
                  <w:rStyle w:val="818"/>
                  <w:i/>
                  <w:color w:val="000000" w:themeColor="text1"/>
                  <w:sz w:val="20"/>
                  <w:szCs w:val="20"/>
                </w:rPr>
                <w:t xml:space="preserve">требованиям</w:t>
              </w:r>
            </w:hyperlink>
            <w:r>
              <w:rPr>
                <w:i/>
                <w:color w:val="000000" w:themeColor="text1"/>
                <w:sz w:val="20"/>
                <w:szCs w:val="20"/>
              </w:rPr>
              <w:t xml:space="preserve"> к программному обеспечению, утвержденным постановлением Правительства Российской Федерации от 23 марта 2017 г. N 325 "Об утверждении дополнительных требований к программам для электрон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данных"</w:t>
            </w: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или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ind w:firstLine="540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 xml:space="preserve"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</w:t>
            </w: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color w:val="000000" w:themeColor="text1"/>
              </w:rPr>
            </w:r>
          </w:p>
          <w:p>
            <w:pPr>
              <w:pStyle w:val="844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п.146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когда установлены дополнительные требования согласно ПП 325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ind w:firstLine="540"/>
              <w:jc w:val="both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i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pStyle w:val="1_632"/>
              <w:ind w:firstLine="540"/>
              <w:jc w:val="both"/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bCs/>
                <w:color w:val="c00000"/>
                <w:highlight w:val="yellow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</w:t>
            </w:r>
            <w:hyperlink r:id="rId11" w:tooltip="https://login.consultant.ru/link/?req=doc&amp;base=LAW&amp;n=301290&amp;dst=100017&amp;field=134&amp;date=23.01.2025" w:history="1">
              <w:r>
                <w:rPr>
                  <w:rStyle w:val="818"/>
                  <w:i/>
                  <w:color w:val="000000" w:themeColor="text1"/>
                  <w:sz w:val="20"/>
                  <w:szCs w:val="20"/>
                </w:rPr>
                <w:t xml:space="preserve">требованиям</w:t>
              </w:r>
            </w:hyperlink>
            <w:r>
              <w:rPr>
                <w:i/>
                <w:color w:val="000000" w:themeColor="text1"/>
                <w:sz w:val="20"/>
                <w:szCs w:val="20"/>
              </w:rPr>
              <w:t xml:space="preserve"> к программному обеспечению, утвержденным постановлением Правительства Российской Федерации от 23 марта 2017 г. N 325 "Об утверждении дополнительных требований к программам для электрон</w:t>
            </w:r>
            <w:r>
              <w:rPr>
                <w:i/>
                <w:color w:val="000000" w:themeColor="text1"/>
                <w:sz w:val="20"/>
                <w:szCs w:val="20"/>
              </w:rPr>
              <w:t xml:space="preserve">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данных"</w:t>
            </w:r>
            <w:r>
              <w:rPr>
                <w:i/>
                <w:color w:val="000000" w:themeColor="text1"/>
                <w:sz w:val="20"/>
                <w:szCs w:val="20"/>
              </w:rPr>
            </w:r>
            <w:r/>
          </w:p>
          <w:p>
            <w:pPr>
              <w:jc w:val="both"/>
              <w:rPr>
                <w:rFonts w:ascii="Times New Roman" w:hAnsi="Times New Roman" w:cs="Times New Roman"/>
                <w:b/>
                <w:bCs w:val="0"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  <w:sz w:val="20"/>
                <w:szCs w:val="20"/>
              </w:rPr>
            </w:r>
            <w:r/>
          </w:p>
        </w:tc>
      </w:tr>
      <w:tr>
        <w:trPr>
          <w:trHeight w:val="340"/>
        </w:trPr>
        <w:tc>
          <w:tcPr>
            <w:gridSpan w:val="3"/>
            <w:shd w:val="clear" w:color="auto" w:fill="d9d9d9" w:themeFill="background1" w:themeFillShade="D9"/>
            <w:tcW w:w="10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4. Инструкция по заполнению заявки на участие в закупке</w:t>
            </w:r>
            <w:r>
              <w:rPr>
                <w:color w:val="000000" w:themeColor="text1"/>
              </w:rPr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.1.</w:t>
            </w:r>
            <w:r>
              <w:rPr>
                <w:color w:val="000000" w:themeColor="text1"/>
              </w:rPr>
            </w:r>
            <w:r/>
          </w:p>
        </w:tc>
        <w:tc>
          <w:tcPr>
            <w:gridSpan w:val="2"/>
            <w:tcW w:w="10347" w:type="dxa"/>
            <w:textDirection w:val="lrTb"/>
            <w:noWrap w:val="false"/>
          </w:tcPr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1. Подать заявку на участие в закупке вправе только зарегистриров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анный в единой информационной системе и аккредитованный на электронной площадке, участник закупки путем направления такой заявки в соответствии с Федеральным законом № 44-ФЗ оператору электронной площадки, оператору специализированной электронной площадки.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2.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закупки, до окончания срока подачи заявок на участие в закупке.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3. Подача заявки на участие в закупке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4. Заявка на участие в закупке должна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 быть заполнена на русском языке. Отдельные документы (или их части), предоставленные участником закупки в составе заявки на участие в закупке, могут быть подготовлены на другом языке при условии, что к ним будет прилагаться точный перевод необходимых разд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елов на русский язык.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нотариате, утвержденных Верховным Советом РФ 11 февраля 1993 года № 4462-1.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5. При оформлении заявки участникам закупки следует использовать общепринятые обозначения и наименования в соответствии с требованиями действующих нормативных актов. Сведения, которые содержатся в заявке, не должны допускать двусмысленных толкований. 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6. Все документы, входящие в состав заявки на участие в закупке, должны иметь четко читаемый текст.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7. Характеристики предлагаемог</w:t>
            </w: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о участником закупки товара (в том числе поставляемого заказчику при выполнении закупаемых работ, оказании закупаемых услуг, должны соответствовать показателям, установленным в описании объекта закупки, товарный знак (при наличии у товара товарного знака).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8. Участником закупки в заявке устанавливаются характеристики и показатели товара, подлежащие указанию в заявке, соответствующие значениям, установленным в описании объекта закупки. 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jc w:val="both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9. При подаче сведений относительно предложенного товара участником закупки должны применяться обозначения (характеристики и показатели товара, подлежащие указанию в заявке) в соответствии с обозначениями, установленными в описании объекта закупки. </w:t>
            </w:r>
            <w:r>
              <w:rPr>
                <w:color w:val="000000" w:themeColor="text1"/>
              </w:rPr>
            </w:r>
            <w:r/>
          </w:p>
          <w:p>
            <w:pPr>
              <w:pStyle w:val="844"/>
              <w:ind w:firstLine="171"/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Courier New" w:cs="Times New Roman"/>
                <w:color w:val="000000" w:themeColor="text1"/>
                <w:sz w:val="20"/>
                <w:szCs w:val="20"/>
              </w:rPr>
              <w:t xml:space="preserve">10. Ответственность за достоверность сведений, указанных в заявке, несет участник закупки</w:t>
            </w:r>
            <w:r>
              <w:rPr>
                <w:color w:val="000000" w:themeColor="text1"/>
              </w:rPr>
            </w:r>
            <w:r/>
          </w:p>
        </w:tc>
      </w:tr>
    </w:tbl>
    <w:p>
      <w:pPr>
        <w:pStyle w:val="844"/>
        <w:jc w:val="center"/>
        <w:rPr>
          <w:rFonts w:ascii="Times New Roman" w:hAnsi="Times New Roman" w:eastAsia="Courier New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Courier New" w:cs="Times New Roman"/>
          <w:color w:val="000000" w:themeColor="text1"/>
          <w:sz w:val="20"/>
          <w:szCs w:val="20"/>
        </w:rPr>
      </w:r>
      <w:r>
        <w:rPr>
          <w:color w:val="000000" w:themeColor="text1"/>
        </w:rPr>
      </w:r>
      <w:r/>
    </w:p>
    <w:sectPr>
      <w:footerReference w:type="default" r:id="rId9"/>
      <w:footnotePr/>
      <w:endnotePr/>
      <w:type w:val="nextPage"/>
      <w:pgSz w:w="11900" w:h="16840" w:orient="portrait"/>
      <w:pgMar w:top="568" w:right="800" w:bottom="426" w:left="800" w:header="720" w:footer="40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 xml:space="preserve">3</w:t>
    </w:r>
    <w:r>
      <w:rPr>
        <w:sz w:val="18"/>
        <w:szCs w:val="18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40" w:hanging="227"/>
        <w:tabs>
          <w:tab w:val="num" w:pos="54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6"/>
    <w:next w:val="836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38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6"/>
    <w:next w:val="836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38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38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38"/>
    <w:link w:val="670"/>
    <w:uiPriority w:val="9"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838"/>
    <w:link w:val="837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6"/>
    <w:next w:val="836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8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6"/>
    <w:next w:val="836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6"/>
    <w:next w:val="836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8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6"/>
    <w:next w:val="836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8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Title"/>
    <w:basedOn w:val="836"/>
    <w:next w:val="836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8"/>
    <w:link w:val="681"/>
    <w:uiPriority w:val="10"/>
    <w:rPr>
      <w:sz w:val="48"/>
      <w:szCs w:val="48"/>
    </w:rPr>
  </w:style>
  <w:style w:type="paragraph" w:styleId="683">
    <w:name w:val="Subtitle"/>
    <w:basedOn w:val="836"/>
    <w:next w:val="836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38"/>
    <w:link w:val="683"/>
    <w:uiPriority w:val="11"/>
    <w:rPr>
      <w:sz w:val="24"/>
      <w:szCs w:val="24"/>
    </w:rPr>
  </w:style>
  <w:style w:type="paragraph" w:styleId="685">
    <w:name w:val="Quote"/>
    <w:basedOn w:val="836"/>
    <w:next w:val="836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6"/>
    <w:next w:val="836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character" w:styleId="689">
    <w:name w:val="Header Char"/>
    <w:basedOn w:val="838"/>
    <w:link w:val="848"/>
    <w:uiPriority w:val="99"/>
  </w:style>
  <w:style w:type="character" w:styleId="690">
    <w:name w:val="Footer Char"/>
    <w:basedOn w:val="838"/>
    <w:link w:val="850"/>
    <w:uiPriority w:val="99"/>
  </w:style>
  <w:style w:type="paragraph" w:styleId="691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850"/>
    <w:uiPriority w:val="99"/>
  </w:style>
  <w:style w:type="table" w:styleId="693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8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8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paragraph" w:styleId="837">
    <w:name w:val="Heading 5"/>
    <w:basedOn w:val="836"/>
    <w:next w:val="836"/>
    <w:link w:val="846"/>
    <w:qFormat/>
    <w:pPr>
      <w:jc w:val="center"/>
      <w:keepNext/>
      <w:spacing w:after="0" w:line="240" w:lineRule="auto"/>
      <w:outlineLvl w:val="4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Balloon Text"/>
    <w:basedOn w:val="836"/>
    <w:link w:val="84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2" w:customStyle="1">
    <w:name w:val="Текст выноски Знак"/>
    <w:basedOn w:val="838"/>
    <w:link w:val="841"/>
    <w:uiPriority w:val="99"/>
    <w:semiHidden/>
    <w:rPr>
      <w:rFonts w:ascii="Segoe UI" w:hAnsi="Segoe UI" w:cs="Segoe UI"/>
      <w:sz w:val="18"/>
      <w:szCs w:val="18"/>
    </w:rPr>
  </w:style>
  <w:style w:type="paragraph" w:styleId="843">
    <w:name w:val="List Paragraph"/>
    <w:basedOn w:val="836"/>
    <w:uiPriority w:val="34"/>
    <w:qFormat/>
    <w:pPr>
      <w:contextualSpacing/>
      <w:ind w:left="720"/>
    </w:pPr>
  </w:style>
  <w:style w:type="paragraph" w:styleId="844">
    <w:name w:val="No Spacing"/>
    <w:uiPriority w:val="1"/>
    <w:qFormat/>
    <w:pPr>
      <w:spacing w:after="0" w:line="240" w:lineRule="auto"/>
    </w:pPr>
  </w:style>
  <w:style w:type="paragraph" w:styleId="845" w:customStyle="1">
    <w:name w:val="docdata"/>
    <w:basedOn w:val="8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46" w:customStyle="1">
    <w:name w:val="Заголовок 5 Знак"/>
    <w:basedOn w:val="838"/>
    <w:link w:val="837"/>
    <w:uiPriority w:val="9"/>
    <w:rPr>
      <w:rFonts w:ascii="Times New Roman" w:hAnsi="Times New Roman" w:eastAsia="Times New Roman" w:cs="Times New Roman"/>
      <w:b/>
      <w:sz w:val="28"/>
      <w:szCs w:val="20"/>
    </w:rPr>
  </w:style>
  <w:style w:type="table" w:styleId="847">
    <w:name w:val="Table Grid"/>
    <w:basedOn w:val="83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8">
    <w:name w:val="Header"/>
    <w:basedOn w:val="836"/>
    <w:link w:val="84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9" w:customStyle="1">
    <w:name w:val="Верхний колонтитул Знак"/>
    <w:basedOn w:val="838"/>
    <w:link w:val="848"/>
    <w:uiPriority w:val="99"/>
  </w:style>
  <w:style w:type="paragraph" w:styleId="850">
    <w:name w:val="Footer"/>
    <w:basedOn w:val="836"/>
    <w:link w:val="85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1" w:customStyle="1">
    <w:name w:val="Нижний колонтитул Знак"/>
    <w:basedOn w:val="838"/>
    <w:link w:val="850"/>
    <w:uiPriority w:val="99"/>
  </w:style>
  <w:style w:type="paragraph" w:styleId="1_632" w:customStyle="1">
    <w:name w:val="Normal (Web)"/>
    <w:basedOn w:val="664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ogin.consultant.ru/link/?req=doc&amp;base=LAW&amp;n=301290&amp;dst=100017&amp;field=134&amp;date=23.01.2025" TargetMode="External"/><Relationship Id="rId11" Type="http://schemas.openxmlformats.org/officeDocument/2006/relationships/hyperlink" Target="https://login.consultant.ru/link/?req=doc&amp;base=LAW&amp;n=301290&amp;dst=100017&amp;field=134&amp;date=23.01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revision>25</cp:revision>
  <dcterms:created xsi:type="dcterms:W3CDTF">2024-10-22T06:55:00Z</dcterms:created>
  <dcterms:modified xsi:type="dcterms:W3CDTF">2026-08-18T12:00:28Z</dcterms:modified>
</cp:coreProperties>
</file>