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5"/>
        <w:jc w:val="center"/>
        <w:rPr>
          <w:rFonts w:ascii="Times New Roman" w:hAnsi="Times New Roman" w:eastAsia="Courier New" w:cs="Times New Roman"/>
          <w:b/>
          <w:sz w:val="20"/>
          <w:szCs w:val="20"/>
        </w:rPr>
      </w:pPr>
      <w:r>
        <w:rPr>
          <w:rFonts w:ascii="Times New Roman" w:hAnsi="Times New Roman" w:eastAsia="Courier New" w:cs="Times New Roman"/>
          <w:b/>
          <w:sz w:val="20"/>
          <w:szCs w:val="20"/>
        </w:rPr>
        <w:t xml:space="preserve">ТРЕБОВАНИЯ К СОДЕРЖАНИЮ, СОСТАВУ ЗАЯВКИ НА УЧАСТИЕ В ЗАКУПКЕ </w:t>
      </w:r>
      <w:r/>
    </w:p>
    <w:p>
      <w:pPr>
        <w:pStyle w:val="855"/>
        <w:jc w:val="center"/>
        <w:rPr>
          <w:rFonts w:ascii="Times New Roman" w:hAnsi="Times New Roman" w:eastAsia="Courier New" w:cs="Times New Roman"/>
          <w:b/>
          <w:sz w:val="20"/>
          <w:szCs w:val="20"/>
        </w:rPr>
      </w:pPr>
      <w:r>
        <w:rPr>
          <w:rFonts w:ascii="Times New Roman" w:hAnsi="Times New Roman" w:eastAsia="Courier New" w:cs="Times New Roman"/>
          <w:b/>
          <w:sz w:val="20"/>
          <w:szCs w:val="20"/>
        </w:rPr>
        <w:t xml:space="preserve">И ИНСТРУКЦИЯ ПО ЕЕ ЗАПОЛНЕНИЮ</w:t>
      </w:r>
      <w:r/>
    </w:p>
    <w:p>
      <w:pPr>
        <w:pStyle w:val="855"/>
        <w:jc w:val="center"/>
        <w:rPr>
          <w:rFonts w:ascii="Times New Roman" w:hAnsi="Times New Roman" w:eastAsia="Courier New" w:cs="Times New Roman"/>
          <w:sz w:val="20"/>
          <w:szCs w:val="20"/>
        </w:rPr>
      </w:pPr>
      <w:r>
        <w:rPr>
          <w:rFonts w:ascii="Times New Roman" w:hAnsi="Times New Roman" w:eastAsia="Courier New" w:cs="Times New Roman"/>
          <w:sz w:val="20"/>
          <w:szCs w:val="20"/>
        </w:rPr>
      </w:r>
      <w:r/>
    </w:p>
    <w:tbl>
      <w:tblPr>
        <w:tblStyle w:val="858"/>
        <w:tblW w:w="10771" w:type="dxa"/>
        <w:tblLook w:val="04A0" w:firstRow="1" w:lastRow="0" w:firstColumn="1" w:lastColumn="0" w:noHBand="0" w:noVBand="1"/>
      </w:tblPr>
      <w:tblGrid>
        <w:gridCol w:w="601"/>
        <w:gridCol w:w="5206"/>
        <w:gridCol w:w="4964"/>
      </w:tblGrid>
      <w:tr>
        <w:trPr/>
        <w:tc>
          <w:tcPr>
            <w:tcW w:w="601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№ п/п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206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Требования к содержанию, составу заявки </w:t>
            </w:r>
            <w:r>
              <w:rPr>
                <w:color w:val="000000" w:themeColor="text1"/>
              </w:rPr>
            </w:r>
            <w:r/>
          </w:p>
          <w:p>
            <w:pPr>
              <w:pStyle w:val="855"/>
              <w:jc w:val="center"/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на участие в закупке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4959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Текст пояснений</w:t>
            </w:r>
            <w:r>
              <w:rPr>
                <w:color w:val="000000" w:themeColor="text1"/>
              </w:rPr>
            </w:r>
            <w:r/>
          </w:p>
        </w:tc>
      </w:tr>
      <w:tr>
        <w:trPr>
          <w:trHeight w:val="495"/>
        </w:trPr>
        <w:tc>
          <w:tcPr>
            <w:gridSpan w:val="3"/>
            <w:shd w:val="clear" w:color="auto" w:fill="d9d9d9"/>
            <w:tcW w:w="10771" w:type="dxa"/>
            <w:vAlign w:val="center"/>
            <w:textDirection w:val="lrTb"/>
            <w:noWrap w:val="false"/>
          </w:tcPr>
          <w:p>
            <w:pPr>
              <w:pStyle w:val="855"/>
              <w:jc w:val="center"/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Информация и документы об участнике закупки</w:t>
            </w:r>
            <w:r>
              <w:rPr>
                <w:color w:val="000000" w:themeColor="text1"/>
              </w:rPr>
            </w:r>
            <w:r/>
          </w:p>
        </w:tc>
      </w:tr>
      <w:tr>
        <w:trPr/>
        <w:tc>
          <w:tcPr>
            <w:tcW w:w="601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1.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1.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206" w:type="dxa"/>
            <w:textDirection w:val="lrTb"/>
            <w:noWrap w:val="false"/>
          </w:tcPr>
          <w:p>
            <w:pPr>
              <w:pStyle w:val="855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</w:t>
            </w:r>
            <w:bookmarkStart w:id="0" w:name="_GoBack"/>
            <w:r>
              <w:rPr>
                <w:color w:val="000000" w:themeColor="text1"/>
              </w:rPr>
            </w:r>
            <w:bookmarkEnd w:id="0"/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документами юридического лица и для участника за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4959" w:type="dxa"/>
            <w:vAlign w:val="center"/>
            <w:textDirection w:val="lrTb"/>
            <w:noWrap w:val="false"/>
          </w:tcPr>
          <w:p>
            <w:pPr>
              <w:pStyle w:val="855"/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Установлено.</w:t>
            </w:r>
            <w:r>
              <w:rPr>
                <w:color w:val="000000" w:themeColor="text1"/>
              </w:rPr>
            </w:r>
            <w:r/>
          </w:p>
        </w:tc>
      </w:tr>
      <w:tr>
        <w:trPr/>
        <w:tc>
          <w:tcPr>
            <w:tcW w:w="601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  <w:highlight w:val="none"/>
              </w:rPr>
              <w:t xml:space="preserve">1.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  <w:highlight w:val="none"/>
              </w:rPr>
              <w:t xml:space="preserve">2.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206" w:type="dxa"/>
            <w:textDirection w:val="lrTb"/>
            <w:noWrap w:val="false"/>
          </w:tcPr>
          <w:p>
            <w:pPr>
              <w:pStyle w:val="855"/>
              <w:jc w:val="both"/>
              <w:rPr>
                <w:rFonts w:ascii="Times New Roman" w:hAnsi="Times New Roman" w:eastAsia="Courier New" w:cs="Times New Roman"/>
                <w:color w:val="000000" w:themeColor="text1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Декларация о соответствии участника закупки требованиям, установленным </w:t>
            </w:r>
            <w:hyperlink w:tooltip="#P777" w:anchor="P777" w:history="1">
              <w:r>
                <w:rPr>
                  <w:rFonts w:ascii="Times New Roman" w:hAnsi="Times New Roman" w:eastAsia="Courier New" w:cs="Times New Roman"/>
                  <w:color w:val="000000" w:themeColor="text1"/>
                  <w:sz w:val="20"/>
                  <w:szCs w:val="20"/>
                </w:rPr>
                <w:t xml:space="preserve">пунктами 3</w:t>
              </w:r>
            </w:hyperlink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- </w:t>
            </w:r>
            <w:hyperlink w:tooltip="#P780" w:anchor="P780" w:history="1">
              <w:r>
                <w:rPr>
                  <w:rFonts w:ascii="Times New Roman" w:hAnsi="Times New Roman" w:eastAsia="Courier New" w:cs="Times New Roman"/>
                  <w:color w:val="000000" w:themeColor="text1"/>
                  <w:sz w:val="20"/>
                  <w:szCs w:val="20"/>
                </w:rPr>
                <w:t xml:space="preserve">5</w:t>
              </w:r>
            </w:hyperlink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, </w:t>
            </w:r>
            <w:hyperlink w:tooltip="#P782" w:anchor="P782" w:history="1">
              <w:r>
                <w:rPr>
                  <w:rFonts w:ascii="Times New Roman" w:hAnsi="Times New Roman" w:eastAsia="Courier New" w:cs="Times New Roman"/>
                  <w:color w:val="000000" w:themeColor="text1"/>
                  <w:sz w:val="20"/>
                  <w:szCs w:val="20"/>
                </w:rPr>
                <w:t xml:space="preserve">7</w:t>
              </w:r>
            </w:hyperlink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- </w:t>
            </w:r>
            <w:hyperlink w:tooltip="#P791" w:anchor="P791" w:history="1">
              <w:r>
                <w:rPr>
                  <w:rFonts w:ascii="Times New Roman" w:hAnsi="Times New Roman" w:eastAsia="Courier New" w:cs="Times New Roman"/>
                  <w:color w:val="000000" w:themeColor="text1"/>
                  <w:sz w:val="20"/>
                  <w:szCs w:val="20"/>
                </w:rPr>
                <w:t xml:space="preserve">11 части 1 статьи 31</w:t>
              </w:r>
            </w:hyperlink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Федерального закона № 44-ФЗ.</w:t>
            </w:r>
            <w:r>
              <w:rPr>
                <w:color w:val="000000" w:themeColor="text1"/>
              </w:rPr>
            </w:r>
            <w:r/>
          </w:p>
          <w:p>
            <w:pPr>
              <w:pStyle w:val="855"/>
              <w:jc w:val="both"/>
              <w:rPr>
                <w:rFonts w:ascii="Times New Roman" w:hAnsi="Times New Roman" w:eastAsia="Courier New" w:cs="Times New Roman"/>
                <w:color w:val="000000" w:themeColor="text1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  <w:r/>
          </w:p>
          <w:p>
            <w:pPr>
              <w:pStyle w:val="855"/>
              <w:jc w:val="both"/>
              <w:rPr>
                <w:rFonts w:ascii="Times New Roman" w:hAnsi="Times New Roman" w:eastAsia="Courier New" w:cs="Times New Roman"/>
                <w:color w:val="000000" w:themeColor="text1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eastAsia="Courier New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Courier New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Если информация и документы, которые подтверждают соответствие участника закупки требованиям, установленным</w:t>
            </w:r>
            <w:r>
              <w:rPr>
                <w:rFonts w:ascii="Times New Roman" w:hAnsi="Times New Roman" w:eastAsia="Courier New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 пунктом 1 части 1 статьи 31 Федерального закона № 44-ФЗ, содержатся в открытых и общедоступных государственных реестрах, размещенных в информационно-телекоммуникационной сети "Интернет", в указанную декларацию может быть также включено положение о соответ</w:t>
            </w:r>
            <w:r>
              <w:rPr>
                <w:rFonts w:ascii="Times New Roman" w:hAnsi="Times New Roman" w:eastAsia="Courier New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ствии участника закупки требованиям, установленным пунктом 1 части 1 статьи 31 Федерального закона № 44-ФЗ, с указанием адреса сайта или страницы сайта в информационно-телекоммуникационной сети "Интернет", на которых размещены такие информация и документы.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4959" w:type="dxa"/>
            <w:vAlign w:val="center"/>
            <w:textDirection w:val="lrTb"/>
            <w:noWrap w:val="false"/>
          </w:tcPr>
          <w:p>
            <w:pPr>
              <w:pStyle w:val="855"/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  <w:highlight w:val="none"/>
              </w:rPr>
              <w:t xml:space="preserve">Установлено.</w:t>
            </w:r>
            <w:r>
              <w:rPr>
                <w:color w:val="000000" w:themeColor="text1"/>
              </w:rPr>
            </w:r>
            <w:r/>
          </w:p>
        </w:tc>
      </w:tr>
      <w:tr>
        <w:trPr/>
        <w:tc>
          <w:tcPr>
            <w:tcW w:w="601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1.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3.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206" w:type="dxa"/>
            <w:textDirection w:val="lrTb"/>
            <w:noWrap w:val="false"/>
          </w:tcPr>
          <w:p>
            <w:pPr>
              <w:pStyle w:val="855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4959" w:type="dxa"/>
            <w:vAlign w:val="center"/>
            <w:textDirection w:val="lrTb"/>
            <w:noWrap w:val="false"/>
          </w:tcPr>
          <w:p>
            <w:pPr>
              <w:pStyle w:val="855"/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Установлено.</w:t>
            </w:r>
            <w:r>
              <w:rPr>
                <w:color w:val="000000" w:themeColor="text1"/>
              </w:rPr>
            </w:r>
            <w:r/>
          </w:p>
        </w:tc>
      </w:tr>
      <w:tr>
        <w:trPr/>
        <w:tc>
          <w:tcPr>
            <w:tcW w:w="601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1.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206" w:type="dxa"/>
            <w:textDirection w:val="lrTb"/>
            <w:noWrap w:val="false"/>
          </w:tcPr>
          <w:p>
            <w:pPr>
              <w:jc w:val="both"/>
              <w:spacing w:line="220" w:lineRule="atLeast"/>
              <w:rPr>
                <w:rFonts w:ascii="Times New Roman" w:hAnsi="Times New Roman" w:eastAsia="Courier New" w:cs="Times New Roman"/>
                <w:color w:val="000000" w:themeColor="text1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Информация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и документы, которые подтверждают соответствие участника закупки требованиям, установленным пунктом 1 части 1 статьи 31 Федерального закона № 44-ФЗ (в случае установления требований о предоставлении соответствующих 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информации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и документов в извещении об осуществлении закупки).</w:t>
            </w:r>
            <w:r>
              <w:rPr>
                <w:color w:val="000000" w:themeColor="text1"/>
              </w:rPr>
            </w:r>
            <w:r/>
          </w:p>
          <w:p>
            <w:pPr>
              <w:jc w:val="both"/>
              <w:spacing w:line="220" w:lineRule="atLeast"/>
              <w:rPr>
                <w:rFonts w:ascii="Times New Roman" w:hAnsi="Times New Roman" w:eastAsia="Courier New" w:cs="Times New Roman"/>
                <w:color w:val="000000" w:themeColor="text1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  <w:r/>
          </w:p>
          <w:p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0"/>
                <w:szCs w:val="20"/>
              </w:rPr>
              <w:t xml:space="preserve">Информация и документы могут не включаться в заявку на участие в закупке в случае, если указанные информация и документы содержатся в открытых и общедоступных государ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0"/>
                <w:szCs w:val="20"/>
              </w:rPr>
              <w:t xml:space="preserve">ственных реестрах, размещенных в информационно-телекоммуникационной сети «Интернет», и в такую заявку включена декларация о соответствии участника закупки требованиям, установленным пунктами 3 - 5, 7 - 11 части 1 статьи 31 Закона № 44-ФЗ, содержащая положе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0"/>
                <w:szCs w:val="20"/>
              </w:rPr>
              <w:t xml:space="preserve">ние о соответствии участника закупки требованиям, установленным пунктом 1 части 1 статьи 31 Закона № 44-ФЗ, с указанием адреса сайта или страницы сайта в информационно-телекоммуникационной сети «Интернет», на которых размещены такие информация и документы.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4959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е установлено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color w:val="000000" w:themeColor="text1"/>
              </w:rPr>
            </w:r>
            <w:r/>
          </w:p>
          <w:p>
            <w:pPr>
              <w:jc w:val="both"/>
              <w:rPr>
                <w:rFonts w:ascii="Times New Roman" w:hAnsi="Times New Roman" w:eastAsia="Courier New" w:cs="Times New Roman"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Courier New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  <w:r/>
          </w:p>
        </w:tc>
      </w:tr>
      <w:tr>
        <w:trPr/>
        <w:tc>
          <w:tcPr>
            <w:tcW w:w="601" w:type="dxa"/>
            <w:vAlign w:val="center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1.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color w:val="000000" w:themeColor="text1"/>
              </w:rPr>
            </w:r>
            <w:r/>
          </w:p>
          <w:p>
            <w:pPr>
              <w:pStyle w:val="855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  <w:r/>
          </w:p>
        </w:tc>
        <w:tc>
          <w:tcPr>
            <w:tcW w:w="520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ourier New" w:cs="Times New Roman"/>
                <w:color w:val="000000" w:themeColor="text1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Информация и документы, подтверждающие соответствие участника закупки дополнительным требованиям, установленным в соответствии с </w:t>
            </w:r>
            <w:hyperlink w:tooltip="#P795" w:anchor="P795" w:history="1">
              <w:r>
                <w:rPr>
                  <w:rFonts w:ascii="Times New Roman" w:hAnsi="Times New Roman" w:eastAsia="Courier New" w:cs="Times New Roman"/>
                  <w:color w:val="000000" w:themeColor="text1"/>
                  <w:sz w:val="20"/>
                  <w:szCs w:val="20"/>
                </w:rPr>
                <w:t xml:space="preserve">частью</w:t>
              </w:r>
              <w:r>
                <w:rPr>
                  <w:rFonts w:ascii="Times New Roman" w:hAnsi="Times New Roman" w:eastAsia="Courier New" w:cs="Times New Roman"/>
                  <w:color w:val="000000" w:themeColor="text1"/>
                  <w:sz w:val="20"/>
                  <w:szCs w:val="20"/>
                </w:rPr>
                <w:t xml:space="preserve"> 2</w:t>
              </w:r>
            </w:hyperlink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статьи 31 Федерального закона № 44-ФЗ, если иное не предусмотр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ено Федеральным законом № 44-ФЗ.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4959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Times New Roman" w:hAnsi="Times New Roman" w:eastAsia="Courier New" w:cs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eastAsia="Courier New" w:cs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е установлено.</w:t>
            </w:r>
            <w:r>
              <w:rPr>
                <w:color w:val="000000" w:themeColor="text1"/>
              </w:rPr>
            </w:r>
            <w:r/>
          </w:p>
          <w:p>
            <w:pPr>
              <w:pStyle w:val="855"/>
              <w:jc w:val="both"/>
              <w:rPr>
                <w:rFonts w:ascii="Times New Roman" w:hAnsi="Times New Roman" w:eastAsia="Courier New" w:cs="Times New Roman"/>
                <w:color w:val="000000" w:themeColor="text1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</w:rPr>
            </w:r>
            <w:r/>
          </w:p>
        </w:tc>
      </w:tr>
      <w:tr>
        <w:trPr/>
        <w:tc>
          <w:tcPr>
            <w:tcW w:w="6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20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ourier New" w:cs="Times New Roman"/>
                <w:color w:val="000000" w:themeColor="text1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Информация и документы, подтверждающие соответствие участника закупки дополнительным требованиям, установленным в соответствии с частью 2.1 статьи 31 Федерального закона № 44-ФЗ, если иное не предусмотр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ено Федеральным законом № 44-ФЗ.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4959" w:type="dxa"/>
            <w:vMerge w:val="restart"/>
            <w:textDirection w:val="lrTb"/>
            <w:noWrap w:val="false"/>
          </w:tcPr>
          <w:p>
            <w:pPr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 w:eastAsia="Courier New" w:cs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eastAsia="Courier New" w:cs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е установлено.</w:t>
            </w:r>
            <w:r>
              <w:rPr>
                <w:color w:val="000000" w:themeColor="text1"/>
              </w:rPr>
            </w:r>
            <w:r/>
          </w:p>
          <w:p>
            <w:pPr>
              <w:pStyle w:val="855"/>
              <w:jc w:val="both"/>
              <w:rPr>
                <w:rFonts w:ascii="Times New Roman" w:hAnsi="Times New Roman" w:eastAsia="Courier New" w:cs="Times New Roman"/>
                <w:color w:val="000000" w:themeColor="text1"/>
              </w:rPr>
            </w:pPr>
            <w:r>
              <w:rPr>
                <w:rFonts w:ascii="Times New Roman" w:hAnsi="Times New Roman" w:eastAsia="Courier New" w:cs="Times New Roman"/>
                <w:b/>
                <w:bCs/>
                <w:iCs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  <w:r/>
          </w:p>
        </w:tc>
      </w:tr>
      <w:tr>
        <w:trPr/>
        <w:tc>
          <w:tcPr>
            <w:tcW w:w="601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1.6.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206" w:type="dxa"/>
            <w:textDirection w:val="lrTb"/>
            <w:noWrap w:val="false"/>
          </w:tcPr>
          <w:p>
            <w:pPr>
              <w:pStyle w:val="855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Документы, подтверждающие квалификацию участника закупки.</w:t>
            </w:r>
            <w:r>
              <w:rPr>
                <w:color w:val="000000" w:themeColor="text1"/>
              </w:rPr>
            </w:r>
            <w:r/>
          </w:p>
          <w:p>
            <w:pPr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*Отсутствие таких документов не является основанием для признания заявки не соответствующей требованиям Федерального закона № 44-ФЗ.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4959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Заказчиком установлен критерий оценки заявок «Квалификация участников закупки, в том числе наличие 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квалификации»</w:t>
            </w:r>
            <w:r>
              <w:rPr>
                <w:color w:val="000000" w:themeColor="text1"/>
              </w:rPr>
            </w:r>
            <w:r/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Заявка на участие в закупке может содержать документы, подтверждающие квалификацию участника закупки.</w:t>
            </w:r>
            <w:r>
              <w:rPr>
                <w:color w:val="000000" w:themeColor="text1"/>
              </w:rPr>
            </w:r>
            <w:r/>
          </w:p>
          <w:p>
            <w:pPr>
              <w:jc w:val="both"/>
              <w:rPr>
                <w:rFonts w:ascii="Times New Roman" w:hAnsi="Times New Roman" w:eastAsia="Courier New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Документы, подтверждающие квалификацию участника закупки, указаны в электронном документе Извещения об осуществлении закупки «Порядок рассмотрения и оценки заявок на участие в конкурсах в соответствии с Федеральным законом № 44-ФЗ».</w:t>
            </w:r>
            <w:r>
              <w:rPr>
                <w:color w:val="000000" w:themeColor="text1"/>
              </w:rPr>
            </w:r>
            <w:r/>
          </w:p>
        </w:tc>
      </w:tr>
      <w:tr>
        <w:trPr/>
        <w:tc>
          <w:tcPr>
            <w:gridSpan w:val="3"/>
            <w:tcW w:w="10771" w:type="dxa"/>
            <w:vMerge w:val="restart"/>
            <w:textDirection w:val="lrTb"/>
            <w:noWrap w:val="false"/>
          </w:tcPr>
          <w:p>
            <w:pPr>
              <w:pStyle w:val="855"/>
              <w:contextualSpacing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  <w:highlight w:val="none"/>
                <w:vertAlign w:val="superscript"/>
              </w:rPr>
              <w:t xml:space="preserve">*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none"/>
              </w:rPr>
              <w:t xml:space="preserve">В целях исключения необоснованного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none"/>
              </w:rPr>
              <w:t xml:space="preserve"> отклонени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none"/>
              </w:rPr>
              <w:t xml:space="preserve">я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none"/>
              </w:rPr>
              <w:t xml:space="preserve"> за несоответстви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none"/>
              </w:rPr>
              <w:t xml:space="preserve">е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none"/>
              </w:rPr>
              <w:t xml:space="preserve"> участника закупки требованиям, </w:t>
            </w:r>
            <w:r>
              <w:rPr>
                <w:rFonts w:ascii="Times New Roman" w:hAnsi="Times New Roman" w:eastAsia="Courier New" w:cs="Times New Roman"/>
                <w:i/>
                <w:color w:val="000000" w:themeColor="text1"/>
                <w:sz w:val="20"/>
                <w:szCs w:val="20"/>
                <w:highlight w:val="none"/>
              </w:rPr>
              <w:t xml:space="preserve">установленным </w:t>
            </w:r>
            <w:bookmarkStart w:id="0" w:name="_Hlk204694637"/>
            <w:r>
              <w:rPr>
                <w:color w:val="000000" w:themeColor="text1"/>
                <w:sz w:val="20"/>
                <w:szCs w:val="20"/>
                <w:highlight w:val="none"/>
              </w:rPr>
              <w:fldChar w:fldCharType="begin"/>
            </w:r>
            <w:r>
              <w:rPr>
                <w:color w:val="000000" w:themeColor="text1"/>
                <w:sz w:val="20"/>
                <w:szCs w:val="20"/>
                <w:highlight w:val="none"/>
              </w:rPr>
              <w:instrText xml:space="preserve">HYPERLINK \l "P777" \o "#P777"</w:instrText>
            </w:r>
            <w:r>
              <w:rPr>
                <w:color w:val="000000" w:themeColor="text1"/>
                <w:sz w:val="20"/>
                <w:szCs w:val="20"/>
                <w:highlight w:val="none"/>
              </w:rPr>
              <w:fldChar w:fldCharType="separate"/>
            </w:r>
            <w:r>
              <w:rPr>
                <w:rFonts w:ascii="Times New Roman" w:hAnsi="Times New Roman" w:eastAsia="Courier New" w:cs="Times New Roman"/>
                <w:i/>
                <w:color w:val="000000" w:themeColor="text1"/>
                <w:sz w:val="20"/>
                <w:szCs w:val="20"/>
                <w:highlight w:val="none"/>
              </w:rPr>
              <w:t xml:space="preserve">пунктами 3</w:t>
            </w:r>
            <w:r>
              <w:rPr>
                <w:color w:val="000000" w:themeColor="text1"/>
                <w:sz w:val="20"/>
                <w:szCs w:val="20"/>
                <w:highlight w:val="none"/>
              </w:rPr>
              <w:fldChar w:fldCharType="end"/>
            </w:r>
            <w:r>
              <w:rPr>
                <w:rFonts w:ascii="Times New Roman" w:hAnsi="Times New Roman" w:eastAsia="Courier New" w:cs="Times New Roman"/>
                <w:i/>
                <w:color w:val="000000" w:themeColor="text1"/>
                <w:sz w:val="20"/>
                <w:szCs w:val="20"/>
                <w:highlight w:val="none"/>
              </w:rPr>
              <w:t xml:space="preserve"> - </w:t>
            </w:r>
            <w:hyperlink w:tooltip="#P780" w:anchor="P780" w:history="1">
              <w:r>
                <w:rPr>
                  <w:rFonts w:ascii="Times New Roman" w:hAnsi="Times New Roman" w:eastAsia="Courier New" w:cs="Times New Roman"/>
                  <w:i/>
                  <w:color w:val="000000" w:themeColor="text1"/>
                  <w:sz w:val="20"/>
                  <w:szCs w:val="20"/>
                  <w:highlight w:val="none"/>
                </w:rPr>
                <w:t xml:space="preserve">5</w:t>
              </w:r>
            </w:hyperlink>
            <w:r>
              <w:rPr>
                <w:rFonts w:ascii="Times New Roman" w:hAnsi="Times New Roman" w:eastAsia="Courier New" w:cs="Times New Roman"/>
                <w:i/>
                <w:color w:val="000000" w:themeColor="text1"/>
                <w:sz w:val="20"/>
                <w:szCs w:val="20"/>
                <w:highlight w:val="none"/>
              </w:rPr>
              <w:t xml:space="preserve">, </w:t>
            </w:r>
            <w:hyperlink w:tooltip="#P782" w:anchor="P782" w:history="1">
              <w:r>
                <w:rPr>
                  <w:rFonts w:ascii="Times New Roman" w:hAnsi="Times New Roman" w:eastAsia="Courier New" w:cs="Times New Roman"/>
                  <w:i/>
                  <w:color w:val="000000" w:themeColor="text1"/>
                  <w:sz w:val="20"/>
                  <w:szCs w:val="20"/>
                  <w:highlight w:val="none"/>
                </w:rPr>
                <w:t xml:space="preserve">7</w:t>
              </w:r>
            </w:hyperlink>
            <w:r>
              <w:rPr>
                <w:rFonts w:ascii="Times New Roman" w:hAnsi="Times New Roman" w:eastAsia="Courier New" w:cs="Times New Roman"/>
                <w:i/>
                <w:color w:val="000000" w:themeColor="text1"/>
                <w:sz w:val="20"/>
                <w:szCs w:val="20"/>
                <w:highlight w:val="none"/>
              </w:rPr>
              <w:t xml:space="preserve"> - </w:t>
            </w:r>
            <w:hyperlink w:tooltip="#P791" w:anchor="P791" w:history="1">
              <w:r>
                <w:rPr>
                  <w:rFonts w:ascii="Times New Roman" w:hAnsi="Times New Roman" w:eastAsia="Courier New" w:cs="Times New Roman"/>
                  <w:i/>
                  <w:color w:val="000000" w:themeColor="text1"/>
                  <w:sz w:val="20"/>
                  <w:szCs w:val="20"/>
                  <w:highlight w:val="none"/>
                </w:rPr>
                <w:t xml:space="preserve">11 части 1 статьи 31</w:t>
              </w:r>
            </w:hyperlink>
            <w:r>
              <w:rPr>
                <w:rFonts w:ascii="Times New Roman" w:hAnsi="Times New Roman" w:eastAsia="Courier New" w:cs="Times New Roman"/>
                <w:i/>
                <w:color w:val="000000" w:themeColor="text1"/>
                <w:sz w:val="20"/>
                <w:szCs w:val="20"/>
                <w:highlight w:val="none"/>
              </w:rPr>
              <w:t xml:space="preserve"> Федерального закона № 44-ФЗ</w:t>
            </w:r>
            <w:bookmarkEnd w:id="0"/>
            <w:r>
              <w:rPr>
                <w:rFonts w:ascii="Times New Roman" w:hAnsi="Times New Roman" w:eastAsia="Courier New" w:cs="Times New Roman"/>
                <w:i/>
                <w:color w:val="000000" w:themeColor="text1"/>
                <w:sz w:val="20"/>
                <w:szCs w:val="20"/>
                <w:highlight w:val="none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none"/>
                <w:u w:val="single"/>
              </w:rPr>
              <w:t xml:space="preserve">рекомендуем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none"/>
              </w:rPr>
              <w:t xml:space="preserve">в составе заявки участника закупки предоставлять «</w:t>
            </w:r>
            <w:r>
              <w:rPr>
                <w:rFonts w:ascii="Times New Roman" w:hAnsi="Times New Roman" w:eastAsia="Courier New" w:cs="Times New Roman"/>
                <w:b/>
                <w:i/>
                <w:color w:val="000000" w:themeColor="text1"/>
                <w:sz w:val="20"/>
                <w:szCs w:val="20"/>
                <w:highlight w:val="none"/>
              </w:rPr>
              <w:t xml:space="preserve">Выписку из сервиса оценки юридических лиц или индивидуальных предпринимателей»</w:t>
            </w:r>
            <w:r>
              <w:rPr>
                <w:rFonts w:ascii="Times New Roman" w:hAnsi="Times New Roman" w:eastAsia="Courier New" w:cs="Times New Roman"/>
                <w:i/>
                <w:color w:val="000000" w:themeColor="text1"/>
                <w:sz w:val="20"/>
                <w:szCs w:val="20"/>
                <w:highlight w:val="none"/>
              </w:rPr>
              <w:t xml:space="preserve"> Федеральной налоговой служ</w:t>
            </w:r>
            <w:r>
              <w:rPr>
                <w:rFonts w:ascii="Times New Roman" w:hAnsi="Times New Roman" w:eastAsia="Courier New" w:cs="Times New Roman"/>
                <w:i/>
                <w:color w:val="000000" w:themeColor="text1"/>
                <w:sz w:val="20"/>
                <w:szCs w:val="20"/>
                <w:highlight w:val="none"/>
              </w:rPr>
              <w:t xml:space="preserve">бы России</w:t>
            </w:r>
            <w:r>
              <w:rPr>
                <w:rFonts w:ascii="Times New Roman" w:hAnsi="Times New Roman" w:eastAsia="Courier New" w:cs="Times New Roman"/>
                <w:i/>
                <w:color w:val="000000" w:themeColor="text1"/>
                <w:sz w:val="20"/>
                <w:szCs w:val="20"/>
                <w:highlight w:val="none"/>
              </w:rPr>
              <w:t xml:space="preserve"> (инструкция по получению выписки прилагается)</w:t>
            </w:r>
            <w:r>
              <w:rPr>
                <w:rFonts w:ascii="Times New Roman" w:hAnsi="Times New Roman" w:eastAsia="Courier New" w:cs="Times New Roman"/>
                <w:i/>
                <w:color w:val="000000" w:themeColor="text1"/>
                <w:sz w:val="20"/>
                <w:szCs w:val="20"/>
                <w:highlight w:val="none"/>
              </w:rPr>
              <w:t xml:space="preserve">.</w:t>
            </w:r>
            <w:r>
              <w:rPr>
                <w:color w:val="000000" w:themeColor="text1"/>
              </w:rPr>
            </w:r>
            <w:r/>
          </w:p>
          <w:p>
            <w:pPr>
              <w:pStyle w:val="855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none"/>
              </w:rPr>
              <w:t xml:space="preserve">Непредставление выписки не является основанием для отклонения заявки участника</w:t>
            </w:r>
            <w:r>
              <w:rPr>
                <w:color w:val="000000" w:themeColor="text1"/>
              </w:rPr>
            </w:r>
            <w:r/>
          </w:p>
        </w:tc>
      </w:tr>
      <w:tr>
        <w:trPr/>
        <w:tc>
          <w:tcPr>
            <w:tcW w:w="601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2.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206" w:type="dxa"/>
            <w:vAlign w:val="center"/>
            <w:textDirection w:val="lrTb"/>
            <w:noWrap w:val="false"/>
          </w:tcPr>
          <w:p>
            <w:pPr>
              <w:pStyle w:val="855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Предложение участника закупки в отношении объекта закупки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495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Не</w:t>
            </w: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 установлено</w:t>
            </w: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color w:val="000000" w:themeColor="text1"/>
              </w:rPr>
            </w:r>
            <w:r/>
          </w:p>
        </w:tc>
      </w:tr>
      <w:tr>
        <w:trPr/>
        <w:tc>
          <w:tcPr>
            <w:tcW w:w="601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3.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206" w:type="dxa"/>
            <w:vAlign w:val="center"/>
            <w:textDirection w:val="lrTb"/>
            <w:noWrap w:val="false"/>
          </w:tcPr>
          <w:p>
            <w:pPr>
              <w:pStyle w:val="855"/>
              <w:jc w:val="both"/>
              <w:rPr>
                <w:rFonts w:ascii="Times New Roman" w:hAnsi="Times New Roman" w:eastAsia="Courier New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Cs/>
                <w:color w:val="000000" w:themeColor="text1"/>
                <w:sz w:val="20"/>
                <w:szCs w:val="20"/>
              </w:rPr>
              <w:t xml:space="preserve">Предложение участника закупки о цене контракта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495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Установлено.</w:t>
            </w:r>
            <w:r>
              <w:rPr>
                <w:color w:val="000000" w:themeColor="text1"/>
              </w:rPr>
            </w:r>
            <w:r/>
          </w:p>
        </w:tc>
      </w:tr>
      <w:tr>
        <w:trPr/>
        <w:tc>
          <w:tcPr>
            <w:tcW w:w="601" w:type="dxa"/>
            <w:textDirection w:val="lrTb"/>
            <w:noWrap w:val="false"/>
          </w:tcPr>
          <w:p>
            <w:pPr>
              <w:pStyle w:val="855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4.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206" w:type="dxa"/>
            <w:textDirection w:val="lrTb"/>
            <w:noWrap w:val="false"/>
          </w:tcPr>
          <w:p>
            <w:pPr>
              <w:pStyle w:val="855"/>
              <w:jc w:val="both"/>
              <w:rPr>
                <w:rFonts w:ascii="Times New Roman" w:hAnsi="Times New Roman" w:eastAsia="Courier New" w:cs="Times New Roman"/>
                <w:color w:val="000000" w:themeColor="text1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нформация и документы, 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предусмотренные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пунктом 2 части 2 статьи 14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Федерального закона № 44-ФЗ.</w:t>
            </w:r>
            <w:r>
              <w:rPr>
                <w:color w:val="000000" w:themeColor="text1"/>
              </w:rPr>
            </w:r>
            <w:r/>
          </w:p>
          <w:p>
            <w:pPr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 случае отсутствия таких информации и документов в заявке на уча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стие в закупке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4959" w:type="dxa"/>
            <w:vAlign w:val="center"/>
            <w:textDirection w:val="lrTb"/>
            <w:noWrap w:val="false"/>
          </w:tcPr>
          <w:p>
            <w:r/>
            <w:r>
              <w:rPr>
                <w:rFonts w:ascii="Times New Roman" w:hAnsi="Times New Roman" w:eastAsia="Courier New" w:cs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Не</w:t>
            </w: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 установлено</w:t>
            </w: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.</w:t>
            </w:r>
            <w:r/>
            <w:r/>
            <w:r>
              <w:rPr>
                <w:rFonts w:ascii="Times New Roman" w:hAnsi="Times New Roman" w:eastAsia="Courier New" w:cs="Times New Roman"/>
                <w:b/>
                <w:bCs/>
                <w:color w:val="000000"/>
                <w:sz w:val="20"/>
                <w:szCs w:val="20"/>
              </w:rPr>
            </w:r>
            <w:r/>
          </w:p>
        </w:tc>
      </w:tr>
      <w:tr>
        <w:trPr>
          <w:trHeight w:val="340"/>
        </w:trPr>
        <w:tc>
          <w:tcPr>
            <w:gridSpan w:val="3"/>
            <w:shd w:val="clear" w:color="auto" w:fill="d9d9d9"/>
            <w:tcW w:w="1077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ourier New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5.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Инструкция по заполнению заявки на участие в закупке</w:t>
            </w:r>
            <w:r>
              <w:rPr>
                <w:color w:val="000000" w:themeColor="text1"/>
              </w:rPr>
            </w:r>
            <w:r/>
          </w:p>
        </w:tc>
      </w:tr>
      <w:tr>
        <w:trPr/>
        <w:tc>
          <w:tcPr>
            <w:tcW w:w="601" w:type="dxa"/>
            <w:textDirection w:val="lrTb"/>
            <w:noWrap w:val="false"/>
          </w:tcPr>
          <w:p>
            <w:pPr>
              <w:pStyle w:val="855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1.</w:t>
            </w:r>
            <w:r>
              <w:rPr>
                <w:color w:val="000000" w:themeColor="text1"/>
              </w:rPr>
            </w:r>
            <w:r/>
          </w:p>
        </w:tc>
        <w:tc>
          <w:tcPr>
            <w:gridSpan w:val="2"/>
            <w:tcW w:w="10170" w:type="dxa"/>
            <w:textDirection w:val="lrTb"/>
            <w:noWrap w:val="false"/>
          </w:tcPr>
          <w:p>
            <w:pPr>
              <w:pStyle w:val="855"/>
              <w:ind w:firstLine="171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1. Подать заявку на участие в закупке вправе только зарегистриров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анный в единой информационной системе и аккредитованный на электронной площадке, участник закупки путем направления такой заявки в соответствии с Федеральным законом № 44-ФЗ оператору электронной площадки, оператору специализированной электронной площадки.</w:t>
            </w:r>
            <w:r>
              <w:rPr>
                <w:color w:val="000000" w:themeColor="text1"/>
              </w:rPr>
            </w:r>
            <w:r/>
          </w:p>
          <w:p>
            <w:pPr>
              <w:pStyle w:val="855"/>
              <w:ind w:firstLine="171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2.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закупки, до окончания срока подачи заявок на участие в закупке.</w:t>
            </w:r>
            <w:r>
              <w:rPr>
                <w:color w:val="000000" w:themeColor="text1"/>
              </w:rPr>
            </w:r>
            <w:r/>
          </w:p>
          <w:p>
            <w:pPr>
              <w:pStyle w:val="855"/>
              <w:ind w:firstLine="171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3. Подача заявки на участие в закупке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      </w:r>
            <w:r>
              <w:rPr>
                <w:color w:val="000000" w:themeColor="text1"/>
              </w:rPr>
            </w:r>
            <w:r/>
          </w:p>
          <w:p>
            <w:pPr>
              <w:pStyle w:val="855"/>
              <w:ind w:firstLine="171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4. Заявка на участие в закупке должна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быть заполнена на русском языке. Отдельные документы (или их части), предоставленные участником закупки в составе заявки на участие в закупке, могут быть подготовлены на другом языке при условии, что к ним будет прилагаться точный перевод необходимых разд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елов на русский язык. Удостоверение верности перевода с иностранного языка на русский язык осуществляется в соответствии со статьей 81 Основ законодательства Российской Федерации о нотариате, утвержденных Верховным Советом РФ 11 февраля 1993 года № 4462-1.</w:t>
            </w:r>
            <w:r>
              <w:rPr>
                <w:color w:val="000000" w:themeColor="text1"/>
              </w:rPr>
            </w:r>
            <w:r/>
          </w:p>
          <w:p>
            <w:pPr>
              <w:pStyle w:val="855"/>
              <w:ind w:firstLine="171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5. При оформлении заявки участникам закупки следует использовать общепринятые обозначения и наименования в соответствии с требованиями действующих нормативных актов. Сведения, которые содержатся в заявке, не должны допускать двусмысленных толкований. </w:t>
            </w:r>
            <w:r>
              <w:rPr>
                <w:color w:val="000000" w:themeColor="text1"/>
              </w:rPr>
            </w:r>
            <w:r/>
          </w:p>
          <w:p>
            <w:pPr>
              <w:pStyle w:val="855"/>
              <w:ind w:firstLine="171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6. Все документы, входящие в состав заявки на участие в закупке, должны иметь четко читаемый текст.</w:t>
            </w:r>
            <w:r>
              <w:rPr>
                <w:color w:val="000000" w:themeColor="text1"/>
              </w:rPr>
            </w:r>
            <w:r/>
          </w:p>
          <w:p>
            <w:pPr>
              <w:pStyle w:val="855"/>
              <w:ind w:firstLine="171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7. Характеристики предлагаемог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о участником закупки товара (в том числе поставляемого заказчику при выполнении закупаемых работ, оказании закупаемых услуг, должны соответствовать показателям, установленным в описании объекта закупки, товарный знак (при наличии у товара товарного знака).</w:t>
            </w:r>
            <w:r>
              <w:rPr>
                <w:color w:val="000000" w:themeColor="text1"/>
              </w:rPr>
            </w:r>
            <w:r/>
          </w:p>
          <w:p>
            <w:pPr>
              <w:pStyle w:val="855"/>
              <w:ind w:firstLine="171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8. Участником закупки в заявке устанавливаются характеристики и показатели товара, подлежащие указанию в заявке, соответствующие значениям, установленным в описании объекта закупки. </w:t>
            </w:r>
            <w:r>
              <w:rPr>
                <w:color w:val="000000" w:themeColor="text1"/>
              </w:rPr>
            </w:r>
            <w:r/>
          </w:p>
          <w:p>
            <w:pPr>
              <w:pStyle w:val="855"/>
              <w:ind w:firstLine="171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9. При подаче сведений относительно предложенного товара участником закупки должны применяться обозначения (характеристики и показатели товара, подлежащие указанию в заявке) в соответствии с обозначениями, установленными в описании объекта закупки. </w:t>
            </w:r>
            <w:r>
              <w:rPr>
                <w:color w:val="000000" w:themeColor="text1"/>
              </w:rPr>
            </w:r>
            <w:r/>
          </w:p>
          <w:p>
            <w:pPr>
              <w:pStyle w:val="855"/>
              <w:ind w:firstLine="171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10. Ответственность за достоверность сведений, указанных в заявке, несет участник закупки</w:t>
            </w:r>
            <w:r>
              <w:rPr>
                <w:color w:val="000000" w:themeColor="text1"/>
              </w:rPr>
            </w:r>
            <w:r/>
          </w:p>
        </w:tc>
      </w:tr>
    </w:tbl>
    <w:p>
      <w:pPr>
        <w:pStyle w:val="855"/>
        <w:jc w:val="center"/>
        <w:rPr>
          <w:rFonts w:ascii="Times New Roman" w:hAnsi="Times New Roman" w:eastAsia="Courier New" w:cs="Times New Roman"/>
          <w:sz w:val="20"/>
          <w:szCs w:val="20"/>
        </w:rPr>
      </w:pPr>
      <w:r>
        <w:rPr>
          <w:rFonts w:ascii="Times New Roman" w:hAnsi="Times New Roman" w:eastAsia="Courier New" w:cs="Times New Roman"/>
          <w:sz w:val="20"/>
          <w:szCs w:val="20"/>
        </w:rPr>
      </w:r>
      <w:r/>
    </w:p>
    <w:sectPr>
      <w:headerReference w:type="first" r:id="rId9"/>
      <w:footerReference w:type="default" r:id="rId10"/>
      <w:footnotePr/>
      <w:endnotePr/>
      <w:type w:val="nextPage"/>
      <w:pgSz w:w="11900" w:h="16840" w:orient="portrait"/>
      <w:pgMar w:top="568" w:right="800" w:bottom="426" w:left="800" w:header="720" w:footer="40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</w:pPr>
    <w:r>
      <w:fldChar w:fldCharType="begin"/>
    </w:r>
    <w:r>
      <w:instrText xml:space="preserve">PAGE</w:instrText>
    </w:r>
    <w:r>
      <w:fldChar w:fldCharType="separate"/>
    </w:r>
    <w:r>
      <w:t xml:space="preserve">3</w:t>
    </w:r>
    <w:r>
      <w:fldChar w:fldCharType="end"/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40" w:hanging="227"/>
        <w:tabs>
          <w:tab w:val="num" w:pos="54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eastAsia="Wingdings" w:cs="Wingdings"/>
      </w:rPr>
    </w:lvl>
  </w:abstractNum>
  <w:abstractNum w:abstractNumId="3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eastAsia="Wingdings" w:cs="Wingdings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4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675">
    <w:name w:val="Heading 1"/>
    <w:basedOn w:val="846"/>
    <w:next w:val="846"/>
    <w:link w:val="67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6">
    <w:name w:val="Heading 1 Char"/>
    <w:basedOn w:val="849"/>
    <w:link w:val="675"/>
    <w:uiPriority w:val="9"/>
    <w:rPr>
      <w:rFonts w:ascii="Arial" w:hAnsi="Arial" w:eastAsia="Arial" w:cs="Arial"/>
      <w:sz w:val="40"/>
      <w:szCs w:val="40"/>
    </w:rPr>
  </w:style>
  <w:style w:type="paragraph" w:styleId="677">
    <w:name w:val="Heading 2"/>
    <w:basedOn w:val="846"/>
    <w:next w:val="846"/>
    <w:link w:val="67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8">
    <w:name w:val="Heading 2 Char"/>
    <w:basedOn w:val="849"/>
    <w:link w:val="677"/>
    <w:uiPriority w:val="9"/>
    <w:rPr>
      <w:rFonts w:ascii="Arial" w:hAnsi="Arial" w:eastAsia="Arial" w:cs="Arial"/>
      <w:sz w:val="34"/>
    </w:rPr>
  </w:style>
  <w:style w:type="paragraph" w:styleId="679">
    <w:name w:val="Heading 3"/>
    <w:basedOn w:val="846"/>
    <w:next w:val="846"/>
    <w:link w:val="68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0">
    <w:name w:val="Heading 3 Char"/>
    <w:basedOn w:val="849"/>
    <w:link w:val="679"/>
    <w:uiPriority w:val="9"/>
    <w:rPr>
      <w:rFonts w:ascii="Arial" w:hAnsi="Arial" w:eastAsia="Arial" w:cs="Arial"/>
      <w:sz w:val="30"/>
      <w:szCs w:val="30"/>
    </w:rPr>
  </w:style>
  <w:style w:type="character" w:styleId="681">
    <w:name w:val="Heading 4 Char"/>
    <w:basedOn w:val="849"/>
    <w:link w:val="847"/>
    <w:uiPriority w:val="9"/>
    <w:rPr>
      <w:rFonts w:ascii="Arial" w:hAnsi="Arial" w:eastAsia="Arial" w:cs="Arial"/>
      <w:b/>
      <w:bCs/>
      <w:sz w:val="26"/>
      <w:szCs w:val="26"/>
    </w:rPr>
  </w:style>
  <w:style w:type="character" w:styleId="682">
    <w:name w:val="Heading 5 Char"/>
    <w:basedOn w:val="849"/>
    <w:link w:val="848"/>
    <w:uiPriority w:val="9"/>
    <w:rPr>
      <w:rFonts w:ascii="Arial" w:hAnsi="Arial" w:eastAsia="Arial" w:cs="Arial"/>
      <w:b/>
      <w:bCs/>
      <w:sz w:val="24"/>
      <w:szCs w:val="24"/>
    </w:rPr>
  </w:style>
  <w:style w:type="paragraph" w:styleId="683">
    <w:name w:val="Heading 6"/>
    <w:basedOn w:val="846"/>
    <w:next w:val="846"/>
    <w:link w:val="68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4">
    <w:name w:val="Heading 6 Char"/>
    <w:basedOn w:val="849"/>
    <w:link w:val="683"/>
    <w:uiPriority w:val="9"/>
    <w:rPr>
      <w:rFonts w:ascii="Arial" w:hAnsi="Arial" w:eastAsia="Arial" w:cs="Arial"/>
      <w:b/>
      <w:bCs/>
      <w:sz w:val="22"/>
      <w:szCs w:val="22"/>
    </w:rPr>
  </w:style>
  <w:style w:type="paragraph" w:styleId="685">
    <w:name w:val="Heading 7"/>
    <w:basedOn w:val="846"/>
    <w:next w:val="846"/>
    <w:link w:val="68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6">
    <w:name w:val="Heading 7 Char"/>
    <w:basedOn w:val="849"/>
    <w:link w:val="68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7">
    <w:name w:val="Heading 8"/>
    <w:basedOn w:val="846"/>
    <w:next w:val="846"/>
    <w:link w:val="68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8">
    <w:name w:val="Heading 8 Char"/>
    <w:basedOn w:val="84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paragraph" w:styleId="689">
    <w:name w:val="Heading 9"/>
    <w:basedOn w:val="846"/>
    <w:next w:val="846"/>
    <w:link w:val="69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0">
    <w:name w:val="Heading 9 Char"/>
    <w:basedOn w:val="849"/>
    <w:link w:val="689"/>
    <w:uiPriority w:val="9"/>
    <w:rPr>
      <w:rFonts w:ascii="Arial" w:hAnsi="Arial" w:eastAsia="Arial" w:cs="Arial"/>
      <w:i/>
      <w:iCs/>
      <w:sz w:val="21"/>
      <w:szCs w:val="21"/>
    </w:rPr>
  </w:style>
  <w:style w:type="paragraph" w:styleId="691">
    <w:name w:val="Title"/>
    <w:basedOn w:val="846"/>
    <w:next w:val="846"/>
    <w:link w:val="69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2">
    <w:name w:val="Title Char"/>
    <w:basedOn w:val="849"/>
    <w:link w:val="691"/>
    <w:uiPriority w:val="10"/>
    <w:rPr>
      <w:sz w:val="48"/>
      <w:szCs w:val="48"/>
    </w:rPr>
  </w:style>
  <w:style w:type="paragraph" w:styleId="693">
    <w:name w:val="Subtitle"/>
    <w:basedOn w:val="846"/>
    <w:next w:val="846"/>
    <w:link w:val="694"/>
    <w:uiPriority w:val="11"/>
    <w:qFormat/>
    <w:pPr>
      <w:spacing w:before="200" w:after="200"/>
    </w:pPr>
    <w:rPr>
      <w:sz w:val="24"/>
      <w:szCs w:val="24"/>
    </w:rPr>
  </w:style>
  <w:style w:type="character" w:styleId="694">
    <w:name w:val="Subtitle Char"/>
    <w:basedOn w:val="849"/>
    <w:link w:val="693"/>
    <w:uiPriority w:val="11"/>
    <w:rPr>
      <w:sz w:val="24"/>
      <w:szCs w:val="24"/>
    </w:rPr>
  </w:style>
  <w:style w:type="paragraph" w:styleId="695">
    <w:name w:val="Quote"/>
    <w:basedOn w:val="846"/>
    <w:next w:val="846"/>
    <w:link w:val="696"/>
    <w:uiPriority w:val="29"/>
    <w:qFormat/>
    <w:pPr>
      <w:ind w:left="720" w:right="720"/>
    </w:pPr>
    <w:rPr>
      <w:i/>
    </w:rPr>
  </w:style>
  <w:style w:type="character" w:styleId="696">
    <w:name w:val="Quote Char"/>
    <w:link w:val="695"/>
    <w:uiPriority w:val="29"/>
    <w:rPr>
      <w:i/>
    </w:rPr>
  </w:style>
  <w:style w:type="paragraph" w:styleId="697">
    <w:name w:val="Intense Quote"/>
    <w:basedOn w:val="846"/>
    <w:next w:val="846"/>
    <w:link w:val="69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8">
    <w:name w:val="Intense Quote Char"/>
    <w:link w:val="697"/>
    <w:uiPriority w:val="30"/>
    <w:rPr>
      <w:i/>
    </w:rPr>
  </w:style>
  <w:style w:type="paragraph" w:styleId="699">
    <w:name w:val="Header"/>
    <w:basedOn w:val="846"/>
    <w:link w:val="70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0">
    <w:name w:val="Header Char"/>
    <w:basedOn w:val="849"/>
    <w:link w:val="699"/>
    <w:uiPriority w:val="99"/>
  </w:style>
  <w:style w:type="paragraph" w:styleId="701">
    <w:name w:val="Footer"/>
    <w:basedOn w:val="846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2">
    <w:name w:val="Footer Char"/>
    <w:basedOn w:val="849"/>
    <w:link w:val="701"/>
    <w:uiPriority w:val="99"/>
  </w:style>
  <w:style w:type="paragraph" w:styleId="703">
    <w:name w:val="Caption"/>
    <w:basedOn w:val="846"/>
    <w:next w:val="8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4">
    <w:name w:val="Caption Char"/>
    <w:basedOn w:val="703"/>
    <w:link w:val="701"/>
    <w:uiPriority w:val="99"/>
  </w:style>
  <w:style w:type="table" w:styleId="705">
    <w:name w:val="Table Grid Light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Plain Table 1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2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9">
    <w:name w:val="Plain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Plain Table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1">
    <w:name w:val="Grid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3">
    <w:name w:val="Grid Table 4 - Accent 1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4">
    <w:name w:val="Grid Table 4 - Accent 2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5">
    <w:name w:val="Grid Table 4 - Accent 3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6">
    <w:name w:val="Grid Table 4 - Accent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7">
    <w:name w:val="Grid Table 4 - Accent 5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8">
    <w:name w:val="Grid Table 4 - Accent 6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9">
    <w:name w:val="Grid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/>
    </w:tblPr>
    <w:tblStylePr w:type="band1Horz"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/>
    </w:tblPr>
    <w:tblStylePr w:type="band1Horz"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/>
    </w:tblPr>
    <w:tblStylePr w:type="band1Horz"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/>
    </w:tblPr>
    <w:tblStylePr w:type="band1Horz"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/>
    </w:tblPr>
    <w:tblStylePr w:type="band1Horz"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/>
    </w:tblPr>
    <w:tblStylePr w:type="band1Horz"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/>
    </w:tblPr>
    <w:tblStylePr w:type="band1Horz"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/>
        <w:tcBorders>
          <w:top w:val="single" w:color="000000" w:themeColor="light1" w:sz="4" w:space="0"/>
        </w:tcBorders>
      </w:tcPr>
    </w:tblStylePr>
  </w:style>
  <w:style w:type="table" w:styleId="746">
    <w:name w:val="Grid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7">
    <w:name w:val="Grid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8">
    <w:name w:val="Grid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9">
    <w:name w:val="Grid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0">
    <w:name w:val="Grid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1">
    <w:name w:val="Grid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3">
    <w:name w:val="Grid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auto" w:fill="ffffff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auto" w:fill="ffffff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8">
    <w:name w:val="List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9">
    <w:name w:val="List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0">
    <w:name w:val="List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1">
    <w:name w:val="List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2">
    <w:name w:val="List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3">
    <w:name w:val="List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4">
    <w:name w:val="List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auto" w:fill="ffffff"/>
    </w:tblPr>
    <w:tblStylePr w:type="band1Horz">
      <w:tcPr>
        <w:shd w:val="clear" w:color="auto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auto" w:fill="ffffff"/>
    </w:tblPr>
    <w:tblStylePr w:type="band1Horz">
      <w:tcPr>
        <w:shd w:val="clear" w:color="auto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auto" w:fill="ffffff"/>
    </w:tblPr>
    <w:tblStylePr w:type="band1Horz">
      <w:tcPr>
        <w:shd w:val="clear" w:color="auto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auto" w:fill="ffffff"/>
    </w:tblPr>
    <w:tblStylePr w:type="band1Horz">
      <w:tcPr>
        <w:shd w:val="clear" w:color="auto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auto" w:fill="ffffff"/>
    </w:tblPr>
    <w:tblStylePr w:type="band1Horz">
      <w:tcPr>
        <w:shd w:val="clear" w:color="auto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auto" w:fill="ffffff"/>
    </w:tblPr>
    <w:tblStylePr w:type="band1Horz">
      <w:tcPr>
        <w:shd w:val="clear" w:color="auto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auto" w:fill="ffffff"/>
    </w:tblPr>
    <w:tblStylePr w:type="band1Horz">
      <w:tcPr>
        <w:shd w:val="clear" w:color="auto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6">
    <w:name w:val="List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7">
    <w:name w:val="List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8">
    <w:name w:val="List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9">
    <w:name w:val="List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0">
    <w:name w:val="List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1">
    <w:name w:val="List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2">
    <w:name w:val="List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3">
    <w:name w:val="List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auto" w:fill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4">
    <w:name w:val="List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5">
    <w:name w:val="List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6">
    <w:name w:val="List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7">
    <w:name w:val="List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auto" w:fill="ffffff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8">
    <w:name w:val="List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/>
      </w:tcPr>
    </w:tblStylePr>
    <w:tblStylePr w:type="band1Vert">
      <w:tcPr>
        <w:shd w:val="clear" w:color="auto" w:fill="ffffff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9">
    <w:name w:val="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/>
      </w:tcPr>
    </w:tblStylePr>
  </w:style>
  <w:style w:type="table" w:styleId="810">
    <w:name w:val="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/>
      </w:tcPr>
    </w:tblStylePr>
  </w:style>
  <w:style w:type="table" w:styleId="811">
    <w:name w:val="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/>
      </w:tcPr>
    </w:tblStylePr>
  </w:style>
  <w:style w:type="table" w:styleId="812">
    <w:name w:val="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/>
      </w:tcPr>
    </w:tblStylePr>
  </w:style>
  <w:style w:type="table" w:styleId="813">
    <w:name w:val="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/>
      </w:tcPr>
    </w:tblStylePr>
  </w:style>
  <w:style w:type="table" w:styleId="814">
    <w:name w:val="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/>
      </w:tcPr>
    </w:tblStylePr>
  </w:style>
  <w:style w:type="table" w:styleId="815">
    <w:name w:val="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/>
      </w:tcPr>
    </w:tblStylePr>
  </w:style>
  <w:style w:type="table" w:styleId="816">
    <w:name w:val="Bordered &amp; 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/>
      </w:tcPr>
    </w:tblStylePr>
  </w:style>
  <w:style w:type="table" w:styleId="817">
    <w:name w:val="Bordered &amp; 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/>
      </w:tcPr>
    </w:tblStylePr>
  </w:style>
  <w:style w:type="table" w:styleId="818">
    <w:name w:val="Bordered &amp; 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/>
      </w:tcPr>
    </w:tblStylePr>
  </w:style>
  <w:style w:type="table" w:styleId="819">
    <w:name w:val="Bordered &amp; 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/>
      </w:tcPr>
    </w:tblStylePr>
  </w:style>
  <w:style w:type="table" w:styleId="820">
    <w:name w:val="Bordered &amp; 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/>
      </w:tcPr>
    </w:tblStylePr>
  </w:style>
  <w:style w:type="table" w:styleId="821">
    <w:name w:val="Bordered &amp; 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/>
      </w:tcPr>
    </w:tblStylePr>
  </w:style>
  <w:style w:type="table" w:styleId="822">
    <w:name w:val="Bordered &amp; 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/>
      </w:tcPr>
    </w:tblStylePr>
  </w:style>
  <w:style w:type="table" w:styleId="823">
    <w:name w:val="Bordered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4">
    <w:name w:val="Bordered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5">
    <w:name w:val="Bordered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6">
    <w:name w:val="Bordered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7">
    <w:name w:val="Bordered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8">
    <w:name w:val="Bordered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9">
    <w:name w:val="Bordered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0">
    <w:name w:val="footnote text"/>
    <w:basedOn w:val="846"/>
    <w:link w:val="831"/>
    <w:uiPriority w:val="99"/>
    <w:semiHidden/>
    <w:unhideWhenUsed/>
    <w:pPr>
      <w:spacing w:after="40" w:line="240" w:lineRule="auto"/>
    </w:pPr>
    <w:rPr>
      <w:sz w:val="18"/>
    </w:rPr>
  </w:style>
  <w:style w:type="character" w:styleId="831">
    <w:name w:val="Footnote Text Char"/>
    <w:link w:val="830"/>
    <w:uiPriority w:val="99"/>
    <w:rPr>
      <w:sz w:val="18"/>
    </w:rPr>
  </w:style>
  <w:style w:type="character" w:styleId="832">
    <w:name w:val="footnote reference"/>
    <w:basedOn w:val="849"/>
    <w:uiPriority w:val="99"/>
    <w:unhideWhenUsed/>
    <w:rPr>
      <w:vertAlign w:val="superscript"/>
    </w:rPr>
  </w:style>
  <w:style w:type="paragraph" w:styleId="833">
    <w:name w:val="endnote text"/>
    <w:basedOn w:val="846"/>
    <w:link w:val="834"/>
    <w:uiPriority w:val="99"/>
    <w:semiHidden/>
    <w:unhideWhenUsed/>
    <w:pPr>
      <w:spacing w:after="0" w:line="240" w:lineRule="auto"/>
    </w:pPr>
    <w:rPr>
      <w:sz w:val="20"/>
    </w:rPr>
  </w:style>
  <w:style w:type="character" w:styleId="834">
    <w:name w:val="Endnote Text Char"/>
    <w:link w:val="833"/>
    <w:uiPriority w:val="99"/>
    <w:rPr>
      <w:sz w:val="20"/>
    </w:rPr>
  </w:style>
  <w:style w:type="character" w:styleId="835">
    <w:name w:val="endnote reference"/>
    <w:basedOn w:val="849"/>
    <w:uiPriority w:val="99"/>
    <w:semiHidden/>
    <w:unhideWhenUsed/>
    <w:rPr>
      <w:vertAlign w:val="superscript"/>
    </w:rPr>
  </w:style>
  <w:style w:type="paragraph" w:styleId="836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37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38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9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40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41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42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43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44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45">
    <w:name w:val="TOC Heading"/>
    <w:uiPriority w:val="39"/>
    <w:unhideWhenUsed/>
  </w:style>
  <w:style w:type="paragraph" w:styleId="846" w:default="1">
    <w:name w:val="Normal"/>
    <w:qFormat/>
  </w:style>
  <w:style w:type="paragraph" w:styleId="847">
    <w:name w:val="Heading 4"/>
    <w:basedOn w:val="846"/>
    <w:next w:val="846"/>
    <w:link w:val="85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48">
    <w:name w:val="Heading 5"/>
    <w:basedOn w:val="846"/>
    <w:next w:val="846"/>
    <w:link w:val="857"/>
    <w:qFormat/>
    <w:pPr>
      <w:jc w:val="center"/>
      <w:keepNext/>
      <w:spacing w:after="0" w:line="240" w:lineRule="auto"/>
      <w:outlineLvl w:val="4"/>
    </w:pPr>
    <w:rPr>
      <w:rFonts w:ascii="Times New Roman" w:hAnsi="Times New Roman" w:eastAsia="Times New Roman" w:cs="Times New Roman"/>
      <w:b/>
      <w:sz w:val="28"/>
      <w:szCs w:val="20"/>
    </w:rPr>
  </w:style>
  <w:style w:type="character" w:styleId="849" w:default="1">
    <w:name w:val="Default Paragraph Font"/>
    <w:uiPriority w:val="1"/>
    <w:semiHidden/>
    <w:unhideWhenUsed/>
  </w:style>
  <w:style w:type="table" w:styleId="85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1" w:default="1">
    <w:name w:val="No List"/>
    <w:uiPriority w:val="99"/>
    <w:semiHidden/>
    <w:unhideWhenUsed/>
  </w:style>
  <w:style w:type="paragraph" w:styleId="852">
    <w:name w:val="Balloon Text"/>
    <w:basedOn w:val="846"/>
    <w:link w:val="85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3" w:customStyle="1">
    <w:name w:val="Текст выноски Знак"/>
    <w:basedOn w:val="849"/>
    <w:link w:val="852"/>
    <w:uiPriority w:val="99"/>
    <w:semiHidden/>
    <w:rPr>
      <w:rFonts w:ascii="Segoe UI" w:hAnsi="Segoe UI" w:cs="Segoe UI"/>
      <w:sz w:val="18"/>
      <w:szCs w:val="18"/>
    </w:rPr>
  </w:style>
  <w:style w:type="paragraph" w:styleId="854">
    <w:name w:val="List Paragraph"/>
    <w:basedOn w:val="846"/>
    <w:uiPriority w:val="34"/>
    <w:qFormat/>
    <w:pPr>
      <w:contextualSpacing/>
      <w:ind w:left="720"/>
    </w:pPr>
  </w:style>
  <w:style w:type="paragraph" w:styleId="855">
    <w:name w:val="No Spacing"/>
    <w:uiPriority w:val="1"/>
    <w:qFormat/>
    <w:pPr>
      <w:spacing w:after="0" w:line="240" w:lineRule="auto"/>
    </w:pPr>
  </w:style>
  <w:style w:type="paragraph" w:styleId="856" w:customStyle="1">
    <w:name w:val="docdata"/>
    <w:basedOn w:val="84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857" w:customStyle="1">
    <w:name w:val="Заголовок 5 Знак"/>
    <w:basedOn w:val="849"/>
    <w:link w:val="848"/>
    <w:uiPriority w:val="9"/>
    <w:rPr>
      <w:rFonts w:ascii="Times New Roman" w:hAnsi="Times New Roman" w:eastAsia="Times New Roman" w:cs="Times New Roman"/>
      <w:b/>
      <w:sz w:val="28"/>
      <w:szCs w:val="20"/>
    </w:rPr>
  </w:style>
  <w:style w:type="table" w:styleId="858">
    <w:name w:val="Table Grid"/>
    <w:basedOn w:val="85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59" w:customStyle="1">
    <w:name w:val="Заголовок 4 Знак"/>
    <w:basedOn w:val="849"/>
    <w:link w:val="847"/>
    <w:uiPriority w:val="9"/>
    <w:rPr>
      <w:rFonts w:ascii="Arial" w:hAnsi="Arial" w:eastAsia="Arial" w:cs="Arial"/>
      <w:b/>
      <w:bCs/>
      <w:sz w:val="26"/>
      <w:szCs w:val="26"/>
    </w:rPr>
  </w:style>
  <w:style w:type="character" w:styleId="860">
    <w:name w:val="Hyperlink"/>
    <w:basedOn w:val="849"/>
    <w:uiPriority w:val="99"/>
    <w:unhideWhenUsed/>
    <w:rPr>
      <w:color w:val="0563c1" w:themeColor="hyperlink"/>
      <w:u w:val="single"/>
    </w:rPr>
  </w:style>
  <w:style w:type="paragraph" w:styleId="1_1097" w:customStyle="1">
    <w:name w:val="Normal (Web)"/>
    <w:basedOn w:val="664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revision>21</cp:revision>
  <dcterms:created xsi:type="dcterms:W3CDTF">2024-10-22T06:56:00Z</dcterms:created>
  <dcterms:modified xsi:type="dcterms:W3CDTF">2026-10-14T11:47:05Z</dcterms:modified>
</cp:coreProperties>
</file>