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0"/>
        <w:contextualSpacing/>
        <w:ind w:left="0" w:right="-707" w:firstLine="0"/>
        <w:jc w:val="right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Приложение № 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Извещению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Style w:val="865"/>
        <w:contextualSpacing/>
        <w:ind w:left="0" w:right="-707" w:firstLine="0"/>
        <w:jc w:val="right"/>
        <w:spacing w:before="60" w:after="120" w:line="240" w:lineRule="auto"/>
        <w:shd w:val="nil" w:color="000000"/>
        <w:rPr>
          <w:rFonts w:ascii="Times New Roman" w:hAnsi="Times New Roman" w:cs="Times New Roman"/>
          <w:highlight w:val="none"/>
        </w:rPr>
      </w:pPr>
      <w:r>
        <w:rPr>
          <w:sz w:val="28"/>
          <w:szCs w:val="28"/>
        </w:rPr>
        <w:t xml:space="preserve">ИКЗ </w:t>
      </w:r>
      <w:r>
        <w:rPr>
          <w:sz w:val="28"/>
          <w:szCs w:val="28"/>
        </w:rPr>
        <w:t xml:space="preserve">26 1 7714549744 771401001 0044 001 6201 246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873"/>
        <w:jc w:val="right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pStyle w:val="873"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pStyle w:val="873"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Обоснование начальной (максимальной) цены контракта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pStyle w:val="873"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ind w:left="-142" w:right="229" w:firstLine="0"/>
        <w:jc w:val="center"/>
        <w:tabs>
          <w:tab w:val="left" w:pos="7938" w:leader="none"/>
        </w:tabs>
        <w:rPr>
          <w:highlight w:val="none"/>
        </w:rPr>
      </w:pPr>
      <w:r>
        <w:rPr>
          <w:bCs/>
          <w:sz w:val="24"/>
          <w:szCs w:val="24"/>
          <w:highlight w:val="white"/>
        </w:rPr>
        <w:t xml:space="preserve">В </w:t>
      </w:r>
      <w:r>
        <w:rPr>
          <w:bCs/>
          <w:sz w:val="24"/>
          <w:szCs w:val="24"/>
          <w:highlight w:val="white"/>
        </w:rPr>
        <w:t xml:space="preserve">соответствии с частью 20 статьи 22 Федерального закона от 05.04.2013 г. № 44-ФЗ определяем НМЦК методом сопоставимых рыночных цен </w:t>
      </w:r>
      <w:r>
        <w:rPr>
          <w:sz w:val="24"/>
          <w:szCs w:val="24"/>
          <w:highlight w:val="white"/>
        </w:rPr>
        <w:t xml:space="preserve">на</w:t>
      </w:r>
      <w:r>
        <w:rPr>
          <w:b w:val="0"/>
          <w:bCs w:val="0"/>
          <w:sz w:val="24"/>
          <w:szCs w:val="24"/>
        </w:rPr>
        <w:t xml:space="preserve"> выполнение работ по развитию функциональных возможностей федеральной государственной информационной системы обязательной сертификации типовой конструкции авиационной техники, деятельности юридических лиц, осуществляющих разработку и изготовление подлежащ</w:t>
      </w:r>
      <w:r>
        <w:rPr>
          <w:b w:val="0"/>
          <w:bCs w:val="0"/>
          <w:sz w:val="24"/>
          <w:szCs w:val="24"/>
        </w:rPr>
        <w:t xml:space="preserve">ей обязательной сертификации авиационной техники» (ФГИС «АВИАСЕРТ»)</w:t>
      </w:r>
      <w:r>
        <w:rPr>
          <w:highlight w:val="none"/>
        </w:rPr>
      </w:r>
      <w:r>
        <w:rPr>
          <w:highlight w:val="none"/>
        </w:rPr>
      </w:r>
    </w:p>
    <w:p>
      <w:pPr>
        <w:ind w:left="-142" w:right="-737"/>
        <w:jc w:val="center"/>
        <w:tabs>
          <w:tab w:val="left" w:pos="7938" w:leader="none"/>
        </w:tabs>
        <w:rPr>
          <w:sz w:val="24"/>
          <w:szCs w:val="24"/>
        </w:rPr>
      </w:pPr>
      <w:r>
        <w:rPr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5027" w:type="dxa"/>
        <w:tblInd w:w="-3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5"/>
        <w:gridCol w:w="5828"/>
        <w:gridCol w:w="5654"/>
      </w:tblGrid>
      <w:tr>
        <w:tblPrEx/>
        <w:trPr>
          <w:trHeight w:val="784"/>
        </w:trPr>
        <w:tc>
          <w:tcPr>
            <w:tcW w:w="3545" w:type="dxa"/>
            <w:textDirection w:val="lrTb"/>
            <w:noWrap w:val="false"/>
          </w:tcPr>
          <w:p>
            <w:pPr>
              <w:ind w:left="57" w:right="57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Основные характеристики объекта закупки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gridSpan w:val="2"/>
            <w:tcW w:w="11482" w:type="dxa"/>
            <w:textDirection w:val="lrTb"/>
            <w:noWrap w:val="false"/>
          </w:tcPr>
          <w:p>
            <w:pPr>
              <w:ind w:left="142" w:right="87" w:hanging="142"/>
              <w:jc w:val="both"/>
              <w:tabs>
                <w:tab w:val="left" w:pos="793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Объект </w:t>
            </w:r>
            <w:r>
              <w:rPr>
                <w:sz w:val="24"/>
                <w:szCs w:val="24"/>
              </w:rPr>
              <w:t xml:space="preserve">зак</w:t>
            </w:r>
            <w:r>
              <w:rPr>
                <w:sz w:val="24"/>
                <w:szCs w:val="24"/>
              </w:rPr>
              <w:t xml:space="preserve">упки</w:t>
            </w:r>
            <w:r>
              <w:rPr>
                <w:sz w:val="24"/>
                <w:szCs w:val="24"/>
              </w:rPr>
              <w:t xml:space="preserve">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Выполнение работ по развитию функциональных возможностей федеральной государственной информационной системы обязательной сертификации типовой конструкции авиационной техники, деятельности юридических лиц, осуществляющих разработку и изготовление подлежащ</w:t>
            </w:r>
            <w:r>
              <w:rPr>
                <w:sz w:val="24"/>
                <w:szCs w:val="24"/>
              </w:rPr>
              <w:t xml:space="preserve">ей обязательной сертификации авиационной техники» (ФГИС «АВИАСЕРТ»)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42" w:right="87" w:firstLine="0"/>
              <w:jc w:val="both"/>
            </w:pPr>
            <w:r>
              <w:rPr>
                <w:sz w:val="24"/>
                <w:szCs w:val="24"/>
              </w:rPr>
              <w:t xml:space="preserve">Адрес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z w:val="24"/>
                <w:szCs w:val="24"/>
              </w:rPr>
              <w:t xml:space="preserve">сполнитель с разрешения Заказчика может выполнять работы в удаленном режиме в части выполнения отдельных работ согласно положениям технического задания. Заказчик вправе отказать Исполнителю в согласовании удаленного режима оказания по согласованию с Исполн</w:t>
            </w:r>
            <w:r>
              <w:rPr>
                <w:sz w:val="24"/>
                <w:szCs w:val="24"/>
              </w:rPr>
              <w:t xml:space="preserve">ителем.</w:t>
            </w:r>
            <w:r>
              <w:rPr>
                <w:sz w:val="24"/>
                <w:szCs w:val="24"/>
              </w:rPr>
            </w:r>
            <w:r/>
          </w:p>
          <w:p>
            <w:pPr>
              <w:ind w:left="142" w:right="87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Заказчик располагается по следующему адресу: 125167, г. Москва, Ленинградский пр-т, 37, корп. 2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42" w:right="87" w:firstLine="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white"/>
              </w:rPr>
              <w:t xml:space="preserve">ОКПД</w:t>
            </w:r>
            <w:r>
              <w:rPr>
                <w:sz w:val="24"/>
                <w:szCs w:val="24"/>
                <w:highlight w:val="white"/>
              </w:rPr>
              <w:t xml:space="preserve">2</w:t>
            </w:r>
            <w:r>
              <w:rPr>
                <w:sz w:val="24"/>
                <w:szCs w:val="24"/>
                <w:highlight w:val="none"/>
              </w:rPr>
              <w:t xml:space="preserve"> </w:t>
            </w:r>
            <w:r>
              <w:rPr>
                <w:sz w:val="26"/>
                <w:szCs w:val="26"/>
                <w:highlight w:val="white"/>
              </w:rPr>
              <w:t xml:space="preserve">62.01.11.000</w:t>
            </w:r>
            <w:r>
              <w:rPr>
                <w:sz w:val="24"/>
                <w:szCs w:val="24"/>
                <w:highlight w:val="none"/>
              </w:rPr>
              <w:t xml:space="preserve">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left="142" w:right="87" w:firstLine="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Объем оказываемых услуг: 3 условные единицы.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left="142" w:right="87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 работ  – работы выполняются в 3 этапа с момента заключения контракта по 18.12.2026: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87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Этап 1: с даты заключения контракта по 27.11.2026 (включительно);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87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Этап 2: с 28.11.2026 по 04.12.2026 (включительно);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87"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Этап 3: с 05.12.2026 по 18.12.2026 (включительно).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  <w:br/>
            </w:r>
            <w:r>
              <w:rPr>
                <w:sz w:val="24"/>
                <w:szCs w:val="24"/>
                <w:highlight w:val="white"/>
              </w:rPr>
              <w:t xml:space="preserve">Аванс</w:t>
            </w:r>
            <w:r>
              <w:rPr>
                <w:sz w:val="24"/>
                <w:szCs w:val="24"/>
                <w:highlight w:val="none"/>
              </w:rPr>
              <w:t xml:space="preserve">: </w:t>
            </w:r>
            <w:r>
              <w:rPr>
                <w:sz w:val="24"/>
                <w:szCs w:val="24"/>
              </w:rPr>
              <w:t xml:space="preserve">0%.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42" w:right="87" w:firstLine="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white"/>
              </w:rPr>
              <w:t xml:space="preserve">Обеспечение и</w:t>
            </w:r>
            <w:r>
              <w:rPr>
                <w:sz w:val="24"/>
                <w:szCs w:val="24"/>
                <w:highlight w:val="white"/>
              </w:rPr>
              <w:t xml:space="preserve">сполнения контракта:</w:t>
            </w:r>
            <w:r>
              <w:rPr>
                <w:sz w:val="24"/>
                <w:szCs w:val="24"/>
                <w:highlight w:val="none"/>
              </w:rPr>
              <w:t xml:space="preserve"> </w:t>
            </w:r>
            <w:r>
              <w:rPr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  <w:t xml:space="preserve">% от НМЦК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425"/>
        </w:trPr>
        <w:tc>
          <w:tcPr>
            <w:tcW w:w="3545" w:type="dxa"/>
            <w:textDirection w:val="lrTb"/>
            <w:noWrap w:val="false"/>
          </w:tcPr>
          <w:p>
            <w:pPr>
              <w:ind w:left="57" w:right="57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Используемый метод определения НМЦК </w:t>
            </w:r>
            <w:r>
              <w:rPr>
                <w:b/>
                <w:bCs/>
                <w:sz w:val="24"/>
                <w:szCs w:val="24"/>
              </w:rPr>
              <w:br/>
              <w:t xml:space="preserve">с обоснованием: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gridSpan w:val="2"/>
            <w:tcW w:w="11482" w:type="dxa"/>
            <w:textDirection w:val="lrTb"/>
            <w:noWrap w:val="false"/>
          </w:tcPr>
          <w:p>
            <w:pPr>
              <w:pStyle w:val="873"/>
              <w:numPr>
                <w:ilvl w:val="0"/>
                <w:numId w:val="3"/>
              </w:numPr>
              <w:ind w:left="142" w:right="0" w:firstLine="0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white"/>
              </w:rPr>
              <w:t xml:space="preserve">Метод со</w:t>
            </w:r>
            <w:r>
              <w:rPr>
                <w:sz w:val="24"/>
                <w:szCs w:val="24"/>
                <w:highlight w:val="white"/>
              </w:rPr>
              <w:t xml:space="preserve">поставимых рыночных цен (анализ </w:t>
            </w:r>
            <w:r>
              <w:rPr>
                <w:sz w:val="24"/>
                <w:szCs w:val="24"/>
                <w:highlight w:val="white"/>
              </w:rPr>
              <w:t xml:space="preserve">рынка). 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  <w:p>
            <w:pPr>
              <w:pStyle w:val="873"/>
              <w:numPr>
                <w:ilvl w:val="0"/>
                <w:numId w:val="3"/>
              </w:numPr>
              <w:ind w:left="142" w:right="0" w:firstLine="0"/>
              <w:jc w:val="both"/>
              <w:rPr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white"/>
              </w:rPr>
              <w:t xml:space="preserve">Размещен запрос цен товаров, работ, услуг в Единой информационной системе в сфере закупок от 18</w:t>
            </w:r>
            <w:r>
              <w:rPr>
                <w:sz w:val="24"/>
                <w:szCs w:val="24"/>
                <w:highlight w:val="white"/>
              </w:rPr>
              <w:t xml:space="preserve">.</w:t>
            </w:r>
            <w:r>
              <w:rPr>
                <w:sz w:val="24"/>
                <w:szCs w:val="24"/>
                <w:highlight w:val="white"/>
              </w:rPr>
              <w:t xml:space="preserve">09.2026 № </w:t>
            </w:r>
            <w:r>
              <w:rPr>
                <w:bCs/>
                <w:sz w:val="24"/>
                <w:szCs w:val="24"/>
                <w:highlight w:val="white"/>
              </w:rPr>
              <w:t xml:space="preserve">01731000029260000</w:t>
            </w:r>
            <w:r>
              <w:rPr>
                <w:bCs/>
                <w:sz w:val="24"/>
                <w:szCs w:val="24"/>
                <w:highlight w:val="white"/>
              </w:rPr>
              <w:t xml:space="preserve">5</w:t>
            </w:r>
            <w:r>
              <w:rPr>
                <w:bCs/>
                <w:sz w:val="24"/>
                <w:szCs w:val="24"/>
                <w:highlight w:val="white"/>
              </w:rPr>
              <w:t xml:space="preserve">5</w:t>
            </w:r>
            <w:r>
              <w:rPr>
                <w:b w:val="0"/>
                <w:bCs w:val="0"/>
                <w:sz w:val="24"/>
                <w:szCs w:val="24"/>
                <w:highlight w:val="none"/>
              </w:rPr>
              <w:t xml:space="preserve">.</w:t>
            </w:r>
            <w:r>
              <w:rPr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ind w:left="142" w:right="0" w:firstLine="0"/>
              <w:jc w:val="both"/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П</w:t>
            </w:r>
            <w:r>
              <w:rPr>
                <w:sz w:val="24"/>
                <w:szCs w:val="24"/>
                <w:highlight w:val="white"/>
              </w:rPr>
              <w:t xml:space="preserve">олучены три</w:t>
            </w: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 xml:space="preserve">коммерчески</w:t>
            </w:r>
            <w:r>
              <w:rPr>
                <w:sz w:val="24"/>
                <w:szCs w:val="24"/>
                <w:highlight w:val="white"/>
              </w:rPr>
              <w:t xml:space="preserve">х</w:t>
            </w:r>
            <w:r>
              <w:rPr>
                <w:sz w:val="24"/>
                <w:szCs w:val="24"/>
                <w:highlight w:val="white"/>
              </w:rPr>
              <w:t xml:space="preserve"> предложения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ind w:left="142" w:right="0" w:firstLine="0"/>
              <w:jc w:val="both"/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</w:rPr>
              <w:t xml:space="preserve">Исполнитель № 1 </w:t>
            </w:r>
            <w:r>
              <w:rPr>
                <w:sz w:val="24"/>
                <w:szCs w:val="24"/>
              </w:rPr>
              <w:t xml:space="preserve">с ценой контракта 80 000 000,00 руб., в т.ч. цена по  Этапу 1</w:t>
            </w:r>
            <w:r>
              <w:rPr>
                <w:sz w:val="24"/>
                <w:szCs w:val="24"/>
              </w:rPr>
              <w:t xml:space="preserve"> - 16 000 000,00 руб., по Этапу 2 - 48 000 000,00 руб., по Этапу 3 - 16 000 000,00 руб.</w:t>
            </w:r>
            <w:r>
              <w:rPr>
                <w:sz w:val="24"/>
                <w:szCs w:val="24"/>
                <w:highlight w:val="white"/>
              </w:rPr>
              <w:t xml:space="preserve">;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ind w:left="142" w:right="0" w:firstLine="0"/>
              <w:jc w:val="both"/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  <w:t xml:space="preserve">Исполнитель № 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ценой контракта 84 000 000,00 руб., в т.ч. цена по  Этапу 1</w:t>
            </w:r>
            <w:r>
              <w:rPr>
                <w:sz w:val="24"/>
                <w:szCs w:val="24"/>
              </w:rPr>
              <w:t xml:space="preserve"> - 16 800 000,00 руб., по Этапу 2 - 50 400 000,00 руб., по Этапу 3 - 16 800 000,00 руб.</w:t>
            </w:r>
            <w:r>
              <w:rPr>
                <w:sz w:val="24"/>
                <w:szCs w:val="24"/>
                <w:highlight w:val="white"/>
              </w:rPr>
              <w:t xml:space="preserve">;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ind w:left="142" w:right="0" w:firstLine="0"/>
              <w:jc w:val="both"/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</w:rPr>
              <w:t xml:space="preserve">Исполнитель № 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ценой контракта 76 075 300,00 руб., в т.ч. цена по  Этапу 1</w:t>
            </w:r>
            <w:r>
              <w:rPr>
                <w:sz w:val="24"/>
                <w:szCs w:val="24"/>
              </w:rPr>
              <w:t xml:space="preserve"> - 15 200 000,00 руб., по Этапу 2 - 45 675 300,00 руб., по Этапу 3 - 15 200 000,00 руб.</w:t>
            </w:r>
            <w:r>
              <w:rPr>
                <w:sz w:val="24"/>
                <w:szCs w:val="24"/>
                <w:highlight w:val="white"/>
              </w:rPr>
              <w:t xml:space="preserve">;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61"/>
        </w:trPr>
        <w:tc>
          <w:tcPr>
            <w:tcW w:w="3545" w:type="dxa"/>
            <w:textDirection w:val="lrTb"/>
            <w:noWrap w:val="false"/>
          </w:tcPr>
          <w:p>
            <w:pPr>
              <w:ind w:left="57" w:right="57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Расчет НМЦК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gridSpan w:val="2"/>
            <w:tcW w:w="11482" w:type="dxa"/>
            <w:textDirection w:val="lrTb"/>
            <w:noWrap w:val="false"/>
          </w:tcPr>
          <w:p>
            <w:pPr>
              <w:ind w:left="142" w:right="87" w:firstLine="0"/>
              <w:jc w:val="both"/>
              <w:tabs>
                <w:tab w:val="left" w:pos="7938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Выполнение работ по развитию функциональных возможностей федеральной государственной информационной системы обязательной сертификации типовой конструкции авиационной техники, деятельности юридических лиц, осуществляющих разработку и изготовление подлежащ</w:t>
            </w:r>
            <w:r>
              <w:rPr>
                <w:sz w:val="24"/>
                <w:szCs w:val="24"/>
              </w:rPr>
              <w:t xml:space="preserve">ей обязательной сертификации авиационной техники» (ФГИС «АВИАСЕРТ»)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left="0" w:right="-737" w:firstLine="142"/>
              <w:jc w:val="left"/>
              <w:tabs>
                <w:tab w:val="left" w:pos="793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  <w:t xml:space="preserve">Этап 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Среднее квадратичное </w:t>
            </w:r>
            <w:r>
              <w:rPr>
                <w:sz w:val="24"/>
                <w:szCs w:val="24"/>
              </w:rPr>
              <w:t xml:space="preserve">отклонение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09725" cy="561975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03648916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09724" cy="5619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26.75pt;height:44.25pt;mso-wrap-distance-left:0.00pt;mso-wrap-distance-top:0.00pt;mso-wrap-distance-right:0.00pt;mso-wrap-distance-bottom:0.0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=</w:t>
            </w:r>
            <w:r>
              <w:rPr>
                <w:sz w:val="24"/>
                <w:szCs w:val="24"/>
              </w:rPr>
              <w:t xml:space="preserve"> 800 000,0000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Коэффициент вариации      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28725" cy="447675"/>
                      <wp:effectExtent l="0" t="0" r="0" b="0"/>
                      <wp:docPr id="2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09340219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28725" cy="4476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96.75pt;height:35.25pt;mso-wrap-distance-left:0.00pt;mso-wrap-distance-top:0.00pt;mso-wrap-distance-right:0.00pt;mso-wrap-distance-bottom:0.0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  V = 5 </w:t>
            </w:r>
            <w:r>
              <w:rPr>
                <w:sz w:val="24"/>
                <w:szCs w:val="24"/>
              </w:rPr>
              <w:t xml:space="preserve">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142" w:right="-737"/>
              <w:jc w:val="left"/>
              <w:tabs>
                <w:tab w:val="left" w:pos="793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Совокупность цен на </w:t>
            </w:r>
            <w:r>
              <w:rPr>
                <w:sz w:val="24"/>
                <w:szCs w:val="24"/>
              </w:rPr>
              <w:t xml:space="preserve">выполнение работ по развитию функциональных возможностей федеральной государственной информационной системы обязательной сертификации типовой конструкции авиационной техники, деятельности юридических лиц, осуществляющих разработку и изготовление подлежащ</w:t>
            </w:r>
            <w:r>
              <w:rPr>
                <w:sz w:val="24"/>
                <w:szCs w:val="24"/>
              </w:rPr>
              <w:t xml:space="preserve">ей обязательной сертификации авиационной техники» (ФГИС «АВИАСЕРТ») по Этапу 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принимается однородной.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28775" cy="400050"/>
                      <wp:effectExtent l="0" t="0" r="0" b="0"/>
                      <wp:docPr id="3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6978872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28775" cy="4000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8.25pt;height:31.50pt;mso-wrap-distance-left:0.00pt;mso-wrap-distance-top:0.00pt;mso-wrap-distance-right:0.00pt;mso-wrap-distance-bottom:0.0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= (</w:t>
            </w:r>
            <w:r>
              <w:rPr>
                <w:sz w:val="24"/>
                <w:szCs w:val="24"/>
              </w:rPr>
              <w:t xml:space="preserve">16 800 000</w:t>
            </w:r>
            <w:r>
              <w:rPr>
                <w:sz w:val="24"/>
                <w:szCs w:val="24"/>
              </w:rPr>
              <w:t xml:space="preserve">,00</w:t>
            </w:r>
            <w:r>
              <w:rPr>
                <w:sz w:val="24"/>
                <w:szCs w:val="24"/>
              </w:rPr>
              <w:t xml:space="preserve"> + </w:t>
            </w:r>
            <w:r>
              <w:rPr>
                <w:sz w:val="24"/>
                <w:szCs w:val="24"/>
                <w:highlight w:val="none"/>
              </w:rPr>
              <w:t xml:space="preserve">16 000 000</w:t>
            </w:r>
            <w:r>
              <w:rPr>
                <w:sz w:val="24"/>
                <w:szCs w:val="24"/>
              </w:rPr>
              <w:t xml:space="preserve">,00</w:t>
            </w:r>
            <w:r>
              <w:rPr>
                <w:sz w:val="24"/>
                <w:szCs w:val="24"/>
              </w:rPr>
              <w:t xml:space="preserve"> + </w:t>
            </w:r>
            <w:r>
              <w:rPr>
                <w:sz w:val="24"/>
                <w:szCs w:val="24"/>
                <w:highlight w:val="none"/>
              </w:rPr>
              <w:t xml:space="preserve">15 200 000</w:t>
            </w:r>
            <w:r>
              <w:rPr>
                <w:sz w:val="24"/>
                <w:szCs w:val="24"/>
              </w:rPr>
              <w:t xml:space="preserve">,00</w:t>
            </w:r>
            <w:r>
              <w:rPr>
                <w:sz w:val="24"/>
                <w:szCs w:val="24"/>
              </w:rPr>
              <w:t xml:space="preserve">) / 3 = </w:t>
            </w:r>
            <w:r>
              <w:rPr>
                <w:sz w:val="24"/>
                <w:szCs w:val="24"/>
              </w:rPr>
              <w:t xml:space="preserve">16 000 000,00</w:t>
            </w:r>
            <w:r>
              <w:rPr>
                <w:sz w:val="24"/>
                <w:szCs w:val="24"/>
              </w:rPr>
              <w:t xml:space="preserve"> руб.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НМЦК </w:t>
            </w:r>
            <w:r>
              <w:rPr>
                <w:sz w:val="20"/>
                <w:szCs w:val="20"/>
                <w:highlight w:val="none"/>
              </w:rPr>
              <w:t xml:space="preserve">по Этапу 1</w:t>
            </w:r>
            <w:r>
              <w:rPr>
                <w:sz w:val="24"/>
                <w:szCs w:val="24"/>
                <w:highlight w:val="none"/>
              </w:rPr>
              <w:t xml:space="preserve"> = 16 000 000,00 руб., в т.ч. НДС.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left="0" w:right="-737" w:firstLine="142"/>
              <w:jc w:val="left"/>
              <w:tabs>
                <w:tab w:val="left" w:pos="793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  <w:t xml:space="preserve">Этап 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Среднее квадратичное </w:t>
            </w:r>
            <w:r>
              <w:rPr>
                <w:sz w:val="24"/>
                <w:szCs w:val="24"/>
              </w:rPr>
              <w:t xml:space="preserve">отклонение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09725" cy="561975"/>
                      <wp:effectExtent l="0" t="0" r="0" b="0"/>
                      <wp:docPr id="4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9927491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09724" cy="5619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26.75pt;height:44.25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=</w:t>
            </w:r>
            <w:r>
              <w:rPr>
                <w:sz w:val="24"/>
                <w:szCs w:val="24"/>
              </w:rPr>
              <w:t xml:space="preserve"> 2 362 450,0058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Коэффициент вариации      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28725" cy="447675"/>
                      <wp:effectExtent l="0" t="0" r="0" b="0"/>
                      <wp:docPr id="5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9487157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28725" cy="4476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96.75pt;height:35.25pt;mso-wrap-distance-left:0.00pt;mso-wrap-distance-top:0.00pt;mso-wrap-distance-right:0.00pt;mso-wrap-distance-bottom:0.0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  V = 4,92 </w:t>
            </w:r>
            <w:r>
              <w:rPr>
                <w:sz w:val="24"/>
                <w:szCs w:val="24"/>
              </w:rPr>
              <w:t xml:space="preserve">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142" w:right="-737"/>
              <w:jc w:val="left"/>
              <w:tabs>
                <w:tab w:val="left" w:pos="793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Совокупность цен на </w:t>
            </w:r>
            <w:r>
              <w:rPr>
                <w:sz w:val="24"/>
                <w:szCs w:val="24"/>
              </w:rPr>
              <w:t xml:space="preserve">выполнение работ по развитию функциональных возможностей федеральной государственной информационной системы обязательной сертификации типовой конструкции авиационной техники, деятельности юридических лиц, осуществляющих разработку и изготовление подлежащ</w:t>
            </w:r>
            <w:r>
              <w:rPr>
                <w:sz w:val="24"/>
                <w:szCs w:val="24"/>
              </w:rPr>
              <w:t xml:space="preserve">ей обязательной сертификации авиационной техники» (ФГИС «АВИАСЕРТ») по Этапу 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принимается однородной.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28775" cy="400050"/>
                      <wp:effectExtent l="0" t="0" r="0" b="0"/>
                      <wp:docPr id="6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769797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28775" cy="4000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28.25pt;height:31.50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= (</w:t>
            </w:r>
            <w:r>
              <w:rPr>
                <w:sz w:val="24"/>
                <w:szCs w:val="24"/>
              </w:rPr>
              <w:t xml:space="preserve">50 400 000</w:t>
            </w:r>
            <w:r>
              <w:rPr>
                <w:sz w:val="24"/>
                <w:szCs w:val="24"/>
              </w:rPr>
              <w:t xml:space="preserve">,00</w:t>
            </w:r>
            <w:r>
              <w:rPr>
                <w:sz w:val="24"/>
                <w:szCs w:val="24"/>
              </w:rPr>
              <w:t xml:space="preserve"> + </w:t>
            </w:r>
            <w:r>
              <w:rPr>
                <w:sz w:val="24"/>
                <w:szCs w:val="24"/>
                <w:highlight w:val="none"/>
              </w:rPr>
              <w:t xml:space="preserve">48 000 000</w:t>
            </w:r>
            <w:r>
              <w:rPr>
                <w:sz w:val="24"/>
                <w:szCs w:val="24"/>
              </w:rPr>
              <w:t xml:space="preserve">,00</w:t>
            </w:r>
            <w:r>
              <w:rPr>
                <w:sz w:val="24"/>
                <w:szCs w:val="24"/>
              </w:rPr>
              <w:t xml:space="preserve"> + </w:t>
            </w:r>
            <w:r>
              <w:rPr>
                <w:sz w:val="24"/>
                <w:szCs w:val="24"/>
                <w:highlight w:val="none"/>
              </w:rPr>
              <w:t xml:space="preserve">45 675 300</w:t>
            </w:r>
            <w:r>
              <w:rPr>
                <w:sz w:val="24"/>
                <w:szCs w:val="24"/>
              </w:rPr>
              <w:t xml:space="preserve">,00</w:t>
            </w:r>
            <w:r>
              <w:rPr>
                <w:sz w:val="24"/>
                <w:szCs w:val="24"/>
              </w:rPr>
              <w:t xml:space="preserve">) / 3 = </w:t>
            </w:r>
            <w:r>
              <w:rPr>
                <w:sz w:val="24"/>
                <w:szCs w:val="24"/>
              </w:rPr>
              <w:t xml:space="preserve">48 025 100,00</w:t>
            </w:r>
            <w:r>
              <w:rPr>
                <w:sz w:val="24"/>
                <w:szCs w:val="24"/>
              </w:rPr>
              <w:t xml:space="preserve"> руб.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НМЦК </w:t>
            </w:r>
            <w:r>
              <w:rPr>
                <w:sz w:val="20"/>
                <w:szCs w:val="20"/>
                <w:highlight w:val="none"/>
              </w:rPr>
              <w:t xml:space="preserve">по Этапу 2</w:t>
            </w:r>
            <w:r>
              <w:rPr>
                <w:sz w:val="24"/>
                <w:szCs w:val="24"/>
                <w:highlight w:val="none"/>
              </w:rPr>
              <w:t xml:space="preserve"> = 48 025 100,00 руб., в т.ч. НДС.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left="0" w:right="-737" w:firstLine="142"/>
              <w:jc w:val="left"/>
              <w:tabs>
                <w:tab w:val="left" w:pos="793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  <w:t xml:space="preserve">Этап 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Среднее квадратичное </w:t>
            </w:r>
            <w:r>
              <w:rPr>
                <w:sz w:val="24"/>
                <w:szCs w:val="24"/>
              </w:rPr>
              <w:t xml:space="preserve">отклонение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09725" cy="561975"/>
                      <wp:effectExtent l="0" t="0" r="0" b="0"/>
                      <wp:docPr id="7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6962726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09724" cy="5619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6.75pt;height:44.25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=</w:t>
            </w:r>
            <w:r>
              <w:rPr>
                <w:sz w:val="24"/>
                <w:szCs w:val="24"/>
              </w:rPr>
              <w:t xml:space="preserve"> 800 000,0000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Коэффициент вариации      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28725" cy="447675"/>
                      <wp:effectExtent l="0" t="0" r="0" b="0"/>
                      <wp:docPr id="8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1330107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28725" cy="4476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96.75pt;height:35.25pt;mso-wrap-distance-left:0.00pt;mso-wrap-distance-top:0.00pt;mso-wrap-distance-right:0.00pt;mso-wrap-distance-bottom:0.0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  V = 5 </w:t>
            </w:r>
            <w:r>
              <w:rPr>
                <w:sz w:val="24"/>
                <w:szCs w:val="24"/>
              </w:rPr>
              <w:t xml:space="preserve">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-142" w:right="-737"/>
              <w:jc w:val="left"/>
              <w:tabs>
                <w:tab w:val="left" w:pos="793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Совокупность цен на </w:t>
            </w:r>
            <w:r>
              <w:rPr>
                <w:sz w:val="24"/>
                <w:szCs w:val="24"/>
              </w:rPr>
              <w:t xml:space="preserve">выполнение работ по развитию функциональных возможностей федеральной государственной информационной системы обязательной сертификации типовой конструкции авиационной техники, деятельности юридических лиц, осуществляющих разработку и изготовление подлежащ</w:t>
            </w:r>
            <w:r>
              <w:rPr>
                <w:sz w:val="24"/>
                <w:szCs w:val="24"/>
              </w:rPr>
              <w:t xml:space="preserve">ей обязательной сертификации авиационной техники» (ФГИС «АВИАСЕРТ») по Этапу 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принимается однородной.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28775" cy="400050"/>
                      <wp:effectExtent l="0" t="0" r="0" b="0"/>
                      <wp:docPr id="9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2553734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28775" cy="4000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128.25pt;height:31.50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= (</w:t>
            </w:r>
            <w:r>
              <w:rPr>
                <w:sz w:val="24"/>
                <w:szCs w:val="24"/>
              </w:rPr>
              <w:t xml:space="preserve">16 800 000</w:t>
            </w:r>
            <w:r>
              <w:rPr>
                <w:sz w:val="24"/>
                <w:szCs w:val="24"/>
              </w:rPr>
              <w:t xml:space="preserve">,00</w:t>
            </w:r>
            <w:r>
              <w:rPr>
                <w:sz w:val="24"/>
                <w:szCs w:val="24"/>
              </w:rPr>
              <w:t xml:space="preserve"> + </w:t>
            </w:r>
            <w:r>
              <w:rPr>
                <w:sz w:val="24"/>
                <w:szCs w:val="24"/>
                <w:highlight w:val="none"/>
              </w:rPr>
              <w:t xml:space="preserve">16 000 000</w:t>
            </w:r>
            <w:r>
              <w:rPr>
                <w:sz w:val="24"/>
                <w:szCs w:val="24"/>
              </w:rPr>
              <w:t xml:space="preserve">,00</w:t>
            </w:r>
            <w:r>
              <w:rPr>
                <w:sz w:val="24"/>
                <w:szCs w:val="24"/>
              </w:rPr>
              <w:t xml:space="preserve"> + </w:t>
            </w:r>
            <w:r>
              <w:rPr>
                <w:sz w:val="24"/>
                <w:szCs w:val="24"/>
                <w:highlight w:val="none"/>
              </w:rPr>
              <w:t xml:space="preserve">15 200 000</w:t>
            </w:r>
            <w:r>
              <w:rPr>
                <w:sz w:val="24"/>
                <w:szCs w:val="24"/>
              </w:rPr>
              <w:t xml:space="preserve">,00</w:t>
            </w:r>
            <w:r>
              <w:rPr>
                <w:sz w:val="24"/>
                <w:szCs w:val="24"/>
              </w:rPr>
              <w:t xml:space="preserve">) / 3 = </w:t>
            </w:r>
            <w:r>
              <w:rPr>
                <w:sz w:val="24"/>
                <w:szCs w:val="24"/>
              </w:rPr>
              <w:t xml:space="preserve">16 000 000,00</w:t>
            </w:r>
            <w:r>
              <w:rPr>
                <w:sz w:val="24"/>
                <w:szCs w:val="24"/>
              </w:rPr>
              <w:t xml:space="preserve"> руб.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НМЦК </w:t>
            </w:r>
            <w:r>
              <w:rPr>
                <w:sz w:val="20"/>
                <w:szCs w:val="20"/>
                <w:highlight w:val="none"/>
              </w:rPr>
              <w:t xml:space="preserve">по Этапу 3</w:t>
            </w:r>
            <w:r>
              <w:rPr>
                <w:sz w:val="24"/>
                <w:szCs w:val="24"/>
                <w:highlight w:val="none"/>
              </w:rPr>
              <w:t xml:space="preserve"> = 16 000 000,00 руб., в т.ч. НДС.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НМЦК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= 16 000 000,00 + 48 025 100,00 + 16 000 000,00 = </w:t>
            </w:r>
            <w:r>
              <w:rPr>
                <w:b/>
                <w:bCs/>
                <w:sz w:val="24"/>
                <w:szCs w:val="24"/>
              </w:rPr>
              <w:t xml:space="preserve">80 025 100,00</w:t>
            </w:r>
            <w:r>
              <w:rPr>
                <w:b/>
                <w:bCs/>
                <w:sz w:val="24"/>
                <w:szCs w:val="24"/>
              </w:rPr>
              <w:t xml:space="preserve"> руб.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в т.ч. НДС</w:t>
            </w:r>
            <w:r>
              <w:rPr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cantSplit/>
          <w:trHeight w:val="58"/>
        </w:trPr>
        <w:tc>
          <w:tcPr>
            <w:gridSpan w:val="2"/>
            <w:tcBorders>
              <w:right w:val="none" w:color="000000" w:sz="4" w:space="0"/>
            </w:tcBorders>
            <w:tcW w:w="9373" w:type="dxa"/>
            <w:textDirection w:val="lrTb"/>
            <w:noWrap w:val="false"/>
          </w:tcPr>
          <w:p>
            <w:pPr>
              <w:ind w:right="57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Дата подготовки обоснования НМЦК: 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5654" w:type="dxa"/>
            <w:textDirection w:val="lrTb"/>
            <w:noWrap w:val="false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23.</w:t>
            </w:r>
            <w:r>
              <w:rPr>
                <w:b/>
                <w:bCs/>
                <w:sz w:val="28"/>
                <w:szCs w:val="28"/>
              </w:rPr>
              <w:t xml:space="preserve">09.20</w:t>
            </w:r>
            <w:r>
              <w:rPr>
                <w:b/>
                <w:bCs/>
                <w:sz w:val="28"/>
                <w:szCs w:val="28"/>
              </w:rPr>
              <w:t xml:space="preserve">2</w:t>
            </w:r>
            <w:r>
              <w:rPr>
                <w:b/>
                <w:bCs/>
                <w:sz w:val="28"/>
                <w:szCs w:val="28"/>
              </w:rPr>
              <w:t xml:space="preserve">6 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6840" w:h="11907" w:orient="landscape"/>
      <w:pgMar w:top="851" w:right="1077" w:bottom="142" w:left="1077" w:header="397" w:footer="397" w:gutter="0"/>
      <w:cols w:num="1" w:sep="0" w:space="709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927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9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01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6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47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042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816" w:hanging="1800"/>
      </w:p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66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0">
    <w:name w:val="Heading 1"/>
    <w:basedOn w:val="865"/>
    <w:next w:val="865"/>
    <w:link w:val="69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1">
    <w:name w:val="Heading 1 Char"/>
    <w:basedOn w:val="866"/>
    <w:link w:val="690"/>
    <w:uiPriority w:val="9"/>
    <w:rPr>
      <w:rFonts w:ascii="Arial" w:hAnsi="Arial" w:eastAsia="Arial" w:cs="Arial"/>
      <w:sz w:val="40"/>
      <w:szCs w:val="40"/>
    </w:rPr>
  </w:style>
  <w:style w:type="paragraph" w:styleId="692">
    <w:name w:val="Heading 2"/>
    <w:basedOn w:val="865"/>
    <w:next w:val="865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>
    <w:name w:val="Heading 2 Char"/>
    <w:basedOn w:val="866"/>
    <w:link w:val="692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5"/>
    <w:next w:val="865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6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5"/>
    <w:next w:val="865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basedOn w:val="866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5"/>
    <w:next w:val="865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basedOn w:val="866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5"/>
    <w:next w:val="865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66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5"/>
    <w:next w:val="865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66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5"/>
    <w:next w:val="865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66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5"/>
    <w:next w:val="865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66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No Spacing"/>
    <w:uiPriority w:val="1"/>
    <w:qFormat/>
    <w:pPr>
      <w:spacing w:before="0" w:after="0" w:line="240" w:lineRule="auto"/>
    </w:pPr>
  </w:style>
  <w:style w:type="paragraph" w:styleId="709">
    <w:name w:val="Title"/>
    <w:basedOn w:val="865"/>
    <w:next w:val="865"/>
    <w:link w:val="71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0">
    <w:name w:val="Title Char"/>
    <w:basedOn w:val="866"/>
    <w:link w:val="709"/>
    <w:uiPriority w:val="10"/>
    <w:rPr>
      <w:sz w:val="48"/>
      <w:szCs w:val="48"/>
    </w:rPr>
  </w:style>
  <w:style w:type="paragraph" w:styleId="711">
    <w:name w:val="Subtitle"/>
    <w:basedOn w:val="865"/>
    <w:next w:val="865"/>
    <w:link w:val="712"/>
    <w:uiPriority w:val="11"/>
    <w:qFormat/>
    <w:pPr>
      <w:spacing w:before="200" w:after="200"/>
    </w:pPr>
    <w:rPr>
      <w:sz w:val="24"/>
      <w:szCs w:val="24"/>
    </w:rPr>
  </w:style>
  <w:style w:type="character" w:styleId="712">
    <w:name w:val="Subtitle Char"/>
    <w:basedOn w:val="866"/>
    <w:link w:val="711"/>
    <w:uiPriority w:val="11"/>
    <w:rPr>
      <w:sz w:val="24"/>
      <w:szCs w:val="24"/>
    </w:rPr>
  </w:style>
  <w:style w:type="paragraph" w:styleId="713">
    <w:name w:val="Quote"/>
    <w:basedOn w:val="865"/>
    <w:next w:val="865"/>
    <w:link w:val="714"/>
    <w:uiPriority w:val="29"/>
    <w:qFormat/>
    <w:pPr>
      <w:ind w:left="720" w:right="720"/>
    </w:pPr>
    <w:rPr>
      <w:i/>
    </w:rPr>
  </w:style>
  <w:style w:type="character" w:styleId="714">
    <w:name w:val="Quote Char"/>
    <w:link w:val="713"/>
    <w:uiPriority w:val="29"/>
    <w:rPr>
      <w:i/>
    </w:rPr>
  </w:style>
  <w:style w:type="paragraph" w:styleId="715">
    <w:name w:val="Intense Quote"/>
    <w:basedOn w:val="865"/>
    <w:next w:val="865"/>
    <w:link w:val="71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>
    <w:name w:val="Intense Quote Char"/>
    <w:link w:val="715"/>
    <w:uiPriority w:val="30"/>
    <w:rPr>
      <w:i/>
    </w:rPr>
  </w:style>
  <w:style w:type="character" w:styleId="717">
    <w:name w:val="Header Char"/>
    <w:basedOn w:val="866"/>
    <w:link w:val="869"/>
    <w:uiPriority w:val="99"/>
  </w:style>
  <w:style w:type="character" w:styleId="718">
    <w:name w:val="Footer Char"/>
    <w:basedOn w:val="866"/>
    <w:link w:val="874"/>
    <w:uiPriority w:val="99"/>
  </w:style>
  <w:style w:type="paragraph" w:styleId="719">
    <w:name w:val="Caption"/>
    <w:basedOn w:val="865"/>
    <w:next w:val="865"/>
    <w:link w:val="7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0">
    <w:name w:val="Caption Char"/>
    <w:basedOn w:val="719"/>
    <w:link w:val="874"/>
    <w:uiPriority w:val="99"/>
  </w:style>
  <w:style w:type="table" w:styleId="721">
    <w:name w:val="Table Grid"/>
    <w:basedOn w:val="8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Table Grid Light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2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3">
    <w:name w:val="Grid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4">
    <w:name w:val="Grid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5">
    <w:name w:val="Grid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6">
    <w:name w:val="Grid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7">
    <w:name w:val="Grid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8">
    <w:name w:val="Grid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0">
    <w:name w:val="List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1">
    <w:name w:val="List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2">
    <w:name w:val="List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3">
    <w:name w:val="List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4">
    <w:name w:val="List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5">
    <w:name w:val="List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6">
    <w:name w:val="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 &amp; 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5">
    <w:name w:val="Bordered &amp; 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6">
    <w:name w:val="Bordered &amp; 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7">
    <w:name w:val="Bordered &amp; 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8">
    <w:name w:val="Bordered &amp; 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9">
    <w:name w:val="Bordered &amp; 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0">
    <w:name w:val="Bordered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7">
    <w:name w:val="Hyperlink"/>
    <w:uiPriority w:val="99"/>
    <w:unhideWhenUsed/>
    <w:rPr>
      <w:color w:val="0000ff" w:themeColor="hyperlink"/>
      <w:u w:val="single"/>
    </w:rPr>
  </w:style>
  <w:style w:type="paragraph" w:styleId="848">
    <w:name w:val="footnote text"/>
    <w:basedOn w:val="86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character" w:styleId="850">
    <w:name w:val="footnote reference"/>
    <w:basedOn w:val="866"/>
    <w:uiPriority w:val="99"/>
    <w:unhideWhenUsed/>
    <w:rPr>
      <w:vertAlign w:val="superscript"/>
    </w:rPr>
  </w:style>
  <w:style w:type="paragraph" w:styleId="851">
    <w:name w:val="endnote text"/>
    <w:basedOn w:val="865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>
    <w:name w:val="Endnote Text Char"/>
    <w:link w:val="851"/>
    <w:uiPriority w:val="99"/>
    <w:rPr>
      <w:sz w:val="20"/>
    </w:rPr>
  </w:style>
  <w:style w:type="character" w:styleId="853">
    <w:name w:val="endnote reference"/>
    <w:basedOn w:val="866"/>
    <w:uiPriority w:val="99"/>
    <w:semiHidden/>
    <w:unhideWhenUsed/>
    <w:rPr>
      <w:vertAlign w:val="superscript"/>
    </w:rPr>
  </w:style>
  <w:style w:type="paragraph" w:styleId="854">
    <w:name w:val="toc 1"/>
    <w:basedOn w:val="865"/>
    <w:next w:val="865"/>
    <w:uiPriority w:val="39"/>
    <w:unhideWhenUsed/>
    <w:pPr>
      <w:ind w:left="0" w:right="0" w:firstLine="0"/>
      <w:spacing w:after="57"/>
    </w:pPr>
  </w:style>
  <w:style w:type="paragraph" w:styleId="855">
    <w:name w:val="toc 2"/>
    <w:basedOn w:val="865"/>
    <w:next w:val="865"/>
    <w:uiPriority w:val="39"/>
    <w:unhideWhenUsed/>
    <w:pPr>
      <w:ind w:left="283" w:right="0" w:firstLine="0"/>
      <w:spacing w:after="57"/>
    </w:pPr>
  </w:style>
  <w:style w:type="paragraph" w:styleId="856">
    <w:name w:val="toc 3"/>
    <w:basedOn w:val="865"/>
    <w:next w:val="865"/>
    <w:uiPriority w:val="39"/>
    <w:unhideWhenUsed/>
    <w:pPr>
      <w:ind w:left="567" w:right="0" w:firstLine="0"/>
      <w:spacing w:after="57"/>
    </w:pPr>
  </w:style>
  <w:style w:type="paragraph" w:styleId="857">
    <w:name w:val="toc 4"/>
    <w:basedOn w:val="865"/>
    <w:next w:val="865"/>
    <w:uiPriority w:val="39"/>
    <w:unhideWhenUsed/>
    <w:pPr>
      <w:ind w:left="850" w:right="0" w:firstLine="0"/>
      <w:spacing w:after="57"/>
    </w:pPr>
  </w:style>
  <w:style w:type="paragraph" w:styleId="858">
    <w:name w:val="toc 5"/>
    <w:basedOn w:val="865"/>
    <w:next w:val="865"/>
    <w:uiPriority w:val="39"/>
    <w:unhideWhenUsed/>
    <w:pPr>
      <w:ind w:left="1134" w:right="0" w:firstLine="0"/>
      <w:spacing w:after="57"/>
    </w:pPr>
  </w:style>
  <w:style w:type="paragraph" w:styleId="859">
    <w:name w:val="toc 6"/>
    <w:basedOn w:val="865"/>
    <w:next w:val="865"/>
    <w:uiPriority w:val="39"/>
    <w:unhideWhenUsed/>
    <w:pPr>
      <w:ind w:left="1417" w:right="0" w:firstLine="0"/>
      <w:spacing w:after="57"/>
    </w:pPr>
  </w:style>
  <w:style w:type="paragraph" w:styleId="860">
    <w:name w:val="toc 7"/>
    <w:basedOn w:val="865"/>
    <w:next w:val="865"/>
    <w:uiPriority w:val="39"/>
    <w:unhideWhenUsed/>
    <w:pPr>
      <w:ind w:left="1701" w:right="0" w:firstLine="0"/>
      <w:spacing w:after="57"/>
    </w:pPr>
  </w:style>
  <w:style w:type="paragraph" w:styleId="861">
    <w:name w:val="toc 8"/>
    <w:basedOn w:val="865"/>
    <w:next w:val="865"/>
    <w:uiPriority w:val="39"/>
    <w:unhideWhenUsed/>
    <w:pPr>
      <w:ind w:left="1984" w:right="0" w:firstLine="0"/>
      <w:spacing w:after="57"/>
    </w:pPr>
  </w:style>
  <w:style w:type="paragraph" w:styleId="862">
    <w:name w:val="toc 9"/>
    <w:basedOn w:val="865"/>
    <w:next w:val="865"/>
    <w:uiPriority w:val="39"/>
    <w:unhideWhenUsed/>
    <w:pPr>
      <w:ind w:left="2268" w:right="0" w:firstLine="0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865"/>
    <w:next w:val="865"/>
    <w:uiPriority w:val="99"/>
    <w:unhideWhenUsed/>
    <w:pPr>
      <w:spacing w:after="0" w:afterAutospacing="0"/>
    </w:pPr>
  </w:style>
  <w:style w:type="paragraph" w:styleId="865" w:default="1">
    <w:name w:val="Normal"/>
    <w:qFormat/>
    <w:pPr>
      <w:spacing w:after="0" w:line="240" w:lineRule="auto"/>
    </w:pPr>
    <w:rPr>
      <w:rFonts w:ascii="Times New Roman" w:hAnsi="Times New Roman" w:cs="Times New Roman" w:eastAsiaTheme="minorEastAsia"/>
      <w:sz w:val="20"/>
      <w:szCs w:val="20"/>
      <w:lang w:eastAsia="ru-RU"/>
    </w:rPr>
  </w:style>
  <w:style w:type="character" w:styleId="866" w:default="1">
    <w:name w:val="Default Paragraph Font"/>
    <w:uiPriority w:val="1"/>
    <w:semiHidden/>
    <w:unhideWhenUsed/>
  </w:style>
  <w:style w:type="table" w:styleId="8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8" w:default="1">
    <w:name w:val="No List"/>
    <w:uiPriority w:val="99"/>
    <w:semiHidden/>
    <w:unhideWhenUsed/>
  </w:style>
  <w:style w:type="paragraph" w:styleId="869">
    <w:name w:val="Header"/>
    <w:basedOn w:val="865"/>
    <w:link w:val="870"/>
    <w:uiPriority w:val="99"/>
    <w:pPr>
      <w:tabs>
        <w:tab w:val="center" w:pos="4153" w:leader="none"/>
        <w:tab w:val="right" w:pos="8306" w:leader="none"/>
      </w:tabs>
    </w:pPr>
  </w:style>
  <w:style w:type="character" w:styleId="870" w:customStyle="1">
    <w:name w:val="Верхний колонтитул Знак"/>
    <w:basedOn w:val="866"/>
    <w:link w:val="869"/>
    <w:uiPriority w:val="99"/>
    <w:rPr>
      <w:rFonts w:ascii="Times New Roman" w:hAnsi="Times New Roman" w:cs="Times New Roman" w:eastAsiaTheme="minorEastAsia"/>
      <w:sz w:val="20"/>
      <w:szCs w:val="20"/>
      <w:lang w:eastAsia="ru-RU"/>
    </w:rPr>
  </w:style>
  <w:style w:type="paragraph" w:styleId="871">
    <w:name w:val="Balloon Text"/>
    <w:basedOn w:val="865"/>
    <w:link w:val="872"/>
    <w:uiPriority w:val="99"/>
    <w:semiHidden/>
    <w:unhideWhenUsed/>
    <w:rPr>
      <w:rFonts w:ascii="Tahoma" w:hAnsi="Tahoma" w:cs="Tahoma"/>
      <w:sz w:val="16"/>
      <w:szCs w:val="16"/>
    </w:rPr>
  </w:style>
  <w:style w:type="character" w:styleId="872" w:customStyle="1">
    <w:name w:val="Текст выноски Знак"/>
    <w:basedOn w:val="866"/>
    <w:link w:val="871"/>
    <w:uiPriority w:val="99"/>
    <w:semiHidden/>
    <w:rPr>
      <w:rFonts w:ascii="Tahoma" w:hAnsi="Tahoma" w:cs="Tahoma" w:eastAsiaTheme="minorEastAsia"/>
      <w:sz w:val="16"/>
      <w:szCs w:val="16"/>
      <w:lang w:eastAsia="ru-RU"/>
    </w:rPr>
  </w:style>
  <w:style w:type="paragraph" w:styleId="873">
    <w:name w:val="List Paragraph"/>
    <w:basedOn w:val="865"/>
    <w:uiPriority w:val="34"/>
    <w:qFormat/>
    <w:pPr>
      <w:contextualSpacing/>
      <w:ind w:left="720"/>
    </w:pPr>
  </w:style>
  <w:style w:type="paragraph" w:styleId="874">
    <w:name w:val="Footer"/>
    <w:basedOn w:val="865"/>
    <w:link w:val="87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5" w:customStyle="1">
    <w:name w:val="Нижний колонтитул Знак"/>
    <w:basedOn w:val="866"/>
    <w:link w:val="874"/>
    <w:uiPriority w:val="99"/>
    <w:rPr>
      <w:rFonts w:ascii="Times New Roman" w:hAnsi="Times New Roman" w:cs="Times New Roman" w:eastAsiaTheme="minorEastAsia"/>
      <w:sz w:val="20"/>
      <w:szCs w:val="20"/>
      <w:lang w:eastAsia="ru-RU"/>
    </w:rPr>
  </w:style>
  <w:style w:type="paragraph" w:styleId="876" w:customStyle="1">
    <w:name w:val="Абзац списка;Bullet List;FooterText;numbered;Paragraphe de liste1;lp1;Абзац списка для документа;Абзац списка15;4.2.2;ТЗ список;Абзац списка литеральный;Bullet 1;Use Case List Paragraph;асз.Списка;List Paragraph;Булет1;1Булет;it_List1;Список дефисный;UL"/>
    <w:uiPriority w:val="99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8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877" w:customStyle="1">
    <w:name w:val="ТАБ ТЕКСТ"/>
    <w:basedOn w:val="844"/>
    <w:qFormat/>
    <w:pPr>
      <w:contextualSpacing/>
      <w:ind w:left="57" w:right="57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8" w:customStyle="1">
    <w:name w:val="(1) Обычный текст"/>
    <w:basedOn w:val="725"/>
    <w:link w:val="744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12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879" w:customStyle="1">
    <w:name w:val="Табл_Текст_лев"/>
    <w:uiPriority w:val="5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hi-IN"/>
      <w14:ligatures w14:val="none"/>
    </w:rPr>
  </w:style>
  <w:style w:type="paragraph" w:styleId="880" w:customStyle="1">
    <w:name w:val="Абзац списка1"/>
    <w:pPr>
      <w:contextualSpacing w:val="0"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535D1E-06ED-4091-BEEB-D3BC1AD6B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Petrosyan_SP</dc:creator>
  <cp:revision>34</cp:revision>
  <dcterms:created xsi:type="dcterms:W3CDTF">2024-07-25T14:56:00Z</dcterms:created>
  <dcterms:modified xsi:type="dcterms:W3CDTF">2026-10-14T14:30:19Z</dcterms:modified>
</cp:coreProperties>
</file>