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№ 4 к Извещению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ИКЗ </w:t>
      </w:r>
      <w:r>
        <w:rPr>
          <w:sz w:val="28"/>
          <w:szCs w:val="28"/>
        </w:rPr>
        <w:t xml:space="preserve">26 1 7714549744 771401001 0044 001 6201 246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4820"/>
        <w:jc w:val="right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20"/>
        <w:jc w:val="right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УТВЕРЖДАЮ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20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 Начальник</w:t>
      </w:r>
      <w:r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20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цифровой трансформации </w:t>
      </w:r>
      <w:r>
        <w:rPr>
          <w:sz w:val="28"/>
          <w:szCs w:val="28"/>
        </w:rPr>
        <w:t xml:space="preserve">и обеспечения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20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20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П.В. Никитчук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20"/>
        <w:jc w:val="right"/>
        <w:widowControl w:val="off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20"/>
        <w:jc w:val="right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« ___ » _________ 20__ г.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111"/>
        <w:ind w:left="0" w:firstLine="709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</w:r>
      <w:r>
        <w:rPr>
          <w:rFonts w:ascii="Times New Roman" w:hAnsi="Times New Roman" w:cs="Times New Roman"/>
          <w:bCs/>
          <w:color w:val="000000"/>
        </w:rPr>
      </w:r>
      <w:r>
        <w:rPr>
          <w:rFonts w:ascii="Times New Roman" w:hAnsi="Times New Roman" w:cs="Times New Roman"/>
          <w:bCs/>
          <w:color w:val="000000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ПОРЯДОК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рассмотрения и оценки заявок на участие в конкурсе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 xml:space="preserve">I</w:t>
      </w:r>
      <w:r>
        <w:rPr>
          <w:b/>
          <w:sz w:val="22"/>
          <w:szCs w:val="22"/>
        </w:rPr>
        <w:t xml:space="preserve">. Информация о заказчике и закупке товаров, работ, услуг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для обеспечения государственных и муниципальных нужд (далее закупка)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W w:w="15437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91"/>
        <w:gridCol w:w="4252"/>
        <w:gridCol w:w="1985"/>
        <w:gridCol w:w="3109"/>
      </w:tblGrid>
      <w:tr>
        <w:tblPrEx/>
        <w:trPr>
          <w:cantSplit/>
        </w:trPr>
        <w:tc>
          <w:tcPr>
            <w:tcW w:w="6091" w:type="dxa"/>
            <w:vAlign w:val="bottom"/>
            <w:vMerge w:val="restart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Полное наименование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252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Федеральное агентство воздушного транспорта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Коды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tcW w:w="6091" w:type="dxa"/>
            <w:vAlign w:val="top"/>
            <w:vMerge w:val="continue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252" w:type="dxa"/>
            <w:vAlign w:val="top"/>
            <w:vMerge w:val="continue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7714549744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tcW w:w="6091" w:type="dxa"/>
            <w:vAlign w:val="top"/>
            <w:vMerge w:val="continue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4252" w:type="dxa"/>
            <w:vAlign w:val="top"/>
            <w:vMerge w:val="continue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771401001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091" w:type="dxa"/>
            <w:vAlign w:val="top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нахождения, телефон, адрес электронной почты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highlight w:val="none"/>
                <w:lang w:val="en-US"/>
              </w:rPr>
            </w:pPr>
            <w:r>
              <w:rPr>
                <w:sz w:val="22"/>
                <w:szCs w:val="22"/>
              </w:rPr>
              <w:t xml:space="preserve">125167, г. Москва, Ленинградский проспект, д.37</w:t>
            </w:r>
            <w:r>
              <w:rPr>
                <w:sz w:val="22"/>
                <w:szCs w:val="22"/>
                <w:lang w:eastAsia="en-US"/>
              </w:rPr>
              <w:t xml:space="preserve">; </w:t>
            </w:r>
            <w:r>
              <w:rPr>
                <w:sz w:val="22"/>
                <w:szCs w:val="22"/>
                <w:lang w:eastAsia="en-US"/>
              </w:rPr>
              <w:t xml:space="preserve">84956458555 (</w:t>
            </w:r>
            <w:r>
              <w:rPr>
                <w:sz w:val="22"/>
                <w:szCs w:val="22"/>
                <w:lang w:eastAsia="en-US"/>
              </w:rPr>
              <w:t xml:space="preserve">6436) </w:t>
            </w:r>
            <w:r>
              <w:rPr>
                <w:highlight w:val="none"/>
                <w:lang w:val="en-US"/>
              </w:rPr>
            </w:r>
            <w:r>
              <w:rPr>
                <w:highlight w:val="none"/>
                <w:lang w:val="en-US"/>
              </w:rPr>
            </w:r>
          </w:p>
          <w:p>
            <w:pPr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lang w:val="en-US"/>
              </w:rPr>
            </w:pPr>
            <w:r>
              <w:rPr>
                <w:highlight w:val="none"/>
                <w:lang w:val="en-US"/>
              </w:rPr>
            </w:r>
            <w:r>
              <w:rPr>
                <w:highlight w:val="none"/>
                <w:lang w:val="en-US"/>
              </w:rPr>
              <w:t xml:space="preserve">zakupki@favt.gov.ru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Borders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ОКТМО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453</w:t>
            </w:r>
            <w:r>
              <w:rPr>
                <w:sz w:val="22"/>
                <w:szCs w:val="22"/>
                <w:lang w:val="en-US"/>
              </w:rPr>
              <w:t xml:space="preserve">48</w:t>
            </w:r>
            <w:r>
              <w:rPr>
                <w:sz w:val="22"/>
                <w:szCs w:val="22"/>
              </w:rPr>
              <w:t xml:space="preserve">000</w:t>
            </w:r>
            <w:r>
              <w:rPr>
                <w:sz w:val="22"/>
                <w:szCs w:val="22"/>
              </w:rPr>
              <w:t xml:space="preserve">000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tcW w:w="609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cantSplit/>
          <w:trHeight w:val="562"/>
        </w:trPr>
        <w:tc>
          <w:tcPr>
            <w:tcW w:w="6091" w:type="dxa"/>
            <w:vAlign w:val="top"/>
            <w:vMerge w:val="continue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4252" w:type="dxa"/>
            <w:vAlign w:val="top"/>
            <w:vMerge w:val="continue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10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091" w:type="dxa"/>
            <w:vAlign w:val="top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нахождения, телефон, адрес электронной почты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ОКТМО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091" w:type="dxa"/>
            <w:vAlign w:val="top"/>
            <w:textDirection w:val="lrTb"/>
            <w:noWrap w:val="false"/>
          </w:tcPr>
          <w:p>
            <w:pPr>
              <w:pStyle w:val="948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объекта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9346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highlight w:val="white"/>
              </w:rPr>
            </w:pPr>
            <w:r>
              <w:rPr>
                <w:b w:val="0"/>
                <w:bCs w:val="0"/>
                <w:color w:val="000000"/>
              </w:rPr>
            </w:r>
            <w:r>
              <w:rPr>
                <w:sz w:val="24"/>
                <w:szCs w:val="24"/>
              </w:rPr>
              <w:t xml:space="preserve">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sz w:val="24"/>
                <w:szCs w:val="24"/>
              </w:rPr>
              <w:t xml:space="preserve">ей обязательной сертификации авиационной техники» (ФГИС «АВИАСЕРТ»)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jc w:val="left"/>
        <w:tabs>
          <w:tab w:val="left" w:pos="-360" w:leader="none"/>
          <w:tab w:val="left" w:pos="360" w:leader="none"/>
        </w:tabs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lang w:val="en-US"/>
        </w:rPr>
        <w:t xml:space="preserve">II</w:t>
      </w:r>
      <w:r>
        <w:rPr>
          <w:b/>
          <w:sz w:val="22"/>
          <w:szCs w:val="22"/>
        </w:rPr>
        <w:t xml:space="preserve">. Критерии и показатели оценки заявок на участие в закупке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W w:w="154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97"/>
        <w:gridCol w:w="2133"/>
        <w:gridCol w:w="1246"/>
        <w:gridCol w:w="1589"/>
        <w:gridCol w:w="1559"/>
        <w:gridCol w:w="1989"/>
        <w:gridCol w:w="1668"/>
        <w:gridCol w:w="4536"/>
      </w:tblGrid>
      <w:tr>
        <w:tblPrEx/>
        <w:trPr/>
        <w:tc>
          <w:tcPr>
            <w:tcW w:w="697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133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оценки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24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Значимость критерия оценки, процентов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8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Показатель оценки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Значимость показателя оценки, процентов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98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Показатель оценки, детализирующий показатель оценки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668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Значимость показателя, детализирующего показатель оценки, процентов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Формула оценки или шкала оценки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W w:w="697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133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Цена контракта, сумма цен единиц товара, работы, услуги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246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89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89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668" w:type="dxa"/>
            <w:vAlign w:val="top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1045"/>
              <w:contextualSpacing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Оценка заявок осуществляется по формул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предусмотренн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ым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п. 9 Положения об оценке заявок на участие в закупке товаров, 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абот, услуг для обеспечения государственных и муниципальных нужд, утвержденного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- Положение):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за исключением случаев, предусмотренных пп. «б»</w:t>
            </w:r>
            <w:r>
              <w:rPr>
                <w:sz w:val="22"/>
                <w:szCs w:val="22"/>
              </w:rPr>
              <w:t xml:space="preserve"> п. 9</w:t>
            </w:r>
            <w:r>
              <w:rPr>
                <w:sz w:val="22"/>
                <w:szCs w:val="22"/>
              </w:rPr>
              <w:t xml:space="preserve"> и п. 10 Положения, - по формуле: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contextualSpacing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1045"/>
              <w:contextualSpacing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position w:val="-31"/>
                <w:sz w:val="22"/>
                <w:szCs w:val="22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94383" cy="10668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1762557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694382" cy="10667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2.16pt;height:84.00pt;mso-wrap-distance-left:0.00pt;mso-wrap-distance-top:0.00pt;mso-wrap-distance-right:0.00pt;mso-wrap-distance-bottom:0.00pt;rotation:0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1045"/>
              <w:contextualSpacing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где: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- предложение участника закупки о цене контракта, или о сумме цен всех контрактов, заключаемых по результатам проведения </w:t>
            </w:r>
            <w:r>
              <w:rPr>
                <w:sz w:val="22"/>
                <w:szCs w:val="22"/>
              </w:rPr>
              <w:t xml:space="preserve">электронного</w:t>
            </w:r>
            <w:r>
              <w:rPr>
                <w:sz w:val="22"/>
                <w:szCs w:val="22"/>
              </w:rPr>
              <w:t xml:space="preserve"> конкурса (в случае проведения </w:t>
            </w:r>
            <w:r>
              <w:rPr>
                <w:sz w:val="22"/>
                <w:szCs w:val="22"/>
              </w:rPr>
              <w:t xml:space="preserve">электронного </w:t>
            </w:r>
            <w:r>
              <w:rPr>
                <w:sz w:val="22"/>
                <w:szCs w:val="22"/>
              </w:rPr>
              <w:t xml:space="preserve">конкурса), или о сумме цен единиц товара, работы, услуги (в случае, предусмотренном ч. 24 ст. 22 Закона № 44-ФЗ, в том числе при проведении в этом случае</w:t>
            </w:r>
            <w:r>
              <w:rPr>
                <w:sz w:val="22"/>
                <w:szCs w:val="22"/>
              </w:rPr>
              <w:t xml:space="preserve"> электронного</w:t>
            </w:r>
            <w:r>
              <w:rPr>
                <w:sz w:val="22"/>
                <w:szCs w:val="22"/>
              </w:rPr>
              <w:t xml:space="preserve"> конкурса), заявка (часть заявки) которого подлежит в соответствии с Законом № 44-ФЗ оценке по критерию оценки «цена контракта, сумма цен единиц товара, работы, услуги»;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vertAlign w:val="subscript"/>
              </w:rPr>
              <w:t xml:space="preserve">л</w:t>
            </w:r>
            <w:r>
              <w:rPr>
                <w:sz w:val="22"/>
                <w:szCs w:val="22"/>
              </w:rPr>
              <w:t xml:space="preserve"> - наилучшее ценовое предложение из числа предложенных в соответствии с Законом  № 44-ФЗ участниками закупки, заявки (части заявки) которых подлежат оценке по критерию оценки «цена контракта, сумма цен единиц товара, работы, услуги».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в случае если по результатам применения формулы, предусмотренной пп. «а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9 Положения</w:t>
            </w:r>
            <w:r>
              <w:rPr>
                <w:sz w:val="22"/>
                <w:szCs w:val="22"/>
              </w:rPr>
              <w:t xml:space="preserve">, при оценке хотя бы одной заявки получено значение, являющееся о</w:t>
            </w:r>
            <w:r>
              <w:rPr>
                <w:sz w:val="22"/>
                <w:szCs w:val="22"/>
              </w:rPr>
              <w:t xml:space="preserve">трицательным числом, значение количества баллов по критерию оценки «цена контракта, сумма цен единиц товара, работы, услуги» всем заявкам, подлежащим в соответствии с Федеральным законом оценке по указанному критерию оценки (БЦi), определяется по формуле: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position w:val="-28"/>
                <w:sz w:val="22"/>
                <w:szCs w:val="2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85780" cy="885932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529509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885779" cy="88593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27.23pt;height:69.76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где Ц</w:t>
            </w:r>
            <w:r>
              <w:rPr>
                <w:sz w:val="22"/>
                <w:szCs w:val="22"/>
                <w:vertAlign w:val="subscript"/>
              </w:rPr>
              <w:t xml:space="preserve">нач</w:t>
            </w:r>
            <w:r>
              <w:rPr>
                <w:sz w:val="22"/>
                <w:szCs w:val="22"/>
              </w:rPr>
              <w:t xml:space="preserve"> - начальная (максимальная) цена контракта, или сумма начальных (максимальных) цен каждого контракта, заключаемого по результатам проведения </w:t>
            </w:r>
            <w:r>
              <w:rPr>
                <w:sz w:val="22"/>
                <w:szCs w:val="22"/>
              </w:rPr>
              <w:t xml:space="preserve">электронного </w:t>
            </w:r>
            <w:r>
              <w:rPr>
                <w:sz w:val="22"/>
                <w:szCs w:val="22"/>
              </w:rPr>
              <w:t xml:space="preserve">конкурса (в случае проведения </w:t>
            </w:r>
            <w:r>
              <w:rPr>
                <w:sz w:val="22"/>
                <w:szCs w:val="22"/>
              </w:rPr>
              <w:t xml:space="preserve">электронного</w:t>
            </w:r>
            <w:r>
              <w:rPr>
                <w:sz w:val="22"/>
                <w:szCs w:val="22"/>
              </w:rPr>
              <w:t xml:space="preserve"> конкурса), или начальная сумма цен единиц товаров, работ, услуг (в случае, предусмотренном ч. 24 ст. 22 Закона № 44-ФЗ, в том числе при проведении в таком случае </w:t>
            </w:r>
            <w:r>
              <w:rPr>
                <w:sz w:val="22"/>
                <w:szCs w:val="22"/>
              </w:rPr>
              <w:t xml:space="preserve">электронного</w:t>
            </w:r>
            <w:r>
              <w:rPr>
                <w:sz w:val="22"/>
                <w:szCs w:val="22"/>
              </w:rPr>
              <w:t xml:space="preserve"> конкурса).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Cs w:val="24"/>
              </w:rPr>
            </w:pPr>
            <w:r>
              <w:rPr>
                <w:sz w:val="20"/>
                <w:szCs w:val="22"/>
              </w:rPr>
              <w:t xml:space="preserve">В случае </w:t>
            </w:r>
            <w:r>
              <w:rPr>
                <w:sz w:val="22"/>
                <w:szCs w:val="24"/>
              </w:rPr>
              <w:t xml:space="preserve">если при проведении процедуры подачи предложений о цене контракта в соответствии с Законом № 44-ФЗ подано ценовое предложение, предусматривающее снижение так</w:t>
            </w:r>
            <w:r>
              <w:rPr>
                <w:sz w:val="22"/>
                <w:szCs w:val="24"/>
              </w:rPr>
              <w:t xml:space="preserve">ой</w:t>
            </w:r>
            <w:r>
              <w:rPr>
                <w:sz w:val="22"/>
                <w:szCs w:val="24"/>
              </w:rPr>
              <w:t xml:space="preserve"> цены контракта ниже нуля, значение количества баллов по критерию оценки «цена контракта, сумма цен единиц товара, работы, услуги» (БЦi) определяется в порядке, установленном п. 10 Положения. 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rHeight w:val="1408"/>
        </w:trPr>
        <w:tc>
          <w:tcPr>
            <w:tcW w:w="697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133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contextualSpacing/>
              <w:widowControl w:val="o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Квалификация участников закупки, в том числе наличие у них</w:t>
            </w:r>
            <w:r>
              <w:rPr>
                <w:sz w:val="22"/>
                <w:szCs w:val="22"/>
              </w:rPr>
              <w:t xml:space="preserve"> финансовых ресурсов, оборудования и других материальных ресурсов на праве собственности или ином законном основании, </w:t>
            </w:r>
            <w:r>
              <w:rPr>
                <w:b/>
                <w:sz w:val="22"/>
                <w:szCs w:val="22"/>
              </w:rPr>
              <w:t xml:space="preserve">опыта работы, связанного с предметом контракта,</w:t>
            </w:r>
            <w:r>
              <w:rPr>
                <w:sz w:val="22"/>
                <w:szCs w:val="22"/>
              </w:rPr>
              <w:t xml:space="preserve"> и деловой репутации, специалистов и иных работников определенного уровня квалификации </w:t>
            </w:r>
            <w:r>
              <w:rPr>
                <w:b/>
                <w:sz w:val="22"/>
                <w:szCs w:val="22"/>
              </w:rPr>
              <w:t xml:space="preserve">(далее – «квалификация»)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contextualSpacing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24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89" w:type="dxa"/>
            <w:vAlign w:val="top"/>
            <w:vMerge w:val="restart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2.1</w:t>
            </w:r>
            <w:r>
              <w:rPr>
                <w:b/>
                <w:sz w:val="22"/>
                <w:szCs w:val="22"/>
                <w:highlight w:val="none"/>
              </w:rPr>
            </w:r>
          </w:p>
          <w:p>
            <w:pPr>
              <w:pStyle w:val="948"/>
              <w:contextualSpacing/>
              <w:jc w:val="center"/>
              <w:widowControl w:val="off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</w:rPr>
              <w:t xml:space="preserve">Наличие у участников закупки опыта </w:t>
            </w:r>
            <w:r>
              <w:rPr>
                <w:b/>
                <w:sz w:val="22"/>
                <w:szCs w:val="22"/>
              </w:rPr>
              <w:t xml:space="preserve">оказания услуги</w:t>
            </w:r>
            <w:r>
              <w:rPr>
                <w:b/>
                <w:sz w:val="22"/>
                <w:szCs w:val="22"/>
              </w:rPr>
              <w:t xml:space="preserve">, связанного с предметом контракта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  <w:p>
            <w:pPr>
              <w:pStyle w:val="948"/>
              <w:contextualSpacing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50</w:t>
            </w:r>
            <w:r>
              <w:rPr>
                <w:b/>
                <w:sz w:val="22"/>
                <w:szCs w:val="22"/>
                <w:lang w:val="en-US"/>
              </w:rPr>
            </w:r>
            <w:r>
              <w:rPr>
                <w:b/>
                <w:sz w:val="22"/>
                <w:szCs w:val="22"/>
                <w:lang w:val="en-US"/>
              </w:rPr>
            </w:r>
          </w:p>
          <w:p>
            <w:pPr>
              <w:pStyle w:val="948"/>
              <w:contextualSpacing/>
              <w:jc w:val="center"/>
              <w:widowControl w:val="off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</w:r>
            <w:r>
              <w:rPr>
                <w:b/>
                <w:sz w:val="22"/>
                <w:szCs w:val="22"/>
                <w:lang w:val="en-US"/>
              </w:rPr>
            </w:r>
            <w:r>
              <w:rPr>
                <w:b/>
                <w:sz w:val="22"/>
                <w:szCs w:val="22"/>
                <w:lang w:val="en-US"/>
              </w:rPr>
            </w:r>
          </w:p>
        </w:tc>
        <w:tc>
          <w:tcPr>
            <w:tcW w:w="1989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</w:pPr>
            <w:r>
              <w:rPr>
                <w:b/>
                <w:bCs/>
                <w:sz w:val="22"/>
                <w:szCs w:val="22"/>
              </w:rPr>
              <w:t xml:space="preserve">2.1.1 </w:t>
            </w:r>
            <w:r>
              <w:rPr>
                <w:b/>
                <w:bCs/>
                <w:sz w:val="22"/>
                <w:szCs w:val="22"/>
              </w:rPr>
              <w:t xml:space="preserve">Характеристика квалификации участников закупки №1</w:t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pPr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yellow"/>
              </w:rPr>
            </w:r>
            <w:r>
              <w:rPr>
                <w:b/>
                <w:bCs/>
                <w:sz w:val="22"/>
                <w:szCs w:val="22"/>
                <w:highlight w:val="yellow"/>
              </w:rPr>
            </w:r>
          </w:p>
          <w:p>
            <w:pPr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</w:rPr>
              <w:t xml:space="preserve">Общая цена исполненных участником закупки договоров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W w:w="1668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 xml:space="preserve">30</w:t>
            </w:r>
            <w:r>
              <w:rPr>
                <w:b/>
                <w:sz w:val="22"/>
                <w:szCs w:val="22"/>
                <w:highlight w:val="yellow"/>
              </w:rPr>
            </w:r>
            <w:r>
              <w:rPr>
                <w:b/>
                <w:sz w:val="22"/>
                <w:szCs w:val="22"/>
                <w:highlight w:val="yellow"/>
              </w:rPr>
            </w:r>
          </w:p>
        </w:tc>
        <w:tc>
          <w:tcPr>
            <w:tcW w:w="453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Оценка заявок осуществляется по формуле, предусмотренной пп. «б» п. 20 Положения «лучшим является наибольшее значение»:</w:t>
            </w:r>
            <w:r/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5125" cy="876300"/>
                      <wp:effectExtent l="0" t="0" r="0" b="0"/>
                      <wp:docPr id="3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5572736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905123" cy="8762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228.75pt;height:69.00pt;mso-wrap-distance-left:0.00pt;mso-wrap-distance-top:0.00pt;mso-wrap-distance-right:0.00pt;mso-wrap-distance-bottom:0.00pt;rotation:0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где: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</w:t>
            </w:r>
            <w:r>
              <w:rPr>
                <w:sz w:val="22"/>
                <w:szCs w:val="22"/>
              </w:rPr>
              <w:t xml:space="preserve">№ 44-ФЗ </w:t>
            </w:r>
            <w:r>
              <w:rPr>
                <w:sz w:val="22"/>
                <w:szCs w:val="22"/>
              </w:rPr>
              <w:t xml:space="preserve">оценке по критерию оценки «квалификация»;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</w:t>
            </w:r>
            <w:r>
              <w:rPr>
                <w:sz w:val="22"/>
                <w:szCs w:val="22"/>
              </w:rPr>
              <w:t xml:space="preserve">№ 44-ФЗ </w:t>
            </w:r>
            <w:r>
              <w:rPr>
                <w:sz w:val="22"/>
                <w:szCs w:val="22"/>
              </w:rPr>
              <w:t xml:space="preserve">оценке по критерию оценки «квалификация»;</w:t>
            </w:r>
            <w:r/>
          </w:p>
          <w:p>
            <w:pPr>
              <w:pStyle w:val="948"/>
              <w:jc w:val="both"/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 xml:space="preserve">- максимальное значение характеристики объекта закупки, содержащееся в заявках (частях заявок), подлежащих в соответствии с Законом </w:t>
            </w:r>
            <w:r>
              <w:rPr>
                <w:sz w:val="22"/>
                <w:szCs w:val="22"/>
              </w:rPr>
              <w:t xml:space="preserve">№ 44-ФЗ</w:t>
            </w:r>
            <w:r>
              <w:rPr>
                <w:sz w:val="22"/>
                <w:szCs w:val="22"/>
              </w:rPr>
              <w:t xml:space="preserve"> оценке по критерию оценки «квалификация».</w:t>
            </w:r>
            <w:r/>
          </w:p>
          <w:p>
            <w:pPr>
              <w:pStyle w:val="948"/>
              <w:jc w:val="both"/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948"/>
              <w:jc w:val="both"/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  <w:r/>
          </w:p>
          <w:p>
            <w:pPr>
              <w:pStyle w:val="948"/>
              <w:jc w:val="both"/>
            </w:pPr>
            <w:r>
              <w:rPr>
                <w:sz w:val="22"/>
                <w:szCs w:val="22"/>
              </w:rPr>
            </w:r>
            <w:r/>
          </w:p>
          <w:p>
            <w:pPr>
              <w:pStyle w:val="948"/>
              <w:jc w:val="both"/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</w:t>
            </w:r>
            <w:r>
              <w:rPr>
                <w:i/>
                <w:sz w:val="22"/>
                <w:szCs w:val="22"/>
              </w:rPr>
              <w:t xml:space="preserve">в т.ч. </w:t>
            </w:r>
            <w:r>
              <w:rPr>
                <w:i/>
                <w:sz w:val="22"/>
                <w:szCs w:val="22"/>
              </w:rPr>
              <w:t xml:space="preserve">пп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fldChar w:fldCharType="begin"/>
            </w:r>
            <w:r>
              <w:rPr>
                <w:i/>
                <w:sz w:val="22"/>
                <w:szCs w:val="22"/>
              </w:rPr>
              <w:instrText xml:space="preserve"> HYPERLINK "https://login.consultant.ru/link/?req=doc&amp;base=LAW&amp;n=406141&amp;dst=100094&amp;field=134&amp;date=18.04.2022" </w:instrText>
            </w:r>
            <w:r>
              <w:rPr>
                <w:i/>
                <w:sz w:val="22"/>
                <w:szCs w:val="22"/>
              </w:rPr>
              <w:fldChar w:fldCharType="separate"/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«б»</w:t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 п. 20</w:t>
            </w:r>
            <w:r>
              <w:rPr>
                <w:i/>
                <w:sz w:val="22"/>
                <w:szCs w:val="22"/>
              </w:rPr>
              <w:fldChar w:fldCharType="end"/>
            </w:r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  <w:r/>
          </w:p>
          <w:p>
            <w:pPr>
              <w:pStyle w:val="948"/>
              <w:ind w:firstLine="540"/>
              <w:jc w:val="both"/>
            </w:pPr>
            <w:r>
              <w:rPr>
                <w:i/>
                <w:sz w:val="22"/>
                <w:szCs w:val="22"/>
              </w:rPr>
              <w:t xml:space="preserve">-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100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/>
          </w:p>
          <w:p>
            <w:pPr>
              <w:pStyle w:val="948"/>
              <w:ind w:firstLine="540"/>
              <w:jc w:val="both"/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bCs/>
                <w:color w:val="000000"/>
              </w:rPr>
            </w:pPr>
            <w:r>
              <w:rPr>
                <w:i/>
                <w:sz w:val="22"/>
                <w:szCs w:val="22"/>
              </w:rPr>
              <w:t xml:space="preserve">          </w:t>
            </w:r>
            <w:r>
              <w:rPr>
                <w:i/>
                <w:sz w:val="22"/>
                <w:szCs w:val="22"/>
              </w:rPr>
              <w:t xml:space="preserve">- иным заявкам баллы присваиваются между наилучшим и наихудшим значениями </w:t>
            </w:r>
            <w:r>
              <w:rPr>
                <w:i/>
                <w:sz w:val="22"/>
                <w:szCs w:val="22"/>
              </w:rPr>
              <w:t xml:space="preserve">–</w:t>
            </w:r>
            <w:r>
              <w:rPr>
                <w:i/>
                <w:sz w:val="22"/>
                <w:szCs w:val="22"/>
              </w:rPr>
              <w:t xml:space="preserve">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</w:t>
            </w:r>
            <w:r>
              <w:rPr>
                <w:i/>
                <w:sz w:val="22"/>
                <w:szCs w:val="22"/>
              </w:rPr>
              <w:t xml:space="preserve">письмо Минфина России от 30.05.2023 № 24-06-09/49516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  <w:highlight w:val="none"/>
                <w:lang w:eastAsia="ru-RU"/>
              </w:rPr>
            </w:pPr>
            <w:r>
              <w:rPr>
                <w:rFonts w:ascii="Times New Roman" w:hAnsi="Times New Roman"/>
                <w:sz w:val="20"/>
                <w:highlight w:val="none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highlight w:val="none"/>
                <w:lang w:eastAsia="ru-RU"/>
              </w:rPr>
            </w:r>
          </w:p>
        </w:tc>
      </w:tr>
      <w:tr>
        <w:tblPrEx/>
        <w:trPr>
          <w:trHeight w:val="1408"/>
        </w:trPr>
        <w:tc>
          <w:tcPr>
            <w:tcW w:w="69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3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4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89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9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2.1.2 Характеристика квалификации № 2 Общее количество исполненных участником закупки договоров</w:t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pPr>
              <w:jc w:val="center"/>
              <w:tabs>
                <w:tab w:val="left" w:pos="-360" w:leader="none"/>
                <w:tab w:val="left" w:pos="360" w:leader="none"/>
              </w:tabs>
              <w:rPr>
                <w:highlight w:val="yellow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W w:w="1668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Cs/>
                <w:highlight w:val="yellow"/>
              </w:rPr>
            </w:pPr>
            <w:r>
              <w:rPr>
                <w:b/>
                <w:sz w:val="22"/>
                <w:szCs w:val="22"/>
              </w:rPr>
              <w:t xml:space="preserve">60</w:t>
            </w:r>
            <w:r>
              <w:rPr>
                <w:bCs/>
                <w:highlight w:val="yellow"/>
              </w:rPr>
            </w:r>
            <w:r>
              <w:rPr>
                <w:bCs/>
                <w:highlight w:val="yellow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Оценка заявок осуществляется по формуле, предусмотренной пп. «б» п. 20 Положения «лучшим является наибольшее значение»: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5125" cy="876300"/>
                      <wp:effectExtent l="0" t="0" r="0" b="0"/>
                      <wp:docPr id="4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70411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05123" cy="8762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228.75pt;height:69.0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где: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 xml:space="preserve"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</w:t>
            </w:r>
            <w:r>
              <w:rPr>
                <w:i/>
                <w:sz w:val="22"/>
                <w:szCs w:val="22"/>
              </w:rPr>
              <w:t xml:space="preserve">в т.ч. </w:t>
            </w:r>
            <w:r>
              <w:rPr>
                <w:i/>
                <w:sz w:val="22"/>
                <w:szCs w:val="22"/>
              </w:rPr>
              <w:t xml:space="preserve">пп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fldChar w:fldCharType="begin"/>
            </w:r>
            <w:r>
              <w:rPr>
                <w:i/>
                <w:sz w:val="22"/>
                <w:szCs w:val="22"/>
              </w:rPr>
              <w:instrText xml:space="preserve"> HYPERLINK "https://login.consultant.ru/link/?req=doc&amp;base=LAW&amp;n=406141&amp;dst=100094&amp;field=134&amp;date=18.04.2022" </w:instrText>
            </w:r>
            <w:r>
              <w:rPr>
                <w:i/>
                <w:sz w:val="22"/>
                <w:szCs w:val="22"/>
              </w:rPr>
              <w:fldChar w:fldCharType="separate"/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«б»</w:t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 п. 20</w:t>
            </w:r>
            <w:r>
              <w:rPr>
                <w:i/>
                <w:sz w:val="22"/>
                <w:szCs w:val="22"/>
              </w:rPr>
              <w:fldChar w:fldCharType="end"/>
            </w:r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100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иным заявкам баллы присваиваются между наилучшим и наихудшим значениями </w:t>
            </w:r>
            <w:r>
              <w:rPr>
                <w:i/>
                <w:sz w:val="22"/>
                <w:szCs w:val="22"/>
              </w:rPr>
              <w:t xml:space="preserve">–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</w:t>
            </w:r>
            <w:r>
              <w:rPr>
                <w:i/>
                <w:sz w:val="22"/>
                <w:szCs w:val="22"/>
              </w:rPr>
              <w:t xml:space="preserve">письмо Минфина России от 30.05.2023 № 24-06-09/49516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850"/>
        </w:trPr>
        <w:tc>
          <w:tcPr>
            <w:tcW w:w="69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213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246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58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9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2.1.3 Характеристика квалификации участников закупки №3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Наибольшая цена одного из исполненных участником закупки договоров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668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Оценка заявок осуществляется по формуле, предусмотренной пп. «б» п. 20 Положения «лучшим является наибольшее значение»: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5125" cy="876300"/>
                      <wp:effectExtent l="0" t="0" r="0" b="0"/>
                      <wp:docPr id="5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417062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05123" cy="8762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228.75pt;height:69.0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где: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 xml:space="preserve"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</w:t>
            </w:r>
            <w:r>
              <w:rPr>
                <w:i/>
                <w:sz w:val="22"/>
                <w:szCs w:val="22"/>
              </w:rPr>
              <w:t xml:space="preserve">в т.ч. </w:t>
            </w:r>
            <w:r>
              <w:rPr>
                <w:i/>
                <w:sz w:val="22"/>
                <w:szCs w:val="22"/>
              </w:rPr>
              <w:t xml:space="preserve">пп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fldChar w:fldCharType="begin"/>
            </w:r>
            <w:r>
              <w:rPr>
                <w:i/>
                <w:sz w:val="22"/>
                <w:szCs w:val="22"/>
              </w:rPr>
              <w:instrText xml:space="preserve"> HYPERLINK "https://login.consultant.ru/link/?req=doc&amp;base=LAW&amp;n=406141&amp;dst=100094&amp;field=134&amp;date=18.04.2022" </w:instrText>
            </w:r>
            <w:r>
              <w:rPr>
                <w:i/>
                <w:sz w:val="22"/>
                <w:szCs w:val="22"/>
              </w:rPr>
              <w:fldChar w:fldCharType="separate"/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«б»</w:t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 п. 20</w:t>
            </w:r>
            <w:r>
              <w:rPr>
                <w:i/>
                <w:sz w:val="22"/>
                <w:szCs w:val="22"/>
              </w:rPr>
              <w:fldChar w:fldCharType="end"/>
            </w:r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100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иным заявкам баллы присваиваются между наилучшим и наихудшим значениями </w:t>
            </w:r>
            <w:r>
              <w:rPr>
                <w:i/>
                <w:sz w:val="22"/>
                <w:szCs w:val="22"/>
              </w:rPr>
              <w:t xml:space="preserve">–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</w:t>
            </w:r>
            <w:r>
              <w:rPr>
                <w:i/>
                <w:sz w:val="22"/>
                <w:szCs w:val="22"/>
              </w:rPr>
              <w:t xml:space="preserve">письмо Минфина России от 30.05.2023 № 24-06-09/49516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850"/>
        </w:trPr>
        <w:tc>
          <w:tcPr>
            <w:tcW w:w="69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213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246" w:type="dxa"/>
            <w:vAlign w:val="top"/>
            <w:vMerge w:val="restart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158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  <w:t xml:space="preserve">2.2</w:t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  <w:t xml:space="preserve">Наличие у участников закупки специалистов и иных работников определенного уровня квалификации</w:t>
            </w:r>
            <w:r>
              <w:rPr>
                <w:b/>
                <w:bCs/>
              </w:rPr>
            </w:r>
            <w:r>
              <w:rPr>
                <w:b/>
                <w:bCs/>
                <w:highlight w:val="none"/>
              </w:rPr>
            </w:r>
          </w:p>
          <w:p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1989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</w:pPr>
            <w:r>
              <w:rPr>
                <w:b/>
                <w:bCs/>
                <w:sz w:val="22"/>
                <w:szCs w:val="22"/>
              </w:rPr>
              <w:t xml:space="preserve">2.2.1 </w:t>
            </w:r>
            <w:r>
              <w:rPr>
                <w:b/>
                <w:bCs/>
                <w:sz w:val="22"/>
                <w:szCs w:val="22"/>
              </w:rPr>
              <w:t xml:space="preserve">Характеристика квалификации участников закупки №1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  <w:t xml:space="preserve">Перечень </w:t>
            </w:r>
            <w:r>
              <w:rPr>
                <w:b/>
                <w:bCs/>
                <w:sz w:val="22"/>
                <w:szCs w:val="22"/>
              </w:rPr>
              <w:t xml:space="preserve">специалистов </w:t>
            </w:r>
            <w:r>
              <w:rPr>
                <w:b/>
                <w:bCs/>
                <w:sz w:val="22"/>
                <w:szCs w:val="22"/>
              </w:rPr>
              <w:t xml:space="preserve">и иных работников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2"/>
                <w:szCs w:val="22"/>
                <w:lang w:eastAsia="ru-RU"/>
              </w:rPr>
              <w:t xml:space="preserve">(направлений подготовки, выделенных в условную группу «ИТ»)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668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Оценка заявок осуществляется по формуле, предусмотренной пп. «б» п. 20 Положения «лучшим является наибольшее значение»: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5125" cy="876300"/>
                      <wp:effectExtent l="0" t="0" r="0" b="0"/>
                      <wp:docPr id="6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474901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05122" cy="8762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28.75pt;height:69.0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где: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 xml:space="preserve"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</w:t>
            </w:r>
            <w:r>
              <w:rPr>
                <w:i/>
                <w:sz w:val="22"/>
                <w:szCs w:val="22"/>
              </w:rPr>
              <w:t xml:space="preserve">в т.ч. </w:t>
            </w:r>
            <w:r>
              <w:rPr>
                <w:i/>
                <w:sz w:val="22"/>
                <w:szCs w:val="22"/>
              </w:rPr>
              <w:t xml:space="preserve">пп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fldChar w:fldCharType="begin"/>
            </w:r>
            <w:r>
              <w:rPr>
                <w:i/>
                <w:sz w:val="22"/>
                <w:szCs w:val="22"/>
              </w:rPr>
              <w:instrText xml:space="preserve"> HYPERLINK "https://login.consultant.ru/link/?req=doc&amp;base=LAW&amp;n=406141&amp;dst=100094&amp;field=134&amp;date=18.04.2022" </w:instrText>
            </w:r>
            <w:r>
              <w:rPr>
                <w:i/>
                <w:sz w:val="22"/>
                <w:szCs w:val="22"/>
              </w:rPr>
              <w:fldChar w:fldCharType="separate"/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«б»</w:t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 п. 20</w:t>
            </w:r>
            <w:r>
              <w:rPr>
                <w:i/>
                <w:sz w:val="22"/>
                <w:szCs w:val="22"/>
              </w:rPr>
              <w:fldChar w:fldCharType="end"/>
            </w:r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100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иным заявкам баллы присваиваются между наилучшим и наихудшим значениями </w:t>
            </w:r>
            <w:r>
              <w:rPr>
                <w:i/>
                <w:sz w:val="22"/>
                <w:szCs w:val="22"/>
              </w:rPr>
              <w:t xml:space="preserve">–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</w:t>
            </w:r>
            <w:r>
              <w:rPr>
                <w:i/>
                <w:sz w:val="22"/>
                <w:szCs w:val="22"/>
              </w:rPr>
              <w:t xml:space="preserve">письмо Минфина России от 30.05.2023 № 24-06-09/49516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850"/>
        </w:trPr>
        <w:tc>
          <w:tcPr>
            <w:tcW w:w="69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213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246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58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9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</w:pPr>
            <w:r>
              <w:rPr>
                <w:b/>
                <w:bCs/>
                <w:sz w:val="22"/>
                <w:szCs w:val="22"/>
              </w:rPr>
              <w:t xml:space="preserve">2.2.2 </w:t>
            </w:r>
            <w:r>
              <w:rPr>
                <w:b/>
                <w:bCs/>
                <w:sz w:val="22"/>
                <w:szCs w:val="22"/>
              </w:rPr>
              <w:t xml:space="preserve">Характеристика квалификации участников закупки №2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  <w:t xml:space="preserve">Перечень </w:t>
            </w:r>
            <w:r>
              <w:rPr>
                <w:b/>
                <w:bCs/>
                <w:sz w:val="22"/>
                <w:szCs w:val="22"/>
              </w:rPr>
              <w:t xml:space="preserve">специалистов </w:t>
            </w:r>
            <w:r>
              <w:rPr>
                <w:b/>
                <w:bCs/>
                <w:sz w:val="22"/>
                <w:szCs w:val="22"/>
              </w:rPr>
              <w:t xml:space="preserve">и иных работников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2"/>
                <w:szCs w:val="22"/>
                <w:lang w:eastAsia="ru-RU"/>
              </w:rPr>
              <w:t xml:space="preserve">(направлений подготовки, выделенных в условную группу «ИБ»)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668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Оценка заявок осуществляется по формуле, предусмотренной пп. «б» п. 20 Положения «лучшим является наибольшее значение»: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5125" cy="876300"/>
                      <wp:effectExtent l="0" t="0" r="0" b="0"/>
                      <wp:docPr id="7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474901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05122" cy="8762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228.75pt;height:69.0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где: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 xml:space="preserve"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</w:t>
            </w:r>
            <w:r>
              <w:rPr>
                <w:i/>
                <w:sz w:val="22"/>
                <w:szCs w:val="22"/>
              </w:rPr>
              <w:t xml:space="preserve">в т.ч. </w:t>
            </w:r>
            <w:r>
              <w:rPr>
                <w:i/>
                <w:sz w:val="22"/>
                <w:szCs w:val="22"/>
              </w:rPr>
              <w:t xml:space="preserve">пп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fldChar w:fldCharType="begin"/>
            </w:r>
            <w:r>
              <w:rPr>
                <w:i/>
                <w:sz w:val="22"/>
                <w:szCs w:val="22"/>
              </w:rPr>
              <w:instrText xml:space="preserve"> HYPERLINK "https://login.consultant.ru/link/?req=doc&amp;base=LAW&amp;n=406141&amp;dst=100094&amp;field=134&amp;date=18.04.2022" </w:instrText>
            </w:r>
            <w:r>
              <w:rPr>
                <w:i/>
                <w:sz w:val="22"/>
                <w:szCs w:val="22"/>
              </w:rPr>
              <w:fldChar w:fldCharType="separate"/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«б»</w:t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 п. 20</w:t>
            </w:r>
            <w:r>
              <w:rPr>
                <w:i/>
                <w:sz w:val="22"/>
                <w:szCs w:val="22"/>
              </w:rPr>
              <w:fldChar w:fldCharType="end"/>
            </w:r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100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иным заявкам баллы присваиваются между наилучшим и наихудшим значениями </w:t>
            </w:r>
            <w:r>
              <w:rPr>
                <w:i/>
                <w:sz w:val="22"/>
                <w:szCs w:val="22"/>
              </w:rPr>
              <w:t xml:space="preserve">–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</w:t>
            </w:r>
            <w:r>
              <w:rPr>
                <w:i/>
                <w:sz w:val="22"/>
                <w:szCs w:val="22"/>
              </w:rPr>
              <w:t xml:space="preserve">письмо Минфина России от 30.05.2023 № 24-06-09/49516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  <w:tr>
        <w:tblPrEx/>
        <w:trPr>
          <w:trHeight w:val="850"/>
        </w:trPr>
        <w:tc>
          <w:tcPr>
            <w:tcW w:w="697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213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246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58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9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</w:rPr>
              <w:t xml:space="preserve">2.2.3 </w:t>
            </w:r>
            <w:r>
              <w:rPr>
                <w:b/>
                <w:bCs/>
                <w:sz w:val="22"/>
                <w:szCs w:val="22"/>
              </w:rPr>
              <w:t xml:space="preserve">Характеристика квалификации участников закупки №3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  <w:p>
            <w:pPr>
              <w:jc w:val="center"/>
              <w:tabs>
                <w:tab w:val="left" w:pos="-360" w:leader="none"/>
                <w:tab w:val="left" w:pos="360" w:leader="none"/>
              </w:tabs>
            </w:pP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  <w:t xml:space="preserve">Перечень специальностей (направлений подготовки, выделенных в условную группу «ИТ» и имеющих ученую степень кандидат или доктор технических наук)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/>
          </w:p>
        </w:tc>
        <w:tc>
          <w:tcPr>
            <w:tcW w:w="1668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53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Оценка заявок осуществляется по формуле, предусмотренной пп. «б» п. 20 Положения «лучшим является наибольшее значение»: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5125" cy="876300"/>
                      <wp:effectExtent l="0" t="0" r="0" b="0"/>
                      <wp:docPr id="8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474901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05122" cy="8762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228.75pt;height:69.0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где: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значение показателя, содержащееся в предложении участника закупки, заявка (часть заявки) которого подлежит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min</w:t>
            </w:r>
            <w:r>
              <w:rPr>
                <w:sz w:val="22"/>
                <w:szCs w:val="22"/>
              </w:rPr>
              <w:t xml:space="preserve"> – минимальное значение показателя, содержащееся в заявках (частях заявок), подлежащих в соответствии с Законом о контрактной системе оценке по критерию оценки «квалификация»;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  <w:vertAlign w:val="subscript"/>
              </w:rPr>
              <w:t xml:space="preserve">max </w:t>
            </w:r>
            <w:r>
              <w:rPr>
                <w:sz w:val="22"/>
                <w:szCs w:val="22"/>
              </w:rPr>
              <w:t xml:space="preserve">- максимальное значение характеристики объекта закупки, содержащееся в заявках (частях заявок), подлежащих в соответствии с Законом о контрактной системе оценке по критерию оценки «квалификация».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заявки (части заявки) по показателю оценки определяется путем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суммирования среднего количества баллов</w:t>
            </w:r>
            <w:r>
              <w:rPr>
                <w:color w:val="000000"/>
                <w:sz w:val="22"/>
                <w:szCs w:val="22"/>
              </w:rPr>
              <w:t xml:space="preserve">, присвоенных всеми принимавшими участие в ее рассмотрении и оценке членами комиссии по осуществлению закупок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по каждому детализирующему показателю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умноженного на значимость</w:t>
            </w:r>
            <w:r>
              <w:rPr>
                <w:color w:val="000000"/>
                <w:sz w:val="22"/>
                <w:szCs w:val="22"/>
              </w:rPr>
              <w:t xml:space="preserve"> соответствующего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Формулы, при которых Заказчик не устанавливает предельное (предельные) значение (значения) (</w:t>
            </w:r>
            <w:r>
              <w:rPr>
                <w:i/>
                <w:sz w:val="22"/>
                <w:szCs w:val="22"/>
              </w:rPr>
              <w:t xml:space="preserve">в т.ч. </w:t>
            </w:r>
            <w:r>
              <w:rPr>
                <w:i/>
                <w:sz w:val="22"/>
                <w:szCs w:val="22"/>
              </w:rPr>
              <w:t xml:space="preserve">пп</w:t>
            </w:r>
            <w:r>
              <w:rPr>
                <w:i/>
                <w:sz w:val="22"/>
                <w:szCs w:val="22"/>
              </w:rPr>
              <w:t xml:space="preserve">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fldChar w:fldCharType="begin"/>
            </w:r>
            <w:r>
              <w:rPr>
                <w:i/>
                <w:sz w:val="22"/>
                <w:szCs w:val="22"/>
              </w:rPr>
              <w:instrText xml:space="preserve"> HYPERLINK "https://login.consultant.ru/link/?req=doc&amp;base=LAW&amp;n=406141&amp;dst=100094&amp;field=134&amp;date=18.04.2022" </w:instrText>
            </w:r>
            <w:r>
              <w:rPr>
                <w:i/>
                <w:sz w:val="22"/>
                <w:szCs w:val="22"/>
              </w:rPr>
              <w:fldChar w:fldCharType="separate"/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«б»</w:t>
            </w:r>
            <w:r>
              <w:rPr>
                <w:rStyle w:val="966"/>
                <w:i/>
                <w:color w:val="000000"/>
                <w:sz w:val="22"/>
                <w:szCs w:val="22"/>
                <w:u w:val="none"/>
              </w:rPr>
              <w:t xml:space="preserve"> п. 20</w:t>
            </w:r>
            <w:r>
              <w:rPr>
                <w:i/>
                <w:sz w:val="22"/>
                <w:szCs w:val="22"/>
              </w:rPr>
              <w:fldChar w:fldCharType="end"/>
            </w:r>
            <w:r>
              <w:rPr>
                <w:i/>
                <w:sz w:val="22"/>
                <w:szCs w:val="22"/>
              </w:rPr>
              <w:t xml:space="preserve"> Положения), предусматривают присвоение баллов, исходя из нижеследующего: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заявке, содержащей наилучшее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100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заявке, содержащей наихудшее значение, присваивается </w:t>
            </w:r>
            <w:r>
              <w:rPr>
                <w:i/>
                <w:sz w:val="22"/>
                <w:szCs w:val="22"/>
                <w:u w:val="single"/>
              </w:rPr>
              <w:t xml:space="preserve">0 баллов</w:t>
            </w:r>
            <w:r>
              <w:rPr>
                <w:i/>
                <w:sz w:val="22"/>
                <w:szCs w:val="22"/>
              </w:rPr>
              <w:t xml:space="preserve">;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8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 иным заявкам баллы присваиваются между наилучшим и наихудшим значениями </w:t>
            </w:r>
            <w:r>
              <w:rPr>
                <w:i/>
                <w:sz w:val="22"/>
                <w:szCs w:val="22"/>
              </w:rPr>
              <w:t xml:space="preserve">–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(экстремумы) исходя из цены деления, рассчитываемого (в рамках «правого компонента» каждой формулы) на основании предложенных участниками закупки наилучшим и наихудшим значений. (п. 7.4 письма Минфина России от 14.02.2022 № 24-01-09/10138, </w:t>
            </w:r>
            <w:r>
              <w:rPr>
                <w:i/>
                <w:sz w:val="22"/>
                <w:szCs w:val="22"/>
              </w:rPr>
              <w:t xml:space="preserve">письмо Минфина России от 30.05.2023 № 24-06-09/49516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</w:tr>
    </w:tbl>
    <w:p>
      <w:pPr>
        <w:pStyle w:val="948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 xml:space="preserve">III</w:t>
      </w:r>
      <w:r>
        <w:rPr>
          <w:b/>
          <w:sz w:val="22"/>
          <w:szCs w:val="22"/>
        </w:rPr>
        <w:t xml:space="preserve">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разделом </w:t>
      </w:r>
      <w:r>
        <w:rPr>
          <w:b/>
          <w:sz w:val="22"/>
          <w:szCs w:val="22"/>
          <w:lang w:val="en-US"/>
        </w:rPr>
        <w:t xml:space="preserve">II</w:t>
      </w:r>
      <w:r>
        <w:rPr>
          <w:b/>
          <w:sz w:val="22"/>
          <w:szCs w:val="22"/>
        </w:rPr>
        <w:t xml:space="preserve"> настоящего документа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49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56"/>
        <w:gridCol w:w="7"/>
        <w:gridCol w:w="5864"/>
        <w:gridCol w:w="8356"/>
        <w:gridCol w:w="11"/>
      </w:tblGrid>
      <w:tr>
        <w:tblPrEx/>
        <w:trPr/>
        <w:tc>
          <w:tcPr>
            <w:gridSpan w:val="2"/>
            <w:tcW w:w="763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5864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 графой 3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W w:w="8367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Положение о применении критерия оценки, показателя оценки, показателя оценки, детализирующего показатель оценки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оценки «Цена контракта, сумма цен единиц товара, работы, услуги»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835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Значимость критерия оценки составляет </w:t>
            </w:r>
            <w:r>
              <w:rPr>
                <w:sz w:val="22"/>
                <w:szCs w:val="22"/>
              </w:rPr>
              <w:t xml:space="preserve">30 процентов.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раздел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II</w:t>
            </w:r>
            <w:r>
              <w:rPr>
                <w:sz w:val="22"/>
                <w:szCs w:val="22"/>
              </w:rPr>
              <w:t xml:space="preserve"> Положения: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Заявкам, содержащим наилучшее ценовое предложение, а также предложение, равное такому </w:t>
            </w:r>
            <w:r>
              <w:rPr>
                <w:sz w:val="22"/>
                <w:szCs w:val="22"/>
              </w:rPr>
              <w:t xml:space="preserve">наилучшему ценовому предложению, присваивается 100 баллов.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</w:pPr>
            <w:r>
              <w:t xml:space="preserve">Значение Цл при применении формулы, предусмотренной </w:t>
            </w:r>
            <w:r>
              <w:fldChar w:fldCharType="begin"/>
            </w:r>
            <w:r>
              <w:instrText xml:space="preserve"> HYPERLINK "https://login.consultant.ru/link/?req=doc&amp;base=LAW&amp;n=430960&amp;dst=100057&amp;field=134&amp;date=18.05.2023" </w:instrText>
            </w:r>
            <w:r>
              <w:fldChar w:fldCharType="separate"/>
            </w:r>
            <w:r>
              <w:rPr>
                <w:rStyle w:val="966"/>
                <w:color w:val="000000"/>
                <w:u w:val="none"/>
              </w:rPr>
              <w:t xml:space="preserve">пп</w:t>
            </w:r>
            <w:r>
              <w:rPr>
                <w:rStyle w:val="966"/>
                <w:color w:val="000000"/>
                <w:u w:val="none"/>
              </w:rPr>
              <w:t xml:space="preserve">. «а»</w:t>
            </w:r>
            <w:r>
              <w:rPr>
                <w:rStyle w:val="966"/>
                <w:color w:val="000000"/>
                <w:u w:val="none"/>
              </w:rPr>
              <w:t xml:space="preserve"> п. 10</w:t>
            </w:r>
            <w:r>
              <w:fldChar w:fldCharType="end"/>
            </w:r>
            <w:r>
              <w:t xml:space="preserve"> Положения, и значения Цл и Цi при применении формулы, предусмотренной </w:t>
            </w:r>
            <w:r>
              <w:fldChar w:fldCharType="begin"/>
            </w:r>
            <w:r>
              <w:instrText xml:space="preserve"> HYPERLINK "https://login.consultant.ru/link/?req=doc&amp;base=LAW&amp;n=430960&amp;dst=100060&amp;field=134&amp;date=18.05.2023" </w:instrText>
            </w:r>
            <w:r>
              <w:fldChar w:fldCharType="separate"/>
            </w:r>
            <w:r>
              <w:rPr>
                <w:rStyle w:val="966"/>
                <w:color w:val="000000"/>
                <w:u w:val="none"/>
              </w:rPr>
              <w:t xml:space="preserve">пп</w:t>
            </w:r>
            <w:r>
              <w:rPr>
                <w:rStyle w:val="966"/>
                <w:color w:val="000000"/>
                <w:u w:val="none"/>
              </w:rPr>
              <w:t xml:space="preserve">. «б»</w:t>
            </w:r>
            <w:r>
              <w:rPr>
                <w:rStyle w:val="966"/>
                <w:color w:val="000000"/>
                <w:u w:val="none"/>
              </w:rPr>
              <w:t xml:space="preserve"> п.10</w:t>
            </w:r>
            <w:r>
              <w:fldChar w:fldCharType="end"/>
            </w:r>
            <w:r>
              <w:t xml:space="preserve"> Положения, указываются без знака "минус" 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Применение показателей оценки по критерию оценки «Цена контракта, сумма цен единиц товара, работы, услуги» не допускается.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  <w:trHeight w:val="693"/>
        </w:trPr>
        <w:tc>
          <w:tcPr>
            <w:tcW w:w="75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оценки «Квалификация участников закупки, в том числе наличие у</w:t>
            </w:r>
            <w:r>
              <w:rPr>
                <w:b/>
                <w:sz w:val="22"/>
                <w:szCs w:val="22"/>
              </w:rPr>
              <w:t xml:space="preserve">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835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Значимость критерия оценки составляет </w:t>
            </w:r>
            <w:r>
              <w:rPr>
                <w:sz w:val="22"/>
                <w:szCs w:val="22"/>
              </w:rPr>
              <w:t xml:space="preserve">70 процентов.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критерию оценки </w:t>
            </w:r>
            <w:r>
              <w:rPr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  <w:t xml:space="preserve"> применяе</w:t>
            </w:r>
            <w:r>
              <w:rPr>
                <w:sz w:val="22"/>
                <w:szCs w:val="22"/>
              </w:rPr>
              <w:t xml:space="preserve">т показател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 оценки</w:t>
            </w:r>
            <w:r>
              <w:rPr>
                <w:sz w:val="22"/>
                <w:szCs w:val="22"/>
              </w:rPr>
              <w:t xml:space="preserve"> (пп «в» п. 24 Положения)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- наличие у участников закупки опыта поставки товара, выполнения работы, оказания услуги, связанного с предметом контракта;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- </w:t>
            </w:r>
            <w:r>
              <w:rPr>
                <w:sz w:val="22"/>
                <w:szCs w:val="22"/>
                <w:highlight w:val="none"/>
              </w:rPr>
              <w:t xml:space="preserve">наличие у участников закупки специалистов и иных работников определенного уровня квалификации.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Значимость показателя оценки «Наличие у участников закупки опыта поставки товара, выполнения работы, оказания услуги, связанного с предметом контракта» составляет </w:t>
            </w:r>
            <w:r>
              <w:rPr>
                <w:sz w:val="22"/>
                <w:szCs w:val="22"/>
              </w:rPr>
              <w:t xml:space="preserve">50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процентов.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Значимость показателя оценки «Наличие </w:t>
            </w:r>
            <w:r>
              <w:rPr>
                <w:sz w:val="22"/>
                <w:szCs w:val="22"/>
                <w:highlight w:val="none"/>
              </w:rPr>
              <w:t xml:space="preserve">у участников закупки специалистов и иных работников определенного уровня квалификации</w:t>
            </w:r>
            <w:r>
              <w:rPr>
                <w:sz w:val="22"/>
                <w:szCs w:val="22"/>
              </w:rPr>
              <w:t xml:space="preserve">» составляет </w:t>
            </w:r>
            <w:r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 xml:space="preserve">процентов.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оценки «Наличие у участников закупки опыта поставки товара, выполнения работы, оказания услуги, связанного с предметом контракта»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Значимость показателя оценки по критерию оценки составляет </w:t>
            </w:r>
            <w:r>
              <w:rPr>
                <w:sz w:val="22"/>
                <w:szCs w:val="22"/>
              </w:rPr>
              <w:t xml:space="preserve">50</w:t>
            </w:r>
            <w:r>
              <w:rPr>
                <w:sz w:val="22"/>
                <w:szCs w:val="22"/>
              </w:rPr>
              <w:t xml:space="preserve"> процентов.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показателя оценки по критерию оценки применя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тся детализирующи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 показател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Cs/>
                <w:sz w:val="22"/>
                <w:szCs w:val="22"/>
              </w:rPr>
              <w:t xml:space="preserve">- общее количество исполненных </w:t>
            </w:r>
            <w:r>
              <w:rPr>
                <w:sz w:val="22"/>
                <w:szCs w:val="22"/>
              </w:rPr>
              <w:t xml:space="preserve">участником закупки</w:t>
            </w:r>
            <w:r>
              <w:rPr>
                <w:bCs/>
                <w:sz w:val="22"/>
                <w:szCs w:val="22"/>
              </w:rPr>
              <w:t xml:space="preserve"> договоров (абз. 3 пп. «а» п. 28 Положения)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общая цена исполненных участником закупки договоров </w:t>
            </w:r>
            <w:r>
              <w:rPr>
                <w:bCs/>
                <w:sz w:val="22"/>
                <w:szCs w:val="22"/>
              </w:rPr>
              <w:t xml:space="preserve">(абз. </w:t>
            </w:r>
            <w:r>
              <w:rPr>
                <w:bCs/>
                <w:sz w:val="22"/>
                <w:szCs w:val="22"/>
              </w:rPr>
              <w:t xml:space="preserve">2</w:t>
            </w:r>
            <w:r>
              <w:rPr>
                <w:bCs/>
                <w:sz w:val="22"/>
                <w:szCs w:val="22"/>
              </w:rPr>
              <w:t xml:space="preserve"> пп. «а» п. 28 Положения)</w:t>
            </w:r>
            <w:r>
              <w:rPr>
                <w:bCs/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bCs/>
                <w:sz w:val="22"/>
                <w:szCs w:val="22"/>
                <w:highlight w:val="none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наибольшая цена одного из исполненных участником закупки договоров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(абз. </w:t>
            </w:r>
            <w:r>
              <w:rPr>
                <w:bCs/>
                <w:sz w:val="22"/>
                <w:szCs w:val="22"/>
              </w:rPr>
              <w:t xml:space="preserve">4 </w:t>
              <w:br/>
              <w:t xml:space="preserve">пп. «а» п. 28 Положения)</w:t>
            </w:r>
            <w:r>
              <w:t xml:space="preserve">.</w:t>
            </w:r>
            <w:r>
              <w:rPr>
                <w:bCs/>
                <w:sz w:val="22"/>
                <w:szCs w:val="22"/>
                <w:highlight w:val="none"/>
              </w:rPr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Дробное значение рейтинга округляется до двух десятичных знаков после запятой по математическим правилам округления.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«</w:t>
            </w:r>
            <w:r>
              <w:rPr>
                <w:bCs/>
                <w:sz w:val="22"/>
                <w:szCs w:val="22"/>
              </w:rPr>
              <w:t xml:space="preserve">Общ</w:t>
            </w:r>
            <w:r>
              <w:rPr>
                <w:bCs/>
                <w:sz w:val="22"/>
                <w:szCs w:val="22"/>
              </w:rPr>
              <w:t xml:space="preserve">ая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цена</w:t>
            </w:r>
            <w:r>
              <w:rPr>
                <w:bCs/>
                <w:sz w:val="22"/>
                <w:szCs w:val="22"/>
              </w:rPr>
              <w:t xml:space="preserve"> исполненных </w:t>
            </w:r>
            <w:r>
              <w:rPr>
                <w:sz w:val="22"/>
                <w:szCs w:val="22"/>
              </w:rPr>
              <w:t xml:space="preserve">участником закупки</w:t>
            </w:r>
            <w:r>
              <w:rPr>
                <w:bCs/>
                <w:sz w:val="22"/>
                <w:szCs w:val="22"/>
              </w:rPr>
              <w:t xml:space="preserve"> договоров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  <w:r/>
          </w:p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Значимость показателя оценки, детализирующего показатель оценки, </w:t>
            </w:r>
            <w:r>
              <w:rPr>
                <w:sz w:val="22"/>
                <w:szCs w:val="22"/>
              </w:rPr>
              <w:t xml:space="preserve">составляет 30</w:t>
            </w:r>
            <w:r>
              <w:rPr>
                <w:sz w:val="22"/>
                <w:szCs w:val="22"/>
              </w:rPr>
              <w:t xml:space="preserve"> процентов.</w:t>
            </w:r>
            <w:r>
              <w:rPr>
                <w:sz w:val="22"/>
                <w:szCs w:val="22"/>
              </w:rPr>
            </w:r>
            <w:r/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Заказчиком устанавливается перечень документов, подтверждающих наличие у участника закупки опыта выполнения работы, связанного с предметом контракта, в том числе исполненный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договор (договоры), акт (акты) приемки поставленного товара, выполненных работ, оказанных услуг, составленные при исполнении такого договора (договоров):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 xml:space="preserve">исключительно</w:t>
            </w:r>
            <w:r>
              <w:rPr>
                <w:sz w:val="22"/>
                <w:szCs w:val="22"/>
              </w:rPr>
              <w:t xml:space="preserve"> исполненные договоры сопоставимые с предметом контракта (соответ</w:t>
            </w:r>
            <w:r>
              <w:rPr>
                <w:sz w:val="22"/>
                <w:szCs w:val="22"/>
              </w:rPr>
              <w:t xml:space="preserve">ству</w:t>
            </w:r>
            <w:r>
              <w:rPr>
                <w:sz w:val="22"/>
                <w:szCs w:val="22"/>
              </w:rPr>
              <w:t xml:space="preserve">ющие объекту закупки), а именно </w:t>
            </w:r>
            <w:r>
              <w:rPr>
                <w:i/>
                <w:iCs/>
                <w:sz w:val="22"/>
                <w:szCs w:val="22"/>
              </w:rPr>
              <w:t xml:space="preserve">связанных с выполнением работ (оказанием услуг) по созданию и/или доработке и/или развитию и/или обеспечению функционирования информационных систем </w:t>
            </w:r>
            <w:r>
              <w:rPr>
                <w:i w:val="0"/>
                <w:iCs w:val="0"/>
                <w:sz w:val="22"/>
                <w:szCs w:val="22"/>
              </w:rPr>
              <w:t xml:space="preserve">(абз. 2 пп. «в» п. 28 Положения);</w:t>
            </w:r>
            <w:r>
              <w:rPr>
                <w:i w:val="0"/>
                <w:iCs w:val="0"/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 xml:space="preserve">исполненные</w:t>
            </w:r>
            <w:r>
              <w:rPr>
                <w:sz w:val="22"/>
                <w:szCs w:val="22"/>
              </w:rPr>
              <w:t xml:space="preserve"> участником закупки с учетом правопреемства (в случае наличия в заявке подтверждающего документа) </w:t>
            </w:r>
            <w:r>
              <w:rPr>
                <w:sz w:val="22"/>
                <w:szCs w:val="22"/>
              </w:rPr>
              <w:t xml:space="preserve">гражданско-правовые договоры</w:t>
            </w:r>
            <w:r>
              <w:rPr>
                <w:sz w:val="22"/>
                <w:szCs w:val="22"/>
              </w:rPr>
              <w:t xml:space="preserve">: исключительно исполненный договор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 (</w:t>
            </w:r>
            <w:r>
              <w:rPr>
                <w:bCs/>
                <w:sz w:val="22"/>
                <w:szCs w:val="22"/>
              </w:rPr>
              <w:t xml:space="preserve">абз. 4 </w:t>
            </w:r>
            <w:r>
              <w:rPr>
                <w:bCs/>
                <w:sz w:val="22"/>
                <w:szCs w:val="22"/>
              </w:rPr>
              <w:t xml:space="preserve">пп</w:t>
            </w:r>
            <w:r>
              <w:rPr>
                <w:bCs/>
                <w:sz w:val="22"/>
                <w:szCs w:val="22"/>
              </w:rPr>
              <w:t xml:space="preserve">. «в» п. 28 Положения)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</w:t>
            </w:r>
            <w:r>
              <w:rPr>
                <w:sz w:val="22"/>
                <w:szCs w:val="22"/>
              </w:rPr>
              <w:t xml:space="preserve">ются исключительно контракт, заключенный и исполненный в соответствии с Законом № 44-ФЗ, и договор, заключенный и исполненный в соответствии с Федеральным законом от 18.07.2011 № 223-ФЗ «О закупках товаров, работ, услуг отдельными видами юридических лиц» (</w:t>
            </w:r>
            <w:r>
              <w:rPr>
                <w:bCs/>
                <w:sz w:val="22"/>
                <w:szCs w:val="22"/>
              </w:rPr>
              <w:t xml:space="preserve">абз. 5 </w:t>
            </w:r>
            <w:r>
              <w:rPr>
                <w:bCs/>
                <w:sz w:val="22"/>
                <w:szCs w:val="22"/>
              </w:rPr>
              <w:t xml:space="preserve">пп</w:t>
            </w:r>
            <w:r>
              <w:rPr>
                <w:bCs/>
                <w:sz w:val="22"/>
                <w:szCs w:val="22"/>
              </w:rPr>
              <w:t xml:space="preserve">. «в» п. 28 Положения)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оследний акт, составленный при исполнении такого договора, должен быть подписан не ранее чем за 5 лет до даты окончания срока подачи заявок 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</w:rPr>
              <w:t xml:space="preserve"> «г» п. 28 Положения);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 оценке принимаются документы, в случае их представления в заявке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в полном объеме и со всеми приложениями, за исключением случаев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предусмотренных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«д» п. 31,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«г» п. 32  и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«г» п. 33 Положения. Такие документы направляются в форме электронных документов или в форме электронных образов бумажных документов 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«е» п. 28 Положения).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оценке принимаются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исключительно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исполненный договор (договоры), при исполнении которого подрядчиком исполнены требования об уплате неустоек (штрафов, пеней) (в случае начисления неустоек) (абз. 4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 «в» п. 28 Положения).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rPr>
                <w:bCs/>
                <w:i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К оценке принимаются исполненные участником закупки договоры, при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 исполнении которых исполнены требования об уплате неустоек (штрафов, пеней), в том числе с учетом возможного списания заказчиком сумм неустоек (штрафов, пеней) в соответствии с постановлением Правительства Российской Федерации от 04.07.2018 № 783 (письмо 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Минфина России от 22.12.2023 № 24-06-07/124647).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представленные документы должны быть в виде неповторяющихся, полно и хорошо читаемых копий, на которых видны необходимые подписи и печати (при наличии).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документы, предусмотренные абз. 3 </w:t>
            </w:r>
            <w:r>
              <w:rPr>
                <w:sz w:val="22"/>
                <w:szCs w:val="22"/>
              </w:rPr>
              <w:t xml:space="preserve">пп</w:t>
            </w:r>
            <w:r>
              <w:rPr>
                <w:sz w:val="22"/>
                <w:szCs w:val="22"/>
              </w:rPr>
              <w:t xml:space="preserve">. «в» п. 28 Положения,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</w:t>
            </w:r>
            <w:r>
              <w:rPr>
                <w:sz w:val="22"/>
                <w:szCs w:val="22"/>
              </w:rPr>
              <w:t xml:space="preserve">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</w:t>
            </w:r>
            <w:r>
              <w:rPr>
                <w:sz w:val="22"/>
                <w:szCs w:val="22"/>
              </w:rPr>
              <w:t xml:space="preserve"> документов участник закупки вправе направить номер реестровой записи из соответствующего реестра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«ж» п. 28 Положения).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вышеуказанных документов не является </w:t>
            </w:r>
            <w:r>
              <w:rPr>
                <w:sz w:val="22"/>
                <w:szCs w:val="22"/>
              </w:rPr>
              <w:t xml:space="preserve">основанием для признания заявки не соответствующей требованиям Закона о контрактной системе (</w:t>
            </w:r>
            <w:r>
              <w:rPr>
                <w:sz w:val="22"/>
                <w:szCs w:val="22"/>
              </w:rPr>
              <w:t xml:space="preserve">пп</w:t>
            </w:r>
            <w:r>
              <w:rPr>
                <w:sz w:val="22"/>
                <w:szCs w:val="22"/>
              </w:rPr>
              <w:t xml:space="preserve">. «р» п. 1 ч. 1 ст. 43 Закона о контрактной системе).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предоставляемых документах (договорах и актах) могут быть предоставлены по рекомендуемой форме,</w:t>
            </w:r>
            <w:r>
              <w:rPr>
                <w:i/>
                <w:sz w:val="22"/>
                <w:szCs w:val="22"/>
              </w:rPr>
              <w:t xml:space="preserve"> указанной в Приложении № 1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 xml:space="preserve"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  <w:highlight w:val="none"/>
              </w:rPr>
            </w:r>
            <w:r>
              <w:rPr>
                <w:bCs/>
                <w:i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«</w:t>
            </w:r>
            <w:r>
              <w:rPr>
                <w:bCs/>
                <w:sz w:val="22"/>
                <w:szCs w:val="22"/>
              </w:rPr>
              <w:t xml:space="preserve">Общее количество исполненных </w:t>
            </w:r>
            <w:r>
              <w:rPr>
                <w:sz w:val="22"/>
                <w:szCs w:val="22"/>
              </w:rPr>
              <w:t xml:space="preserve">участником закупки</w:t>
            </w:r>
            <w:r>
              <w:rPr>
                <w:bCs/>
                <w:sz w:val="22"/>
                <w:szCs w:val="22"/>
              </w:rPr>
              <w:t xml:space="preserve"> договоров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Значимость показателя оценки, детализирующего показатель оценки, </w:t>
            </w:r>
            <w:r>
              <w:rPr>
                <w:sz w:val="22"/>
                <w:szCs w:val="22"/>
              </w:rPr>
              <w:t xml:space="preserve">составляет 60 </w:t>
            </w:r>
            <w:r>
              <w:rPr>
                <w:sz w:val="22"/>
                <w:szCs w:val="22"/>
              </w:rPr>
              <w:t xml:space="preserve">процентов.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Заказчиком устанавливается перечень документов, подтверждающих наличие у участника закупки опыта выполнения работы, связанного с предметом контракта, в том числе исполненный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договор (договоры), акт (акты) приемки поставленного товара, выполненных работ, оказанных услуг, составленные при исполнении такого договора (договоров):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i w:val="0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 xml:space="preserve">исключительно</w:t>
            </w:r>
            <w:r>
              <w:rPr>
                <w:sz w:val="22"/>
                <w:szCs w:val="22"/>
              </w:rPr>
              <w:t xml:space="preserve"> исполненные договоры сопоставимые с предметом контракта (соответ</w:t>
            </w:r>
            <w:r>
              <w:rPr>
                <w:sz w:val="22"/>
                <w:szCs w:val="22"/>
              </w:rPr>
              <w:t xml:space="preserve">ству</w:t>
            </w:r>
            <w:r>
              <w:rPr>
                <w:sz w:val="22"/>
                <w:szCs w:val="22"/>
              </w:rPr>
              <w:t xml:space="preserve">ющие объекту закупки), а именно </w:t>
            </w:r>
            <w:r>
              <w:rPr>
                <w:i/>
                <w:iCs/>
                <w:sz w:val="22"/>
                <w:szCs w:val="22"/>
              </w:rPr>
              <w:t xml:space="preserve">связанных с выполнением работ (оказанием услуг) по созданию и/или доработке и/или развитию и/или обеспечению функционирования информационных систем </w:t>
            </w:r>
            <w:r>
              <w:rPr>
                <w:i w:val="0"/>
                <w:iCs w:val="0"/>
                <w:sz w:val="22"/>
                <w:szCs w:val="22"/>
              </w:rPr>
              <w:t xml:space="preserve">(абз. 2 пп. «в» п. 28 Положения);</w:t>
            </w:r>
            <w:r>
              <w:rPr>
                <w:i w:val="0"/>
                <w:iCs w:val="0"/>
                <w:sz w:val="22"/>
                <w:szCs w:val="22"/>
              </w:rPr>
            </w:r>
            <w:r>
              <w:rPr>
                <w:i w:val="0"/>
                <w:iCs w:val="0"/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 xml:space="preserve">исполненные</w:t>
            </w:r>
            <w:r>
              <w:rPr>
                <w:sz w:val="22"/>
                <w:szCs w:val="22"/>
              </w:rPr>
              <w:t xml:space="preserve"> участником закупки с учетом правопреемства (в случае наличия в заявке подтверждающего документа) </w:t>
            </w:r>
            <w:r>
              <w:rPr>
                <w:sz w:val="22"/>
                <w:szCs w:val="22"/>
              </w:rPr>
              <w:t xml:space="preserve">гражданско-правовые договоры</w:t>
            </w:r>
            <w:r>
              <w:rPr>
                <w:sz w:val="22"/>
                <w:szCs w:val="22"/>
              </w:rPr>
              <w:t xml:space="preserve">: исключительно исполненный договор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 (</w:t>
            </w:r>
            <w:r>
              <w:rPr>
                <w:bCs/>
                <w:sz w:val="22"/>
                <w:szCs w:val="22"/>
              </w:rPr>
              <w:t xml:space="preserve">абз. 4 </w:t>
            </w:r>
            <w:r>
              <w:rPr>
                <w:bCs/>
                <w:sz w:val="22"/>
                <w:szCs w:val="22"/>
              </w:rPr>
              <w:t xml:space="preserve">пп</w:t>
            </w:r>
            <w:r>
              <w:rPr>
                <w:bCs/>
                <w:sz w:val="22"/>
                <w:szCs w:val="22"/>
              </w:rPr>
              <w:t xml:space="preserve">. «в» п. 28 Положения)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</w:t>
            </w:r>
            <w:r>
              <w:rPr>
                <w:sz w:val="22"/>
                <w:szCs w:val="22"/>
              </w:rPr>
              <w:t xml:space="preserve">ются исключительно контракт, заключенный и исполненный в соответствии с Законом № 44-ФЗ, и договор, заключенный и исполненный в соответствии с Федеральным законом от 18.07.2011 № 223-ФЗ «О закупках товаров, работ, услуг отдельными видами юридических лиц» (</w:t>
            </w:r>
            <w:r>
              <w:rPr>
                <w:bCs/>
                <w:sz w:val="22"/>
                <w:szCs w:val="22"/>
              </w:rPr>
              <w:t xml:space="preserve">абз. 5 </w:t>
            </w:r>
            <w:r>
              <w:rPr>
                <w:bCs/>
                <w:sz w:val="22"/>
                <w:szCs w:val="22"/>
              </w:rPr>
              <w:t xml:space="preserve">пп</w:t>
            </w:r>
            <w:r>
              <w:rPr>
                <w:bCs/>
                <w:sz w:val="22"/>
                <w:szCs w:val="22"/>
              </w:rPr>
              <w:t xml:space="preserve">. «в» п. 28 Положения)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оследний акт, составленный при исполнении такого договора, должен быть подписан не ранее чем за 5 лет до даты окончания срока подачи заявок 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</w:rPr>
              <w:t xml:space="preserve"> «г» п. 28 Положения);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 оценке принимаются документы, в случае их представления в заявке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в полном объеме и со всеми приложениями, за исключением случаев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предусмотренных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«д» п. 31,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«г» п. 32  и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«г» п. 33 Положения. Такие документы направляются в форме электронных документов или в форме электронных образов бумажных документов 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«е» п. 28 Положения).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оценке принимаются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исключительно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исполненный договор (договоры), при исполнении которого подрядчиком исполнены требования об уплате неустоек (штрафов, пеней) (в случае начисления неустоек) (абз. 4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 «в» п. 28 Положения).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rPr>
                <w:bCs/>
                <w:i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К оценке принимаются исполненные участником закупки договоры, при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 исполнении которых исполнены требования об уплате неустоек (штрафов, пеней), в том числе с учетом возможного списания заказчиком сумм неустоек (штрафов, пеней) в соответствии с постановлением Правительства Российской Федерации от 04.07.2018 № 783 (письмо 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Минфина России от 22.12.2023 № 24-06-07/124647).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представленные документы должны быть в виде неповторяющихся, полно и хорошо читаемых копий, на которых видны необходимые подписи и печати (при наличии).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документы, предусмотренные абз. 3 </w:t>
            </w:r>
            <w:r>
              <w:rPr>
                <w:sz w:val="22"/>
                <w:szCs w:val="22"/>
              </w:rPr>
              <w:t xml:space="preserve">пп</w:t>
            </w:r>
            <w:r>
              <w:rPr>
                <w:sz w:val="22"/>
                <w:szCs w:val="22"/>
              </w:rPr>
              <w:t xml:space="preserve">. «в» п. 28 Положения,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</w:t>
            </w:r>
            <w:r>
              <w:rPr>
                <w:sz w:val="22"/>
                <w:szCs w:val="22"/>
              </w:rPr>
              <w:t xml:space="preserve">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</w:t>
            </w:r>
            <w:r>
              <w:rPr>
                <w:sz w:val="22"/>
                <w:szCs w:val="22"/>
              </w:rPr>
              <w:t xml:space="preserve"> документов участник закупки вправе направить номер реестровой записи из соответствующего реестра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«ж» п. 28 Положения).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вышеуказанных документов не является </w:t>
            </w:r>
            <w:r>
              <w:rPr>
                <w:sz w:val="22"/>
                <w:szCs w:val="22"/>
              </w:rPr>
              <w:t xml:space="preserve">основанием для признания заявки не соответствующей требованиям Закона о контрактной системе (</w:t>
            </w:r>
            <w:r>
              <w:rPr>
                <w:sz w:val="22"/>
                <w:szCs w:val="22"/>
              </w:rPr>
              <w:t xml:space="preserve">пп</w:t>
            </w:r>
            <w:r>
              <w:rPr>
                <w:sz w:val="22"/>
                <w:szCs w:val="22"/>
              </w:rPr>
              <w:t xml:space="preserve">. «р» п. 1 ч. 1 ст. 43 Закона о контрактной системе).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предоставляемых документах (договорах и актах) могут быть предоставлены по рекомендуемой форме,</w:t>
            </w:r>
            <w:r>
              <w:rPr>
                <w:i/>
                <w:sz w:val="22"/>
                <w:szCs w:val="22"/>
              </w:rPr>
              <w:t xml:space="preserve"> указанной в Приложении № 1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 xml:space="preserve"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«</w:t>
            </w:r>
            <w:r>
              <w:rPr>
                <w:bCs/>
                <w:sz w:val="22"/>
                <w:szCs w:val="22"/>
              </w:rPr>
              <w:t xml:space="preserve">Наибольшая цена одного из исполненных участником закупки договоров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Значимость показателя оценки, детализирующего показатель оценки, </w:t>
            </w:r>
            <w:r>
              <w:rPr>
                <w:sz w:val="22"/>
                <w:szCs w:val="22"/>
              </w:rPr>
              <w:t xml:space="preserve">составляет 10</w:t>
            </w:r>
            <w:r>
              <w:rPr>
                <w:sz w:val="22"/>
                <w:szCs w:val="22"/>
              </w:rPr>
              <w:t xml:space="preserve"> процентов.</w:t>
            </w:r>
            <w:r/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Заказчиком устанавливается перечень документов, подтверждающих наличие у участника закупки опыта выполнения работы, связанного с предметом контракта, в том числе исполненный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договор (договоры), акт (акты) приемки поставленного товара, выполненных работ, оказанных услуг, составленные при исполнении такого договора (договоров):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i w:val="0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 xml:space="preserve">исключительно</w:t>
            </w:r>
            <w:r>
              <w:rPr>
                <w:sz w:val="22"/>
                <w:szCs w:val="22"/>
              </w:rPr>
              <w:t xml:space="preserve"> исполненные договоры сопоставимые с предметом контракта (соответ</w:t>
            </w:r>
            <w:r>
              <w:rPr>
                <w:sz w:val="22"/>
                <w:szCs w:val="22"/>
              </w:rPr>
              <w:t xml:space="preserve">ству</w:t>
            </w:r>
            <w:r>
              <w:rPr>
                <w:sz w:val="22"/>
                <w:szCs w:val="22"/>
              </w:rPr>
              <w:t xml:space="preserve">ющие объекту закупки), а именно </w:t>
            </w:r>
            <w:r>
              <w:rPr>
                <w:i/>
                <w:iCs/>
                <w:sz w:val="22"/>
                <w:szCs w:val="22"/>
              </w:rPr>
              <w:t xml:space="preserve">связанных с выполнением работ (оказанием услуг) по созданию и/или доработке и/или развитию и/или обеспечению функционирования информационных систем </w:t>
            </w:r>
            <w:r>
              <w:rPr>
                <w:i w:val="0"/>
                <w:iCs w:val="0"/>
                <w:sz w:val="22"/>
                <w:szCs w:val="22"/>
              </w:rPr>
              <w:t xml:space="preserve">(абз. 2 пп. «в» п. 28 Положения);</w:t>
            </w:r>
            <w:r>
              <w:rPr>
                <w:i w:val="0"/>
                <w:iCs w:val="0"/>
                <w:sz w:val="22"/>
                <w:szCs w:val="22"/>
              </w:rPr>
            </w:r>
            <w:r>
              <w:rPr>
                <w:i w:val="0"/>
                <w:iCs w:val="0"/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принимаются </w:t>
            </w:r>
            <w:r>
              <w:rPr>
                <w:sz w:val="22"/>
                <w:szCs w:val="22"/>
                <w:u w:val="single"/>
              </w:rPr>
              <w:t xml:space="preserve">исполненные</w:t>
            </w:r>
            <w:r>
              <w:rPr>
                <w:sz w:val="22"/>
                <w:szCs w:val="22"/>
              </w:rPr>
              <w:t xml:space="preserve"> участником закупки с учетом правопреемства (в случае наличия в заявке подтверждающего документа) </w:t>
            </w:r>
            <w:r>
              <w:rPr>
                <w:sz w:val="22"/>
                <w:szCs w:val="22"/>
              </w:rPr>
              <w:t xml:space="preserve">гражданско-правовые договоры</w:t>
            </w:r>
            <w:r>
              <w:rPr>
                <w:sz w:val="22"/>
                <w:szCs w:val="22"/>
              </w:rPr>
              <w:t xml:space="preserve">: исключительно исполненный договор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 (</w:t>
            </w:r>
            <w:r>
              <w:rPr>
                <w:bCs/>
                <w:sz w:val="22"/>
                <w:szCs w:val="22"/>
              </w:rPr>
              <w:t xml:space="preserve">абз. 4 </w:t>
            </w:r>
            <w:r>
              <w:rPr>
                <w:bCs/>
                <w:sz w:val="22"/>
                <w:szCs w:val="22"/>
              </w:rPr>
              <w:t xml:space="preserve">пп</w:t>
            </w:r>
            <w:r>
              <w:rPr>
                <w:bCs/>
                <w:sz w:val="22"/>
                <w:szCs w:val="22"/>
              </w:rPr>
              <w:t xml:space="preserve">. «в» п. 28 Положения)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 оценке принима</w:t>
            </w:r>
            <w:r>
              <w:rPr>
                <w:sz w:val="22"/>
                <w:szCs w:val="22"/>
              </w:rPr>
              <w:t xml:space="preserve">ются исключительно контракт, заключенный и исполненный в соответствии с Законом № 44-ФЗ, и договор, заключенный и исполненный в соответствии с Федеральным законом от 18.07.2011 № 223-ФЗ «О закупках товаров, работ, услуг отдельными видами юридических лиц» (</w:t>
            </w:r>
            <w:r>
              <w:rPr>
                <w:bCs/>
                <w:sz w:val="22"/>
                <w:szCs w:val="22"/>
              </w:rPr>
              <w:t xml:space="preserve">абз. 5 </w:t>
            </w:r>
            <w:r>
              <w:rPr>
                <w:bCs/>
                <w:sz w:val="22"/>
                <w:szCs w:val="22"/>
              </w:rPr>
              <w:t xml:space="preserve">пп</w:t>
            </w:r>
            <w:r>
              <w:rPr>
                <w:bCs/>
                <w:sz w:val="22"/>
                <w:szCs w:val="22"/>
              </w:rPr>
              <w:t xml:space="preserve">. «в» п. 28 Положения)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оследний акт, составленный при исполнении такого договора, должен быть подписан не ранее чем за 5 лет до даты окончания срока подачи заявок 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</w:rPr>
              <w:t xml:space="preserve"> «г» п. 28 Положения);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 оценке принимаются документы, в случае их представления в заявке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в полном объеме и со всеми приложениями, за исключением случаев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предусмотренных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«д» п. 31,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«г» п. 32  и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«г» п. 33 Положения. Такие документы направляются в форме электронных документов или в форме электронных образов бумажных документов 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«е» п. 28 Положения).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оценке принимаются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исключительно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исполненный договор (договоры), при исполнении которого подрядчиком исполнены требования об уплате неустоек (штрафов, пеней) (в случае начисления неустоек) (абз. 4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пп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 «в» п. 28 Положения).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rPr>
                <w:bCs/>
                <w:i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К оценке принимаются исполненные участником закупки договоры, при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 исполнении которых исполнены требования об уплате неустоек (штрафов, пеней), в том числе с учетом возможного списания заказчиком сумм неустоек (штрафов, пеней) в соответствии с постановлением Правительства Российской Федерации от 04.07.2018 № 783 (письмо 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 xml:space="preserve">Минфина России от 22.12.2023 № 24-06-07/124647).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представленные документы должны быть в виде неповторяющихся, полно и хорошо читаемых копий, на которых видны необходимые подписи и печати (при наличии).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документы, предусмотренные абз. 3 </w:t>
            </w:r>
            <w:r>
              <w:rPr>
                <w:sz w:val="22"/>
                <w:szCs w:val="22"/>
              </w:rPr>
              <w:t xml:space="preserve">пп</w:t>
            </w:r>
            <w:r>
              <w:rPr>
                <w:sz w:val="22"/>
                <w:szCs w:val="22"/>
              </w:rPr>
              <w:t xml:space="preserve">. «в» п. 28 Положения,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</w:t>
            </w:r>
            <w:r>
              <w:rPr>
                <w:sz w:val="22"/>
                <w:szCs w:val="22"/>
              </w:rPr>
              <w:t xml:space="preserve">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</w:t>
            </w:r>
            <w:r>
              <w:rPr>
                <w:sz w:val="22"/>
                <w:szCs w:val="22"/>
              </w:rPr>
              <w:t xml:space="preserve"> документов участник закупки вправе направить номер реестровой записи из соответствующего реестра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(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«ж» п. 28 Положения).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вышеуказанных документов не является </w:t>
            </w:r>
            <w:r>
              <w:rPr>
                <w:sz w:val="22"/>
                <w:szCs w:val="22"/>
              </w:rPr>
              <w:t xml:space="preserve">основанием для признания заявки не соответствующей требованиям Закона о контрактной системе (</w:t>
            </w:r>
            <w:r>
              <w:rPr>
                <w:sz w:val="22"/>
                <w:szCs w:val="22"/>
              </w:rPr>
              <w:t xml:space="preserve">пп</w:t>
            </w:r>
            <w:r>
              <w:rPr>
                <w:sz w:val="22"/>
                <w:szCs w:val="22"/>
              </w:rPr>
              <w:t xml:space="preserve">. «р» п. 1 ч. 1 ст. 43 Закона о контрактной системе).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предоставляемых документах (договорах и актах) могут быть предоставлены по рекомендуемой форме,</w:t>
            </w:r>
            <w:r>
              <w:rPr>
                <w:i/>
                <w:sz w:val="22"/>
                <w:szCs w:val="22"/>
              </w:rPr>
              <w:t xml:space="preserve"> указанной в Приложении № 1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 xml:space="preserve"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2.2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Показатель оценки «Наличие у участников закупки опыта поставки товара, выполнения работы, оказания услуги, связанного с предметом контракта»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Значимость показателя оценки по критерию оценки составляет </w:t>
            </w:r>
            <w:r>
              <w:rPr>
                <w:sz w:val="22"/>
                <w:szCs w:val="22"/>
              </w:rPr>
              <w:t xml:space="preserve">50</w:t>
            </w:r>
            <w:r>
              <w:rPr>
                <w:sz w:val="22"/>
                <w:szCs w:val="22"/>
              </w:rPr>
              <w:t xml:space="preserve"> процентов.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показателя оценки по критерию оценки применя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тся детализирующи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 показател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перечень специалистов и иных работников, их квалификация (направлений подготовки, выделенных в условную группу «ИТ»</w:t>
            </w:r>
            <w:r>
              <w:rPr>
                <w:bCs/>
                <w:sz w:val="22"/>
                <w:szCs w:val="22"/>
              </w:rPr>
              <w:t xml:space="preserve"> (абз. 2 пп. «а» п. 30 Положения)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перечень специалистов и иных работников, их квалификация (направлений подготовки, выделенных в условную группу «ИБ»</w:t>
            </w:r>
            <w:r>
              <w:rPr>
                <w:bCs/>
                <w:sz w:val="22"/>
                <w:szCs w:val="22"/>
              </w:rPr>
              <w:t xml:space="preserve"> (абз. 2 пп. «а» п. 30 Положения)</w:t>
            </w:r>
            <w:r>
              <w:rPr>
                <w:bCs/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bCs/>
                <w:sz w:val="22"/>
                <w:szCs w:val="22"/>
                <w:highlight w:val="none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перечень специальностей (направлений подготовки), выделенных в условную группу «ИТ» и имеющих ученую степень кандидат или доктор технических наук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(абз. </w:t>
            </w:r>
            <w:r>
              <w:rPr>
                <w:bCs/>
                <w:sz w:val="22"/>
                <w:szCs w:val="22"/>
              </w:rPr>
              <w:t xml:space="preserve">3 пп. «а» п. 30 Положения)</w:t>
            </w:r>
            <w:r>
              <w:t xml:space="preserve">.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Дробное значение рейтинга округляется до двух десятичных знаков после запятой по математическим правилам округления.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Сумма величин значимости всех применяемых детализирующих показателей по показателю оценки составляет 100 процентов.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</w:t>
            </w:r>
            <w:r>
              <w:rPr>
                <w:sz w:val="22"/>
                <w:szCs w:val="22"/>
              </w:rPr>
              <w:t xml:space="preserve">«Перечень специалистов и иных работников, их квалификация (направлений подготовки, выделенных в условную группу «ИТ»)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Значимость показателя оценки, детализирующего показатель оценки, </w:t>
            </w:r>
            <w:r>
              <w:rPr>
                <w:sz w:val="22"/>
                <w:szCs w:val="22"/>
              </w:rPr>
              <w:t xml:space="preserve">составляет 50</w:t>
            </w:r>
            <w:r>
              <w:rPr>
                <w:sz w:val="22"/>
                <w:szCs w:val="22"/>
              </w:rPr>
              <w:t xml:space="preserve"> процентов.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  <w:tab w:val="clear" w:pos="708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По детализирующему показателю заказчиком установлен следующий порядок оценки. Оценивается количество имеющихся у участника закупки специалистов и иных работников.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Перечень специалистов и иных работников, их квалификация, подлежащих оценке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в соответствии с приказом Минобрнауки России от 12.09.2013 № 1061 «Об утверждении перечней специальностей и направлений подготовки высшего образования»: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tbl>
            <w:tblPr>
              <w:tblStyle w:val="804"/>
              <w:tblW w:w="8046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2410"/>
              <w:gridCol w:w="3969"/>
              <w:gridCol w:w="1667"/>
            </w:tblGrid>
            <w:tr>
              <w:tblPrEx/>
              <w:trPr/>
              <w:tc>
                <w:tcPr>
                  <w:tcW w:w="2410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Коды укрупненных групп направлений подготовки.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Коды направлений подготовки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3969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Наименования укрупненных групп направлений подготовки.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Наименования направлений подготовки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1667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Квалификация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W w:w="8046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Направления подготовки, выделенные в условную группу «ИТ»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10" w:type="dxa"/>
                  <w:vAlign w:val="center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widowControl w:val="off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01.00.00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02.00.00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-US" w:eastAsia="ru-RU"/>
                    </w:rPr>
                    <w:br/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0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-US" w:eastAsia="ru-RU"/>
                    </w:rPr>
                    <w:t xml:space="preserve">9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.00.00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969" w:type="dxa"/>
                  <w:vAlign w:val="center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widowControl w:val="off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Математика и механика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0" w:firstLine="0"/>
                    <w:jc w:val="center"/>
                    <w:widowControl w:val="off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Компьютерные и информационные науки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Информатика и вычислительная техника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1667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widowControl w:val="off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Бакалавр и/или магистр и/или специалитет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0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</w:tbl>
          <w:p>
            <w:pPr>
              <w:ind w:left="0" w:right="0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Информация о перечне специалистов и иных работников и их квалификации подтверждается одновременно представленными следующими документами: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- трудовая книжка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или сведения о трудовой деятельности, предусмотренные статьей 66.1 Трудового кодекса Российской Федерации;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spacing w:after="0" w:line="240" w:lineRule="auto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 информация (в том числе данные), результаты применения информационных технологий и документы, подтверждающие квалификацию участника закупки, 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111"/>
              <w:ind w:left="0" w:right="0" w:firstLine="0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 диплом о высшем образовании (бакалавриат и/или магистратура и/или специалитет).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</w:p>
          <w:p>
            <w:pPr>
              <w:pStyle w:val="1111"/>
              <w:ind w:left="0" w:right="0" w:firstLine="0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z w:val="22"/>
                <w:szCs w:val="22"/>
              </w:rPr>
              <w:t xml:space="preserve">В случае наличия разночтения в представленных документах в связи с изменением фамилии специалиста при заключении брака либо п</w:t>
            </w:r>
            <w:r>
              <w:rPr>
                <w:rFonts w:eastAsia="Calibri"/>
                <w:sz w:val="22"/>
                <w:szCs w:val="22"/>
              </w:rPr>
              <w:t xml:space="preserve">еремены фамилии, имени или отчества по иным причинам, дополнительно представляются соответствующие документы, предусмотренные положениями Федерального закона от 15 ноября 1997 года № 143-ФЗ «Об актах гражданского состояния», подтверждающих такие изменения.</w:t>
            </w:r>
            <w:r/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pacing w:val="4"/>
                <w:sz w:val="22"/>
                <w:szCs w:val="22"/>
              </w:rPr>
              <w:t xml:space="preserve"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      </w:r>
            <w:r/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z w:val="22"/>
                <w:szCs w:val="22"/>
              </w:rPr>
              <w:t xml:space="preserve">При этом документы, представленные </w:t>
            </w:r>
            <w:r>
              <w:rPr>
                <w:rFonts w:eastAsia="Calibri"/>
                <w:spacing w:val="4"/>
                <w:sz w:val="22"/>
                <w:szCs w:val="22"/>
              </w:rPr>
              <w:t xml:space="preserve">в форме электронных образов бумажных документов,</w:t>
            </w:r>
            <w:r>
              <w:rPr>
                <w:rFonts w:eastAsia="Calibri"/>
                <w:sz w:val="22"/>
                <w:szCs w:val="22"/>
              </w:rPr>
              <w:t xml:space="preserve">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</w:t>
            </w:r>
            <w:r/>
          </w:p>
          <w:p>
            <w:pPr>
              <w:jc w:val="both"/>
              <w:tabs>
                <w:tab w:val="left" w:pos="-360" w:leader="none"/>
                <w:tab w:val="left" w:pos="360" w:leader="none"/>
                <w:tab w:val="clear" w:pos="70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  <w:tab w:val="clear" w:pos="708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Отсутствие в заявке на участие в электронном конкурсе информации по детализирующему показател</w:t>
            </w:r>
            <w:r>
              <w:rPr>
                <w:sz w:val="22"/>
                <w:szCs w:val="22"/>
              </w:rPr>
              <w:t xml:space="preserve">ю не будет основанием для признания заявки не соответствующей требованиям Закона № 44-ФЗ и извещению об осуществлении закупки и не влечет принятия решения об отклонении заявки. Такой участник закупки получает 0 баллов по данному детализирующему показателю.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предоставляемой информации могут быть предоставлены по рекомендуемой форме, указанной в Приложении № 4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 xml:space="preserve"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</w:t>
            </w:r>
            <w:r>
              <w:rPr>
                <w:sz w:val="22"/>
                <w:szCs w:val="22"/>
              </w:rPr>
              <w:t xml:space="preserve">«Перечень специалистов и иных работников, их квалификация (направлений подготовки, выделенных в условную группу «ИБ»)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Значимость показателя оценки, детализирующего показатель оценки, </w:t>
            </w:r>
            <w:r>
              <w:rPr>
                <w:sz w:val="22"/>
                <w:szCs w:val="22"/>
              </w:rPr>
              <w:t xml:space="preserve">составляет 30</w:t>
            </w:r>
            <w:r>
              <w:rPr>
                <w:sz w:val="22"/>
                <w:szCs w:val="22"/>
              </w:rPr>
              <w:t xml:space="preserve"> процентов.</w:t>
            </w:r>
            <w:r/>
          </w:p>
          <w:p>
            <w:pPr>
              <w:ind w:left="0" w:right="42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Перечень специалистов и иных работников, их квалификация, подлежащих оценке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в соответствии с Приказом Минобрнауки России от 12.09.2013 № 1061 «Об утверждении перечней специальностей и направлений подготовки высшего образования»: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tbl>
            <w:tblPr>
              <w:tblStyle w:val="804"/>
              <w:tblW w:w="8046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2410"/>
              <w:gridCol w:w="3334"/>
              <w:gridCol w:w="2302"/>
            </w:tblGrid>
            <w:tr>
              <w:tblPrEx/>
              <w:trPr/>
              <w:tc>
                <w:tcPr>
                  <w:tcW w:w="2410" w:type="dxa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Коды укрупненных групп направлений подготовки.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42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Коды направлений подготовки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3334" w:type="dxa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Наименования укрупненных групп направлений подготовки.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ind w:left="0" w:right="42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Наименования направлений подготовки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302" w:type="dxa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Квалификация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W w:w="8046" w:type="dxa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Направления подготовки, выделенные в условную группу «ИБ»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10" w:type="dxa"/>
                  <w:vAlign w:val="center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10.00.00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334" w:type="dxa"/>
                  <w:vAlign w:val="center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widowControl w:val="off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Информационная безопасность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2302" w:type="dxa"/>
                  <w:textDirection w:val="lrTb"/>
                  <w:noWrap w:val="false"/>
                </w:tcPr>
                <w:p>
                  <w:pPr>
                    <w:ind w:left="0" w:right="42" w:firstLine="0"/>
                    <w:jc w:val="center"/>
                    <w:widowControl w:val="off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eastAsia="ru-RU"/>
                    </w:rPr>
                    <w:t xml:space="preserve">Бакалавр и/или магистр и/или специалитет и/или специалист по информационной безопасности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ind w:left="0" w:right="42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bookmarkStart w:id="0" w:name="undefined"/>
            <w:r>
              <w:rPr>
                <w:sz w:val="22"/>
                <w:szCs w:val="22"/>
              </w:rPr>
            </w:r>
            <w:bookmarkEnd w:id="0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42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Информация о перечне специалистов и иных работников и их квалификации подтверждается одновременно представленными следующими документами: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42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- трудовая книжка или сведения о трудовой деятельности, предусмотренные статьей 66.1 Трудового кодекса Российской Федерации;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42" w:firstLine="0"/>
              <w:jc w:val="both"/>
              <w:spacing w:after="0" w:line="240" w:lineRule="auto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 информация (в том числе данные), результаты применения информационных технологий и документы, подтверждающие квалификацию участника закупки, 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диплом о высшем образовании (бакалавриат и/или специалитет и/или магистратура</w:t>
            </w:r>
            <w:r>
              <w:rPr>
                <w:sz w:val="22"/>
                <w:szCs w:val="22"/>
              </w:rPr>
              <w:t xml:space="preserve">) и/или документы, подтверждающие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профессиональное образование по направлению подготовки (специальности) в области информационной безопасности или иного высшего профессионального образования с прохождением обучения по программе повышения квалификации по направлению «Информационная безопас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ность» (в соответствии с приказом ФСТЭК России от 21.12.2017 № 235).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highlight w:val="none"/>
                <w:lang w:eastAsia="en-US"/>
              </w:rPr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z w:val="22"/>
                <w:szCs w:val="22"/>
              </w:rPr>
              <w:t xml:space="preserve">В случае наличия разночтения в представленных документах в связи с изменением фамилии специалиста при заключении брака либо п</w:t>
            </w:r>
            <w:r>
              <w:rPr>
                <w:rFonts w:eastAsia="Calibri"/>
                <w:sz w:val="22"/>
                <w:szCs w:val="22"/>
              </w:rPr>
              <w:t xml:space="preserve">еремены фамилии, имени или отчества по иным причинам, дополнительно представляются соответствующие документы, предусмотренные положениями Федерального закона от 15 ноября 1997 года № 143-ФЗ «Об актах гражданского состояния», подтверждающих такие изменения.</w:t>
            </w:r>
            <w:r/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pacing w:val="4"/>
                <w:sz w:val="22"/>
                <w:szCs w:val="22"/>
              </w:rPr>
              <w:t xml:space="preserve"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      </w:r>
            <w:r/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z w:val="22"/>
                <w:szCs w:val="22"/>
              </w:rPr>
              <w:t xml:space="preserve">При этом документы, представленные </w:t>
            </w:r>
            <w:r>
              <w:rPr>
                <w:rFonts w:eastAsia="Calibri"/>
                <w:spacing w:val="4"/>
                <w:sz w:val="22"/>
                <w:szCs w:val="22"/>
              </w:rPr>
              <w:t xml:space="preserve">в форме электронных образов бумажных документов,</w:t>
            </w:r>
            <w:r>
              <w:rPr>
                <w:rFonts w:eastAsia="Calibri"/>
                <w:sz w:val="22"/>
                <w:szCs w:val="22"/>
              </w:rPr>
              <w:t xml:space="preserve">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</w:t>
            </w:r>
            <w:r/>
          </w:p>
          <w:p>
            <w:pPr>
              <w:jc w:val="both"/>
              <w:tabs>
                <w:tab w:val="left" w:pos="-360" w:leader="none"/>
                <w:tab w:val="left" w:pos="360" w:leader="none"/>
                <w:tab w:val="clear" w:pos="708" w:leader="none"/>
              </w:tabs>
            </w:pP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  <w:tab w:val="clear" w:pos="708" w:leader="none"/>
              </w:tabs>
            </w:pPr>
            <w:r>
              <w:rPr>
                <w:sz w:val="22"/>
                <w:szCs w:val="22"/>
              </w:rPr>
              <w:t xml:space="preserve">Отсутствие в заявке на участие в электронном конкурсе информации по детализирующему показател</w:t>
            </w:r>
            <w:r>
              <w:rPr>
                <w:sz w:val="22"/>
                <w:szCs w:val="22"/>
              </w:rPr>
              <w:t xml:space="preserve">ю не будет основанием для признания заявки не соответствующей требованиям Закона № 44-ФЗ и извещению об осуществлении закупки и не влечет принятия решения об отклонении заявки. Такой участник закупки получает 0 баллов по данному детализирующему показателю.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предоставляемой информации могут быть предоставлены по рекомендуемой форме, указанной в Приложении № 4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 xml:space="preserve"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gridAfter w:val="1"/>
          <w:trHeight w:val="3543"/>
        </w:trPr>
        <w:tc>
          <w:tcPr>
            <w:tcW w:w="7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5871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center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Наименование показателя оценки, детализирующего показатель оценки: «</w:t>
            </w:r>
            <w:r>
              <w:rPr>
                <w:sz w:val="22"/>
                <w:szCs w:val="22"/>
              </w:rPr>
              <w:t xml:space="preserve">Перечень специальностей (направлений подготовки), выделенных в условную группу «ИТ» и имеющих ученую степень кандидат или доктор технических наук»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8356" w:type="dxa"/>
            <w:vAlign w:val="top"/>
            <w:vMerge w:val="restart"/>
            <w:textDirection w:val="lrTb"/>
            <w:noWrap w:val="false"/>
          </w:tcPr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</w:tabs>
            </w:pPr>
            <w:r>
              <w:rPr>
                <w:sz w:val="22"/>
                <w:szCs w:val="22"/>
              </w:rPr>
              <w:t xml:space="preserve">Значимость показателя оценки, детализирующего показатель оценки, </w:t>
            </w:r>
            <w:r>
              <w:rPr>
                <w:sz w:val="22"/>
                <w:szCs w:val="22"/>
              </w:rPr>
              <w:t xml:space="preserve">составляет 20</w:t>
            </w:r>
            <w:r>
              <w:rPr>
                <w:sz w:val="22"/>
                <w:szCs w:val="22"/>
              </w:rPr>
              <w:t xml:space="preserve"> процентов.</w:t>
            </w:r>
            <w:r/>
          </w:p>
          <w:p>
            <w:pPr>
              <w:ind w:left="81" w:right="42" w:firstLine="0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rtl w:val="0"/>
              </w:rPr>
              <w:t xml:space="preserve">Перечень специалистов и иных работников, их квалификация, подлежащих оценке</w:t>
            </w:r>
            <w:r>
              <w:rPr>
                <w:sz w:val="32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rtl w:val="0"/>
              </w:rPr>
              <w:t xml:space="preserve">в соответствии с приказом Минобрнауки России от 12.09.2013 № 1061 «Об утверждении перечней специальностей и направлений подготовки высшего образования»: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tbl>
            <w:tblPr>
              <w:tblStyle w:val="959"/>
              <w:tblW w:w="7694" w:type="dxa"/>
              <w:tblLayout w:type="fixed"/>
              <w:tblLook w:val="0400" w:firstRow="0" w:lastRow="0" w:firstColumn="0" w:lastColumn="0" w:noHBand="0" w:noVBand="1"/>
            </w:tblPr>
            <w:tblGrid>
              <w:gridCol w:w="2255"/>
              <w:gridCol w:w="3714"/>
              <w:gridCol w:w="1724"/>
            </w:tblGrid>
            <w:tr>
              <w:tblPrEx/>
              <w:trPr>
                <w:cantSplit w:val="false"/>
                <w:trHeight w:val="711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Коды укрупненных групп направлений подготовки.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Коды направлений подготовки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Наименования укрупненных групп направлений подготовки.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Наименования направлений подготовки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Квалификация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</w:tc>
            </w:tr>
            <w:tr>
              <w:tblPrEx/>
              <w:trPr>
                <w:cantSplit w:val="false"/>
                <w:trHeight w:val="255"/>
              </w:trPr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Направления подготовки, выделенные в условную группу «ИТ»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</w:tc>
            </w:tr>
            <w:tr>
              <w:tblPrEx/>
              <w:trPr>
                <w:cantSplit w:val="false"/>
                <w:trHeight w:val="711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01.00.00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02.00.00</w:t>
                    <w:br/>
                    <w:t xml:space="preserve">09.00.00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Математика и механика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Компьютерные и информационные науки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Информатика и вычислительная техника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0" w:type="auto"/>
                  <w:textDirection w:val="lrTb"/>
                  <w:noWrap w:val="false"/>
                </w:tcPr>
                <w:p>
                  <w:pPr>
                    <w:jc w:val="center"/>
                    <w:shd w:val="clear" w:color="ffffff" w:themeColor="background1" w:fill="ffffff" w:themeFill="background1"/>
                    <w:widowControl w:val="off"/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white"/>
                      <w:rtl w:val="0"/>
                    </w:rPr>
                    <w:t xml:space="preserve">Ученая степень кандидата или доктора технических наук</w:t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18"/>
                      <w:szCs w:val="18"/>
                      <w:highlight w:val="none"/>
                    </w:rPr>
                  </w:r>
                </w:p>
              </w:tc>
            </w:tr>
          </w:tbl>
          <w:p>
            <w:pPr>
              <w:jc w:val="both"/>
              <w:tabs>
                <w:tab w:val="left" w:pos="-360" w:leader="none"/>
                <w:tab w:val="left" w:pos="36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42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Информация о перечне специалистов и иных работников и их квалификации подтверждается одновременно представленными следующими документами: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42" w:firstLine="0"/>
              <w:jc w:val="both"/>
              <w:spacing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- трудовая книжка или сведения о трудовой деятельности, предусмотренные статьей 66.1 Трудового кодекса Российской Федерации;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42" w:firstLine="0"/>
              <w:jc w:val="both"/>
              <w:spacing w:after="0" w:line="240" w:lineRule="auto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 информация (в том числе данные), результаты применения информационных технологий и документы, подтверждающие квалификацию участника закупки, е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диплом о высшем образовании (бакалавриат и/или специалитет и/или магистратура</w:t>
            </w:r>
            <w:r>
              <w:rPr>
                <w:sz w:val="22"/>
                <w:szCs w:val="22"/>
              </w:rPr>
              <w:t xml:space="preserve">) и/или документы, подтверждающие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профессиональное образование по направлению подготовки (специальности) в области информационной безопасности или иного высшего профессионального образования с прохождением обучения по программе повышения квалификации по направлению «Информационная безопас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ность» (в соответствии с приказом ФСТЭК России от 21.12.2017 № 235).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highlight w:val="none"/>
                <w:lang w:eastAsia="en-US"/>
              </w:rPr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z w:val="22"/>
                <w:szCs w:val="22"/>
              </w:rPr>
              <w:t xml:space="preserve">В случае наличия разночтения в представленных документах в связи с изменением фамилии специалиста при заключении брака либо п</w:t>
            </w:r>
            <w:r>
              <w:rPr>
                <w:rFonts w:eastAsia="Calibri"/>
                <w:sz w:val="22"/>
                <w:szCs w:val="22"/>
              </w:rPr>
              <w:t xml:space="preserve">еремены фамилии, имени или отчества по иным причинам, дополнительно представляются соответствующие документы, предусмотренные положениями Федерального закона от 15 ноября 1997 года № 143-ФЗ «Об актах гражданского состояния», подтверждающих такие изменения.</w:t>
            </w:r>
            <w:r/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pacing w:val="4"/>
                <w:sz w:val="22"/>
                <w:szCs w:val="22"/>
              </w:rPr>
              <w:t xml:space="preserve"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      </w:r>
            <w:r/>
          </w:p>
          <w:p>
            <w:pPr>
              <w:pStyle w:val="948"/>
              <w:jc w:val="both"/>
              <w:spacing w:before="60" w:after="0"/>
            </w:pPr>
            <w:r>
              <w:rPr>
                <w:rFonts w:eastAsia="Calibri"/>
                <w:sz w:val="22"/>
                <w:szCs w:val="22"/>
              </w:rPr>
              <w:t xml:space="preserve">При этом документы, представленные </w:t>
            </w:r>
            <w:r>
              <w:rPr>
                <w:rFonts w:eastAsia="Calibri"/>
                <w:spacing w:val="4"/>
                <w:sz w:val="22"/>
                <w:szCs w:val="22"/>
              </w:rPr>
              <w:t xml:space="preserve">в форме электронных образов бумажных документов,</w:t>
            </w:r>
            <w:r>
              <w:rPr>
                <w:rFonts w:eastAsia="Calibri"/>
                <w:sz w:val="22"/>
                <w:szCs w:val="22"/>
              </w:rPr>
              <w:t xml:space="preserve">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</w:t>
            </w:r>
            <w:r/>
          </w:p>
          <w:p>
            <w:pPr>
              <w:pStyle w:val="948"/>
              <w:jc w:val="both"/>
              <w:tabs>
                <w:tab w:val="left" w:pos="-360" w:leader="none"/>
                <w:tab w:val="left" w:pos="360" w:leader="none"/>
                <w:tab w:val="clear" w:pos="708" w:leader="none"/>
              </w:tabs>
            </w:pPr>
            <w:r>
              <w:rPr>
                <w:sz w:val="22"/>
                <w:szCs w:val="22"/>
              </w:rPr>
              <w:t xml:space="preserve">Отсутствие в заявке на участие в электронном конкурсе информации по детализирующему показател</w:t>
            </w:r>
            <w:r>
              <w:rPr>
                <w:sz w:val="22"/>
                <w:szCs w:val="22"/>
              </w:rPr>
              <w:t xml:space="preserve">ю не будет основанием для признания заявки не соответствующей требованиям Закона № 44-ФЗ и извещению об осуществлении закупки и не влечет принятия решения об отклонении заявки. Такой участник закупки получает 0 баллов по данному детализирующему показателю.</w:t>
            </w:r>
            <w:r/>
          </w:p>
          <w:p>
            <w:pPr>
              <w:pStyle w:val="948"/>
              <w:jc w:val="both"/>
              <w:spacing w:before="60" w:after="0"/>
              <w:rPr>
                <w:rFonts w:eastAsia="Calibri"/>
                <w:sz w:val="22"/>
                <w:szCs w:val="22"/>
                <w:highlight w:val="none"/>
              </w:rPr>
            </w:pPr>
            <w:r>
              <w:rPr>
                <w:i/>
                <w:sz w:val="22"/>
                <w:szCs w:val="22"/>
              </w:rPr>
              <w:t xml:space="preserve">Сведения о предоставляемой информации могут быть предоставлены по рекомендуемой форме, указанной в Приложении № 4 к настоящему Приложению к Извещению (</w:t>
            </w:r>
            <w:r>
              <w:rPr>
                <w:i/>
                <w:sz w:val="22"/>
                <w:szCs w:val="22"/>
                <w:u w:val="single"/>
              </w:rPr>
              <w:t xml:space="preserve">данная форма не является обязательной, участник закупки вправе предоставить информацию в любой форме</w:t>
            </w:r>
            <w:r>
              <w:rPr>
                <w:i/>
                <w:sz w:val="22"/>
                <w:szCs w:val="22"/>
              </w:rPr>
              <w:t xml:space="preserve">).</w:t>
            </w:r>
            <w:r>
              <w:rPr>
                <w:rFonts w:eastAsia="Calibri"/>
                <w:sz w:val="22"/>
                <w:szCs w:val="22"/>
                <w:highlight w:val="none"/>
              </w:rPr>
            </w:r>
            <w:r>
              <w:rPr>
                <w:rFonts w:eastAsia="Calibri"/>
                <w:sz w:val="22"/>
                <w:szCs w:val="22"/>
                <w:highlight w:val="none"/>
              </w:rPr>
            </w:r>
          </w:p>
        </w:tc>
      </w:tr>
    </w:tbl>
    <w:p>
      <w:pPr>
        <w:pStyle w:val="1045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48"/>
        <w:ind w:firstLine="709"/>
        <w:jc w:val="both"/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Итоговый рейтинг заявки (предложения) вычисляется как сумма рейтингов по каждому критерию оценки заявки (предложения)</w:t>
      </w:r>
      <w:r>
        <w:rPr>
          <w:sz w:val="22"/>
          <w:szCs w:val="22"/>
        </w:rPr>
        <w:t xml:space="preserve"> с учетом значимости критерия оценки</w:t>
      </w:r>
      <w:r>
        <w:rPr>
          <w:sz w:val="22"/>
          <w:szCs w:val="22"/>
        </w:rPr>
        <w:t xml:space="preserve">. Победителем признается участник закупки, заявке (предложению) которого присвоен самый высокий итоговый рейтинг. Заявке (предложению) такого участника закупки присваивается первый порядковый номер.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tabs>
          <w:tab w:val="left" w:pos="-360" w:leader="none"/>
          <w:tab w:val="left" w:pos="36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 порядку рассмотрения и оценки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заявок на участие в конкурсе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(рекомендуемая форма)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ind w:firstLine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СВЕДЕНИЯ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наличии опыта у участника закупки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(общее количество)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5048" w:type="pct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6"/>
        <w:gridCol w:w="1938"/>
        <w:gridCol w:w="2221"/>
        <w:gridCol w:w="1914"/>
        <w:gridCol w:w="1939"/>
        <w:gridCol w:w="1914"/>
        <w:gridCol w:w="1914"/>
        <w:gridCol w:w="1619"/>
        <w:gridCol w:w="155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 w:val="20"/>
                <w:lang w:eastAsia="zh-CN"/>
              </w:rPr>
            </w:pPr>
            <w:r>
              <w:rPr>
                <w:sz w:val="20"/>
              </w:rPr>
              <w:t xml:space="preserve">№ п/п</w:t>
            </w:r>
            <w:r>
              <w:rPr>
                <w:sz w:val="20"/>
                <w:lang w:eastAsia="zh-CN"/>
              </w:rPr>
            </w:r>
            <w:r>
              <w:rPr>
                <w:sz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 w:val="20"/>
                <w:lang w:eastAsia="zh-CN"/>
              </w:rPr>
            </w:pPr>
            <w:r>
              <w:rPr>
                <w:sz w:val="20"/>
              </w:rPr>
              <w:t xml:space="preserve">Номер и дата заключения контракта/договора</w:t>
            </w:r>
            <w:r>
              <w:rPr>
                <w:sz w:val="20"/>
                <w:lang w:eastAsia="zh-CN"/>
              </w:rPr>
            </w:r>
            <w:r>
              <w:rPr>
                <w:sz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Реестровый номер контракта/договора, присвоенный контракту/договору в реестре контрактов/договоров на сайте единой информационной системы в сфере закупок (http://zakupki.gov.ru)</w:t>
            </w:r>
            <w:r>
              <w:rPr>
                <w:spacing w:val="-4"/>
                <w:sz w:val="20"/>
              </w:rPr>
              <w:t xml:space="preserve"> (при наличии)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Предмет контракта/договора</w:t>
            </w:r>
            <w:r>
              <w:rPr>
                <w:spacing w:val="-4"/>
                <w:sz w:val="20"/>
                <w:lang w:eastAsia="zh-CN"/>
              </w:rPr>
            </w:r>
            <w:r>
              <w:rPr>
                <w:spacing w:val="-4"/>
                <w:sz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Сумма исполненных обязательств по контракту/договору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  <w:p>
            <w:pPr>
              <w:pStyle w:val="948"/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(руб.)</w:t>
            </w:r>
            <w:r>
              <w:rPr>
                <w:spacing w:val="-4"/>
                <w:sz w:val="20"/>
                <w:lang w:eastAsia="zh-CN"/>
              </w:rPr>
            </w:r>
            <w:r>
              <w:rPr>
                <w:spacing w:val="-4"/>
                <w:sz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z w:val="20"/>
              </w:rPr>
              <w:t xml:space="preserve">Дата последнего акта, составленного при исполнении контракта (договора)</w:t>
            </w:r>
            <w:r>
              <w:rPr>
                <w:spacing w:val="-4"/>
                <w:sz w:val="20"/>
                <w:lang w:eastAsia="zh-CN"/>
              </w:rPr>
            </w:r>
            <w:r>
              <w:rPr>
                <w:spacing w:val="-4"/>
                <w:sz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Документ, подтверждающий исполнение договора/контракта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z w:val="20"/>
              </w:rPr>
              <w:t xml:space="preserve">Информация о применении неустоек (штрафов, пеней) к участнику закупки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Перечень документов, представленных в подтверждение данных сведений</w:t>
            </w:r>
            <w:r>
              <w:rPr>
                <w:rStyle w:val="933"/>
                <w:spacing w:val="-4"/>
                <w:sz w:val="20"/>
              </w:rPr>
              <w:footnoteReference w:id="2"/>
            </w:r>
            <w:r>
              <w:rPr>
                <w:spacing w:val="-4"/>
                <w:sz w:val="20"/>
                <w:lang w:eastAsia="zh-CN"/>
              </w:rPr>
            </w:r>
            <w:r>
              <w:rPr>
                <w:spacing w:val="-4"/>
                <w:sz w:val="20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3</w:t>
            </w:r>
            <w:r>
              <w:rPr>
                <w:rFonts w:eastAsia="Calibri"/>
                <w:sz w:val="20"/>
                <w:lang w:eastAsia="en-US"/>
              </w:rPr>
            </w:r>
            <w:r>
              <w:rPr>
                <w:rFonts w:eastAsia="Calibri"/>
                <w:sz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4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5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7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9</w:t>
            </w:r>
            <w:r>
              <w:rPr>
                <w:spacing w:val="-4"/>
                <w:sz w:val="20"/>
              </w:rPr>
            </w:r>
            <w:r>
              <w:rPr>
                <w:spacing w:val="-4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 xml:space="preserve">…</w:t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8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</w:tc>
      </w:tr>
    </w:tbl>
    <w:p>
      <w:pPr>
        <w:pStyle w:val="948"/>
        <w:jc w:val="center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tabs>
          <w:tab w:val="left" w:pos="-360" w:leader="none"/>
          <w:tab w:val="left" w:pos="360" w:leader="none"/>
        </w:tabs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/>
    </w:p>
    <w:p>
      <w:pPr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/>
    </w:p>
    <w:p>
      <w:pPr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jc w:val="lef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Приложение № 2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  <w:t xml:space="preserve">к порядку рассмотрения и оценки </w:t>
      </w: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  <w:t xml:space="preserve">заявок на участие в конкурсе</w:t>
      </w: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  <w:t xml:space="preserve">(рекомендуемая форма)</w:t>
      </w: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948"/>
        <w:ind w:firstLine="284"/>
        <w:jc w:val="center"/>
      </w:pPr>
      <w:r>
        <w:rPr>
          <w:b/>
          <w:sz w:val="22"/>
          <w:szCs w:val="22"/>
        </w:rPr>
        <w:t xml:space="preserve">СВЕДЕНИЯ</w:t>
      </w:r>
      <w:r>
        <w:rPr>
          <w:sz w:val="22"/>
          <w:szCs w:val="22"/>
        </w:rPr>
      </w:r>
      <w:r/>
    </w:p>
    <w:p>
      <w:pPr>
        <w:pStyle w:val="948"/>
        <w:ind w:firstLine="284"/>
        <w:jc w:val="center"/>
      </w:pPr>
      <w:r>
        <w:rPr>
          <w:b/>
          <w:sz w:val="22"/>
          <w:szCs w:val="22"/>
        </w:rPr>
        <w:t xml:space="preserve">о наличии опыта у участника закупки </w:t>
      </w:r>
      <w:r>
        <w:rPr>
          <w:b/>
          <w:sz w:val="22"/>
          <w:szCs w:val="22"/>
        </w:rPr>
      </w:r>
      <w:r/>
    </w:p>
    <w:p>
      <w:pPr>
        <w:pStyle w:val="948"/>
        <w:ind w:firstLine="284"/>
        <w:jc w:val="center"/>
      </w:pPr>
      <w:r>
        <w:rPr>
          <w:b/>
          <w:sz w:val="22"/>
          <w:szCs w:val="22"/>
        </w:rPr>
        <w:t xml:space="preserve">(общая цена)</w:t>
      </w:r>
      <w:r>
        <w:rPr>
          <w:b/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</w:tabs>
        <w:rPr>
          <w:b/>
          <w:bCs/>
        </w:rPr>
      </w:pPr>
      <w:r>
        <w:rPr>
          <w:sz w:val="22"/>
          <w:szCs w:val="22"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5048" w:type="pct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1"/>
        <w:gridCol w:w="2061"/>
        <w:gridCol w:w="2294"/>
        <w:gridCol w:w="1987"/>
        <w:gridCol w:w="2012"/>
        <w:gridCol w:w="1572"/>
        <w:gridCol w:w="1987"/>
        <w:gridCol w:w="1376"/>
        <w:gridCol w:w="169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z w:val="20"/>
              </w:rPr>
              <w:t xml:space="preserve">№ п/п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z w:val="20"/>
              </w:rPr>
              <w:t xml:space="preserve">Номер и дата заключения контракта/договора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Реестровый номер контракта/договора, присвоенный контракту/договору в реестре контрактов/договоров на сайте единой информационной системы в сфере закупок (http://zakupki.gov.ru)</w:t>
            </w:r>
            <w:r>
              <w:rPr>
                <w:spacing w:val="-4"/>
                <w:sz w:val="20"/>
              </w:rPr>
              <w:t xml:space="preserve"> (при наличии)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Предмет контракта/договора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</w:pPr>
            <w:r>
              <w:rPr>
                <w:spacing w:val="-4"/>
                <w:sz w:val="20"/>
              </w:rPr>
              <w:t xml:space="preserve">Сумма исполненных обязательств по контракту/договору</w:t>
            </w:r>
            <w:r>
              <w:rPr>
                <w:spacing w:val="-4"/>
                <w:sz w:val="20"/>
              </w:rPr>
            </w:r>
            <w:r/>
          </w:p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(руб.)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2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z w:val="20"/>
              </w:rPr>
              <w:t xml:space="preserve">Дата последнего акта, составленного при исполнении контракта (договора)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Документ, подтверждающий исполнение договора/контракта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6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Информация о применении неустоек (штрафов, пеней) к участнику закупки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Перечень документов, представленных в подтверждение данных сведений</w:t>
            </w:r>
            <w:r>
              <w:rPr>
                <w:rStyle w:val="933"/>
                <w:spacing w:val="-4"/>
                <w:sz w:val="20"/>
              </w:rPr>
              <w:footnoteReference w:id="3"/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2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3</w:t>
            </w:r>
            <w:r>
              <w:rPr>
                <w:rFonts w:eastAsia="Calibri"/>
                <w:szCs w:val="20"/>
                <w:lang w:eastAsia="en-US"/>
              </w:rPr>
            </w:r>
            <w:r>
              <w:rPr>
                <w:rFonts w:eastAsia="Calibri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4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5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2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6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7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6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8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9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 xml:space="preserve">…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1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7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6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9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53" w:type="dxa"/>
            <w:vAlign w:val="top"/>
            <w:textDirection w:val="lrTb"/>
            <w:noWrap w:val="false"/>
          </w:tcPr>
          <w:p>
            <w:pPr>
              <w:pStyle w:val="948"/>
              <w:jc w:val="right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Итого общая цена исполненных контрактов/договоров: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34" w:type="dxa"/>
            <w:vAlign w:val="top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</w:tbl>
    <w:p>
      <w:pPr>
        <w:pStyle w:val="948"/>
        <w:jc w:val="right"/>
        <w:tabs>
          <w:tab w:val="left" w:pos="-360" w:leader="none"/>
          <w:tab w:val="left" w:pos="36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tabs>
          <w:tab w:val="left" w:pos="-360" w:leader="none"/>
          <w:tab w:val="left" w:pos="360" w:leader="none"/>
        </w:tabs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tabs>
          <w:tab w:val="left" w:pos="-360" w:leader="none"/>
          <w:tab w:val="left" w:pos="36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tabs>
          <w:tab w:val="left" w:pos="-360" w:leader="none"/>
          <w:tab w:val="left" w:pos="36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lef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lef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lef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lef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  <w:t xml:space="preserve">Приложение № 3 </w:t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  <w:t xml:space="preserve">к порядку рассмотрения и оценки </w:t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  <w:t xml:space="preserve">заявок на участие в конкурсе</w:t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  <w:t xml:space="preserve">(рекомендуемая форма)</w:t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</w:r>
      <w:r/>
    </w:p>
    <w:p>
      <w:pPr>
        <w:pStyle w:val="948"/>
        <w:ind w:firstLine="284"/>
        <w:jc w:val="center"/>
      </w:pPr>
      <w:r>
        <w:rPr>
          <w:b/>
          <w:sz w:val="22"/>
          <w:szCs w:val="22"/>
        </w:rPr>
        <w:t xml:space="preserve">СВЕДЕНИЯ</w:t>
      </w:r>
      <w:r/>
    </w:p>
    <w:p>
      <w:pPr>
        <w:pStyle w:val="948"/>
        <w:ind w:firstLine="284"/>
        <w:jc w:val="center"/>
      </w:pPr>
      <w:r>
        <w:rPr>
          <w:b/>
          <w:sz w:val="22"/>
          <w:szCs w:val="22"/>
        </w:rPr>
        <w:t xml:space="preserve">о наличии опыта у участника закупки </w:t>
      </w:r>
      <w:r/>
    </w:p>
    <w:p>
      <w:pPr>
        <w:pStyle w:val="948"/>
        <w:ind w:firstLine="284"/>
        <w:jc w:val="center"/>
      </w:pPr>
      <w:r>
        <w:rPr>
          <w:b/>
          <w:sz w:val="22"/>
          <w:szCs w:val="22"/>
        </w:rPr>
        <w:t xml:space="preserve">(наибольшая цена)</w:t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</w:r>
      <w:r/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</w:r>
      <w:r/>
    </w:p>
    <w:tbl>
      <w:tblPr>
        <w:tblW w:w="5000" w:type="pct"/>
        <w:tblInd w:w="-14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2"/>
        <w:gridCol w:w="1919"/>
        <w:gridCol w:w="2200"/>
        <w:gridCol w:w="1896"/>
        <w:gridCol w:w="1920"/>
        <w:gridCol w:w="1898"/>
        <w:gridCol w:w="1897"/>
        <w:gridCol w:w="1603"/>
        <w:gridCol w:w="153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 xml:space="preserve">п/п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z w:val="20"/>
              </w:rPr>
              <w:t xml:space="preserve">Номер и дата заключения контракта/договора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0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Реестровый номер контракта/договора, присвоенный контракту/договору в реестре контрактов/договоров на сайте единой информационной системы в сфере закупок (http://zakupki.gov.ru)</w:t>
            </w:r>
            <w:r>
              <w:rPr>
                <w:spacing w:val="-4"/>
                <w:sz w:val="20"/>
              </w:rPr>
              <w:t xml:space="preserve"> (при наличии)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6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Предмет контракта/договора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</w:pPr>
            <w:r>
              <w:rPr>
                <w:spacing w:val="-4"/>
                <w:sz w:val="20"/>
              </w:rPr>
              <w:t xml:space="preserve">Сумма исполненных обязательств по контракту/договору</w:t>
            </w:r>
            <w:r/>
          </w:p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(руб.)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8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z w:val="20"/>
              </w:rPr>
              <w:t xml:space="preserve">Дата последнего акта, составленного при исполнении контракта (договора)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Документ, подтверждающий исполнение договора/контракта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Информация о применении неустоек (штрафов, пеней) к участнику закупки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  <w:lang w:eastAsia="zh-CN"/>
              </w:rPr>
            </w:pPr>
            <w:r>
              <w:rPr>
                <w:spacing w:val="-4"/>
                <w:sz w:val="20"/>
              </w:rPr>
              <w:t xml:space="preserve">Перечень документов, представленных в подтверждение данных сведений</w:t>
            </w:r>
            <w:r>
              <w:rPr>
                <w:szCs w:val="20"/>
                <w:lang w:eastAsia="zh-CN"/>
              </w:rPr>
            </w:r>
            <w:r>
              <w:rPr>
                <w:szCs w:val="20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9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2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0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3</w:t>
            </w:r>
            <w:r>
              <w:rPr>
                <w:rFonts w:eastAsia="Calibri"/>
                <w:szCs w:val="20"/>
                <w:lang w:eastAsia="en-US"/>
              </w:rPr>
            </w:r>
            <w:r>
              <w:rPr>
                <w:rFonts w:eastAsia="Calibri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6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4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5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8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6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7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z w:val="20"/>
              </w:rPr>
              <w:t xml:space="preserve">8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rPr>
                <w:szCs w:val="20"/>
              </w:rPr>
            </w:pPr>
            <w:r>
              <w:rPr>
                <w:spacing w:val="-4"/>
                <w:sz w:val="20"/>
              </w:rPr>
              <w:t xml:space="preserve">9</w:t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9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0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6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0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8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7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03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textDirection w:val="lrTb"/>
            <w:noWrap w:val="false"/>
          </w:tcPr>
          <w:p>
            <w:pPr>
              <w:pStyle w:val="948"/>
              <w:jc w:val="both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  <w:r>
              <w:rPr>
                <w:lang w:eastAsia="zh-CN"/>
              </w:rPr>
            </w:r>
            <w:r>
              <w:rPr>
                <w:lang w:eastAsia="zh-CN"/>
              </w:rPr>
            </w:r>
          </w:p>
        </w:tc>
      </w:tr>
    </w:tbl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</w:pPr>
      <w:r>
        <w:rPr>
          <w:sz w:val="22"/>
          <w:szCs w:val="22"/>
        </w:rPr>
      </w:r>
      <w:r/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b/>
          <w:bCs/>
        </w:rPr>
      </w:pPr>
      <w:r>
        <w:rPr>
          <w:sz w:val="22"/>
          <w:szCs w:val="22"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lef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lef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 xml:space="preserve">Приложение № 4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 xml:space="preserve">к порядку рассмотрения и оценки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 xml:space="preserve">заявок на участие в конкурсе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 xml:space="preserve">(рекомендуемая форма)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contextualSpacing/>
        <w:ind w:left="426" w:hanging="66"/>
        <w:jc w:val="center"/>
        <w:spacing w:before="0" w:after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contextualSpacing/>
        <w:ind w:left="426" w:hanging="66"/>
        <w:jc w:val="center"/>
        <w:spacing w:before="0" w:after="0"/>
        <w:rPr>
          <w:color w:val="000000" w:themeColor="text1"/>
        </w:rPr>
      </w:pPr>
      <w:r>
        <w:rPr>
          <w:rFonts w:eastAsia="Calibri"/>
          <w:b/>
          <w:color w:val="000000" w:themeColor="text1"/>
          <w:sz w:val="22"/>
          <w:lang w:eastAsia="en-US"/>
        </w:rPr>
        <w:t xml:space="preserve">Сведения </w:t>
      </w:r>
      <w:r>
        <w:rPr>
          <w:b/>
          <w:color w:val="000000" w:themeColor="text1"/>
          <w:sz w:val="22"/>
          <w:szCs w:val="22"/>
        </w:rPr>
        <w:t xml:space="preserve">о н</w:t>
      </w:r>
      <w:r>
        <w:rPr>
          <w:b/>
          <w:color w:val="000000" w:themeColor="text1"/>
          <w:sz w:val="22"/>
          <w:szCs w:val="22"/>
          <w:shd w:val="clear" w:color="auto" w:fill="ffffff"/>
        </w:rPr>
        <w:t xml:space="preserve">аличии у участников закупки специалистов и иных работников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contextualSpacing/>
        <w:ind w:left="426" w:hanging="66"/>
        <w:jc w:val="center"/>
        <w:spacing w:before="0" w:after="0"/>
        <w:rPr>
          <w:color w:val="000000" w:themeColor="text1"/>
        </w:rPr>
      </w:pPr>
      <w:r>
        <w:rPr>
          <w:b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b/>
          <w:color w:val="000000" w:themeColor="text1"/>
          <w:sz w:val="22"/>
          <w:szCs w:val="22"/>
          <w:shd w:val="clear" w:color="auto" w:fill="ffffff"/>
        </w:rPr>
        <w:t xml:space="preserve">определенного уровня квалификации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8"/>
        <w:tabs>
          <w:tab w:val="left" w:pos="-360" w:leader="none"/>
          <w:tab w:val="left" w:pos="360" w:leader="none"/>
          <w:tab w:val="clear" w:pos="708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15593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058"/>
        <w:gridCol w:w="4321"/>
        <w:gridCol w:w="5244"/>
        <w:gridCol w:w="3969"/>
      </w:tblGrid>
      <w:tr>
        <w:tblPrEx/>
        <w:trPr>
          <w:trHeight w:val="7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8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0"/>
                <w:lang w:eastAsia="en-US"/>
              </w:rPr>
              <w:t xml:space="preserve">№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0"/>
                <w:lang w:eastAsia="en-US"/>
              </w:rPr>
              <w:t xml:space="preserve">п/п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1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0"/>
                <w:lang w:eastAsia="en-US"/>
              </w:rPr>
              <w:t xml:space="preserve">Ф.И.О. специалиста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vAlign w:val="center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Трудовая книжка или сведения о трудовой деятельности, предусмотренные</w:t>
            </w:r>
            <w:r>
              <w:rPr>
                <w:rStyle w:val="1055"/>
                <w:rFonts w:eastAsia="Arial"/>
                <w:color w:val="000000" w:themeColor="text1"/>
                <w:sz w:val="22"/>
                <w:szCs w:val="22"/>
                <w:shd w:val="clear" w:color="auto" w:fill="ffffff"/>
              </w:rPr>
              <w:t xml:space="preserve"> </w:t>
            </w:r>
            <w:hyperlink r:id="rId15" w:tooltip="https://www.consultant.ru/document/cons_doc_LAW_433304/b0bc8a27e8a04c890f2f9c995f4c966a8894470e/#dst2360" w:anchor="dst2360" w:history="1">
              <w:r>
                <w:rPr>
                  <w:rStyle w:val="930"/>
                  <w:rFonts w:eastAsia="Arial"/>
                  <w:color w:val="000000" w:themeColor="text1"/>
                  <w:sz w:val="22"/>
                  <w:szCs w:val="22"/>
                </w:rPr>
                <w:t xml:space="preserve">статьей 66.1</w:t>
              </w:r>
            </w:hyperlink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Трудового кодекса Российской Федерации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Информация и (или) документы, подтверждающие квалификацию («ИБ» и/или «ИТ»)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8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  <w:sz w:val="20"/>
                <w:lang w:eastAsia="en-US"/>
              </w:rPr>
              <w:t xml:space="preserve">1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1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  <w:sz w:val="20"/>
                <w:lang w:eastAsia="en-US"/>
              </w:rPr>
              <w:t xml:space="preserve">2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  <w:sz w:val="20"/>
                <w:lang w:eastAsia="en-US"/>
              </w:rPr>
              <w:t xml:space="preserve">2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b/>
                <w:color w:val="000000" w:themeColor="text1"/>
                <w:sz w:val="20"/>
                <w:lang w:eastAsia="en-US"/>
              </w:rPr>
              <w:t xml:space="preserve">3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8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0"/>
                <w:lang w:eastAsia="en-US"/>
              </w:rPr>
              <w:t xml:space="preserve">1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1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  <w:tr>
        <w:tblPrEx/>
        <w:trPr>
          <w:trHeight w:val="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8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 w:val="20"/>
                <w:lang w:eastAsia="en-US"/>
              </w:rPr>
              <w:t xml:space="preserve">…</w:t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1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pStyle w:val="948"/>
              <w:jc w:val="center"/>
              <w:widowControl w:val="off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</w:r>
            <w:r>
              <w:rPr>
                <w:rFonts w:eastAsia="Calibri"/>
                <w:color w:val="000000" w:themeColor="text1"/>
              </w:rPr>
            </w:r>
            <w:r>
              <w:rPr>
                <w:rFonts w:eastAsia="Calibri"/>
                <w:color w:val="000000" w:themeColor="text1"/>
              </w:rPr>
            </w:r>
          </w:p>
        </w:tc>
      </w:tr>
    </w:tbl>
    <w:p>
      <w:pPr>
        <w:pStyle w:val="948"/>
        <w:tabs>
          <w:tab w:val="left" w:pos="-360" w:leader="none"/>
          <w:tab w:val="left" w:pos="360" w:leader="none"/>
          <w:tab w:val="clear" w:pos="708" w:leader="none"/>
        </w:tabs>
        <w:rPr>
          <w:rFonts w:eastAsia="Calibri"/>
          <w:color w:val="000000"/>
        </w:rPr>
      </w:pPr>
      <w:r>
        <w:rPr>
          <w:rFonts w:eastAsia="Calibri"/>
          <w:bCs/>
          <w:color w:val="000000"/>
        </w:rPr>
      </w:r>
      <w:r>
        <w:rPr>
          <w:rFonts w:eastAsia="Calibri"/>
          <w:color w:val="000000"/>
        </w:rPr>
      </w:r>
      <w:r>
        <w:rPr>
          <w:rFonts w:eastAsia="Calibri"/>
          <w:color w:val="000000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right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jc w:val="center"/>
        <w:tabs>
          <w:tab w:val="left" w:pos="-360" w:leader="none"/>
          <w:tab w:val="left" w:pos="360" w:leader="none"/>
          <w:tab w:val="clear" w:pos="70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8"/>
        <w:tabs>
          <w:tab w:val="left" w:pos="-360" w:leader="none"/>
          <w:tab w:val="left" w:pos="360" w:leader="none"/>
          <w:tab w:val="clear" w:pos="708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8"/>
        <w:tabs>
          <w:tab w:val="left" w:pos="-360" w:leader="none"/>
          <w:tab w:val="left" w:pos="360" w:leader="none"/>
        </w:tabs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sectPr>
      <w:headerReference w:type="default" r:id="rId9"/>
      <w:headerReference w:type="first" r:id="rId10"/>
      <w:footerReference w:type="even" r:id="rId11"/>
      <w:footnotePr/>
      <w:endnotePr/>
      <w:type w:val="nextPage"/>
      <w:pgSz w:w="16838" w:h="11906" w:orient="landscape"/>
      <w:pgMar w:top="1418" w:right="851" w:bottom="566" w:left="851" w:header="426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PF Square Sans Pro">
    <w:panose1 w:val="02000603000000000000"/>
  </w:font>
  <w:font w:name="Calibri">
    <w:panose1 w:val="020F0502020204030204"/>
  </w:font>
  <w:font w:name="Cambria">
    <w:panose1 w:val="0204080305040603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  <w:rPr>
        <w:rStyle w:val="963"/>
      </w:rPr>
      <w:framePr w:wrap="around" w:vAnchor="text" w:hAnchor="margin" w:xAlign="center" w:y="1"/>
    </w:pPr>
    <w:r>
      <w:rPr>
        <w:rStyle w:val="963"/>
      </w:rPr>
      <w:fldChar w:fldCharType="begin"/>
    </w:r>
    <w:r>
      <w:rPr>
        <w:rStyle w:val="963"/>
      </w:rPr>
      <w:instrText xml:space="preserve">PAGE  </w:instrText>
    </w:r>
    <w:r>
      <w:rPr>
        <w:rStyle w:val="963"/>
      </w:rPr>
      <w:fldChar w:fldCharType="end"/>
    </w:r>
    <w:r>
      <w:rPr>
        <w:rStyle w:val="963"/>
      </w:rPr>
    </w:r>
    <w:r>
      <w:rPr>
        <w:rStyle w:val="963"/>
      </w:rPr>
    </w:r>
  </w:p>
  <w:p>
    <w:pPr>
      <w:pStyle w:val="98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31"/>
      </w:pPr>
      <w:r>
        <w:rPr>
          <w:rStyle w:val="933"/>
        </w:rPr>
        <w:footnoteRef/>
      </w:r>
      <w:r>
        <w:t xml:space="preserve"> с учетом положений пп. «ж» п. 28 Положения</w:t>
      </w:r>
      <w:r/>
    </w:p>
  </w:footnote>
  <w:footnote w:id="3">
    <w:p>
      <w:pPr>
        <w:pStyle w:val="931"/>
        <w:rPr>
          <w:highlight w:val="none"/>
        </w:rPr>
      </w:pPr>
      <w:r>
        <w:rPr>
          <w:rStyle w:val="933"/>
        </w:rPr>
        <w:footnoteRef/>
      </w:r>
      <w:r>
        <w:t xml:space="preserve"> </w:t>
      </w:r>
      <w:r>
        <w:t xml:space="preserve">с учетом положений пп. «ж» п. 28 Положения</w:t>
      </w:r>
      <w:r>
        <w:rPr>
          <w:highlight w:val="none"/>
        </w:rPr>
      </w:r>
      <w:r>
        <w:rPr>
          <w:highlight w:val="none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96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90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989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988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987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981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980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979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978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986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97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2">
    <w:multiLevelType w:val="hybridMultilevel"/>
    <w:lvl w:ilvl="0">
      <w:start w:val="1"/>
      <w:numFmt w:val="decimal"/>
      <w:pStyle w:val="1112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1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3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5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7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9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1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3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5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74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8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0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 "/>
      <w:legacy w:legacy="1" w:legacyIndent="0" w:legacySpace="0"/>
      <w:lvlJc w:val="left"/>
      <w:pPr>
        <w:ind w:left="4253" w:hanging="283"/>
      </w:pPr>
      <w:rPr>
        <w:b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9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6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8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0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2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4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6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8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0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27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6"/>
  </w:num>
  <w:num w:numId="13">
    <w:abstractNumId w:val="21"/>
  </w:num>
  <w:num w:numId="14">
    <w:abstractNumId w:val="11"/>
  </w:num>
  <w:num w:numId="15">
    <w:abstractNumId w:val="19"/>
  </w:num>
  <w:num w:numId="16">
    <w:abstractNumId w:val="10"/>
  </w:num>
  <w:num w:numId="17">
    <w:abstractNumId w:val="13"/>
  </w:num>
  <w:num w:numId="18">
    <w:abstractNumId w:val="20"/>
  </w:num>
  <w:num w:numId="19">
    <w:abstractNumId w:val="15"/>
  </w:num>
  <w:num w:numId="20">
    <w:abstractNumId w:val="17"/>
  </w:num>
  <w:num w:numId="21">
    <w:abstractNumId w:val="14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1">
    <w:name w:val="Heading 1"/>
    <w:basedOn w:val="948"/>
    <w:next w:val="948"/>
    <w:link w:val="7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72">
    <w:name w:val="Heading 1 Char"/>
    <w:link w:val="771"/>
    <w:uiPriority w:val="9"/>
    <w:rPr>
      <w:rFonts w:ascii="Arial" w:hAnsi="Arial" w:eastAsia="Arial" w:cs="Arial"/>
      <w:sz w:val="40"/>
      <w:szCs w:val="40"/>
    </w:rPr>
  </w:style>
  <w:style w:type="paragraph" w:styleId="773">
    <w:name w:val="Heading 2"/>
    <w:basedOn w:val="948"/>
    <w:next w:val="948"/>
    <w:link w:val="7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4">
    <w:name w:val="Heading 2 Char"/>
    <w:link w:val="773"/>
    <w:uiPriority w:val="9"/>
    <w:rPr>
      <w:rFonts w:ascii="Arial" w:hAnsi="Arial" w:eastAsia="Arial" w:cs="Arial"/>
      <w:sz w:val="34"/>
    </w:rPr>
  </w:style>
  <w:style w:type="paragraph" w:styleId="775">
    <w:name w:val="Heading 3"/>
    <w:basedOn w:val="948"/>
    <w:next w:val="948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6">
    <w:name w:val="Heading 3 Char"/>
    <w:link w:val="775"/>
    <w:uiPriority w:val="9"/>
    <w:rPr>
      <w:rFonts w:ascii="Arial" w:hAnsi="Arial" w:eastAsia="Arial" w:cs="Arial"/>
      <w:sz w:val="30"/>
      <w:szCs w:val="30"/>
    </w:rPr>
  </w:style>
  <w:style w:type="paragraph" w:styleId="777">
    <w:name w:val="Heading 4"/>
    <w:basedOn w:val="948"/>
    <w:next w:val="948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8">
    <w:name w:val="Heading 4 Char"/>
    <w:link w:val="777"/>
    <w:uiPriority w:val="9"/>
    <w:rPr>
      <w:rFonts w:ascii="Arial" w:hAnsi="Arial" w:eastAsia="Arial" w:cs="Arial"/>
      <w:b/>
      <w:bCs/>
      <w:sz w:val="26"/>
      <w:szCs w:val="26"/>
    </w:rPr>
  </w:style>
  <w:style w:type="paragraph" w:styleId="779">
    <w:name w:val="Heading 5"/>
    <w:basedOn w:val="948"/>
    <w:next w:val="948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0">
    <w:name w:val="Heading 5 Char"/>
    <w:link w:val="779"/>
    <w:uiPriority w:val="9"/>
    <w:rPr>
      <w:rFonts w:ascii="Arial" w:hAnsi="Arial" w:eastAsia="Arial" w:cs="Arial"/>
      <w:b/>
      <w:bCs/>
      <w:sz w:val="24"/>
      <w:szCs w:val="24"/>
    </w:rPr>
  </w:style>
  <w:style w:type="paragraph" w:styleId="781">
    <w:name w:val="Heading 6"/>
    <w:basedOn w:val="948"/>
    <w:next w:val="948"/>
    <w:link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2">
    <w:name w:val="Heading 6 Char"/>
    <w:link w:val="781"/>
    <w:uiPriority w:val="9"/>
    <w:rPr>
      <w:rFonts w:ascii="Arial" w:hAnsi="Arial" w:eastAsia="Arial" w:cs="Arial"/>
      <w:b/>
      <w:bCs/>
      <w:sz w:val="22"/>
      <w:szCs w:val="22"/>
    </w:rPr>
  </w:style>
  <w:style w:type="paragraph" w:styleId="783">
    <w:name w:val="Heading 7"/>
    <w:basedOn w:val="948"/>
    <w:next w:val="948"/>
    <w:link w:val="7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4">
    <w:name w:val="Heading 7 Char"/>
    <w:link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5">
    <w:name w:val="Heading 8"/>
    <w:basedOn w:val="948"/>
    <w:next w:val="948"/>
    <w:link w:val="7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6">
    <w:name w:val="Heading 8 Char"/>
    <w:link w:val="785"/>
    <w:uiPriority w:val="9"/>
    <w:rPr>
      <w:rFonts w:ascii="Arial" w:hAnsi="Arial" w:eastAsia="Arial" w:cs="Arial"/>
      <w:i/>
      <w:iCs/>
      <w:sz w:val="22"/>
      <w:szCs w:val="22"/>
    </w:rPr>
  </w:style>
  <w:style w:type="paragraph" w:styleId="787">
    <w:name w:val="Heading 9"/>
    <w:basedOn w:val="948"/>
    <w:next w:val="948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8">
    <w:name w:val="Heading 9 Char"/>
    <w:link w:val="787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No Spacing"/>
    <w:uiPriority w:val="1"/>
    <w:qFormat/>
    <w:pPr>
      <w:spacing w:before="0" w:after="0" w:line="240" w:lineRule="auto"/>
    </w:pPr>
  </w:style>
  <w:style w:type="paragraph" w:styleId="790">
    <w:name w:val="Title"/>
    <w:basedOn w:val="948"/>
    <w:next w:val="948"/>
    <w:link w:val="7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1">
    <w:name w:val="Title Char"/>
    <w:link w:val="790"/>
    <w:uiPriority w:val="10"/>
    <w:rPr>
      <w:sz w:val="48"/>
      <w:szCs w:val="48"/>
    </w:rPr>
  </w:style>
  <w:style w:type="paragraph" w:styleId="792">
    <w:name w:val="Subtitle"/>
    <w:basedOn w:val="948"/>
    <w:next w:val="948"/>
    <w:link w:val="793"/>
    <w:uiPriority w:val="11"/>
    <w:qFormat/>
    <w:pPr>
      <w:spacing w:before="200" w:after="200"/>
    </w:pPr>
    <w:rPr>
      <w:sz w:val="24"/>
      <w:szCs w:val="24"/>
    </w:rPr>
  </w:style>
  <w:style w:type="character" w:styleId="793">
    <w:name w:val="Subtitle Char"/>
    <w:link w:val="792"/>
    <w:uiPriority w:val="11"/>
    <w:rPr>
      <w:sz w:val="24"/>
      <w:szCs w:val="24"/>
    </w:rPr>
  </w:style>
  <w:style w:type="paragraph" w:styleId="794">
    <w:name w:val="Quote"/>
    <w:basedOn w:val="948"/>
    <w:next w:val="948"/>
    <w:link w:val="795"/>
    <w:uiPriority w:val="29"/>
    <w:qFormat/>
    <w:pPr>
      <w:ind w:left="720" w:right="720"/>
    </w:pPr>
    <w:rPr>
      <w:i/>
    </w:rPr>
  </w:style>
  <w:style w:type="character" w:styleId="795">
    <w:name w:val="Quote Char"/>
    <w:link w:val="794"/>
    <w:uiPriority w:val="29"/>
    <w:rPr>
      <w:i/>
    </w:rPr>
  </w:style>
  <w:style w:type="paragraph" w:styleId="796">
    <w:name w:val="Intense Quote"/>
    <w:basedOn w:val="948"/>
    <w:next w:val="948"/>
    <w:link w:val="7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7">
    <w:name w:val="Intense Quote Char"/>
    <w:link w:val="796"/>
    <w:uiPriority w:val="30"/>
    <w:rPr>
      <w:i/>
    </w:rPr>
  </w:style>
  <w:style w:type="paragraph" w:styleId="798">
    <w:name w:val="Header"/>
    <w:basedOn w:val="948"/>
    <w:link w:val="7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9">
    <w:name w:val="Header Char"/>
    <w:link w:val="798"/>
    <w:uiPriority w:val="99"/>
  </w:style>
  <w:style w:type="paragraph" w:styleId="800">
    <w:name w:val="Footer"/>
    <w:basedOn w:val="948"/>
    <w:link w:val="8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1">
    <w:name w:val="Footer Char"/>
    <w:link w:val="800"/>
    <w:uiPriority w:val="99"/>
  </w:style>
  <w:style w:type="paragraph" w:styleId="802">
    <w:name w:val="Caption"/>
    <w:basedOn w:val="948"/>
    <w:next w:val="9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3">
    <w:name w:val="Caption Char"/>
    <w:basedOn w:val="802"/>
    <w:link w:val="800"/>
    <w:uiPriority w:val="99"/>
  </w:style>
  <w:style w:type="table" w:styleId="80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0">
    <w:name w:val="Hyperlink"/>
    <w:uiPriority w:val="99"/>
    <w:unhideWhenUsed/>
    <w:rPr>
      <w:color w:val="0000ff" w:themeColor="hyperlink"/>
      <w:u w:val="single"/>
    </w:rPr>
  </w:style>
  <w:style w:type="paragraph" w:styleId="931">
    <w:name w:val="footnote text"/>
    <w:basedOn w:val="948"/>
    <w:link w:val="932"/>
    <w:uiPriority w:val="99"/>
    <w:semiHidden/>
    <w:unhideWhenUsed/>
    <w:pPr>
      <w:spacing w:after="40" w:line="240" w:lineRule="auto"/>
    </w:pPr>
    <w:rPr>
      <w:sz w:val="18"/>
    </w:rPr>
  </w:style>
  <w:style w:type="character" w:styleId="932">
    <w:name w:val="Footnote Text Char"/>
    <w:link w:val="931"/>
    <w:uiPriority w:val="99"/>
    <w:rPr>
      <w:sz w:val="18"/>
    </w:rPr>
  </w:style>
  <w:style w:type="character" w:styleId="933">
    <w:name w:val="footnote reference"/>
    <w:uiPriority w:val="99"/>
    <w:unhideWhenUsed/>
    <w:rPr>
      <w:vertAlign w:val="superscript"/>
    </w:rPr>
  </w:style>
  <w:style w:type="paragraph" w:styleId="934">
    <w:name w:val="endnote text"/>
    <w:basedOn w:val="948"/>
    <w:link w:val="935"/>
    <w:uiPriority w:val="99"/>
    <w:semiHidden/>
    <w:unhideWhenUsed/>
    <w:pPr>
      <w:spacing w:after="0" w:line="240" w:lineRule="auto"/>
    </w:pPr>
    <w:rPr>
      <w:sz w:val="20"/>
    </w:rPr>
  </w:style>
  <w:style w:type="character" w:styleId="935">
    <w:name w:val="Endnote Text Char"/>
    <w:link w:val="934"/>
    <w:uiPriority w:val="99"/>
    <w:rPr>
      <w:sz w:val="20"/>
    </w:rPr>
  </w:style>
  <w:style w:type="character" w:styleId="936">
    <w:name w:val="endnote reference"/>
    <w:uiPriority w:val="99"/>
    <w:semiHidden/>
    <w:unhideWhenUsed/>
    <w:rPr>
      <w:vertAlign w:val="superscript"/>
    </w:rPr>
  </w:style>
  <w:style w:type="paragraph" w:styleId="937">
    <w:name w:val="toc 1"/>
    <w:basedOn w:val="948"/>
    <w:next w:val="948"/>
    <w:uiPriority w:val="39"/>
    <w:unhideWhenUsed/>
    <w:pPr>
      <w:ind w:left="0" w:right="0" w:firstLine="0"/>
      <w:spacing w:after="57"/>
    </w:pPr>
  </w:style>
  <w:style w:type="paragraph" w:styleId="938">
    <w:name w:val="toc 2"/>
    <w:basedOn w:val="948"/>
    <w:next w:val="948"/>
    <w:uiPriority w:val="39"/>
    <w:unhideWhenUsed/>
    <w:pPr>
      <w:ind w:left="283" w:right="0" w:firstLine="0"/>
      <w:spacing w:after="57"/>
    </w:pPr>
  </w:style>
  <w:style w:type="paragraph" w:styleId="939">
    <w:name w:val="toc 3"/>
    <w:basedOn w:val="948"/>
    <w:next w:val="948"/>
    <w:uiPriority w:val="39"/>
    <w:unhideWhenUsed/>
    <w:pPr>
      <w:ind w:left="567" w:right="0" w:firstLine="0"/>
      <w:spacing w:after="57"/>
    </w:pPr>
  </w:style>
  <w:style w:type="paragraph" w:styleId="940">
    <w:name w:val="toc 4"/>
    <w:basedOn w:val="948"/>
    <w:next w:val="948"/>
    <w:uiPriority w:val="39"/>
    <w:unhideWhenUsed/>
    <w:pPr>
      <w:ind w:left="850" w:right="0" w:firstLine="0"/>
      <w:spacing w:after="57"/>
    </w:pPr>
  </w:style>
  <w:style w:type="paragraph" w:styleId="941">
    <w:name w:val="toc 5"/>
    <w:basedOn w:val="948"/>
    <w:next w:val="948"/>
    <w:uiPriority w:val="39"/>
    <w:unhideWhenUsed/>
    <w:pPr>
      <w:ind w:left="1134" w:right="0" w:firstLine="0"/>
      <w:spacing w:after="57"/>
    </w:pPr>
  </w:style>
  <w:style w:type="paragraph" w:styleId="942">
    <w:name w:val="toc 6"/>
    <w:basedOn w:val="948"/>
    <w:next w:val="948"/>
    <w:uiPriority w:val="39"/>
    <w:unhideWhenUsed/>
    <w:pPr>
      <w:ind w:left="1417" w:right="0" w:firstLine="0"/>
      <w:spacing w:after="57"/>
    </w:pPr>
  </w:style>
  <w:style w:type="paragraph" w:styleId="943">
    <w:name w:val="toc 7"/>
    <w:basedOn w:val="948"/>
    <w:next w:val="948"/>
    <w:uiPriority w:val="39"/>
    <w:unhideWhenUsed/>
    <w:pPr>
      <w:ind w:left="1701" w:right="0" w:firstLine="0"/>
      <w:spacing w:after="57"/>
    </w:pPr>
  </w:style>
  <w:style w:type="paragraph" w:styleId="944">
    <w:name w:val="toc 8"/>
    <w:basedOn w:val="948"/>
    <w:next w:val="948"/>
    <w:uiPriority w:val="39"/>
    <w:unhideWhenUsed/>
    <w:pPr>
      <w:ind w:left="1984" w:right="0" w:firstLine="0"/>
      <w:spacing w:after="57"/>
    </w:pPr>
  </w:style>
  <w:style w:type="paragraph" w:styleId="945">
    <w:name w:val="toc 9"/>
    <w:basedOn w:val="948"/>
    <w:next w:val="948"/>
    <w:uiPriority w:val="39"/>
    <w:unhideWhenUsed/>
    <w:pPr>
      <w:ind w:left="2268" w:right="0" w:firstLine="0"/>
      <w:spacing w:after="57"/>
    </w:pPr>
  </w:style>
  <w:style w:type="paragraph" w:styleId="946">
    <w:name w:val="TOC Heading"/>
    <w:uiPriority w:val="39"/>
    <w:unhideWhenUsed/>
  </w:style>
  <w:style w:type="paragraph" w:styleId="947">
    <w:name w:val="table of figures"/>
    <w:basedOn w:val="948"/>
    <w:next w:val="948"/>
    <w:uiPriority w:val="99"/>
    <w:unhideWhenUsed/>
    <w:pPr>
      <w:spacing w:after="0" w:afterAutospacing="0"/>
    </w:pPr>
  </w:style>
  <w:style w:type="paragraph" w:styleId="948" w:default="1">
    <w:name w:val="Normal"/>
    <w:next w:val="948"/>
    <w:link w:val="948"/>
    <w:qFormat/>
    <w:rPr>
      <w:sz w:val="24"/>
      <w:lang w:val="ru-RU" w:eastAsia="ru-RU" w:bidi="ar-SA"/>
    </w:rPr>
  </w:style>
  <w:style w:type="paragraph" w:styleId="949">
    <w:name w:val="Заголовок 1"/>
    <w:basedOn w:val="948"/>
    <w:next w:val="948"/>
    <w:link w:val="1054"/>
    <w:uiPriority w:val="99"/>
    <w:qFormat/>
    <w:pPr>
      <w:keepNext/>
      <w:spacing w:before="240" w:after="60"/>
      <w:outlineLvl w:val="0"/>
    </w:pPr>
    <w:rPr>
      <w:rFonts w:ascii="Arial" w:hAnsi="Arial"/>
      <w:b/>
      <w:sz w:val="28"/>
      <w:lang w:val="en-US" w:eastAsia="en-US"/>
    </w:rPr>
  </w:style>
  <w:style w:type="paragraph" w:styleId="950">
    <w:name w:val="Заголовок 2"/>
    <w:basedOn w:val="948"/>
    <w:next w:val="948"/>
    <w:link w:val="948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951">
    <w:name w:val="Заголовок 3"/>
    <w:basedOn w:val="948"/>
    <w:next w:val="948"/>
    <w:link w:val="1104"/>
    <w:qFormat/>
    <w:pPr>
      <w:keepNext/>
      <w:spacing w:before="240" w:after="60"/>
      <w:outlineLvl w:val="2"/>
    </w:pPr>
    <w:rPr>
      <w:rFonts w:ascii="Arial" w:hAnsi="Arial"/>
      <w:lang w:val="en-US" w:eastAsia="en-US"/>
    </w:rPr>
  </w:style>
  <w:style w:type="paragraph" w:styleId="952">
    <w:name w:val="Заголовок 4"/>
    <w:basedOn w:val="948"/>
    <w:next w:val="948"/>
    <w:link w:val="948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953">
    <w:name w:val="Заголовок 5"/>
    <w:basedOn w:val="948"/>
    <w:next w:val="948"/>
    <w:link w:val="948"/>
    <w:qFormat/>
    <w:pPr>
      <w:spacing w:before="240" w:after="60"/>
      <w:outlineLvl w:val="4"/>
    </w:pPr>
    <w:rPr>
      <w:sz w:val="22"/>
    </w:rPr>
  </w:style>
  <w:style w:type="paragraph" w:styleId="954">
    <w:name w:val="Заголовок 6"/>
    <w:basedOn w:val="948"/>
    <w:next w:val="948"/>
    <w:link w:val="948"/>
    <w:qFormat/>
    <w:pPr>
      <w:spacing w:before="240" w:after="60"/>
      <w:outlineLvl w:val="5"/>
    </w:pPr>
    <w:rPr>
      <w:i/>
      <w:sz w:val="22"/>
    </w:rPr>
  </w:style>
  <w:style w:type="paragraph" w:styleId="955">
    <w:name w:val="Заголовок 7"/>
    <w:basedOn w:val="948"/>
    <w:next w:val="948"/>
    <w:link w:val="948"/>
    <w:qFormat/>
    <w:pPr>
      <w:spacing w:before="240" w:after="60"/>
      <w:outlineLvl w:val="6"/>
    </w:pPr>
    <w:rPr>
      <w:rFonts w:ascii="Arial" w:hAnsi="Arial"/>
      <w:sz w:val="20"/>
    </w:rPr>
  </w:style>
  <w:style w:type="paragraph" w:styleId="956">
    <w:name w:val="Заголовок 8"/>
    <w:basedOn w:val="948"/>
    <w:next w:val="948"/>
    <w:link w:val="948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57">
    <w:name w:val="Заголовок 9"/>
    <w:basedOn w:val="948"/>
    <w:next w:val="948"/>
    <w:link w:val="948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styleId="958">
    <w:name w:val="Основной шрифт абзаца"/>
    <w:next w:val="958"/>
    <w:link w:val="948"/>
    <w:uiPriority w:val="1"/>
    <w:semiHidden/>
    <w:unhideWhenUsed/>
  </w:style>
  <w:style w:type="table" w:styleId="959">
    <w:name w:val="Обычная таблица"/>
    <w:next w:val="959"/>
    <w:link w:val="948"/>
    <w:uiPriority w:val="99"/>
    <w:semiHidden/>
    <w:unhideWhenUsed/>
    <w:tblPr/>
  </w:style>
  <w:style w:type="numbering" w:styleId="960">
    <w:name w:val="Нет списка"/>
    <w:next w:val="960"/>
    <w:link w:val="948"/>
    <w:uiPriority w:val="99"/>
    <w:semiHidden/>
    <w:unhideWhenUsed/>
  </w:style>
  <w:style w:type="paragraph" w:styleId="961">
    <w:name w:val="абзац-1"/>
    <w:basedOn w:val="948"/>
    <w:next w:val="961"/>
    <w:link w:val="948"/>
    <w:pPr>
      <w:ind w:firstLine="709"/>
      <w:spacing w:line="360" w:lineRule="auto"/>
    </w:pPr>
  </w:style>
  <w:style w:type="paragraph" w:styleId="962">
    <w:name w:val="Верхний колонтитул"/>
    <w:basedOn w:val="948"/>
    <w:next w:val="962"/>
    <w:link w:val="1093"/>
    <w:uiPriority w:val="99"/>
    <w:pPr>
      <w:tabs>
        <w:tab w:val="center" w:pos="4536" w:leader="none"/>
        <w:tab w:val="right" w:pos="9072" w:leader="none"/>
      </w:tabs>
    </w:pPr>
    <w:rPr>
      <w:lang w:val="en-US" w:eastAsia="en-US"/>
    </w:rPr>
  </w:style>
  <w:style w:type="character" w:styleId="963">
    <w:name w:val="Номер страницы"/>
    <w:basedOn w:val="958"/>
    <w:next w:val="963"/>
    <w:link w:val="948"/>
  </w:style>
  <w:style w:type="paragraph" w:styleId="964">
    <w:name w:val="Адрес на конверте"/>
    <w:basedOn w:val="948"/>
    <w:next w:val="964"/>
    <w:link w:val="948"/>
    <w:pPr>
      <w:ind w:left="2880"/>
      <w:framePr w:w="7920" w:h="1980" w:hSpace="180" w:wrap="auto" w:vAnchor="margin" w:hAnchor="page" w:xAlign="center" w:yAlign="bottom" w:hRule="exact"/>
    </w:pPr>
    <w:rPr>
      <w:rFonts w:ascii="Arial" w:hAnsi="Arial"/>
    </w:rPr>
  </w:style>
  <w:style w:type="character" w:styleId="965">
    <w:name w:val="Выделение"/>
    <w:next w:val="965"/>
    <w:link w:val="948"/>
    <w:qFormat/>
    <w:rPr>
      <w:i/>
    </w:rPr>
  </w:style>
  <w:style w:type="character" w:styleId="966">
    <w:name w:val="Гиперссылка"/>
    <w:next w:val="966"/>
    <w:link w:val="948"/>
    <w:uiPriority w:val="99"/>
    <w:rPr>
      <w:color w:val="0000ff"/>
      <w:u w:val="single"/>
    </w:rPr>
  </w:style>
  <w:style w:type="paragraph" w:styleId="967">
    <w:name w:val="Дата"/>
    <w:basedOn w:val="948"/>
    <w:next w:val="948"/>
    <w:link w:val="948"/>
  </w:style>
  <w:style w:type="paragraph" w:styleId="968">
    <w:name w:val="Заголовок записки"/>
    <w:basedOn w:val="948"/>
    <w:next w:val="948"/>
    <w:link w:val="948"/>
  </w:style>
  <w:style w:type="paragraph" w:styleId="969">
    <w:name w:val="Заголовок таблицы ссылок"/>
    <w:basedOn w:val="948"/>
    <w:next w:val="948"/>
    <w:link w:val="948"/>
    <w:semiHidden/>
    <w:pPr>
      <w:spacing w:before="120"/>
    </w:pPr>
    <w:rPr>
      <w:rFonts w:ascii="Arial" w:hAnsi="Arial"/>
      <w:b/>
    </w:rPr>
  </w:style>
  <w:style w:type="character" w:styleId="970">
    <w:name w:val="Знак концевой сноски"/>
    <w:next w:val="970"/>
    <w:link w:val="948"/>
    <w:semiHidden/>
    <w:rPr>
      <w:vertAlign w:val="superscript"/>
    </w:rPr>
  </w:style>
  <w:style w:type="character" w:styleId="971">
    <w:name w:val="Знак примечания"/>
    <w:next w:val="971"/>
    <w:link w:val="948"/>
    <w:semiHidden/>
    <w:rPr>
      <w:sz w:val="16"/>
    </w:rPr>
  </w:style>
  <w:style w:type="character" w:styleId="972">
    <w:name w:val="Знак сноски"/>
    <w:next w:val="972"/>
    <w:link w:val="948"/>
    <w:rPr>
      <w:vertAlign w:val="superscript"/>
    </w:rPr>
  </w:style>
  <w:style w:type="paragraph" w:styleId="973">
    <w:name w:val="Основной текст"/>
    <w:basedOn w:val="948"/>
    <w:next w:val="973"/>
    <w:link w:val="1105"/>
    <w:pPr>
      <w:spacing w:after="120"/>
    </w:pPr>
    <w:rPr>
      <w:lang w:val="en-US" w:eastAsia="en-US"/>
    </w:rPr>
  </w:style>
  <w:style w:type="paragraph" w:styleId="974">
    <w:name w:val="Красная строка"/>
    <w:basedOn w:val="973"/>
    <w:next w:val="974"/>
    <w:link w:val="948"/>
    <w:pPr>
      <w:ind w:firstLine="210"/>
    </w:pPr>
  </w:style>
  <w:style w:type="paragraph" w:styleId="975">
    <w:name w:val="Основной текст с отступом"/>
    <w:basedOn w:val="948"/>
    <w:next w:val="975"/>
    <w:link w:val="948"/>
    <w:pPr>
      <w:ind w:left="283"/>
      <w:spacing w:after="120"/>
    </w:pPr>
  </w:style>
  <w:style w:type="paragraph" w:styleId="976">
    <w:name w:val="Красная строка 2"/>
    <w:basedOn w:val="975"/>
    <w:next w:val="976"/>
    <w:link w:val="948"/>
    <w:pPr>
      <w:ind w:firstLine="210"/>
    </w:pPr>
  </w:style>
  <w:style w:type="paragraph" w:styleId="977">
    <w:name w:val="Маркированный список"/>
    <w:basedOn w:val="948"/>
    <w:next w:val="977"/>
    <w:link w:val="948"/>
    <w:pPr>
      <w:numPr>
        <w:ilvl w:val="0"/>
        <w:numId w:val="1"/>
      </w:numPr>
    </w:pPr>
  </w:style>
  <w:style w:type="paragraph" w:styleId="978">
    <w:name w:val="Маркированный список 2"/>
    <w:basedOn w:val="948"/>
    <w:next w:val="978"/>
    <w:link w:val="948"/>
    <w:pPr>
      <w:numPr>
        <w:ilvl w:val="0"/>
        <w:numId w:val="2"/>
      </w:numPr>
    </w:pPr>
  </w:style>
  <w:style w:type="paragraph" w:styleId="979">
    <w:name w:val="Маркированный список 3"/>
    <w:basedOn w:val="948"/>
    <w:next w:val="979"/>
    <w:link w:val="948"/>
    <w:pPr>
      <w:numPr>
        <w:ilvl w:val="0"/>
        <w:numId w:val="3"/>
      </w:numPr>
    </w:pPr>
  </w:style>
  <w:style w:type="paragraph" w:styleId="980">
    <w:name w:val="Маркированный список 4"/>
    <w:basedOn w:val="948"/>
    <w:next w:val="980"/>
    <w:link w:val="948"/>
    <w:pPr>
      <w:numPr>
        <w:ilvl w:val="0"/>
        <w:numId w:val="4"/>
      </w:numPr>
    </w:pPr>
  </w:style>
  <w:style w:type="paragraph" w:styleId="981">
    <w:name w:val="Маркированный список 5"/>
    <w:basedOn w:val="948"/>
    <w:next w:val="981"/>
    <w:link w:val="948"/>
    <w:pPr>
      <w:numPr>
        <w:ilvl w:val="0"/>
        <w:numId w:val="5"/>
      </w:numPr>
    </w:pPr>
  </w:style>
  <w:style w:type="paragraph" w:styleId="982">
    <w:name w:val="Название"/>
    <w:basedOn w:val="948"/>
    <w:next w:val="982"/>
    <w:link w:val="1052"/>
    <w:qFormat/>
    <w:pPr>
      <w:jc w:val="center"/>
      <w:spacing w:before="240" w:after="60"/>
      <w:outlineLvl w:val="0"/>
    </w:pPr>
    <w:rPr>
      <w:rFonts w:ascii="Arial" w:hAnsi="Arial"/>
      <w:b/>
      <w:sz w:val="32"/>
      <w:lang w:val="en-US" w:eastAsia="en-US"/>
    </w:rPr>
  </w:style>
  <w:style w:type="paragraph" w:styleId="983">
    <w:name w:val="Название объекта"/>
    <w:basedOn w:val="948"/>
    <w:next w:val="948"/>
    <w:link w:val="948"/>
    <w:qFormat/>
    <w:pPr>
      <w:spacing w:before="120" w:after="120"/>
    </w:pPr>
    <w:rPr>
      <w:b/>
    </w:rPr>
  </w:style>
  <w:style w:type="paragraph" w:styleId="984">
    <w:name w:val="Нижний колонтитул"/>
    <w:basedOn w:val="948"/>
    <w:next w:val="984"/>
    <w:link w:val="1044"/>
    <w:uiPriority w:val="99"/>
    <w:pPr>
      <w:tabs>
        <w:tab w:val="center" w:pos="4153" w:leader="none"/>
        <w:tab w:val="right" w:pos="8306" w:leader="none"/>
      </w:tabs>
    </w:pPr>
    <w:rPr>
      <w:lang w:val="en-US" w:eastAsia="en-US"/>
    </w:rPr>
  </w:style>
  <w:style w:type="character" w:styleId="985">
    <w:name w:val="Номер строки"/>
    <w:basedOn w:val="958"/>
    <w:next w:val="985"/>
    <w:link w:val="948"/>
  </w:style>
  <w:style w:type="paragraph" w:styleId="986">
    <w:name w:val="Нумерованный список"/>
    <w:basedOn w:val="948"/>
    <w:next w:val="986"/>
    <w:link w:val="948"/>
    <w:pPr>
      <w:numPr>
        <w:ilvl w:val="0"/>
        <w:numId w:val="6"/>
      </w:numPr>
    </w:pPr>
  </w:style>
  <w:style w:type="paragraph" w:styleId="987">
    <w:name w:val="Нумерованный список 2"/>
    <w:basedOn w:val="948"/>
    <w:next w:val="987"/>
    <w:link w:val="948"/>
    <w:pPr>
      <w:numPr>
        <w:ilvl w:val="0"/>
        <w:numId w:val="7"/>
      </w:numPr>
    </w:pPr>
  </w:style>
  <w:style w:type="paragraph" w:styleId="988">
    <w:name w:val="Нумерованный список 3"/>
    <w:basedOn w:val="948"/>
    <w:next w:val="988"/>
    <w:link w:val="948"/>
    <w:pPr>
      <w:numPr>
        <w:ilvl w:val="0"/>
        <w:numId w:val="8"/>
      </w:numPr>
    </w:pPr>
  </w:style>
  <w:style w:type="paragraph" w:styleId="989">
    <w:name w:val="Нумерованный список 4"/>
    <w:basedOn w:val="948"/>
    <w:next w:val="989"/>
    <w:link w:val="948"/>
    <w:pPr>
      <w:numPr>
        <w:ilvl w:val="0"/>
        <w:numId w:val="9"/>
      </w:numPr>
    </w:pPr>
  </w:style>
  <w:style w:type="paragraph" w:styleId="990">
    <w:name w:val="Нумерованный список 5"/>
    <w:basedOn w:val="948"/>
    <w:next w:val="990"/>
    <w:link w:val="948"/>
    <w:pPr>
      <w:numPr>
        <w:ilvl w:val="0"/>
        <w:numId w:val="10"/>
      </w:numPr>
    </w:pPr>
  </w:style>
  <w:style w:type="paragraph" w:styleId="991">
    <w:name w:val="Обратный адрес 2"/>
    <w:basedOn w:val="948"/>
    <w:next w:val="991"/>
    <w:link w:val="948"/>
    <w:rPr>
      <w:rFonts w:ascii="Arial" w:hAnsi="Arial"/>
      <w:sz w:val="20"/>
    </w:rPr>
  </w:style>
  <w:style w:type="paragraph" w:styleId="992">
    <w:name w:val="Обычный отступ"/>
    <w:basedOn w:val="948"/>
    <w:next w:val="992"/>
    <w:link w:val="948"/>
    <w:pPr>
      <w:ind w:left="720"/>
    </w:pPr>
  </w:style>
  <w:style w:type="paragraph" w:styleId="993">
    <w:name w:val="Оглавление 1"/>
    <w:basedOn w:val="948"/>
    <w:next w:val="948"/>
    <w:link w:val="948"/>
    <w:semiHidden/>
  </w:style>
  <w:style w:type="paragraph" w:styleId="994">
    <w:name w:val="Оглавление 2"/>
    <w:basedOn w:val="948"/>
    <w:next w:val="948"/>
    <w:link w:val="948"/>
    <w:semiHidden/>
    <w:pPr>
      <w:ind w:left="240"/>
    </w:pPr>
  </w:style>
  <w:style w:type="paragraph" w:styleId="995">
    <w:name w:val="Оглавление 3"/>
    <w:basedOn w:val="948"/>
    <w:next w:val="948"/>
    <w:link w:val="948"/>
    <w:semiHidden/>
    <w:pPr>
      <w:ind w:left="480"/>
    </w:pPr>
  </w:style>
  <w:style w:type="paragraph" w:styleId="996">
    <w:name w:val="Оглавление 4"/>
    <w:basedOn w:val="948"/>
    <w:next w:val="948"/>
    <w:link w:val="948"/>
    <w:semiHidden/>
    <w:pPr>
      <w:ind w:left="720"/>
    </w:pPr>
  </w:style>
  <w:style w:type="paragraph" w:styleId="997">
    <w:name w:val="Оглавление 5"/>
    <w:basedOn w:val="948"/>
    <w:next w:val="948"/>
    <w:link w:val="948"/>
    <w:semiHidden/>
    <w:pPr>
      <w:ind w:left="960"/>
    </w:pPr>
  </w:style>
  <w:style w:type="paragraph" w:styleId="998">
    <w:name w:val="Оглавление 6"/>
    <w:basedOn w:val="948"/>
    <w:next w:val="948"/>
    <w:link w:val="948"/>
    <w:semiHidden/>
    <w:pPr>
      <w:ind w:left="1200"/>
    </w:pPr>
  </w:style>
  <w:style w:type="paragraph" w:styleId="999">
    <w:name w:val="Оглавление 7"/>
    <w:basedOn w:val="948"/>
    <w:next w:val="948"/>
    <w:link w:val="948"/>
    <w:semiHidden/>
    <w:pPr>
      <w:ind w:left="1440"/>
    </w:pPr>
  </w:style>
  <w:style w:type="paragraph" w:styleId="1000">
    <w:name w:val="Оглавление 8"/>
    <w:basedOn w:val="948"/>
    <w:next w:val="948"/>
    <w:link w:val="948"/>
    <w:semiHidden/>
    <w:pPr>
      <w:ind w:left="1680"/>
    </w:pPr>
  </w:style>
  <w:style w:type="paragraph" w:styleId="1001">
    <w:name w:val="Оглавление 9"/>
    <w:basedOn w:val="948"/>
    <w:next w:val="948"/>
    <w:link w:val="948"/>
    <w:semiHidden/>
    <w:pPr>
      <w:ind w:left="1920"/>
    </w:pPr>
  </w:style>
  <w:style w:type="paragraph" w:styleId="1002">
    <w:name w:val="Основной текст 2"/>
    <w:basedOn w:val="948"/>
    <w:next w:val="1002"/>
    <w:link w:val="1106"/>
    <w:pPr>
      <w:spacing w:after="120" w:line="480" w:lineRule="auto"/>
    </w:pPr>
    <w:rPr>
      <w:lang w:val="en-US" w:eastAsia="en-US"/>
    </w:rPr>
  </w:style>
  <w:style w:type="paragraph" w:styleId="1003">
    <w:name w:val="Основной текст 3"/>
    <w:basedOn w:val="948"/>
    <w:next w:val="1003"/>
    <w:link w:val="1107"/>
    <w:pPr>
      <w:spacing w:after="120"/>
    </w:pPr>
    <w:rPr>
      <w:sz w:val="16"/>
      <w:lang w:val="en-US" w:eastAsia="en-US"/>
    </w:rPr>
  </w:style>
  <w:style w:type="paragraph" w:styleId="1004">
    <w:name w:val="Основной текст с отступом 2"/>
    <w:basedOn w:val="948"/>
    <w:next w:val="1004"/>
    <w:link w:val="948"/>
    <w:pPr>
      <w:ind w:left="283"/>
      <w:spacing w:after="120" w:line="480" w:lineRule="auto"/>
    </w:pPr>
  </w:style>
  <w:style w:type="paragraph" w:styleId="1005">
    <w:name w:val="Основной текст с отступом 3"/>
    <w:basedOn w:val="948"/>
    <w:next w:val="1005"/>
    <w:link w:val="948"/>
    <w:pPr>
      <w:ind w:left="283"/>
      <w:spacing w:after="120"/>
    </w:pPr>
    <w:rPr>
      <w:sz w:val="16"/>
    </w:rPr>
  </w:style>
  <w:style w:type="paragraph" w:styleId="1006">
    <w:name w:val="Перечень рисунков"/>
    <w:basedOn w:val="948"/>
    <w:next w:val="948"/>
    <w:link w:val="948"/>
    <w:semiHidden/>
    <w:pPr>
      <w:ind w:left="480" w:hanging="480"/>
    </w:pPr>
  </w:style>
  <w:style w:type="paragraph" w:styleId="1007">
    <w:name w:val="Подзаголовок"/>
    <w:basedOn w:val="948"/>
    <w:next w:val="1007"/>
    <w:link w:val="948"/>
    <w:qFormat/>
    <w:pPr>
      <w:jc w:val="center"/>
      <w:spacing w:after="60"/>
      <w:outlineLvl w:val="1"/>
    </w:pPr>
    <w:rPr>
      <w:rFonts w:ascii="Arial" w:hAnsi="Arial"/>
    </w:rPr>
  </w:style>
  <w:style w:type="paragraph" w:styleId="1008">
    <w:name w:val="Подпись"/>
    <w:basedOn w:val="948"/>
    <w:next w:val="1008"/>
    <w:link w:val="948"/>
    <w:pPr>
      <w:ind w:left="4252"/>
    </w:pPr>
  </w:style>
  <w:style w:type="paragraph" w:styleId="1009">
    <w:name w:val="Приветствие"/>
    <w:basedOn w:val="948"/>
    <w:next w:val="948"/>
    <w:link w:val="948"/>
  </w:style>
  <w:style w:type="paragraph" w:styleId="1010">
    <w:name w:val="Продолжение списка"/>
    <w:basedOn w:val="948"/>
    <w:next w:val="1010"/>
    <w:link w:val="948"/>
    <w:pPr>
      <w:ind w:left="283"/>
      <w:spacing w:after="120"/>
    </w:pPr>
  </w:style>
  <w:style w:type="paragraph" w:styleId="1011">
    <w:name w:val="Продолжение списка 2"/>
    <w:basedOn w:val="948"/>
    <w:next w:val="1011"/>
    <w:link w:val="948"/>
    <w:pPr>
      <w:ind w:left="566"/>
      <w:spacing w:after="120"/>
    </w:pPr>
  </w:style>
  <w:style w:type="paragraph" w:styleId="1012">
    <w:name w:val="Продолжение списка 3"/>
    <w:basedOn w:val="948"/>
    <w:next w:val="1012"/>
    <w:link w:val="948"/>
    <w:pPr>
      <w:ind w:left="849"/>
      <w:spacing w:after="120"/>
    </w:pPr>
  </w:style>
  <w:style w:type="paragraph" w:styleId="1013">
    <w:name w:val="Продолжение списка 4"/>
    <w:basedOn w:val="948"/>
    <w:next w:val="1013"/>
    <w:link w:val="948"/>
    <w:pPr>
      <w:ind w:left="1132"/>
      <w:spacing w:after="120"/>
    </w:pPr>
  </w:style>
  <w:style w:type="paragraph" w:styleId="1014">
    <w:name w:val="Продолжение списка 5"/>
    <w:basedOn w:val="948"/>
    <w:next w:val="1014"/>
    <w:link w:val="948"/>
    <w:pPr>
      <w:ind w:left="1415"/>
      <w:spacing w:after="120"/>
    </w:pPr>
  </w:style>
  <w:style w:type="character" w:styleId="1015">
    <w:name w:val="Просмотренная гиперссылка"/>
    <w:next w:val="1015"/>
    <w:link w:val="948"/>
    <w:uiPriority w:val="99"/>
    <w:rPr>
      <w:color w:val="800080"/>
      <w:u w:val="single"/>
    </w:rPr>
  </w:style>
  <w:style w:type="paragraph" w:styleId="1016">
    <w:name w:val="Прощание"/>
    <w:basedOn w:val="948"/>
    <w:next w:val="1016"/>
    <w:link w:val="948"/>
    <w:pPr>
      <w:ind w:left="4252"/>
    </w:pPr>
  </w:style>
  <w:style w:type="paragraph" w:styleId="1017">
    <w:name w:val="Список"/>
    <w:basedOn w:val="948"/>
    <w:next w:val="1017"/>
    <w:link w:val="948"/>
    <w:pPr>
      <w:ind w:left="283" w:hanging="283"/>
    </w:pPr>
  </w:style>
  <w:style w:type="paragraph" w:styleId="1018">
    <w:name w:val="Список 2"/>
    <w:basedOn w:val="948"/>
    <w:next w:val="1018"/>
    <w:link w:val="948"/>
    <w:pPr>
      <w:ind w:left="566" w:hanging="283"/>
    </w:pPr>
  </w:style>
  <w:style w:type="paragraph" w:styleId="1019">
    <w:name w:val="Список 3"/>
    <w:basedOn w:val="948"/>
    <w:next w:val="1019"/>
    <w:link w:val="948"/>
    <w:pPr>
      <w:ind w:left="849" w:hanging="283"/>
    </w:pPr>
  </w:style>
  <w:style w:type="paragraph" w:styleId="1020">
    <w:name w:val="Список 4"/>
    <w:basedOn w:val="948"/>
    <w:next w:val="1020"/>
    <w:link w:val="948"/>
    <w:pPr>
      <w:ind w:left="1132" w:hanging="283"/>
    </w:pPr>
  </w:style>
  <w:style w:type="paragraph" w:styleId="1021">
    <w:name w:val="Список 5"/>
    <w:basedOn w:val="948"/>
    <w:next w:val="1021"/>
    <w:link w:val="948"/>
    <w:pPr>
      <w:ind w:left="1415" w:hanging="283"/>
    </w:pPr>
  </w:style>
  <w:style w:type="character" w:styleId="1022">
    <w:name w:val="Строгий"/>
    <w:next w:val="1022"/>
    <w:link w:val="948"/>
    <w:qFormat/>
    <w:rPr>
      <w:b/>
    </w:rPr>
  </w:style>
  <w:style w:type="paragraph" w:styleId="1023">
    <w:name w:val="Схема документа"/>
    <w:basedOn w:val="948"/>
    <w:next w:val="1023"/>
    <w:link w:val="948"/>
    <w:semiHidden/>
    <w:pPr>
      <w:shd w:val="clear" w:color="auto" w:fill="000080"/>
    </w:pPr>
    <w:rPr>
      <w:rFonts w:ascii="Tahoma" w:hAnsi="Tahoma"/>
    </w:rPr>
  </w:style>
  <w:style w:type="paragraph" w:styleId="1024">
    <w:name w:val="Таблица ссылок"/>
    <w:basedOn w:val="948"/>
    <w:next w:val="948"/>
    <w:link w:val="948"/>
    <w:semiHidden/>
    <w:pPr>
      <w:ind w:left="240" w:hanging="240"/>
    </w:pPr>
  </w:style>
  <w:style w:type="paragraph" w:styleId="1025">
    <w:name w:val="Текст"/>
    <w:basedOn w:val="948"/>
    <w:next w:val="1025"/>
    <w:link w:val="948"/>
    <w:rPr>
      <w:rFonts w:ascii="Courier New" w:hAnsi="Courier New"/>
      <w:sz w:val="20"/>
    </w:rPr>
  </w:style>
  <w:style w:type="paragraph" w:styleId="1026">
    <w:name w:val="Текст концевой сноски"/>
    <w:basedOn w:val="948"/>
    <w:next w:val="1026"/>
    <w:link w:val="948"/>
    <w:semiHidden/>
    <w:rPr>
      <w:sz w:val="20"/>
    </w:rPr>
  </w:style>
  <w:style w:type="paragraph" w:styleId="1027">
    <w:name w:val="Текст макроса"/>
    <w:next w:val="1027"/>
    <w:link w:val="948"/>
    <w:semiHidden/>
    <w:pPr>
      <w:tabs>
        <w:tab w:val="left" w:pos="480" w:leader="none"/>
        <w:tab w:val="left" w:pos="960" w:leader="none"/>
        <w:tab w:val="left" w:pos="1440" w:leader="none"/>
        <w:tab w:val="left" w:pos="1920" w:leader="none"/>
        <w:tab w:val="left" w:pos="2400" w:leader="none"/>
        <w:tab w:val="left" w:pos="2880" w:leader="none"/>
        <w:tab w:val="left" w:pos="3360" w:leader="none"/>
        <w:tab w:val="left" w:pos="3840" w:leader="none"/>
        <w:tab w:val="left" w:pos="4320" w:leader="none"/>
      </w:tabs>
    </w:pPr>
    <w:rPr>
      <w:rFonts w:ascii="Courier New" w:hAnsi="Courier New"/>
      <w:lang w:val="ru-RU" w:eastAsia="ru-RU" w:bidi="ar-SA"/>
    </w:rPr>
  </w:style>
  <w:style w:type="paragraph" w:styleId="1028">
    <w:name w:val="Текст примечания"/>
    <w:basedOn w:val="948"/>
    <w:next w:val="1028"/>
    <w:link w:val="1114"/>
    <w:semiHidden/>
    <w:rPr>
      <w:sz w:val="20"/>
    </w:rPr>
  </w:style>
  <w:style w:type="paragraph" w:styleId="1029">
    <w:name w:val="Текст сноски,Текст сноски-FN,Schriftart: 9 pt,Schriftart: 10 pt,Schriftart: 8 pt,single space,footnote text,Текст сноски Знак1 Знак,Текст сноски Знак Знак Знак,Текст сноски Знак Знак, Знак"/>
    <w:basedOn w:val="948"/>
    <w:next w:val="1029"/>
    <w:link w:val="1047"/>
    <w:rPr>
      <w:sz w:val="20"/>
    </w:rPr>
  </w:style>
  <w:style w:type="paragraph" w:styleId="1030">
    <w:name w:val="Указатель 1"/>
    <w:basedOn w:val="948"/>
    <w:next w:val="948"/>
    <w:link w:val="948"/>
    <w:semiHidden/>
    <w:pPr>
      <w:ind w:left="240" w:hanging="240"/>
    </w:pPr>
  </w:style>
  <w:style w:type="paragraph" w:styleId="1031">
    <w:name w:val="Указатель"/>
    <w:basedOn w:val="948"/>
    <w:next w:val="1030"/>
    <w:link w:val="948"/>
    <w:semiHidden/>
    <w:rPr>
      <w:rFonts w:ascii="Arial" w:hAnsi="Arial"/>
      <w:b/>
    </w:rPr>
  </w:style>
  <w:style w:type="paragraph" w:styleId="1032">
    <w:name w:val="Указатель 2"/>
    <w:basedOn w:val="948"/>
    <w:next w:val="948"/>
    <w:link w:val="948"/>
    <w:semiHidden/>
    <w:pPr>
      <w:ind w:left="480" w:hanging="240"/>
    </w:pPr>
  </w:style>
  <w:style w:type="paragraph" w:styleId="1033">
    <w:name w:val="Указатель 3"/>
    <w:basedOn w:val="948"/>
    <w:next w:val="948"/>
    <w:link w:val="948"/>
    <w:semiHidden/>
    <w:pPr>
      <w:ind w:left="720" w:hanging="240"/>
    </w:pPr>
  </w:style>
  <w:style w:type="paragraph" w:styleId="1034">
    <w:name w:val="Указатель 4"/>
    <w:basedOn w:val="948"/>
    <w:next w:val="948"/>
    <w:link w:val="948"/>
    <w:semiHidden/>
    <w:pPr>
      <w:ind w:left="960" w:hanging="240"/>
    </w:pPr>
  </w:style>
  <w:style w:type="paragraph" w:styleId="1035">
    <w:name w:val="Указатель 5"/>
    <w:basedOn w:val="948"/>
    <w:next w:val="948"/>
    <w:link w:val="948"/>
    <w:semiHidden/>
    <w:pPr>
      <w:ind w:left="1200" w:hanging="240"/>
    </w:pPr>
  </w:style>
  <w:style w:type="paragraph" w:styleId="1036">
    <w:name w:val="Указатель 6"/>
    <w:basedOn w:val="948"/>
    <w:next w:val="948"/>
    <w:link w:val="948"/>
    <w:semiHidden/>
    <w:pPr>
      <w:ind w:left="1440" w:hanging="240"/>
    </w:pPr>
  </w:style>
  <w:style w:type="paragraph" w:styleId="1037">
    <w:name w:val="Указатель 7"/>
    <w:basedOn w:val="948"/>
    <w:next w:val="948"/>
    <w:link w:val="948"/>
    <w:semiHidden/>
    <w:pPr>
      <w:ind w:left="1680" w:hanging="240"/>
    </w:pPr>
  </w:style>
  <w:style w:type="paragraph" w:styleId="1038">
    <w:name w:val="Указатель 8"/>
    <w:basedOn w:val="948"/>
    <w:next w:val="948"/>
    <w:link w:val="948"/>
    <w:semiHidden/>
    <w:pPr>
      <w:ind w:left="1920" w:hanging="240"/>
    </w:pPr>
  </w:style>
  <w:style w:type="paragraph" w:styleId="1039">
    <w:name w:val="Указатель 9"/>
    <w:basedOn w:val="948"/>
    <w:next w:val="948"/>
    <w:link w:val="948"/>
    <w:semiHidden/>
    <w:pPr>
      <w:ind w:left="2160" w:hanging="240"/>
    </w:pPr>
  </w:style>
  <w:style w:type="paragraph" w:styleId="1040">
    <w:name w:val="Цитата"/>
    <w:basedOn w:val="948"/>
    <w:next w:val="1040"/>
    <w:link w:val="948"/>
    <w:pPr>
      <w:ind w:left="1440" w:right="1440"/>
      <w:spacing w:after="120"/>
    </w:pPr>
  </w:style>
  <w:style w:type="paragraph" w:styleId="1041">
    <w:name w:val="Шапка"/>
    <w:basedOn w:val="948"/>
    <w:next w:val="1041"/>
    <w:link w:val="948"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/>
    </w:rPr>
  </w:style>
  <w:style w:type="paragraph" w:styleId="1042">
    <w:name w:val="Обычный (веб)"/>
    <w:basedOn w:val="948"/>
    <w:next w:val="1042"/>
    <w:link w:val="948"/>
    <w:pPr>
      <w:spacing w:before="100" w:beforeAutospacing="1" w:after="100" w:afterAutospacing="1"/>
    </w:pPr>
    <w:rPr>
      <w:rFonts w:ascii="Arial Unicode MS" w:hAnsi="Arial Unicode MS" w:eastAsia="Arial Unicode MS" w:cs="Arial Unicode MS"/>
      <w:szCs w:val="24"/>
    </w:rPr>
  </w:style>
  <w:style w:type="table" w:styleId="1043">
    <w:name w:val="Сетка таблицы"/>
    <w:basedOn w:val="959"/>
    <w:next w:val="1043"/>
    <w:link w:val="948"/>
    <w:tblPr/>
  </w:style>
  <w:style w:type="character" w:styleId="1044">
    <w:name w:val="Нижний колонтитул Знак"/>
    <w:next w:val="1044"/>
    <w:link w:val="984"/>
    <w:uiPriority w:val="99"/>
    <w:rPr>
      <w:sz w:val="24"/>
    </w:rPr>
  </w:style>
  <w:style w:type="paragraph" w:styleId="1045">
    <w:name w:val="ConsPlusNormal"/>
    <w:next w:val="1045"/>
    <w:link w:val="1096"/>
    <w:qFormat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1046">
    <w:name w:val="xl24"/>
    <w:basedOn w:val="948"/>
    <w:next w:val="1046"/>
    <w:link w:val="948"/>
    <w:pPr>
      <w:jc w:val="center"/>
      <w:spacing w:before="100" w:after="100"/>
    </w:pPr>
  </w:style>
  <w:style w:type="character" w:styleId="1047">
    <w:name w:val="Текст сноски Знак,Текст сноски-FN Знак,Schriftart: 9 pt Знак,Schriftart: 10 pt Знак,Schriftart: 8 pt Знак,single space Знак,footnote text Знак,Текст сноски Знак1 Знак Знак,Текст сноски Знак Знак Знак Знак,Текст сноски Знак Знак Знак1, Знак Знак"/>
    <w:next w:val="1047"/>
    <w:link w:val="1029"/>
    <w:semiHidden/>
  </w:style>
  <w:style w:type="paragraph" w:styleId="1048">
    <w:name w:val="ConsPlusNonformat"/>
    <w:next w:val="1048"/>
    <w:link w:val="948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1049">
    <w:name w:val="ConsPlusCell"/>
    <w:next w:val="1049"/>
    <w:link w:val="948"/>
    <w:uiPriority w:val="99"/>
    <w:pPr>
      <w:widowControl w:val="off"/>
    </w:pPr>
    <w:rPr>
      <w:rFonts w:ascii="Arial" w:hAnsi="Arial" w:cs="Arial"/>
      <w:lang w:val="ru-RU" w:eastAsia="ru-RU" w:bidi="ar-SA"/>
    </w:rPr>
  </w:style>
  <w:style w:type="paragraph" w:styleId="1050">
    <w:name w:val="Знак Знак Знак Знак Знак Знак Знак Знак Знак Знак Знак Знак1 Знак Знак Знак"/>
    <w:basedOn w:val="948"/>
    <w:next w:val="1050"/>
    <w:link w:val="948"/>
    <w:pPr>
      <w:jc w:val="right"/>
      <w:spacing w:after="160" w:line="240" w:lineRule="exact"/>
      <w:widowControl w:val="off"/>
    </w:pPr>
    <w:rPr>
      <w:rFonts w:ascii="Arial" w:hAnsi="Arial" w:cs="Arial"/>
      <w:sz w:val="20"/>
      <w:lang w:val="en-GB" w:eastAsia="en-US"/>
    </w:rPr>
  </w:style>
  <w:style w:type="paragraph" w:styleId="1051">
    <w:name w:val="Абзац списка"/>
    <w:basedOn w:val="948"/>
    <w:next w:val="1051"/>
    <w:link w:val="948"/>
    <w:uiPriority w:val="34"/>
    <w:qFormat/>
    <w:pPr>
      <w:contextualSpacing/>
      <w:ind w:left="720"/>
    </w:pPr>
  </w:style>
  <w:style w:type="character" w:styleId="1052">
    <w:name w:val="Название Знак"/>
    <w:next w:val="1052"/>
    <w:link w:val="982"/>
    <w:rPr>
      <w:rFonts w:ascii="Arial" w:hAnsi="Arial"/>
      <w:b/>
      <w:sz w:val="32"/>
    </w:rPr>
  </w:style>
  <w:style w:type="paragraph" w:styleId="1053">
    <w:name w:val="Обычный.Нормальный абзац"/>
    <w:next w:val="1053"/>
    <w:link w:val="948"/>
    <w:pPr>
      <w:ind w:firstLine="709"/>
      <w:jc w:val="both"/>
      <w:widowControl w:val="off"/>
    </w:pPr>
    <w:rPr>
      <w:sz w:val="24"/>
      <w:szCs w:val="24"/>
      <w:lang w:val="ru-RU" w:eastAsia="zh-CN" w:bidi="ar-SA"/>
    </w:rPr>
  </w:style>
  <w:style w:type="character" w:styleId="1054">
    <w:name w:val="Заголовок 1 Знак"/>
    <w:next w:val="1054"/>
    <w:link w:val="949"/>
    <w:uiPriority w:val="99"/>
    <w:rPr>
      <w:rFonts w:ascii="Arial" w:hAnsi="Arial"/>
      <w:b/>
      <w:sz w:val="28"/>
    </w:rPr>
  </w:style>
  <w:style w:type="character" w:styleId="1055">
    <w:name w:val="apple-converted-space"/>
    <w:next w:val="1055"/>
    <w:link w:val="948"/>
    <w:uiPriority w:val="99"/>
    <w:rPr>
      <w:rFonts w:cs="Times New Roman"/>
    </w:rPr>
  </w:style>
  <w:style w:type="paragraph" w:styleId="1056">
    <w:name w:val="xl65"/>
    <w:basedOn w:val="948"/>
    <w:next w:val="1056"/>
    <w:link w:val="948"/>
    <w:pPr>
      <w:jc w:val="center"/>
      <w:spacing w:before="100" w:beforeAutospacing="1" w:after="100" w:afterAutospacing="1"/>
    </w:pPr>
    <w:rPr>
      <w:color w:val="000000"/>
      <w:szCs w:val="24"/>
    </w:rPr>
  </w:style>
  <w:style w:type="paragraph" w:styleId="1057">
    <w:name w:val="xl66"/>
    <w:basedOn w:val="948"/>
    <w:next w:val="1057"/>
    <w:link w:val="948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58">
    <w:name w:val="xl67"/>
    <w:basedOn w:val="948"/>
    <w:next w:val="1058"/>
    <w:link w:val="948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59">
    <w:name w:val="xl68"/>
    <w:basedOn w:val="948"/>
    <w:next w:val="1059"/>
    <w:link w:val="948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60">
    <w:name w:val="xl69"/>
    <w:basedOn w:val="948"/>
    <w:next w:val="1060"/>
    <w:link w:val="948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61">
    <w:name w:val="xl70"/>
    <w:basedOn w:val="948"/>
    <w:next w:val="1061"/>
    <w:link w:val="948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8" w:space="0"/>
      </w:pBdr>
    </w:pPr>
    <w:rPr>
      <w:color w:val="000000"/>
      <w:szCs w:val="24"/>
    </w:rPr>
  </w:style>
  <w:style w:type="paragraph" w:styleId="1062">
    <w:name w:val="xl71"/>
    <w:basedOn w:val="948"/>
    <w:next w:val="1062"/>
    <w:link w:val="948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8" w:space="0"/>
      </w:pBdr>
    </w:pPr>
    <w:rPr>
      <w:color w:val="000000"/>
      <w:szCs w:val="24"/>
    </w:rPr>
  </w:style>
  <w:style w:type="paragraph" w:styleId="1063">
    <w:name w:val="xl72"/>
    <w:basedOn w:val="948"/>
    <w:next w:val="1063"/>
    <w:link w:val="948"/>
    <w:pPr>
      <w:jc w:val="center"/>
      <w:spacing w:before="100" w:beforeAutospacing="1" w:after="100" w:afterAutospacing="1"/>
    </w:pPr>
    <w:rPr>
      <w:color w:val="000000"/>
      <w:szCs w:val="24"/>
    </w:rPr>
  </w:style>
  <w:style w:type="paragraph" w:styleId="1064">
    <w:name w:val="xl73"/>
    <w:basedOn w:val="948"/>
    <w:next w:val="1064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65">
    <w:name w:val="xl74"/>
    <w:basedOn w:val="948"/>
    <w:next w:val="1065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66">
    <w:name w:val="xl75"/>
    <w:basedOn w:val="948"/>
    <w:next w:val="1066"/>
    <w:link w:val="948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67">
    <w:name w:val="xl76"/>
    <w:basedOn w:val="948"/>
    <w:next w:val="1067"/>
    <w:link w:val="948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68">
    <w:name w:val="xl78"/>
    <w:basedOn w:val="948"/>
    <w:next w:val="1068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69">
    <w:name w:val="xl79"/>
    <w:basedOn w:val="948"/>
    <w:next w:val="1069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Cs w:val="24"/>
    </w:rPr>
  </w:style>
  <w:style w:type="paragraph" w:styleId="1070">
    <w:name w:val="xl80"/>
    <w:basedOn w:val="948"/>
    <w:next w:val="1070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Cs w:val="24"/>
    </w:rPr>
  </w:style>
  <w:style w:type="paragraph" w:styleId="1071">
    <w:name w:val="xl81"/>
    <w:basedOn w:val="948"/>
    <w:next w:val="1071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72">
    <w:name w:val="xl82"/>
    <w:basedOn w:val="948"/>
    <w:next w:val="1072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Cs w:val="24"/>
    </w:rPr>
  </w:style>
  <w:style w:type="paragraph" w:styleId="1073">
    <w:name w:val="xl83"/>
    <w:basedOn w:val="948"/>
    <w:next w:val="1073"/>
    <w:link w:val="948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74">
    <w:name w:val="xl84"/>
    <w:basedOn w:val="948"/>
    <w:next w:val="1074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75">
    <w:name w:val="xl85"/>
    <w:basedOn w:val="948"/>
    <w:next w:val="1075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76">
    <w:name w:val="xl86"/>
    <w:basedOn w:val="948"/>
    <w:next w:val="1076"/>
    <w:link w:val="948"/>
    <w:pPr>
      <w:spacing w:before="100" w:beforeAutospacing="1" w:after="100" w:afterAutospacing="1"/>
    </w:pPr>
    <w:rPr>
      <w:szCs w:val="24"/>
    </w:rPr>
  </w:style>
  <w:style w:type="paragraph" w:styleId="1077">
    <w:name w:val="xl87"/>
    <w:basedOn w:val="948"/>
    <w:next w:val="1077"/>
    <w:link w:val="948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78">
    <w:name w:val="xl88"/>
    <w:basedOn w:val="948"/>
    <w:next w:val="1078"/>
    <w:link w:val="948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79">
    <w:name w:val="xl89"/>
    <w:basedOn w:val="948"/>
    <w:next w:val="1079"/>
    <w:link w:val="948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80">
    <w:name w:val="xl90"/>
    <w:basedOn w:val="948"/>
    <w:next w:val="1080"/>
    <w:link w:val="948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81">
    <w:name w:val="xl91"/>
    <w:basedOn w:val="948"/>
    <w:next w:val="1081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8" w:space="0"/>
      </w:pBdr>
    </w:pPr>
    <w:rPr>
      <w:color w:val="000000"/>
      <w:szCs w:val="24"/>
    </w:rPr>
  </w:style>
  <w:style w:type="paragraph" w:styleId="1082">
    <w:name w:val="xl92"/>
    <w:basedOn w:val="948"/>
    <w:next w:val="1082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83">
    <w:name w:val="xl93"/>
    <w:basedOn w:val="948"/>
    <w:next w:val="1083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8" w:space="0"/>
      </w:pBdr>
    </w:pPr>
    <w:rPr>
      <w:color w:val="000000"/>
      <w:szCs w:val="24"/>
    </w:rPr>
  </w:style>
  <w:style w:type="paragraph" w:styleId="1084">
    <w:name w:val="xl94"/>
    <w:basedOn w:val="948"/>
    <w:next w:val="1084"/>
    <w:link w:val="948"/>
    <w:pPr>
      <w:jc w:val="center"/>
      <w:spacing w:before="100" w:beforeAutospacing="1" w:after="100" w:afterAutospacing="1"/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szCs w:val="24"/>
    </w:rPr>
  </w:style>
  <w:style w:type="paragraph" w:styleId="1085">
    <w:name w:val="xl95"/>
    <w:basedOn w:val="948"/>
    <w:next w:val="1085"/>
    <w:link w:val="94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4" w:space="0"/>
      </w:pBdr>
    </w:pPr>
    <w:rPr>
      <w:color w:val="000000"/>
      <w:szCs w:val="24"/>
    </w:rPr>
  </w:style>
  <w:style w:type="paragraph" w:styleId="1086">
    <w:name w:val="xl96"/>
    <w:basedOn w:val="948"/>
    <w:next w:val="1086"/>
    <w:link w:val="948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4" w:space="0"/>
      </w:pBdr>
    </w:pPr>
    <w:rPr>
      <w:color w:val="000000"/>
      <w:szCs w:val="24"/>
    </w:rPr>
  </w:style>
  <w:style w:type="paragraph" w:styleId="1087">
    <w:name w:val="xl97"/>
    <w:basedOn w:val="948"/>
    <w:next w:val="1087"/>
    <w:link w:val="948"/>
    <w:pPr>
      <w:spacing w:before="100" w:beforeAutospacing="1" w:after="100" w:afterAutospacing="1"/>
      <w:pBdr>
        <w:top w:val="single" w:color="000000" w:sz="8" w:space="0"/>
        <w:left w:val="single" w:color="000000" w:sz="4" w:space="0"/>
        <w:right w:val="single" w:color="000000" w:sz="4" w:space="0"/>
      </w:pBdr>
    </w:pPr>
    <w:rPr>
      <w:color w:val="000000"/>
      <w:szCs w:val="24"/>
    </w:rPr>
  </w:style>
  <w:style w:type="paragraph" w:styleId="1088">
    <w:name w:val="xl98"/>
    <w:basedOn w:val="948"/>
    <w:next w:val="1088"/>
    <w:link w:val="948"/>
    <w:pPr>
      <w:spacing w:before="100" w:beforeAutospacing="1" w:after="100" w:afterAutospacing="1"/>
      <w:pBdr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Cs w:val="24"/>
    </w:rPr>
  </w:style>
  <w:style w:type="paragraph" w:styleId="1089">
    <w:name w:val="Обычный таблица"/>
    <w:basedOn w:val="948"/>
    <w:next w:val="1089"/>
    <w:link w:val="948"/>
    <w:rPr>
      <w:sz w:val="18"/>
      <w:szCs w:val="18"/>
      <w:lang w:eastAsia="zh-CN"/>
    </w:rPr>
  </w:style>
  <w:style w:type="paragraph" w:styleId="1090">
    <w:name w:val="Прижатый влево"/>
    <w:basedOn w:val="948"/>
    <w:next w:val="948"/>
    <w:link w:val="948"/>
    <w:uiPriority w:val="99"/>
    <w:pPr>
      <w:widowControl w:val="off"/>
    </w:pPr>
    <w:rPr>
      <w:rFonts w:ascii="Arial" w:hAnsi="Arial" w:cs="Arial"/>
      <w:szCs w:val="24"/>
    </w:rPr>
  </w:style>
  <w:style w:type="paragraph" w:styleId="1091">
    <w:name w:val="Текст выноски"/>
    <w:basedOn w:val="948"/>
    <w:next w:val="1091"/>
    <w:link w:val="1092"/>
    <w:rPr>
      <w:rFonts w:ascii="Tahoma" w:hAnsi="Tahoma"/>
      <w:sz w:val="16"/>
      <w:szCs w:val="16"/>
      <w:lang w:val="en-US" w:eastAsia="en-US"/>
    </w:rPr>
  </w:style>
  <w:style w:type="character" w:styleId="1092">
    <w:name w:val="Текст выноски Знак"/>
    <w:next w:val="1092"/>
    <w:link w:val="1091"/>
    <w:rPr>
      <w:rFonts w:ascii="Tahoma" w:hAnsi="Tahoma" w:cs="Tahoma"/>
      <w:sz w:val="16"/>
      <w:szCs w:val="16"/>
    </w:rPr>
  </w:style>
  <w:style w:type="character" w:styleId="1093">
    <w:name w:val="Верхний колонтитул Знак"/>
    <w:next w:val="1093"/>
    <w:link w:val="962"/>
    <w:uiPriority w:val="99"/>
    <w:rPr>
      <w:sz w:val="24"/>
    </w:rPr>
  </w:style>
  <w:style w:type="paragraph" w:styleId="1094">
    <w:name w:val="Default"/>
    <w:next w:val="1094"/>
    <w:link w:val="948"/>
    <w:rPr>
      <w:rFonts w:ascii="Cambria" w:hAnsi="Cambria" w:eastAsia="Calibri" w:cs="Cambria"/>
      <w:color w:val="000000"/>
      <w:sz w:val="24"/>
      <w:szCs w:val="24"/>
      <w:lang w:val="ru-RU" w:eastAsia="en-US" w:bidi="ar-SA"/>
    </w:rPr>
  </w:style>
  <w:style w:type="paragraph" w:styleId="1095">
    <w:name w:val="1CStyle2"/>
    <w:next w:val="1095"/>
    <w:link w:val="948"/>
    <w:pPr>
      <w:jc w:val="center"/>
      <w:spacing w:after="200" w:line="276" w:lineRule="auto"/>
    </w:pPr>
    <w:rPr>
      <w:rFonts w:ascii="Tahoma" w:hAnsi="Tahoma"/>
      <w:sz w:val="18"/>
      <w:szCs w:val="22"/>
      <w:lang w:val="ru-RU" w:eastAsia="ru-RU" w:bidi="ar-SA"/>
    </w:rPr>
  </w:style>
  <w:style w:type="character" w:styleId="1096">
    <w:name w:val="ConsPlusNormal Знак"/>
    <w:next w:val="1096"/>
    <w:link w:val="1045"/>
    <w:rPr>
      <w:rFonts w:ascii="Arial" w:hAnsi="Arial" w:cs="Arial"/>
      <w:lang w:val="ru-RU" w:eastAsia="ru-RU" w:bidi="ar-SA"/>
    </w:rPr>
  </w:style>
  <w:style w:type="paragraph" w:styleId="1097">
    <w:name w:val="Стиль3"/>
    <w:basedOn w:val="948"/>
    <w:next w:val="1097"/>
    <w:link w:val="948"/>
    <w:pPr>
      <w:ind w:left="1080"/>
      <w:jc w:val="both"/>
      <w:widowControl w:val="off"/>
      <w:tabs>
        <w:tab w:val="left" w:pos="1307" w:leader="none"/>
      </w:tabs>
    </w:pPr>
    <w:rPr>
      <w:lang w:eastAsia="ar-SA"/>
    </w:rPr>
  </w:style>
  <w:style w:type="paragraph" w:styleId="1098">
    <w:name w:val="Основной текст 21"/>
    <w:basedOn w:val="948"/>
    <w:next w:val="1098"/>
    <w:link w:val="948"/>
    <w:pPr>
      <w:spacing w:after="120" w:line="480" w:lineRule="auto"/>
    </w:pPr>
    <w:rPr>
      <w:szCs w:val="24"/>
      <w:lang w:eastAsia="ar-SA"/>
    </w:rPr>
  </w:style>
  <w:style w:type="paragraph" w:styleId="1099">
    <w:name w:val="Основной текст 31"/>
    <w:basedOn w:val="948"/>
    <w:next w:val="1099"/>
    <w:link w:val="948"/>
    <w:pPr>
      <w:spacing w:after="120"/>
    </w:pPr>
    <w:rPr>
      <w:sz w:val="16"/>
      <w:szCs w:val="16"/>
      <w:lang w:eastAsia="ar-SA"/>
    </w:rPr>
  </w:style>
  <w:style w:type="paragraph" w:styleId="1100">
    <w:name w:val="Без интервала"/>
    <w:next w:val="1100"/>
    <w:link w:val="948"/>
    <w:qFormat/>
    <w:rPr>
      <w:sz w:val="24"/>
      <w:szCs w:val="24"/>
      <w:lang w:val="ru-RU" w:eastAsia="ar-SA" w:bidi="ar-SA"/>
    </w:rPr>
  </w:style>
  <w:style w:type="paragraph" w:styleId="1101">
    <w:name w:val="Таблица шапка"/>
    <w:basedOn w:val="948"/>
    <w:next w:val="1101"/>
    <w:link w:val="948"/>
    <w:pPr>
      <w:ind w:left="57" w:right="57"/>
      <w:keepNext/>
      <w:spacing w:before="40" w:after="40"/>
    </w:pPr>
    <w:rPr>
      <w:sz w:val="18"/>
      <w:szCs w:val="18"/>
      <w:lang w:eastAsia="ar-SA"/>
    </w:rPr>
  </w:style>
  <w:style w:type="paragraph" w:styleId="1102">
    <w:name w:val="ConsNonformat"/>
    <w:next w:val="1102"/>
    <w:link w:val="948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1103">
    <w:name w:val="Адресат"/>
    <w:basedOn w:val="948"/>
    <w:next w:val="1103"/>
    <w:link w:val="948"/>
    <w:pPr>
      <w:spacing w:line="240" w:lineRule="exact"/>
    </w:pPr>
    <w:rPr>
      <w:sz w:val="28"/>
      <w:lang w:eastAsia="ar-SA"/>
    </w:rPr>
  </w:style>
  <w:style w:type="character" w:styleId="1104">
    <w:name w:val="Заголовок 3 Знак"/>
    <w:next w:val="1104"/>
    <w:link w:val="951"/>
    <w:rPr>
      <w:rFonts w:ascii="Arial" w:hAnsi="Arial"/>
      <w:sz w:val="24"/>
    </w:rPr>
  </w:style>
  <w:style w:type="character" w:styleId="1105">
    <w:name w:val="Основной текст Знак"/>
    <w:next w:val="1105"/>
    <w:link w:val="973"/>
    <w:rPr>
      <w:sz w:val="24"/>
    </w:rPr>
  </w:style>
  <w:style w:type="character" w:styleId="1106">
    <w:name w:val="Основной текст 2 Знак"/>
    <w:next w:val="1106"/>
    <w:link w:val="1002"/>
    <w:rPr>
      <w:sz w:val="24"/>
    </w:rPr>
  </w:style>
  <w:style w:type="character" w:styleId="1107">
    <w:name w:val="Основной текст 3 Знак"/>
    <w:next w:val="1107"/>
    <w:link w:val="1003"/>
    <w:rPr>
      <w:sz w:val="16"/>
    </w:rPr>
  </w:style>
  <w:style w:type="paragraph" w:styleId="1108">
    <w:name w:val="Обычный2"/>
    <w:next w:val="1108"/>
    <w:link w:val="948"/>
    <w:pPr>
      <w:widowControl w:val="off"/>
      <w:tabs>
        <w:tab w:val="num" w:pos="644" w:leader="none"/>
      </w:tabs>
    </w:pPr>
    <w:rPr>
      <w:rFonts w:ascii="Arial" w:hAnsi="Arial" w:eastAsia="Calibri"/>
      <w:sz w:val="18"/>
      <w:lang w:val="ru-RU" w:eastAsia="ru-RU" w:bidi="ar-SA"/>
    </w:rPr>
  </w:style>
  <w:style w:type="character" w:styleId="1109">
    <w:name w:val="Основной шрифт абзаца1"/>
    <w:next w:val="1109"/>
    <w:link w:val="948"/>
  </w:style>
  <w:style w:type="character" w:styleId="1110">
    <w:name w:val="Замещающий текст"/>
    <w:next w:val="1110"/>
    <w:link w:val="948"/>
    <w:uiPriority w:val="99"/>
    <w:semiHidden/>
    <w:rPr>
      <w:color w:val="808080"/>
    </w:rPr>
  </w:style>
  <w:style w:type="paragraph" w:styleId="1111">
    <w:name w:val="List Paragraph"/>
    <w:basedOn w:val="948"/>
    <w:next w:val="1111"/>
    <w:link w:val="948"/>
    <w:pPr>
      <w:ind w:left="720"/>
    </w:pPr>
    <w:rPr>
      <w:rFonts w:ascii="Calibri" w:hAnsi="Calibri" w:eastAsia="Calibri" w:cs="Calibri"/>
      <w:sz w:val="22"/>
      <w:szCs w:val="22"/>
      <w:lang w:eastAsia="en-US"/>
    </w:rPr>
  </w:style>
  <w:style w:type="paragraph" w:styleId="1112">
    <w:name w:val="TLN"/>
    <w:basedOn w:val="948"/>
    <w:next w:val="948"/>
    <w:link w:val="948"/>
    <w:pPr>
      <w:numPr>
        <w:ilvl w:val="0"/>
        <w:numId w:val="22"/>
      </w:numPr>
      <w:spacing w:after="200" w:line="276" w:lineRule="auto"/>
      <w:tabs>
        <w:tab w:val="num" w:pos="360" w:leader="none"/>
      </w:tabs>
    </w:pPr>
    <w:rPr>
      <w:rFonts w:ascii="PF Square Sans Pro" w:hAnsi="PF Square Sans Pro" w:eastAsia="Calibri"/>
      <w:sz w:val="22"/>
      <w:szCs w:val="22"/>
      <w:lang w:eastAsia="en-US"/>
    </w:rPr>
  </w:style>
  <w:style w:type="paragraph" w:styleId="1113">
    <w:name w:val="Тема примечания"/>
    <w:basedOn w:val="1028"/>
    <w:next w:val="1028"/>
    <w:link w:val="1115"/>
    <w:semiHidden/>
    <w:unhideWhenUsed/>
    <w:rPr>
      <w:b/>
      <w:bCs/>
      <w:lang w:val="en-US" w:eastAsia="en-US"/>
    </w:rPr>
  </w:style>
  <w:style w:type="character" w:styleId="1114">
    <w:name w:val="Текст примечания Знак"/>
    <w:basedOn w:val="958"/>
    <w:next w:val="1114"/>
    <w:link w:val="1028"/>
    <w:semiHidden/>
  </w:style>
  <w:style w:type="character" w:styleId="1115">
    <w:name w:val="Тема примечания Знак"/>
    <w:next w:val="1115"/>
    <w:link w:val="1113"/>
    <w:semiHidden/>
    <w:rPr>
      <w:b/>
      <w:bCs/>
    </w:rPr>
  </w:style>
  <w:style w:type="character" w:styleId="1116" w:default="1">
    <w:name w:val="Default Paragraph Font"/>
    <w:uiPriority w:val="1"/>
    <w:semiHidden/>
    <w:unhideWhenUsed/>
  </w:style>
  <w:style w:type="numbering" w:styleId="1117" w:default="1">
    <w:name w:val="No List"/>
    <w:uiPriority w:val="99"/>
    <w:semiHidden/>
    <w:unhideWhenUsed/>
  </w:style>
  <w:style w:type="table" w:styleId="1118" w:default="1">
    <w:name w:val="Normal Table"/>
    <w:uiPriority w:val="99"/>
    <w:semiHidden/>
    <w:unhideWhenUsed/>
    <w:tblPr/>
  </w:style>
  <w:style w:type="paragraph" w:styleId="1119" w:customStyle="1">
    <w:name w:val="(1) Обычный текст"/>
    <w:link w:val="908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table" w:styleId="1120" w:customStyle="1">
    <w:name w:val="StGen5"/>
    <w:basedOn w:val="844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hyperlink" Target="https://www.consultant.ru/document/cons_doc_LAW_433304/b0bc8a27e8a04c890f2f9c995f4c966a8894470e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ГКС РФ</Company>
  <DocSecurity>0</DocSecurity>
  <HyperlinksChanged>false</HyperlinksChanged>
  <ScaleCrop>false</ScaleCrop>
  <SharedDoc>false</SharedDoc>
  <Template>rtaCBD9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СТАТИСТИЧЕСКОЕ НАБЛЮДЕНИЕ</dc:title>
  <dc:creator>Олег</dc:creator>
  <cp:revision>22</cp:revision>
  <dcterms:created xsi:type="dcterms:W3CDTF">2023-07-27T08:32:00Z</dcterms:created>
  <dcterms:modified xsi:type="dcterms:W3CDTF">2026-10-14T14:56:27Z</dcterms:modified>
  <cp:version>786432</cp:version>
</cp:coreProperties>
</file>