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</w:pPr>
      <w:r>
        <w:t xml:space="preserve">«УТВЕРЖДАЮ»</w:t>
      </w:r>
      <w:r/>
    </w:p>
    <w:p>
      <w:pPr>
        <w:jc w:val="right"/>
        <w:spacing w:line="360" w:lineRule="auto"/>
        <w:widowControl w:val="off"/>
        <w:rPr>
          <w:color w:val="000000" w:themeColor="text1"/>
        </w:rPr>
      </w:pPr>
      <w:r>
        <w:t xml:space="preserve">Начальник </w:t>
      </w:r>
      <w:r>
        <w:rPr>
          <w:color w:val="000000" w:themeColor="text1"/>
        </w:rPr>
        <w:t xml:space="preserve">Управления цифровой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right"/>
        <w:spacing w:line="120" w:lineRule="auto"/>
        <w:widowControl w:val="off"/>
        <w:rPr>
          <w:color w:val="000000" w:themeColor="text1"/>
        </w:rPr>
      </w:pPr>
      <w:r>
        <w:rPr>
          <w:color w:val="000000" w:themeColor="text1"/>
        </w:rPr>
        <w:t xml:space="preserve"> трансформации и обеспечения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right"/>
      </w:pPr>
      <w:r>
        <w:t xml:space="preserve">______________П.В. </w:t>
      </w:r>
      <w:r>
        <w:t xml:space="preserve">Никитчук</w:t>
      </w:r>
      <w:r/>
    </w:p>
    <w:p>
      <w:pPr>
        <w:jc w:val="right"/>
        <w:shd w:val="clear" w:color="ffffff" w:themeColor="background1" w:fill="ffffff" w:themeFill="background1"/>
        <w:rPr>
          <w:b/>
          <w:bCs/>
          <w:highlight w:val="white"/>
        </w:rPr>
      </w:pPr>
      <w:r>
        <w:t xml:space="preserve">«___»____________2026  г.</w:t>
      </w:r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jc w:val="center"/>
        <w:shd w:val="clear" w:color="ffffff" w:themeColor="background1" w:fill="ffffff" w:themeFill="background1"/>
        <w:rPr>
          <w:b/>
          <w:bCs/>
          <w:color w:val="000000"/>
          <w:highlight w:val="white"/>
        </w:rPr>
      </w:pPr>
      <w:r>
        <w:rPr>
          <w:b/>
          <w:bCs/>
          <w:color w:val="000000"/>
          <w:highlight w:val="white"/>
        </w:rPr>
      </w:r>
      <w:r>
        <w:rPr>
          <w:b/>
          <w:bCs/>
          <w:color w:val="000000"/>
          <w:highlight w:val="white"/>
        </w:rPr>
      </w:r>
      <w:r>
        <w:rPr>
          <w:b/>
          <w:bCs/>
          <w:color w:val="000000"/>
          <w:highlight w:val="white"/>
        </w:rPr>
      </w:r>
    </w:p>
    <w:p>
      <w:pPr>
        <w:jc w:val="center"/>
        <w:shd w:val="clear" w:color="ffffff" w:themeColor="background1" w:fill="ffffff" w:themeFill="background1"/>
        <w:rPr>
          <w:b/>
          <w:bCs/>
          <w:color w:val="000000"/>
          <w:highlight w:val="white"/>
        </w:rPr>
      </w:pPr>
      <w:r>
        <w:rPr>
          <w:b/>
          <w:bCs/>
          <w:highlight w:val="none"/>
        </w:rPr>
      </w:r>
      <w:r>
        <w:rPr>
          <w:b/>
          <w:bCs/>
          <w:color w:val="000000"/>
          <w:highlight w:val="white"/>
        </w:rPr>
      </w:r>
      <w:r>
        <w:rPr>
          <w:b/>
          <w:bCs/>
          <w:color w:val="000000"/>
          <w:highlight w:val="white"/>
        </w:rPr>
      </w:r>
    </w:p>
    <w:p>
      <w:pPr>
        <w:jc w:val="center"/>
        <w:rPr>
          <w:b/>
          <w:bCs/>
          <w:highlight w:val="none"/>
        </w:rPr>
      </w:pPr>
      <w:r>
        <w:rPr>
          <w:b/>
          <w:highlight w:val="none"/>
        </w:rPr>
      </w:r>
      <w:r>
        <w:rPr>
          <w:b/>
          <w:sz w:val="26"/>
          <w:szCs w:val="26"/>
          <w:highlight w:val="none"/>
        </w:rPr>
        <w:t xml:space="preserve">ОПИСАНИЕ ОБЪЕКТА ЗАКУПКИ</w:t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jc w:val="center"/>
        <w:rPr>
          <w:b/>
          <w:bCs/>
        </w:rPr>
      </w:pPr>
      <w:r>
        <w:rPr>
          <w:b/>
          <w:highlight w:val="none"/>
        </w:rPr>
      </w:r>
      <w:r>
        <w:rPr>
          <w:b/>
          <w:bCs/>
        </w:rPr>
      </w:r>
      <w:r>
        <w:rPr>
          <w:b/>
          <w:bCs/>
        </w:rPr>
      </w:r>
    </w:p>
    <w:p>
      <w:pPr>
        <w:jc w:val="center"/>
        <w:rPr>
          <w:b/>
          <w:bCs/>
          <w:highlight w:val="none"/>
        </w:rPr>
      </w:pPr>
      <w:r>
        <w:rPr>
          <w:b/>
        </w:rPr>
        <w:t xml:space="preserve">ТЕХНИЧЕСКОЕ ЗАДАНИЕ</w:t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jc w:val="center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jc w:val="center"/>
        <w:shd w:val="clear" w:color="ffffff" w:themeColor="background1" w:fill="ffffff" w:themeFill="background1"/>
        <w:rPr>
          <w:b/>
          <w:bCs/>
          <w:highlight w:val="none"/>
        </w:rPr>
      </w:pPr>
      <w:r>
        <w:rPr>
          <w:b/>
          <w:bCs/>
          <w:highlight w:val="white"/>
        </w:rPr>
        <w:t xml:space="preserve">на оказание услуг по эксплуатации ФГИС «Автоматизированная информационная система оказания государственных услуг Федерального агентства воздушного транспорта» (АИС ОГУ)</w:t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jc w:val="center"/>
        <w:shd w:val="clear" w:color="ffffff" w:themeColor="background1" w:fill="ffffff" w:themeFill="background1"/>
        <w:rPr>
          <w:b/>
          <w:bCs/>
          <w:highlight w:val="white"/>
        </w:rPr>
      </w:pPr>
      <w:r>
        <w:rPr>
          <w:b/>
          <w:bCs/>
          <w:highlight w:val="white"/>
        </w:rPr>
      </w:r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jc w:val="both"/>
        <w:shd w:val="clear" w:color="ffffff" w:themeColor="background1" w:fill="ffffff" w:themeFill="background1"/>
        <w:rPr>
          <w:b/>
          <w:bCs/>
          <w:highlight w:val="white"/>
        </w:rPr>
      </w:pPr>
      <w:r>
        <w:rPr>
          <w:b/>
          <w:highlight w:val="white"/>
        </w:rPr>
        <w:t xml:space="preserve">1. Наименование объекта закупки: </w:t>
      </w:r>
      <w:r>
        <w:rPr>
          <w:highlight w:val="white"/>
        </w:rPr>
        <w:t xml:space="preserve">Оказание услуг по эксплуатации ФГИС «Автоматизированная информационная система оказания государственных услуг Федерального агентства воздушного транспорта» (АИС ОГУ)</w:t>
      </w:r>
      <w:r>
        <w:rPr>
          <w:color w:val="000000"/>
          <w:highlight w:val="white"/>
        </w:rPr>
        <w:t xml:space="preserve">.</w:t>
      </w:r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jc w:val="both"/>
        <w:spacing w:after="6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Место оказания услуг: Исполнитель имеет право оказания услуг в удаленном режиме средствами информационных технологий и телекоммуникаций, с учетом выполнения треб</w:t>
      </w:r>
      <w:r>
        <w:rPr>
          <w:highlight w:val="white"/>
        </w:rPr>
        <w:t xml:space="preserve">ований информационной безопасности, кроме случаев, когда непосредственное присутствие сотрудников на территории Заказчика необходимо, а именно содержание услуг не позволяет оказать их в удаленном режиме (обеспечение работы прикладного функционала АИС ОГУ).</w:t>
      </w:r>
      <w:r>
        <w:rPr>
          <w:highlight w:val="white"/>
        </w:rPr>
      </w:r>
      <w:r>
        <w:rPr>
          <w:highlight w:val="white"/>
        </w:rPr>
      </w:r>
    </w:p>
    <w:p>
      <w:pPr>
        <w:jc w:val="both"/>
        <w:spacing w:after="6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Заказчик располагается по следующему адресу: 125167, г. Москва, Ленинградский пр-т, 37, корп. 2.</w:t>
      </w:r>
      <w:r>
        <w:rPr>
          <w:highlight w:val="white"/>
        </w:rPr>
      </w:r>
      <w:r>
        <w:rPr>
          <w:highlight w:val="white"/>
        </w:rPr>
      </w:r>
    </w:p>
    <w:p>
      <w:pPr>
        <w:jc w:val="both"/>
        <w:spacing w:after="6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Объем оказываемых услуг: 1.</w:t>
      </w:r>
      <w:r>
        <w:rPr>
          <w:highlight w:val="white"/>
        </w:rPr>
      </w:r>
      <w:r>
        <w:rPr>
          <w:highlight w:val="white"/>
        </w:rPr>
      </w:r>
    </w:p>
    <w:p>
      <w:pPr>
        <w:jc w:val="both"/>
        <w:spacing w:after="6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Код по ОКПД2: 62.02.30.000.</w:t>
      </w:r>
      <w:r>
        <w:rPr>
          <w:highlight w:val="white"/>
        </w:rPr>
      </w:r>
      <w:r>
        <w:rPr>
          <w:highlight w:val="white"/>
        </w:rPr>
      </w:r>
    </w:p>
    <w:p>
      <w:pPr>
        <w:jc w:val="both"/>
        <w:spacing w:after="6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КТРУ, устан</w:t>
      </w:r>
      <w:r>
        <w:rPr>
          <w:highlight w:val="white"/>
        </w:rPr>
        <w:t xml:space="preserve">овленные в каталоге товаров, работ, услуг для обеспечения государственных и муниципальных нужд, утвержденные Постановлением Правительства Российской Федерации от 08.02.2017 № 145 «Об утверждении Правил формирования и ведения в единой информационной системе</w:t>
      </w:r>
      <w:r>
        <w:rPr>
          <w:highlight w:val="white"/>
        </w:rPr>
        <w:t xml:space="preserve"> в сфере закупок товаров, работ, услуг для обеспечения государственных и муниципальных нужд и Правилами использования каталога товаров, работ, услуг для обеспечения государственных и муниципальных нужд» к закупке с кодом ОКПД 2 62.02.30.000 не применяется.</w:t>
      </w:r>
      <w:r>
        <w:rPr>
          <w:highlight w:val="white"/>
        </w:rPr>
      </w:r>
      <w:r>
        <w:rPr>
          <w:highlight w:val="white"/>
        </w:rPr>
      </w:r>
    </w:p>
    <w:p>
      <w:pPr>
        <w:jc w:val="both"/>
        <w:spacing w:after="6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Единица измерения: условная единица.</w:t>
      </w:r>
      <w:r>
        <w:rPr>
          <w:highlight w:val="white"/>
        </w:rPr>
      </w:r>
      <w:r>
        <w:rPr>
          <w:highlight w:val="white"/>
        </w:rPr>
      </w:r>
    </w:p>
    <w:p>
      <w:pPr>
        <w:jc w:val="both"/>
        <w:spacing w:after="60"/>
        <w:shd w:val="clear" w:color="ffffff" w:themeColor="background1" w:fill="ffffff" w:themeFill="background1"/>
        <w:rPr>
          <w:b/>
          <w:bCs/>
          <w:highlight w:val="white"/>
        </w:rPr>
      </w:pPr>
      <w:r>
        <w:rPr>
          <w:b/>
          <w:highlight w:val="white"/>
        </w:rPr>
        <w:t xml:space="preserve">2. Период исполнения обязательства исполнителя.</w:t>
      </w:r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jc w:val="both"/>
        <w:spacing w:after="6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Услуги </w:t>
      </w:r>
      <w:r>
        <w:rPr>
          <w:highlight w:val="white"/>
        </w:rPr>
        <w:t xml:space="preserve">по эксплуатации</w:t>
      </w:r>
      <w:r>
        <w:rPr>
          <w:highlight w:val="white"/>
        </w:rPr>
        <w:t xml:space="preserve"> оказываются с момента заключения контракта по 20 декабря 2026 г.</w:t>
      </w:r>
      <w:r>
        <w:rPr>
          <w:highlight w:val="white"/>
        </w:rPr>
      </w:r>
      <w:r>
        <w:rPr>
          <w:highlight w:val="white"/>
        </w:rPr>
      </w:r>
    </w:p>
    <w:p>
      <w:pPr>
        <w:shd w:val="clear" w:color="ffffff" w:themeColor="background1" w:fill="ffffff" w:themeFill="background1"/>
        <w:rPr>
          <w:b/>
          <w:bCs/>
          <w:highlight w:val="white"/>
        </w:rPr>
      </w:pPr>
      <w:r>
        <w:rPr>
          <w:b/>
          <w:highlight w:val="white"/>
        </w:rPr>
        <w:t xml:space="preserve">3. Состав и содержание</w:t>
      </w:r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shd w:val="clear" w:color="ffffff" w:themeColor="background1" w:fill="ffffff" w:themeFill="background1"/>
        <w:rPr>
          <w:b/>
          <w:bCs/>
          <w:highlight w:val="white"/>
        </w:rPr>
      </w:pPr>
      <w:r>
        <w:rPr>
          <w:highlight w:val="white"/>
        </w:rPr>
        <w:t xml:space="preserve">Источник финансирования: федеральный бюджет.</w:t>
      </w:r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contextualSpacing/>
        <w:shd w:val="clear" w:color="ffffff" w:themeColor="background1" w:fill="ffffff" w:themeFill="background1"/>
        <w:tabs>
          <w:tab w:val="num" w:pos="709" w:leader="none"/>
          <w:tab w:val="left" w:pos="1134" w:leader="none"/>
        </w:tabs>
        <w:rPr>
          <w:sz w:val="24"/>
          <w:szCs w:val="24"/>
          <w:highlight w:val="white"/>
        </w:rPr>
      </w:pPr>
      <w:r>
        <w:rPr>
          <w:highlight w:val="white"/>
        </w:rPr>
        <w:t xml:space="preserve">Мероприятие по информатизации: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tbl>
      <w:tblPr>
        <w:tblStyle w:val="1199"/>
        <w:tblW w:w="5000" w:type="pct"/>
        <w:tblLook w:val="04A0" w:firstRow="1" w:lastRow="0" w:firstColumn="1" w:lastColumn="0" w:noHBand="0" w:noVBand="1"/>
      </w:tblPr>
      <w:tblGrid>
        <w:gridCol w:w="617"/>
        <w:gridCol w:w="7853"/>
        <w:gridCol w:w="1725"/>
      </w:tblGrid>
      <w:tr>
        <w:tblPrEx/>
        <w:trPr>
          <w:trHeight w:val="305"/>
        </w:trPr>
        <w:tc>
          <w:tcPr>
            <w:tcW w:w="618" w:type="dxa"/>
            <w:textDirection w:val="lrTb"/>
            <w:noWrap w:val="false"/>
          </w:tcPr>
          <w:p>
            <w:pPr>
              <w:ind w:firstLine="0"/>
              <w:shd w:val="clear" w:color="ffffff" w:themeColor="background1" w:fill="ffffff" w:themeFill="background1"/>
              <w:widowControl w:val="off"/>
              <w:rPr>
                <w:sz w:val="24"/>
                <w:szCs w:val="24"/>
                <w:highlight w:val="white"/>
              </w:rPr>
            </w:pPr>
            <w:r>
              <w:rPr>
                <w:highlight w:val="white"/>
              </w:rPr>
              <w:t xml:space="preserve">№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W w:w="7863" w:type="dxa"/>
            <w:textDirection w:val="lrTb"/>
            <w:noWrap w:val="false"/>
          </w:tcPr>
          <w:p>
            <w:pPr>
              <w:ind w:firstLine="0"/>
              <w:jc w:val="center"/>
              <w:shd w:val="clear" w:color="ffffff" w:themeColor="background1" w:fill="ffffff" w:themeFill="background1"/>
              <w:widowControl w:val="off"/>
              <w:rPr>
                <w:bCs/>
                <w:sz w:val="24"/>
                <w:szCs w:val="24"/>
                <w:highlight w:val="white"/>
              </w:rPr>
            </w:pPr>
            <w:r>
              <w:rPr>
                <w:highlight w:val="white"/>
              </w:rPr>
              <w:t xml:space="preserve">Код МПИ / Наименование мероприятия по информатизации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  <w:tc>
          <w:tcPr>
            <w:tcW w:w="1725" w:type="dxa"/>
            <w:textDirection w:val="lrTb"/>
            <w:noWrap w:val="false"/>
          </w:tcPr>
          <w:p>
            <w:pPr>
              <w:ind w:firstLine="0"/>
              <w:jc w:val="center"/>
              <w:shd w:val="clear" w:color="ffffff" w:themeColor="background1" w:fill="ffffff" w:themeFill="background1"/>
              <w:widowControl w:val="off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highlight w:val="white"/>
              </w:rPr>
              <w:t xml:space="preserve">ОКПД2</w:t>
            </w:r>
            <w:r>
              <w:rPr>
                <w:bCs/>
                <w:sz w:val="24"/>
                <w:szCs w:val="24"/>
                <w:highlight w:val="white"/>
              </w:rPr>
            </w:r>
            <w:r>
              <w:rPr>
                <w:bCs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400"/>
        </w:trPr>
        <w:tc>
          <w:tcPr>
            <w:tcW w:w="618" w:type="dxa"/>
            <w:textDirection w:val="lrTb"/>
            <w:noWrap w:val="false"/>
          </w:tcPr>
          <w:p>
            <w:pPr>
              <w:ind w:firstLine="0"/>
              <w:shd w:val="clear" w:color="ffffff" w:themeColor="background1" w:fill="ffffff" w:themeFill="background1"/>
              <w:widowControl w:val="off"/>
              <w:rPr>
                <w:sz w:val="24"/>
                <w:szCs w:val="24"/>
                <w:highlight w:val="white"/>
              </w:rPr>
            </w:pPr>
            <w:r>
              <w:rPr>
                <w:highlight w:val="white"/>
              </w:rPr>
              <w:t xml:space="preserve">1.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W w:w="7863" w:type="dxa"/>
            <w:textDirection w:val="lrTb"/>
            <w:noWrap w:val="false"/>
          </w:tcPr>
          <w:p>
            <w:pPr>
              <w:ind w:firstLine="0"/>
              <w:shd w:val="clear" w:color="ffffff" w:themeColor="background1" w:fill="ffffff" w:themeFill="background1"/>
              <w:widowControl w:val="off"/>
              <w:rPr>
                <w:sz w:val="24"/>
                <w:szCs w:val="24"/>
                <w:highlight w:val="white"/>
              </w:rPr>
            </w:pPr>
            <w:r>
              <w:rPr>
                <w:highlight w:val="white"/>
              </w:rPr>
              <w:t xml:space="preserve">107.00100107.26.Э.176271.01 «Эксплуатация АИС ОГУ»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W w:w="1725" w:type="dxa"/>
            <w:textDirection w:val="lrTb"/>
            <w:noWrap w:val="false"/>
          </w:tcPr>
          <w:p>
            <w:pPr>
              <w:ind w:firstLine="0"/>
              <w:jc w:val="center"/>
              <w:shd w:val="clear" w:color="ffffff" w:themeColor="background1" w:fill="ffffff" w:themeFill="background1"/>
              <w:rPr>
                <w:sz w:val="24"/>
                <w:szCs w:val="24"/>
                <w:highlight w:val="white"/>
              </w:rPr>
            </w:pPr>
            <w:r>
              <w:rPr>
                <w:highlight w:val="white"/>
              </w:rPr>
              <w:t xml:space="preserve">62.02.30.000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</w:tr>
    </w:tbl>
    <w:p>
      <w:pPr>
        <w:pStyle w:val="1285"/>
        <w:jc w:val="center"/>
        <w:shd w:val="clear" w:color="ffffff" w:themeColor="background1" w:fill="ffffff" w:themeFill="background1"/>
        <w:rPr>
          <w:sz w:val="26"/>
          <w:szCs w:val="26"/>
          <w:highlight w:val="white"/>
        </w:rPr>
      </w:pPr>
      <w:r>
        <w:rPr>
          <w:highlight w:val="white"/>
        </w:rPr>
      </w:r>
      <w:bookmarkStart w:id="1" w:name="_Toc1"/>
      <w:r>
        <w:rPr>
          <w:sz w:val="26"/>
          <w:szCs w:val="26"/>
          <w:highlight w:val="white"/>
          <w:lang w:val="ru-RU"/>
        </w:rPr>
        <w:t xml:space="preserve">ОБОЗНАЧЕНИЯ И СОКРАЩЕНИЯ</w:t>
      </w:r>
      <w:bookmarkEnd w:id="1"/>
      <w:r>
        <w:rPr>
          <w:sz w:val="26"/>
          <w:szCs w:val="26"/>
          <w:highlight w:val="white"/>
        </w:rPr>
      </w:r>
      <w:r>
        <w:rPr>
          <w:sz w:val="26"/>
          <w:szCs w:val="26"/>
          <w:highlight w:val="white"/>
        </w:rPr>
      </w:r>
    </w:p>
    <w:tbl>
      <w:tblPr>
        <w:tblW w:w="10176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426"/>
        <w:gridCol w:w="7482"/>
      </w:tblGrid>
      <w:tr>
        <w:tblPrEx/>
        <w:trPr>
          <w:trHeight w:val="839"/>
        </w:trPr>
        <w:tc>
          <w:tcPr>
            <w:tcW w:w="2268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highlight w:val="white"/>
              </w:rPr>
            </w:r>
            <w:bookmarkStart w:id="2" w:name="_Hlk130982115"/>
            <w:r>
              <w:rPr>
                <w:highlight w:val="white"/>
              </w:rPr>
            </w:r>
            <w:bookmarkStart w:id="3" w:name="_Hlk129684438"/>
            <w:r>
              <w:rPr>
                <w:sz w:val="26"/>
                <w:highlight w:val="white"/>
              </w:rPr>
              <w:t xml:space="preserve">АИС ОГУ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426" w:type="dxa"/>
            <w:textDirection w:val="lrTb"/>
            <w:noWrap w:val="false"/>
          </w:tcPr>
          <w:p>
            <w:pPr>
              <w:ind w:firstLine="0"/>
              <w:jc w:val="both"/>
              <w:spacing w:line="276" w:lineRule="auto"/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highlight w:val="white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748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Федеральная государственная информационная система «Автоматизированная информационная система оказания государственных услуг Федерального агентства воздушного транспорта»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W w:w="2268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АСУ ТК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426" w:type="dxa"/>
            <w:textDirection w:val="lrTb"/>
            <w:noWrap w:val="false"/>
          </w:tcPr>
          <w:p>
            <w:pPr>
              <w:ind w:firstLine="0"/>
              <w:jc w:val="both"/>
              <w:spacing w:line="276" w:lineRule="auto"/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highlight w:val="white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748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Информационно-аналитическая система регулирования на транспорте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W w:w="2268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БД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426" w:type="dxa"/>
            <w:textDirection w:val="lrTb"/>
            <w:noWrap w:val="false"/>
          </w:tcPr>
          <w:p>
            <w:pPr>
              <w:ind w:firstLine="0"/>
              <w:jc w:val="both"/>
              <w:spacing w:line="276" w:lineRule="auto"/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highlight w:val="white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748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База данных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W w:w="2268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Ведомственный портал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426" w:type="dxa"/>
            <w:textDirection w:val="lrTb"/>
            <w:noWrap w:val="false"/>
          </w:tcPr>
          <w:p>
            <w:pPr>
              <w:ind w:firstLine="0"/>
              <w:jc w:val="both"/>
              <w:spacing w:line="276" w:lineRule="auto"/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highlight w:val="white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748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Официальный сайт </w:t>
            </w:r>
            <w:r>
              <w:rPr>
                <w:sz w:val="26"/>
                <w:highlight w:val="white"/>
              </w:rPr>
              <w:t xml:space="preserve">Росавиации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W w:w="2268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Витрина НСУД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426" w:type="dxa"/>
            <w:textDirection w:val="lrTb"/>
            <w:noWrap w:val="false"/>
          </w:tcPr>
          <w:p>
            <w:pPr>
              <w:ind w:firstLine="0"/>
              <w:jc w:val="both"/>
              <w:spacing w:line="276" w:lineRule="auto"/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highlight w:val="white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748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Набор структурированных данных доступных для пользователей СМЭВ</w:t>
            </w:r>
            <w:bookmarkEnd w:id="2"/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W w:w="2268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ГАСУ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426" w:type="dxa"/>
            <w:textDirection w:val="lrTb"/>
            <w:noWrap w:val="false"/>
          </w:tcPr>
          <w:p>
            <w:pPr>
              <w:ind w:firstLine="0"/>
              <w:jc w:val="both"/>
              <w:spacing w:line="276" w:lineRule="auto"/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highlight w:val="white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748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Государственная автоматизированная система «Управление»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W w:w="2268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ГосСОПКА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426" w:type="dxa"/>
            <w:textDirection w:val="lrTb"/>
            <w:noWrap w:val="false"/>
          </w:tcPr>
          <w:p>
            <w:pPr>
              <w:ind w:firstLine="0"/>
              <w:jc w:val="both"/>
              <w:spacing w:line="276" w:lineRule="auto"/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highlight w:val="white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748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Государственная система обнаружения, предупреждения и ликвидации последствий компьютерных атак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W w:w="2268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ГСМ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426" w:type="dxa"/>
            <w:textDirection w:val="lrTb"/>
            <w:noWrap w:val="false"/>
          </w:tcPr>
          <w:p>
            <w:pPr>
              <w:ind w:firstLine="0"/>
              <w:jc w:val="both"/>
              <w:spacing w:line="276" w:lineRule="auto"/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highlight w:val="white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748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Горюче-смазочные материалы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W w:w="2268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ЕГР ЗАГС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426" w:type="dxa"/>
            <w:textDirection w:val="lrTb"/>
            <w:noWrap w:val="false"/>
          </w:tcPr>
          <w:p>
            <w:pPr>
              <w:ind w:firstLine="0"/>
              <w:jc w:val="both"/>
              <w:spacing w:line="276" w:lineRule="auto"/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highlight w:val="white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748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Единый государственный реестр записей актов гражданского состояния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W w:w="2268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ЕГРИП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426" w:type="dxa"/>
            <w:textDirection w:val="lrTb"/>
            <w:noWrap w:val="false"/>
          </w:tcPr>
          <w:p>
            <w:pPr>
              <w:ind w:firstLine="0"/>
              <w:jc w:val="both"/>
              <w:spacing w:line="276" w:lineRule="auto"/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highlight w:val="white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748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Единый государственный реестр индивидуальных предпринимателей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W w:w="2268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ЕГРЮЛ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426" w:type="dxa"/>
            <w:textDirection w:val="lrTb"/>
            <w:noWrap w:val="false"/>
          </w:tcPr>
          <w:p>
            <w:pPr>
              <w:ind w:firstLine="0"/>
              <w:jc w:val="both"/>
              <w:spacing w:line="276" w:lineRule="auto"/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highlight w:val="white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748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Единый государственный реестр юридических лиц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W w:w="2268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ЕПГУ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426" w:type="dxa"/>
            <w:textDirection w:val="lrTb"/>
            <w:noWrap w:val="false"/>
          </w:tcPr>
          <w:p>
            <w:pPr>
              <w:ind w:firstLine="0"/>
              <w:jc w:val="both"/>
              <w:spacing w:line="276" w:lineRule="auto"/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highlight w:val="white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748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rFonts w:eastAsia="Calibri"/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Федеральная государственная информационная система «Единый портал государственных и муниципальных услуг (функций)»</w:t>
            </w:r>
            <w:r>
              <w:rPr>
                <w:rFonts w:eastAsia="Calibri"/>
                <w:sz w:val="26"/>
                <w:highlight w:val="white"/>
              </w:rPr>
            </w:r>
            <w:r>
              <w:rPr>
                <w:rFonts w:eastAsia="Calibri"/>
                <w:sz w:val="26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W w:w="2268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ЕРУЛ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426" w:type="dxa"/>
            <w:textDirection w:val="lrTb"/>
            <w:noWrap w:val="false"/>
          </w:tcPr>
          <w:p>
            <w:pPr>
              <w:ind w:firstLine="0"/>
              <w:jc w:val="both"/>
              <w:spacing w:line="276" w:lineRule="auto"/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highlight w:val="white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748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Единый реестр учёта лицензий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W w:w="2268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ЕСИА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426" w:type="dxa"/>
            <w:textDirection w:val="lrTb"/>
            <w:noWrap w:val="false"/>
          </w:tcPr>
          <w:p>
            <w:pPr>
              <w:ind w:firstLine="0"/>
              <w:jc w:val="both"/>
              <w:spacing w:line="276" w:lineRule="auto"/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highlight w:val="white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748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Федеральная государственная инфор</w:t>
            </w:r>
            <w:r>
              <w:rPr>
                <w:sz w:val="26"/>
                <w:highlight w:val="white"/>
              </w:rPr>
              <w:t xml:space="preserve">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W w:w="2268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ИП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426" w:type="dxa"/>
            <w:textDirection w:val="lrTb"/>
            <w:noWrap w:val="false"/>
          </w:tcPr>
          <w:p>
            <w:pPr>
              <w:ind w:firstLine="0"/>
              <w:jc w:val="both"/>
              <w:spacing w:line="276" w:lineRule="auto"/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highlight w:val="white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748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Индивидуальный предприниматель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W w:w="2268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Инициатор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426" w:type="dxa"/>
            <w:textDirection w:val="lrTb"/>
            <w:noWrap w:val="false"/>
          </w:tcPr>
          <w:p>
            <w:pPr>
              <w:ind w:firstLine="0"/>
              <w:jc w:val="both"/>
              <w:spacing w:line="276" w:lineRule="auto"/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highlight w:val="white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748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Пользователь, Уполномоченный представитель Заказчика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W w:w="2268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426" w:type="dxa"/>
            <w:textDirection w:val="lrTb"/>
            <w:noWrap w:val="false"/>
          </w:tcPr>
          <w:p>
            <w:pPr>
              <w:ind w:firstLine="0"/>
              <w:jc w:val="both"/>
              <w:spacing w:line="276" w:lineRule="auto"/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highlight w:val="white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748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Информационная система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W w:w="2268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Казначейство России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426" w:type="dxa"/>
            <w:textDirection w:val="lrTb"/>
            <w:noWrap w:val="false"/>
          </w:tcPr>
          <w:p>
            <w:pPr>
              <w:ind w:firstLine="0"/>
              <w:jc w:val="both"/>
              <w:spacing w:line="276" w:lineRule="auto"/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highlight w:val="white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748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Федеральное казначейство Российской Федерации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W w:w="2268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МВД России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426" w:type="dxa"/>
            <w:textDirection w:val="lrTb"/>
            <w:noWrap w:val="false"/>
          </w:tcPr>
          <w:p>
            <w:pPr>
              <w:ind w:firstLine="0"/>
              <w:jc w:val="both"/>
              <w:spacing w:line="276" w:lineRule="auto"/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highlight w:val="white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748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Министерство внутренних дел Российской Федерации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W w:w="2268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Минобороны России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426" w:type="dxa"/>
            <w:textDirection w:val="lrTb"/>
            <w:noWrap w:val="false"/>
          </w:tcPr>
          <w:p>
            <w:pPr>
              <w:ind w:firstLine="0"/>
              <w:jc w:val="both"/>
              <w:spacing w:line="276" w:lineRule="auto"/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highlight w:val="white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748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Министерство обороны Российской Федерации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W w:w="2268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Минпромторг</w:t>
            </w:r>
            <w:r>
              <w:rPr>
                <w:sz w:val="26"/>
                <w:highlight w:val="white"/>
              </w:rPr>
              <w:t xml:space="preserve"> России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426" w:type="dxa"/>
            <w:textDirection w:val="lrTb"/>
            <w:noWrap w:val="false"/>
          </w:tcPr>
          <w:p>
            <w:pPr>
              <w:ind w:firstLine="0"/>
              <w:jc w:val="both"/>
              <w:spacing w:line="276" w:lineRule="auto"/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highlight w:val="white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748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Министерство промышленности и торговли Российской Федерации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W w:w="2268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Минцифры</w:t>
            </w:r>
            <w:r>
              <w:rPr>
                <w:sz w:val="26"/>
                <w:highlight w:val="white"/>
              </w:rPr>
              <w:t xml:space="preserve"> России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426" w:type="dxa"/>
            <w:textDirection w:val="lrTb"/>
            <w:noWrap w:val="false"/>
          </w:tcPr>
          <w:p>
            <w:pPr>
              <w:ind w:firstLine="0"/>
              <w:jc w:val="both"/>
              <w:spacing w:line="276" w:lineRule="auto"/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highlight w:val="white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748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Министерство цифрового развития, связи и массовых коммуникаций Российской Федерации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W w:w="2268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МСК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426" w:type="dxa"/>
            <w:textDirection w:val="lrTb"/>
            <w:noWrap w:val="false"/>
          </w:tcPr>
          <w:p>
            <w:pPr>
              <w:ind w:firstLine="0"/>
              <w:jc w:val="both"/>
              <w:spacing w:line="276" w:lineRule="auto"/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highlight w:val="white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748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Московское время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3"/>
        </w:trPr>
        <w:tc>
          <w:tcPr>
            <w:shd w:val="clear" w:color="auto" w:fill="ffffff"/>
            <w:tcW w:w="2268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РАП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426" w:type="dxa"/>
            <w:textDirection w:val="lrTb"/>
            <w:noWrap w:val="false"/>
          </w:tcPr>
          <w:p>
            <w:pPr>
              <w:ind w:firstLine="0"/>
              <w:jc w:val="both"/>
              <w:spacing w:line="276" w:lineRule="auto"/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highlight w:val="white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ffffff"/>
            <w:tcW w:w="748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Реестр выданных свидетельств авиационного персонала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W w:w="2268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Росавиация</w:t>
            </w:r>
            <w:r>
              <w:rPr>
                <w:sz w:val="26"/>
                <w:highlight w:val="white"/>
              </w:rPr>
              <w:t xml:space="preserve">, Заказчик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426" w:type="dxa"/>
            <w:textDirection w:val="lrTb"/>
            <w:noWrap w:val="false"/>
          </w:tcPr>
          <w:p>
            <w:pPr>
              <w:ind w:firstLine="0"/>
              <w:jc w:val="both"/>
              <w:spacing w:line="276" w:lineRule="auto"/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highlight w:val="white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748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Федеральное агентство воздушного транспорта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W w:w="2268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Рособрнадзор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426" w:type="dxa"/>
            <w:textDirection w:val="lrTb"/>
            <w:noWrap w:val="false"/>
          </w:tcPr>
          <w:p>
            <w:pPr>
              <w:ind w:firstLine="0"/>
              <w:jc w:val="both"/>
              <w:spacing w:line="276" w:lineRule="auto"/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highlight w:val="white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748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Федеральная служба по надзору в сфере образования и науки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W w:w="2268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Роспатент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426" w:type="dxa"/>
            <w:textDirection w:val="lrTb"/>
            <w:noWrap w:val="false"/>
          </w:tcPr>
          <w:p>
            <w:pPr>
              <w:ind w:firstLine="0"/>
              <w:jc w:val="both"/>
              <w:spacing w:line="276" w:lineRule="auto"/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highlight w:val="white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7482" w:type="dxa"/>
            <w:textDirection w:val="lrTb"/>
            <w:noWrap w:val="false"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Федеральная служба по интеллектуальной собственности, патентам и товарным знакам Российской Федерации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W w:w="2268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Росреестр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426" w:type="dxa"/>
            <w:textDirection w:val="lrTb"/>
            <w:noWrap w:val="false"/>
          </w:tcPr>
          <w:p>
            <w:pPr>
              <w:ind w:firstLine="0"/>
              <w:jc w:val="both"/>
              <w:spacing w:line="276" w:lineRule="auto"/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highlight w:val="white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748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Федеральной службы государственной регистрации, кадастра и картографии Российской Федерации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W w:w="2268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СГУ ВС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426" w:type="dxa"/>
            <w:textDirection w:val="lrTb"/>
            <w:noWrap w:val="false"/>
          </w:tcPr>
          <w:p>
            <w:pPr>
              <w:ind w:firstLine="0"/>
              <w:jc w:val="both"/>
              <w:spacing w:line="276" w:lineRule="auto"/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highlight w:val="white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748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Информационная автоматизированная система «Система государственного учёта данных о воздушных судах»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W w:w="2268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СЗИ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426" w:type="dxa"/>
            <w:textDirection w:val="lrTb"/>
            <w:noWrap w:val="false"/>
          </w:tcPr>
          <w:p>
            <w:pPr>
              <w:ind w:firstLine="0"/>
              <w:jc w:val="both"/>
              <w:spacing w:line="276" w:lineRule="auto"/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highlight w:val="white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748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Средство защиты информации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W w:w="2268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СКЗИ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426" w:type="dxa"/>
            <w:textDirection w:val="lrTb"/>
            <w:noWrap w:val="false"/>
          </w:tcPr>
          <w:p>
            <w:pPr>
              <w:ind w:firstLine="0"/>
              <w:jc w:val="both"/>
              <w:spacing w:line="276" w:lineRule="auto"/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highlight w:val="white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748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Средство криптографической защиты информации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W w:w="2268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СМЭВ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426" w:type="dxa"/>
            <w:textDirection w:val="lrTb"/>
            <w:noWrap w:val="false"/>
          </w:tcPr>
          <w:p>
            <w:pPr>
              <w:ind w:firstLine="0"/>
              <w:jc w:val="both"/>
              <w:spacing w:line="276" w:lineRule="auto"/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highlight w:val="white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748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Федеральная государственная информационная система «Единая система межведомственного электронного взаимодействия»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W w:w="2268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СНИЛС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426" w:type="dxa"/>
            <w:textDirection w:val="lrTb"/>
            <w:noWrap w:val="false"/>
          </w:tcPr>
          <w:p>
            <w:pPr>
              <w:ind w:firstLine="0"/>
              <w:jc w:val="both"/>
              <w:spacing w:line="276" w:lineRule="auto"/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highlight w:val="white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748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Страховой номер индивидуального лицевого счета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W w:w="2268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СПО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426" w:type="dxa"/>
            <w:textDirection w:val="lrTb"/>
            <w:noWrap w:val="false"/>
          </w:tcPr>
          <w:p>
            <w:pPr>
              <w:ind w:firstLine="0"/>
              <w:jc w:val="both"/>
              <w:spacing w:line="276" w:lineRule="auto"/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highlight w:val="white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748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Специальное программное обеспечение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W w:w="2268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СППИ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426" w:type="dxa"/>
            <w:textDirection w:val="lrTb"/>
            <w:noWrap w:val="false"/>
          </w:tcPr>
          <w:p>
            <w:pPr>
              <w:ind w:firstLine="0"/>
              <w:jc w:val="both"/>
              <w:spacing w:line="276" w:lineRule="auto"/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highlight w:val="white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748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Система представления планов полетов по сети Интернет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W w:w="2268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СТП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426" w:type="dxa"/>
            <w:textDirection w:val="lrTb"/>
            <w:noWrap w:val="false"/>
          </w:tcPr>
          <w:p>
            <w:pPr>
              <w:ind w:firstLine="0"/>
              <w:jc w:val="both"/>
              <w:spacing w:line="276" w:lineRule="auto"/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highlight w:val="white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748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Служба технической поддержки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W w:w="2268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СТПП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426" w:type="dxa"/>
            <w:textDirection w:val="lrTb"/>
            <w:noWrap w:val="false"/>
          </w:tcPr>
          <w:p>
            <w:pPr>
              <w:ind w:firstLine="0"/>
              <w:jc w:val="both"/>
              <w:spacing w:line="276" w:lineRule="auto"/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highlight w:val="white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748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Система технической поддержки пользователей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W w:w="2268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СУБД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426" w:type="dxa"/>
            <w:textDirection w:val="lrTb"/>
            <w:noWrap w:val="false"/>
          </w:tcPr>
          <w:p>
            <w:pPr>
              <w:ind w:firstLine="0"/>
              <w:jc w:val="both"/>
              <w:spacing w:line="276" w:lineRule="auto"/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highlight w:val="white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748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Система управления базами данных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W w:w="2268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ТЗ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426" w:type="dxa"/>
            <w:textDirection w:val="lrTb"/>
            <w:noWrap w:val="false"/>
          </w:tcPr>
          <w:p>
            <w:pPr>
              <w:ind w:firstLine="0"/>
              <w:jc w:val="both"/>
              <w:spacing w:line="276" w:lineRule="auto"/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highlight w:val="white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748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Настоящее техническое задание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W w:w="2268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ФГИС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426" w:type="dxa"/>
            <w:textDirection w:val="lrTb"/>
            <w:noWrap w:val="false"/>
          </w:tcPr>
          <w:p>
            <w:pPr>
              <w:ind w:firstLine="0"/>
              <w:jc w:val="both"/>
              <w:spacing w:line="276" w:lineRule="auto"/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highlight w:val="white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748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Федеральная государственная информационная система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W w:w="2268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ФГИС «</w:t>
            </w:r>
            <w:r>
              <w:rPr>
                <w:sz w:val="26"/>
                <w:highlight w:val="white"/>
              </w:rPr>
              <w:t xml:space="preserve">Авиасерт</w:t>
            </w:r>
            <w:r>
              <w:rPr>
                <w:sz w:val="26"/>
                <w:highlight w:val="white"/>
              </w:rPr>
              <w:t xml:space="preserve">»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426" w:type="dxa"/>
            <w:textDirection w:val="lrTb"/>
            <w:noWrap w:val="false"/>
          </w:tcPr>
          <w:p>
            <w:pPr>
              <w:ind w:firstLine="0"/>
              <w:jc w:val="both"/>
              <w:spacing w:line="276" w:lineRule="auto"/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highlight w:val="white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748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Федеральная государственная информационная система обязательной сертификации типовой конструкции авиационной техники, деятельности юридических лиц, осуществляющих разработку и (или) изготовление подлежащей обязательной сертификации авиационной техники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W w:w="2268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ФГИС ЕГРН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426" w:type="dxa"/>
            <w:textDirection w:val="lrTb"/>
            <w:noWrap w:val="false"/>
          </w:tcPr>
          <w:p>
            <w:pPr>
              <w:ind w:firstLine="0"/>
              <w:jc w:val="both"/>
              <w:spacing w:line="276" w:lineRule="auto"/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highlight w:val="white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748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Федеральная государственная информационная система Единого государственного реестра недвижимости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W w:w="2268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ФГИС РОТ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426" w:type="dxa"/>
            <w:textDirection w:val="lrTb"/>
            <w:noWrap w:val="false"/>
          </w:tcPr>
          <w:p>
            <w:pPr>
              <w:ind w:firstLine="0"/>
              <w:jc w:val="both"/>
              <w:spacing w:line="276" w:lineRule="auto"/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highlight w:val="white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748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Федеральная государственная информационная система «Реестр обязательных требований»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W w:w="2268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ФНС России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426" w:type="dxa"/>
            <w:textDirection w:val="lrTb"/>
            <w:noWrap w:val="false"/>
          </w:tcPr>
          <w:p>
            <w:pPr>
              <w:ind w:firstLine="0"/>
              <w:jc w:val="both"/>
              <w:spacing w:line="276" w:lineRule="auto"/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highlight w:val="white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748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Федеральная налоговая служба Российской Федерации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W w:w="2268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ФСБ России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426" w:type="dxa"/>
            <w:textDirection w:val="lrTb"/>
            <w:noWrap w:val="false"/>
          </w:tcPr>
          <w:p>
            <w:pPr>
              <w:ind w:firstLine="0"/>
              <w:jc w:val="both"/>
              <w:spacing w:line="276" w:lineRule="auto"/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highlight w:val="white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748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Федеральная служба безопасности Российской Федерации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W w:w="2268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ФСТЭК России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426" w:type="dxa"/>
            <w:textDirection w:val="lrTb"/>
            <w:noWrap w:val="false"/>
          </w:tcPr>
          <w:p>
            <w:pPr>
              <w:ind w:firstLine="0"/>
              <w:jc w:val="both"/>
              <w:spacing w:line="276" w:lineRule="auto"/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highlight w:val="white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748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Федеральная служба по техническому и экспортному контролю Российской Федерации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W w:w="2268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ЭВМ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426" w:type="dxa"/>
            <w:textDirection w:val="lrTb"/>
            <w:noWrap w:val="false"/>
          </w:tcPr>
          <w:p>
            <w:pPr>
              <w:ind w:firstLine="0"/>
              <w:jc w:val="both"/>
              <w:spacing w:line="276" w:lineRule="auto"/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highlight w:val="white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748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Электронная вычислительная машина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W w:w="2268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ЭП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426" w:type="dxa"/>
            <w:textDirection w:val="lrTb"/>
            <w:noWrap w:val="false"/>
          </w:tcPr>
          <w:p>
            <w:pPr>
              <w:ind w:firstLine="0"/>
              <w:jc w:val="both"/>
              <w:spacing w:line="276" w:lineRule="auto"/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highlight w:val="white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748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Электронная подпись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W w:w="2268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ЭП-ОВ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426" w:type="dxa"/>
            <w:textDirection w:val="lrTb"/>
            <w:noWrap w:val="false"/>
          </w:tcPr>
          <w:p>
            <w:pPr>
              <w:ind w:firstLine="0"/>
              <w:jc w:val="both"/>
              <w:spacing w:line="276" w:lineRule="auto"/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highlight w:val="white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748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Электронная подпись органа власти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W w:w="2268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ЭП-СП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426" w:type="dxa"/>
            <w:textDirection w:val="lrTb"/>
            <w:noWrap w:val="false"/>
          </w:tcPr>
          <w:p>
            <w:pPr>
              <w:ind w:firstLine="0"/>
              <w:jc w:val="both"/>
              <w:spacing w:line="276" w:lineRule="auto"/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highlight w:val="white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748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Электронные подписи для служебного пользования (должностных лиц)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W w:w="2268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ЮЛ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426" w:type="dxa"/>
            <w:textDirection w:val="lrTb"/>
            <w:noWrap w:val="false"/>
          </w:tcPr>
          <w:p>
            <w:pPr>
              <w:ind w:firstLine="0"/>
              <w:jc w:val="both"/>
              <w:spacing w:line="276" w:lineRule="auto"/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highlight w:val="white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748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Юридическое лицо</w:t>
            </w:r>
            <w:bookmarkEnd w:id="3"/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</w:tbl>
    <w:p>
      <w:pPr>
        <w:ind w:firstLine="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1285"/>
        <w:ind w:left="0"/>
        <w:jc w:val="center"/>
        <w:shd w:val="clear" w:color="ffffff" w:themeColor="background1" w:fill="ffffff" w:themeFill="background1"/>
        <w:rPr>
          <w:sz w:val="26"/>
          <w:szCs w:val="26"/>
          <w:highlight w:val="white"/>
        </w:rPr>
      </w:pPr>
      <w:r>
        <w:rPr>
          <w:highlight w:val="white"/>
        </w:rPr>
      </w:r>
      <w:bookmarkStart w:id="4" w:name="_Toc2"/>
      <w:r>
        <w:rPr>
          <w:sz w:val="26"/>
          <w:szCs w:val="26"/>
          <w:highlight w:val="white"/>
        </w:rPr>
        <w:t xml:space="preserve">ТЕРМИНЫ И ОПРЕДЕЛЕНИЯ</w:t>
      </w:r>
      <w:bookmarkEnd w:id="4"/>
      <w:r>
        <w:rPr>
          <w:sz w:val="26"/>
          <w:szCs w:val="26"/>
          <w:highlight w:val="white"/>
        </w:rPr>
      </w:r>
      <w:r>
        <w:rPr>
          <w:sz w:val="26"/>
          <w:szCs w:val="26"/>
          <w:highlight w:val="white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315"/>
        <w:gridCol w:w="437"/>
        <w:gridCol w:w="7453"/>
      </w:tblGrid>
      <w:tr>
        <w:tblPrEx/>
        <w:trPr>
          <w:trHeight w:val="80"/>
        </w:trPr>
        <w:tc>
          <w:tcPr>
            <w:tcW w:w="1109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Клиентское приложение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27" w:type="pct"/>
            <w:textDirection w:val="lrTb"/>
            <w:noWrap w:val="false"/>
          </w:tcPr>
          <w:p>
            <w:pPr>
              <w:ind w:firstLine="0"/>
              <w:jc w:val="both"/>
              <w:spacing w:line="276" w:lineRule="auto"/>
              <w:shd w:val="clear" w:color="ffffff" w:themeColor="background1" w:fill="ffffff" w:themeFill="background1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  <w:lang w:eastAsia="zh-CN"/>
              </w:rPr>
              <w:t xml:space="preserve">-</w:t>
            </w:r>
            <w:r>
              <w:rPr>
                <w:color w:val="000000"/>
                <w:highlight w:val="white"/>
              </w:rPr>
            </w:r>
            <w:r>
              <w:rPr>
                <w:color w:val="000000"/>
                <w:highlight w:val="white"/>
              </w:rPr>
            </w:r>
          </w:p>
        </w:tc>
        <w:tc>
          <w:tcPr>
            <w:tcW w:w="3664" w:type="pct"/>
            <w:textDirection w:val="lrTb"/>
            <w:noWrap w:val="false"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Программный компонент, взаимодействующий с серверным приложением методом запросов и ответов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W w:w="1109" w:type="pct"/>
            <w:textDirection w:val="lrTb"/>
            <w:noWrap w:val="false"/>
          </w:tcPr>
          <w:p>
            <w:pPr>
              <w:contextualSpacing/>
              <w:ind w:left="57" w:right="57" w:firstLine="0"/>
              <w:jc w:val="both"/>
              <w:shd w:val="clear" w:color="ffffff" w:themeColor="background1" w:fill="ffffff" w:themeFill="background1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Методическим рекомендациям по работе в СМЭВ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227" w:type="pct"/>
            <w:textDirection w:val="lrTb"/>
            <w:noWrap w:val="false"/>
          </w:tcPr>
          <w:p>
            <w:pPr>
              <w:ind w:firstLine="0"/>
              <w:jc w:val="both"/>
              <w:spacing w:line="276" w:lineRule="auto"/>
              <w:shd w:val="clear" w:color="ffffff" w:themeColor="background1" w:fill="ffffff" w:themeFill="background1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  <w:lang w:eastAsia="zh-CN"/>
              </w:rPr>
              <w:t xml:space="preserve">-</w:t>
            </w:r>
            <w:r>
              <w:rPr>
                <w:color w:val="000000"/>
                <w:highlight w:val="white"/>
              </w:rPr>
            </w:r>
            <w:r>
              <w:rPr>
                <w:color w:val="000000"/>
                <w:highlight w:val="white"/>
              </w:rPr>
            </w:r>
          </w:p>
        </w:tc>
        <w:tc>
          <w:tcPr>
            <w:tcW w:w="3664" w:type="pct"/>
            <w:vAlign w:val="center"/>
            <w:textDirection w:val="lrTb"/>
            <w:noWrap w:val="false"/>
          </w:tcPr>
          <w:p>
            <w:pPr>
              <w:contextualSpacing/>
              <w:ind w:left="57" w:right="57" w:firstLine="0"/>
              <w:jc w:val="both"/>
              <w:shd w:val="clear" w:color="ffffff" w:themeColor="background1" w:fill="ffffff" w:themeFill="background1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Документ, описывающий правила и приёмы использования возможностей инфраструктуры электронного правительства, которые позволяют участникам межведомственного взаимодействия решать задачи передачи сведений между информационными системами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W w:w="1109" w:type="pct"/>
            <w:textDirection w:val="lrTb"/>
            <w:noWrap w:val="false"/>
          </w:tcPr>
          <w:p>
            <w:pPr>
              <w:contextualSpacing/>
              <w:ind w:left="57" w:right="57" w:firstLine="0"/>
              <w:jc w:val="both"/>
              <w:shd w:val="clear" w:color="ffffff" w:themeColor="background1" w:fill="ffffff" w:themeFill="background1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Пользователь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227" w:type="pct"/>
            <w:textDirection w:val="lrTb"/>
            <w:noWrap w:val="false"/>
          </w:tcPr>
          <w:p>
            <w:pPr>
              <w:ind w:firstLine="0"/>
              <w:jc w:val="both"/>
              <w:spacing w:line="276" w:lineRule="auto"/>
              <w:shd w:val="clear" w:color="ffffff" w:themeColor="background1" w:fill="ffffff" w:themeFill="background1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  <w:lang w:eastAsia="zh-CN"/>
              </w:rPr>
              <w:t xml:space="preserve">-</w:t>
            </w:r>
            <w:r>
              <w:rPr>
                <w:color w:val="000000"/>
                <w:highlight w:val="white"/>
              </w:rPr>
            </w:r>
            <w:r>
              <w:rPr>
                <w:color w:val="000000"/>
                <w:highlight w:val="white"/>
              </w:rPr>
            </w:r>
          </w:p>
        </w:tc>
        <w:tc>
          <w:tcPr>
            <w:tcW w:w="3664" w:type="pct"/>
            <w:vAlign w:val="center"/>
            <w:textDirection w:val="lrTb"/>
            <w:noWrap w:val="false"/>
          </w:tcPr>
          <w:p>
            <w:pPr>
              <w:contextualSpacing/>
              <w:ind w:left="57" w:right="57" w:firstLine="0"/>
              <w:jc w:val="both"/>
              <w:shd w:val="clear" w:color="ffffff" w:themeColor="background1" w:fill="ffffff" w:themeFill="background1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Сотрудник организации Заказчика, эксплуатирующий АИС ОГУ, в рамках своих должностных обязательств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</w:tr>
      <w:tr>
        <w:tblPrEx/>
        <w:trPr>
          <w:trHeight w:val="80"/>
        </w:trPr>
        <w:tc>
          <w:tcPr>
            <w:tcW w:w="1109" w:type="pct"/>
            <w:textDirection w:val="lrTb"/>
            <w:noWrap w:val="false"/>
          </w:tcPr>
          <w:p>
            <w:pPr>
              <w:contextualSpacing/>
              <w:ind w:left="57" w:right="57" w:firstLine="0"/>
              <w:jc w:val="both"/>
              <w:shd w:val="clear" w:color="ffffff" w:themeColor="background1" w:fill="ffffff" w:themeFill="background1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Программное обеспечение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227" w:type="pct"/>
            <w:textDirection w:val="lrTb"/>
            <w:noWrap w:val="false"/>
          </w:tcPr>
          <w:p>
            <w:pPr>
              <w:ind w:firstLine="0"/>
              <w:jc w:val="both"/>
              <w:spacing w:line="276" w:lineRule="auto"/>
              <w:shd w:val="clear" w:color="ffffff" w:themeColor="background1" w:fill="ffffff" w:themeFill="background1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  <w:lang w:eastAsia="zh-CN"/>
              </w:rPr>
              <w:t xml:space="preserve">-</w:t>
            </w:r>
            <w:r>
              <w:rPr>
                <w:color w:val="000000"/>
                <w:highlight w:val="white"/>
              </w:rPr>
            </w:r>
            <w:r>
              <w:rPr>
                <w:color w:val="000000"/>
                <w:highlight w:val="white"/>
              </w:rPr>
            </w:r>
          </w:p>
        </w:tc>
        <w:tc>
          <w:tcPr>
            <w:tcW w:w="3664" w:type="pct"/>
            <w:vAlign w:val="center"/>
            <w:textDirection w:val="lrTb"/>
            <w:noWrap w:val="false"/>
          </w:tcPr>
          <w:p>
            <w:pPr>
              <w:contextualSpacing/>
              <w:ind w:left="57" w:right="57" w:firstLine="0"/>
              <w:jc w:val="both"/>
              <w:shd w:val="clear" w:color="ffffff" w:themeColor="background1" w:fill="ffffff" w:themeFill="background1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Совокупность программ на носителях данных и программных документов, предназначенная для отладки, функционирования и проверки работоспособности системы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</w:tr>
      <w:tr>
        <w:tblPrEx/>
        <w:trPr>
          <w:trHeight w:val="80"/>
        </w:trPr>
        <w:tc>
          <w:tcPr>
            <w:tcW w:w="1109" w:type="pct"/>
            <w:textDirection w:val="lrTb"/>
            <w:noWrap w:val="false"/>
          </w:tcPr>
          <w:p>
            <w:pPr>
              <w:contextualSpacing/>
              <w:ind w:left="57" w:right="57" w:firstLine="0"/>
              <w:jc w:val="both"/>
              <w:shd w:val="clear" w:color="ffffff" w:themeColor="background1" w:fill="ffffff" w:themeFill="background1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Систем (сервисы) третьих лиц и смежных систем Заказчика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227" w:type="pct"/>
            <w:textDirection w:val="lrTb"/>
            <w:noWrap w:val="false"/>
          </w:tcPr>
          <w:p>
            <w:pPr>
              <w:ind w:firstLine="0"/>
              <w:jc w:val="both"/>
              <w:spacing w:line="276" w:lineRule="auto"/>
              <w:shd w:val="clear" w:color="ffffff" w:themeColor="background1" w:fill="ffffff" w:themeFill="background1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  <w:lang w:eastAsia="zh-CN"/>
              </w:rPr>
              <w:t xml:space="preserve">-</w:t>
            </w:r>
            <w:r>
              <w:rPr>
                <w:color w:val="000000"/>
                <w:highlight w:val="white"/>
              </w:rPr>
            </w:r>
            <w:r>
              <w:rPr>
                <w:color w:val="000000"/>
                <w:highlight w:val="white"/>
              </w:rPr>
            </w:r>
          </w:p>
        </w:tc>
        <w:tc>
          <w:tcPr>
            <w:tcW w:w="3664" w:type="pct"/>
            <w:vAlign w:val="center"/>
            <w:textDirection w:val="lrTb"/>
            <w:noWrap w:val="false"/>
          </w:tcPr>
          <w:p>
            <w:pPr>
              <w:contextualSpacing/>
              <w:ind w:left="57" w:right="57" w:firstLine="0"/>
              <w:jc w:val="both"/>
              <w:shd w:val="clear" w:color="ffffff" w:themeColor="background1" w:fill="ffffff" w:themeFill="background1"/>
              <w:rPr>
                <w:bCs/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Системы (сервисы), с которыми АИС ОГУ должна осуществлять информационное взаимодействие </w:t>
            </w:r>
            <w:r>
              <w:rPr>
                <w:bCs/>
                <w:color w:val="000000" w:themeColor="text1"/>
                <w:highlight w:val="white"/>
              </w:rPr>
            </w:r>
            <w:r>
              <w:rPr>
                <w:bCs/>
                <w:color w:val="000000" w:themeColor="text1"/>
                <w:highlight w:val="white"/>
              </w:rPr>
            </w:r>
          </w:p>
        </w:tc>
      </w:tr>
      <w:tr>
        <w:tblPrEx/>
        <w:trPr>
          <w:trHeight w:val="80"/>
        </w:trPr>
        <w:tc>
          <w:tcPr>
            <w:tcW w:w="1109" w:type="pct"/>
            <w:textDirection w:val="lrTb"/>
            <w:noWrap w:val="false"/>
          </w:tcPr>
          <w:p>
            <w:pPr>
              <w:contextualSpacing/>
              <w:ind w:left="57" w:right="57" w:firstLine="0"/>
              <w:jc w:val="both"/>
              <w:shd w:val="clear" w:color="ffffff" w:themeColor="background1" w:fill="ffffff" w:themeFill="background1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Специальное программное обеспечение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227" w:type="pct"/>
            <w:textDirection w:val="lrTb"/>
            <w:noWrap w:val="false"/>
          </w:tcPr>
          <w:p>
            <w:pPr>
              <w:ind w:firstLine="0"/>
              <w:jc w:val="both"/>
              <w:spacing w:line="276" w:lineRule="auto"/>
              <w:shd w:val="clear" w:color="ffffff" w:themeColor="background1" w:fill="ffffff" w:themeFill="background1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  <w:lang w:eastAsia="zh-CN"/>
              </w:rPr>
              <w:t xml:space="preserve">-</w:t>
            </w:r>
            <w:r>
              <w:rPr>
                <w:color w:val="000000"/>
                <w:highlight w:val="white"/>
              </w:rPr>
            </w:r>
            <w:r>
              <w:rPr>
                <w:color w:val="000000"/>
                <w:highlight w:val="white"/>
              </w:rPr>
            </w:r>
          </w:p>
        </w:tc>
        <w:tc>
          <w:tcPr>
            <w:tcW w:w="3664" w:type="pct"/>
            <w:vAlign w:val="center"/>
            <w:textDirection w:val="lrTb"/>
            <w:noWrap w:val="false"/>
          </w:tcPr>
          <w:p>
            <w:pPr>
              <w:contextualSpacing/>
              <w:ind w:left="57" w:right="57" w:firstLine="0"/>
              <w:jc w:val="both"/>
              <w:shd w:val="clear" w:color="ffffff" w:themeColor="background1" w:fill="ffffff" w:themeFill="background1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Часть программного обеспечения АИС ОГУ, представляющая собой совокупность программ, разработанных при создании системы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</w:tr>
      <w:tr>
        <w:tblPrEx/>
        <w:trPr>
          <w:trHeight w:val="80"/>
        </w:trPr>
        <w:tc>
          <w:tcPr>
            <w:tcW w:w="1109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Технологический портал СМЭВ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27" w:type="pct"/>
            <w:textDirection w:val="lrTb"/>
            <w:noWrap w:val="false"/>
          </w:tcPr>
          <w:p>
            <w:pPr>
              <w:ind w:firstLine="0"/>
              <w:jc w:val="both"/>
              <w:spacing w:line="276" w:lineRule="auto"/>
              <w:shd w:val="clear" w:color="ffffff" w:themeColor="background1" w:fill="ffffff" w:themeFill="background1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  <w:lang w:eastAsia="zh-CN"/>
              </w:rPr>
              <w:t xml:space="preserve">-</w:t>
            </w:r>
            <w:r>
              <w:rPr>
                <w:color w:val="000000"/>
                <w:highlight w:val="white"/>
              </w:rPr>
            </w:r>
            <w:r>
              <w:rPr>
                <w:color w:val="000000"/>
                <w:highlight w:val="white"/>
              </w:rPr>
            </w:r>
          </w:p>
        </w:tc>
        <w:tc>
          <w:tcPr>
            <w:tcW w:w="3664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Официальный информационный </w:t>
            </w:r>
            <w:r>
              <w:rPr>
                <w:sz w:val="26"/>
                <w:highlight w:val="white"/>
              </w:rPr>
              <w:t xml:space="preserve">интернет-ресурс</w:t>
            </w:r>
            <w:r>
              <w:rPr>
                <w:sz w:val="26"/>
                <w:highlight w:val="white"/>
              </w:rPr>
              <w:t xml:space="preserve"> http://smev.gosuslugi.ru, созданный в целях обеспечения методической и информационной поддержки Участников информационного взаимодействия посредством СМЭВ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80"/>
        </w:trPr>
        <w:tc>
          <w:tcPr>
            <w:tcW w:w="1109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Уполномоченный представитель Заказчика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27" w:type="pct"/>
            <w:textDirection w:val="lrTb"/>
            <w:noWrap w:val="false"/>
          </w:tcPr>
          <w:p>
            <w:pPr>
              <w:ind w:firstLine="0"/>
              <w:jc w:val="both"/>
              <w:spacing w:line="276" w:lineRule="auto"/>
              <w:shd w:val="clear" w:color="ffffff" w:themeColor="background1" w:fill="ffffff" w:themeFill="background1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  <w:lang w:eastAsia="zh-CN"/>
              </w:rPr>
              <w:t xml:space="preserve">-</w:t>
            </w:r>
            <w:r>
              <w:rPr>
                <w:color w:val="000000"/>
                <w:highlight w:val="white"/>
              </w:rPr>
            </w:r>
            <w:r>
              <w:rPr>
                <w:color w:val="000000"/>
                <w:highlight w:val="white"/>
              </w:rPr>
            </w:r>
          </w:p>
        </w:tc>
        <w:tc>
          <w:tcPr>
            <w:tcW w:w="3664" w:type="pct"/>
            <w:textDirection w:val="lrTb"/>
            <w:noWrap w:val="false"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Представители Заказчика, уполномоченные на решение организационных и технических вопросов по государственному контракту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80"/>
        </w:trPr>
        <w:tc>
          <w:tcPr>
            <w:tcW w:w="1109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Услуги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27" w:type="pct"/>
            <w:textDirection w:val="lrTb"/>
            <w:noWrap w:val="false"/>
          </w:tcPr>
          <w:p>
            <w:pPr>
              <w:ind w:firstLine="0"/>
              <w:jc w:val="both"/>
              <w:spacing w:line="276" w:lineRule="auto"/>
              <w:shd w:val="clear" w:color="ffffff" w:themeColor="background1" w:fill="ffffff" w:themeFill="background1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  <w:lang w:eastAsia="zh-CN"/>
              </w:rPr>
              <w:t xml:space="preserve">-</w:t>
            </w:r>
            <w:r>
              <w:rPr>
                <w:color w:val="000000"/>
                <w:highlight w:val="white"/>
              </w:rPr>
            </w:r>
            <w:r>
              <w:rPr>
                <w:color w:val="000000"/>
                <w:highlight w:val="white"/>
              </w:rPr>
            </w:r>
          </w:p>
        </w:tc>
        <w:tc>
          <w:tcPr>
            <w:tcW w:w="3664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Услуги по эксплуатации АИС ОГУ для обеспечения бесперебойной работы и функционирования АИС ОГУ, а также поддержка пользователей АИС ОГУ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80"/>
        </w:trPr>
        <w:tc>
          <w:tcPr>
            <w:tcW w:w="1109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Участник СМЭВ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27" w:type="pct"/>
            <w:textDirection w:val="lrTb"/>
            <w:noWrap w:val="false"/>
          </w:tcPr>
          <w:p>
            <w:pPr>
              <w:ind w:firstLine="0"/>
              <w:jc w:val="both"/>
              <w:spacing w:line="276" w:lineRule="auto"/>
              <w:shd w:val="clear" w:color="ffffff" w:themeColor="background1" w:fill="ffffff" w:themeFill="background1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  <w:lang w:eastAsia="zh-CN"/>
              </w:rPr>
              <w:t xml:space="preserve">-</w:t>
            </w:r>
            <w:r>
              <w:rPr>
                <w:color w:val="000000"/>
                <w:highlight w:val="white"/>
              </w:rPr>
            </w:r>
            <w:r>
              <w:rPr>
                <w:color w:val="000000"/>
                <w:highlight w:val="white"/>
              </w:rPr>
            </w:r>
          </w:p>
        </w:tc>
        <w:tc>
          <w:tcPr>
            <w:tcW w:w="3664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Федеральный орган исполнительной власти или иная организация, заключившая с </w:t>
            </w:r>
            <w:r>
              <w:rPr>
                <w:sz w:val="26"/>
                <w:highlight w:val="white"/>
              </w:rPr>
              <w:t xml:space="preserve">Минцифры</w:t>
            </w:r>
            <w:r>
              <w:rPr>
                <w:sz w:val="26"/>
                <w:highlight w:val="white"/>
              </w:rPr>
              <w:t xml:space="preserve"> России в установленном порядке Соглашение о взаимодействии при обеспечении предоставления государственных услуг и исполнении государственных функций</w:t>
            </w:r>
            <w:r>
              <w:rPr>
                <w:sz w:val="26"/>
                <w:highlight w:val="white"/>
              </w:rPr>
              <w:t xml:space="preserve"> в электронном виде, получившая в установленном порядке оборудование для подключения к СМЭВ и осуществляющая приём и/или передачу сведений (документов) в электронном виде посредством электронных сервисов, соответствующих требованиям, утвержденным приказом </w:t>
            </w:r>
            <w:r>
              <w:rPr>
                <w:sz w:val="26"/>
                <w:highlight w:val="white"/>
              </w:rPr>
              <w:t xml:space="preserve">Минцифры</w:t>
            </w:r>
            <w:r>
              <w:rPr>
                <w:sz w:val="26"/>
                <w:highlight w:val="white"/>
              </w:rPr>
              <w:t xml:space="preserve"> России от 23.06.2015 № 210 «Об утверждении Технических требований к взаимодействию информационных систем в единой системе межведомственного электронного взаимодействия», в рамках межведомственного взаимодействия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80"/>
        </w:trPr>
        <w:tc>
          <w:tcPr>
            <w:tcW w:w="1109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Электронный сервис (вид сведений) СМЭВ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27" w:type="pct"/>
            <w:textDirection w:val="lrTb"/>
            <w:noWrap w:val="false"/>
          </w:tcPr>
          <w:p>
            <w:pPr>
              <w:ind w:firstLine="0"/>
              <w:jc w:val="both"/>
              <w:spacing w:line="276" w:lineRule="auto"/>
              <w:shd w:val="clear" w:color="ffffff" w:themeColor="background1" w:fill="ffffff" w:themeFill="background1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  <w:lang w:eastAsia="zh-CN"/>
              </w:rPr>
              <w:t xml:space="preserve">-</w:t>
            </w:r>
            <w:r>
              <w:rPr>
                <w:color w:val="000000"/>
                <w:highlight w:val="white"/>
              </w:rPr>
            </w:r>
            <w:r>
              <w:rPr>
                <w:color w:val="000000"/>
                <w:highlight w:val="white"/>
              </w:rPr>
            </w:r>
          </w:p>
        </w:tc>
        <w:tc>
          <w:tcPr>
            <w:tcW w:w="3664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Программное обеспечение Участника СМЭВ, осуществляющее приём и/или передачу сведений (документов) в электронном виде посредством электронных сервисов, соответствующих требованиям установленным приказом </w:t>
            </w:r>
            <w:r>
              <w:rPr>
                <w:sz w:val="26"/>
                <w:highlight w:val="white"/>
              </w:rPr>
              <w:t xml:space="preserve">Минцифры</w:t>
            </w:r>
            <w:r>
              <w:rPr>
                <w:sz w:val="26"/>
                <w:highlight w:val="white"/>
              </w:rPr>
              <w:t xml:space="preserve"> России от 23.06.2015 № 210 «Об утверждении Технических требований к взаимодействию информационных систем в единой системе межведомственного электронного взаимодействия»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</w:tbl>
    <w:p>
      <w:pPr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shd w:val="clear" w:color="ffffff" w:themeColor="background1" w:fill="ffffff" w:themeFill="background1"/>
        <w:rPr>
          <w:b/>
          <w:bCs/>
          <w:highlight w:val="white"/>
        </w:rPr>
      </w:pPr>
      <w:r>
        <w:rPr>
          <w:highlight w:val="white"/>
        </w:rPr>
      </w:r>
      <w:bookmarkStart w:id="5" w:name="_Toc3"/>
      <w:r>
        <w:rPr>
          <w:b/>
          <w:bCs/>
          <w:highlight w:val="white"/>
        </w:rPr>
        <w:t xml:space="preserve">3.1. Общие сведения</w:t>
      </w:r>
      <w:bookmarkEnd w:id="5"/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szCs w:val="26"/>
          <w:highlight w:val="white"/>
        </w:rPr>
      </w:pPr>
      <w:r>
        <w:rPr>
          <w:szCs w:val="26"/>
          <w:highlight w:val="white"/>
        </w:rPr>
        <w:t xml:space="preserve">ТЗ </w:t>
      </w:r>
      <w:r>
        <w:rPr>
          <w:szCs w:val="26"/>
          <w:highlight w:val="white"/>
        </w:rPr>
        <w:t xml:space="preserve">содержит информацию, необходимую для оказания услуг по эксплуатации Федеральной государственной информационной системы «Автоматизированная информационная система оказания государственных услуг Федерального агентства воздушного транспорта».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b/>
          <w:bCs/>
          <w:szCs w:val="26"/>
          <w:highlight w:val="white"/>
        </w:rPr>
      </w:pPr>
      <w:r>
        <w:rPr>
          <w:b/>
          <w:bCs/>
          <w:szCs w:val="26"/>
          <w:highlight w:val="white"/>
        </w:rPr>
        <w:t xml:space="preserve">3.1.1. Наименование объекта закупки</w:t>
      </w:r>
      <w:r>
        <w:rPr>
          <w:b/>
          <w:bCs/>
          <w:szCs w:val="26"/>
          <w:highlight w:val="white"/>
        </w:rPr>
      </w:r>
      <w:r>
        <w:rPr>
          <w:b/>
          <w:bCs/>
          <w:szCs w:val="26"/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szCs w:val="26"/>
          <w:highlight w:val="white"/>
        </w:rPr>
      </w:pPr>
      <w:r>
        <w:rPr>
          <w:szCs w:val="26"/>
          <w:highlight w:val="white"/>
        </w:rPr>
        <w:t xml:space="preserve">Эксплуатация Федеральной государственной информационной системы «Автоматизированная информационная система оказания государственных услуг Федерального агентства воздушного транспорта» (далее Услуги).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szCs w:val="26"/>
          <w:highlight w:val="white"/>
        </w:rPr>
      </w:pPr>
      <w:r>
        <w:rPr>
          <w:szCs w:val="26"/>
          <w:highlight w:val="white"/>
        </w:rPr>
        <w:t xml:space="preserve">Под оказанием Услуг подразумевается обеспече</w:t>
      </w:r>
      <w:r>
        <w:rPr>
          <w:szCs w:val="26"/>
          <w:highlight w:val="white"/>
        </w:rPr>
        <w:t xml:space="preserve">ние бесперебойной работы и функционирования Федеральной государственной информационной системы «Автоматизированная информационная система оказания государственных услуг Федерального агентства воздушного транспорта», а также поддержка пользователей системы.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b/>
          <w:bCs/>
          <w:szCs w:val="26"/>
          <w:highlight w:val="white"/>
        </w:rPr>
      </w:pPr>
      <w:r>
        <w:rPr>
          <w:b/>
          <w:bCs/>
          <w:szCs w:val="26"/>
          <w:highlight w:val="white"/>
        </w:rPr>
        <w:t xml:space="preserve">3.1.2. Наименование системы и ее условное обозначение</w:t>
      </w:r>
      <w:r>
        <w:rPr>
          <w:b/>
          <w:bCs/>
          <w:szCs w:val="26"/>
          <w:highlight w:val="white"/>
        </w:rPr>
      </w:r>
      <w:r>
        <w:rPr>
          <w:b/>
          <w:bCs/>
          <w:szCs w:val="26"/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szCs w:val="26"/>
          <w:highlight w:val="white"/>
        </w:rPr>
      </w:pPr>
      <w:r>
        <w:rPr>
          <w:szCs w:val="26"/>
          <w:highlight w:val="white"/>
        </w:rPr>
        <w:t xml:space="preserve">Полное наименование системы: Федеральная государственная информационная система «Автоматизированная информационная система оказания государственных услуг Федерального агентства воздушного транспорта». 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b/>
          <w:bCs/>
          <w:szCs w:val="26"/>
          <w:highlight w:val="white"/>
        </w:rPr>
      </w:pPr>
      <w:r>
        <w:rPr>
          <w:b/>
          <w:bCs/>
          <w:szCs w:val="26"/>
          <w:highlight w:val="white"/>
        </w:rPr>
        <w:t xml:space="preserve">3.1.3. Наименование заказчика</w:t>
      </w:r>
      <w:r>
        <w:rPr>
          <w:b/>
          <w:bCs/>
          <w:szCs w:val="26"/>
          <w:highlight w:val="white"/>
        </w:rPr>
      </w:r>
      <w:r>
        <w:rPr>
          <w:b/>
          <w:bCs/>
          <w:szCs w:val="26"/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szCs w:val="26"/>
          <w:highlight w:val="white"/>
        </w:rPr>
      </w:pPr>
      <w:r>
        <w:rPr>
          <w:szCs w:val="26"/>
          <w:highlight w:val="white"/>
        </w:rPr>
        <w:t xml:space="preserve">Полное наименование организации-заказчика: Федеральное агентство воздушного транспорта.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szCs w:val="26"/>
          <w:highlight w:val="white"/>
        </w:rPr>
      </w:pPr>
      <w:r>
        <w:rPr>
          <w:b/>
          <w:bCs/>
          <w:szCs w:val="26"/>
          <w:highlight w:val="white"/>
        </w:rPr>
        <w:t xml:space="preserve">3.1.4. Наименование исполнителя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szCs w:val="26"/>
          <w:highlight w:val="white"/>
        </w:rPr>
      </w:pPr>
      <w:r>
        <w:rPr>
          <w:szCs w:val="26"/>
          <w:highlight w:val="white"/>
        </w:rPr>
        <w:t xml:space="preserve">Исполнителем является организация, определяемая по итогам конкурентных процедур на оказание Услуг, в соответствии с ТЗ.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szCs w:val="26"/>
          <w:highlight w:val="white"/>
        </w:rPr>
      </w:pPr>
      <w:r>
        <w:rPr>
          <w:b/>
          <w:bCs/>
          <w:szCs w:val="26"/>
          <w:highlight w:val="white"/>
        </w:rPr>
        <w:t xml:space="preserve">3.1.5. Перечень документов, на основании которых оказываются услуги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szCs w:val="26"/>
          <w:highlight w:val="white"/>
        </w:rPr>
      </w:pPr>
      <w:r>
        <w:rPr>
          <w:szCs w:val="26"/>
          <w:highlight w:val="white"/>
        </w:rPr>
        <w:t xml:space="preserve">Основанием оказания Услуг является следующий перечень нормативных и руководящих документов: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Федеральный закон Российской Федерации от 27.07.2010 № 210-ФЗ «Об организации предоставления государственных и муниципальных услуг»;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Воздушный кодекс Российской Федерации от 19.03.1997 № 60-ФЗ;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Федеральный закон Российской Федерации от 06.04.2011 № 63-ФЗ «Об электронной подписи»;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Федеральный закон от 27.07.2006 № 149-ФЗ «Об информации, информационных технологиях и о защите информации»;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Федеральный закон от 27.07.2006 № 152-ФЗ «О персональных данных»;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Постановление Правительства Российской Федерации от 30.07.2004 № 396 «Об утверждении Положения о Федеральном агентстве воздушного транспорта»;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Постановление Правительства Российской Федерации от 01.11.2012 № 1119 «Об утверждении требований к защите персональных данных при их обработке в информационных системах персональных данных»;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Постановление Правительства Российской Федерации от 08.09.2010 № 697 «О единой системе межведомственного электронного взаимодействия»;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Постановление Правительства Российской Федерации от 28.11.2011 № 977 «О федеральной государственной информ</w:t>
      </w:r>
      <w:r>
        <w:rPr>
          <w:szCs w:val="26"/>
          <w:highlight w:val="white"/>
        </w:rPr>
        <w:t xml:space="preserve">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форме»;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Постановление Правительства Российской Федерации от 19.11.2014 № 1222 «О дальнейшем развитии единой системы межведомственного электронного взаимодействия»;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Постановление Правительства Российской Федерации от 09.02.2012 № 111 «Об электронной подписи, </w:t>
      </w:r>
      <w:r>
        <w:rPr>
          <w:szCs w:val="26"/>
          <w:highlight w:val="white"/>
        </w:rPr>
        <w:t xml:space="preserve">используемой органами исполнительной власти и органами местного самоуправления при организации электронного взаимодействия между собой, о порядке ее использования, а также об установлении требований к обеспечению совместимости средств электронной подписи»;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Приказ Министерства связи и массовых коммуникаций Российской Федерации от 23.06.2015 № 210 «Об утверждении Технических требований к взаимодействию информационных систем в единой системе межведомственного электронного взаимодействия»;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Постановление Правительства Российской Федерации от 25.05.2019 № 658 «</w:t>
      </w:r>
      <w:r>
        <w:rPr>
          <w:highlight w:val="white"/>
        </w:rPr>
        <w:t xml:space="preserve">Об утверждении Правил государственного учета беспилотных гражданских воздушных судов с максимальной взлетной массой от 0,15 килограмма до 30 килограммов, </w:t>
      </w:r>
      <w:r>
        <w:rPr>
          <w:highlight w:val="white"/>
        </w:rPr>
        <w:t xml:space="preserve">сверхлегких пилотируемых гражданских воздушных судов с массой конструкции 115 килограммов и менее</w:t>
      </w:r>
      <w:r>
        <w:rPr>
          <w:highlight w:val="white"/>
        </w:rPr>
        <w:t xml:space="preserve">, ввезенных в Российскую Федерацию или произведенных в Российской Федерации</w:t>
      </w:r>
      <w:r>
        <w:rPr>
          <w:szCs w:val="26"/>
          <w:highlight w:val="white"/>
        </w:rPr>
        <w:t xml:space="preserve">»;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Постановление Правительства Российской Федерации от 28.11.2009 № 958 «Об утверждении Правил ведения Единого государственного реестра прав на воздушные суда и сделок с ними»;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Приказ Казначейства России от 12.05.2017 № 11н «Об утверждении Порядка ведения Государственной информационной системы о государственных и муниципальных платежах»;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Приказ ФС</w:t>
      </w:r>
      <w:r>
        <w:rPr>
          <w:szCs w:val="26"/>
          <w:highlight w:val="white"/>
        </w:rPr>
        <w:t xml:space="preserve">ТЭК России от 11.04.2025 № 117 «Об утверждении Требований о защите информации, содержащейся в государственных информационных системах, иных информационных системах государственных органов, государственных унитарных предприятий, государственных учреждений»;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Приказ ФСТЭК России от 18.02.2013 № 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данных»;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Приказ ФСБ России от 10.07.2014 № 378 «Об утверждении Состава и содержания организационных и технических мер по обеспечению безопасности персональных данных при их обработке в инфо</w:t>
      </w:r>
      <w:r>
        <w:rPr>
          <w:szCs w:val="26"/>
          <w:highlight w:val="white"/>
        </w:rPr>
        <w:t xml:space="preserve">рмационных системах персональных данных с использованием средств криптографической защиты информации,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защищенности»;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Приказ Министерства транспорта Российской Федерации (далее Минт</w:t>
      </w:r>
      <w:r>
        <w:rPr>
          <w:szCs w:val="26"/>
          <w:highlight w:val="white"/>
        </w:rPr>
        <w:t xml:space="preserve">ранс России) от 09.07.2012 № 208 «Об утверждении Административного регламента Федерального агентства воздушного транспорта предоставления государственной услуги по аэронавигационному обслуживанию пользователей воздушного пространства Российской Федерации»;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Приказ Минтранса России от 06.05.2013 № 171 </w:t>
      </w:r>
      <w:r>
        <w:rPr>
          <w:szCs w:val="26"/>
          <w:highlight w:val="white"/>
        </w:rPr>
        <w:t xml:space="preserve">«Об утверждении Административного регламента Федерального агентства воздушного транспорта предоставления государственной услуги по утверждению результатов оценки уязвимости объектов транспортной инфраструктуры и транспортных средств воздушного транспорта»;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Приказ Минтранса России от 01.11.2021 № 370 «О Порядке проведения оценки уязвимости объектов транспортной инфраструктуры, су</w:t>
      </w:r>
      <w:r>
        <w:rPr>
          <w:szCs w:val="26"/>
          <w:highlight w:val="white"/>
        </w:rPr>
        <w:t xml:space="preserve">дов ледокольного флота, используемых для проводки по морским путям, судов, в отношении которых применяются правила торгового мореплавания и требования в области охраны судов и портовых средств, установленные международными договорами Российской Федерации»;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Приказ Минтранса России от 06.03.2013 № 73 «Об утверждени</w:t>
      </w:r>
      <w:r>
        <w:rPr>
          <w:szCs w:val="26"/>
          <w:highlight w:val="white"/>
        </w:rPr>
        <w:t xml:space="preserve">и Административного регламента Федерального агентства воздушного транспорта предоставления государственной услуги по утверждению планов обеспечения транспортной безопасности объектов транспортной инфраструктуры и транспортных средств воздушного транспорта»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Приказ Министерства тр</w:t>
      </w:r>
      <w:r>
        <w:rPr>
          <w:szCs w:val="26"/>
          <w:highlight w:val="white"/>
        </w:rPr>
        <w:t xml:space="preserve">анспорта Российской Федерации от 22.10.2014 № 298 «Об утверждении Административного регламента Федерального агентства воздушного транспорта предоставления государственной услуги по выдаче свидетельств лицам из числа специалистов авиационного персонала граж</w:t>
      </w:r>
      <w:r>
        <w:rPr>
          <w:szCs w:val="26"/>
          <w:highlight w:val="white"/>
        </w:rPr>
        <w:t xml:space="preserve">данской авиации, допускаемым к выполнению функции членов экипажа гражданского воздушного судна, сотрудников по обеспечению полетов гражданской авиации, функции по техническому обслуживанию воздушных судов и диспетчерскому обслуживанию воздушного движения»;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Приказ Минтранса России от 28.01</w:t>
      </w:r>
      <w:r>
        <w:rPr>
          <w:szCs w:val="26"/>
          <w:highlight w:val="white"/>
        </w:rPr>
        <w:t xml:space="preserve">.2026 № 36 «Об утверждении Федеральных авиационных правил «Требования к юридическим лицам, осуществляющим аэронавигационное обслуживание полетов воздушных судов пользователей воздушного пространства Российской Федерации, порядок ведения реестра таких лиц»;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Приказ Министерства транспорта Российской Федерации от 04.04.2022 № 116 «Об утверждении Федеральны</w:t>
      </w:r>
      <w:r>
        <w:rPr>
          <w:szCs w:val="26"/>
          <w:highlight w:val="white"/>
        </w:rPr>
        <w:t xml:space="preserve">х авиационных правил «Порядок проведения обязательной сертификации радиотехнического оборудования и оборудования авиационной электросвязи, используемых для обслуживания воздушного движения. Порядок проведения обязательной сертификации деятельности юридичес</w:t>
      </w:r>
      <w:r>
        <w:rPr>
          <w:szCs w:val="26"/>
          <w:highlight w:val="white"/>
        </w:rPr>
        <w:t xml:space="preserve">ких лиц, осуществляющих изготовление радиотехнического оборудования и оборудования авиационной электросвязи, используемых для обслуживания воздушного движения. Порядок приостановления действия, введения ограничений в действие и аннулирования сертификатов»;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Приказ Министерства транспорта Российской Федерации от 14.02.2013 № 43 «Об утверждении Административного регламента Федерального агентства возд</w:t>
      </w:r>
      <w:r>
        <w:rPr>
          <w:szCs w:val="26"/>
          <w:highlight w:val="white"/>
        </w:rPr>
        <w:t xml:space="preserve">ушного транспорта предоставления государственной услуги по выдаче разрешений на выполнение разовых полетов воздушных судов, если такие разрешения обусловлены особыми условиями эксплуатации воздушного судна и необходимы для обеспечения безопасности полета»;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Приказ Министер</w:t>
      </w:r>
      <w:r>
        <w:rPr>
          <w:szCs w:val="26"/>
          <w:highlight w:val="white"/>
        </w:rPr>
        <w:t xml:space="preserve">ства транспорта Российской Федерации от 06.05.2013 № 170 «Об утверждении Административного регламента Федерального агентства воздушного транспорта предоставления государственной услуги по государственной регистрации прав на воздушные суда и сделок с ними»;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Приказ Министерства транспорта Росси</w:t>
      </w:r>
      <w:r>
        <w:rPr>
          <w:szCs w:val="26"/>
          <w:highlight w:val="white"/>
        </w:rPr>
        <w:t xml:space="preserve">йской Федерации от 26.07.2012 № 275 «Об утверждении Административного регламента Федерального агентства воздушного транспорта предоставления государственной услуги по выдаче разрешений на бортовые радиостанции, используемые на гражданских воздушных судах»;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highlight w:val="white"/>
        </w:rPr>
        <w:t xml:space="preserve">П</w:t>
      </w:r>
      <w:r>
        <w:rPr>
          <w:highlight w:val="white"/>
        </w:rPr>
        <w:t xml:space="preserve">риказ Минтранса России от 24.04.2025 № 141 </w:t>
      </w:r>
      <w:r>
        <w:rPr>
          <w:szCs w:val="26"/>
          <w:highlight w:val="white"/>
        </w:rPr>
        <w:t xml:space="preserve">«</w:t>
      </w:r>
      <w:r>
        <w:rPr>
          <w:highlight w:val="white"/>
        </w:rPr>
        <w:t xml:space="preserve">Об утверждении Федеральных авиационных правил </w:t>
      </w:r>
      <w:r>
        <w:rPr>
          <w:szCs w:val="26"/>
          <w:highlight w:val="white"/>
        </w:rPr>
        <w:t xml:space="preserve">«</w:t>
      </w:r>
      <w:r>
        <w:rPr>
          <w:highlight w:val="white"/>
        </w:rPr>
        <w:t xml:space="preserve">Порядок допуска перевозчиков к выполнению регулярных и чартерных международных воздушных перевозок пассажиров, багажа, грузов и почты</w:t>
      </w:r>
      <w:r>
        <w:rPr>
          <w:szCs w:val="26"/>
          <w:highlight w:val="white"/>
        </w:rPr>
        <w:t xml:space="preserve">»»</w:t>
      </w:r>
      <w:r>
        <w:rPr>
          <w:szCs w:val="26"/>
          <w:highlight w:val="white"/>
        </w:rPr>
        <w:t xml:space="preserve">;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Приказ Министерства транспорта Российской Федерации от 13.02.2013 № 39 «Об утверждении Административного регламента Федерального агентства воздушного транспорта предоставления государственной услуги по предоставлению в установленном порядке </w:t>
      </w:r>
      <w:r>
        <w:rPr>
          <w:szCs w:val="26"/>
          <w:highlight w:val="white"/>
        </w:rPr>
        <w:t xml:space="preserve">эксплуатантам</w:t>
      </w:r>
      <w:r>
        <w:rPr>
          <w:szCs w:val="26"/>
          <w:highlight w:val="white"/>
        </w:rPr>
        <w:t xml:space="preserve"> воздушных судов освобождений от выполнения установленных требований, связанных с перевозкой опасных грузов воздушным транспортом»;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Приказ Министерства транспорта Российской Федерации от 18.12.2024 № 444 «Об утверждении требований к сертификационным центрам и испытательным лабораториям, порядка аккредитации сертификационных центров и испытательны</w:t>
      </w:r>
      <w:r>
        <w:rPr>
          <w:szCs w:val="26"/>
          <w:highlight w:val="white"/>
        </w:rPr>
        <w:t xml:space="preserve">х лабораторий, приостановления действия аттестата аккредитации сертификационных центров и испытательных лабораторий, сокращения области аккредитации сертификационных центров и испытательных лабораторий, аннулирования аттестата аккредитации сертификационных</w:t>
      </w:r>
      <w:r>
        <w:rPr>
          <w:szCs w:val="26"/>
          <w:highlight w:val="white"/>
        </w:rPr>
        <w:t xml:space="preserve"> центров и испытательных лабораторий и осуществления контроля за деятельностью сертификационных центров и испытательных лабораторий, требований к реестру аккредитованных сертификационных центров, испытательных лабораторий и порядка ведения такого реестра»;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Приказ Министерства транспорта Российской Федерации от 17.06.2019 № 184 «Об утверждении Федеральных авиационных правил «Сертификация авиационной техники, организаций разработчиков и изготовителей. Часть 21»;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Приказ Министерства транспорта Российской Федерации от 26.07.2012 № 271 «Об утверждении Административного регламента Федерального агентства воздушного транспорта предоставления государственно</w:t>
      </w:r>
      <w:r>
        <w:rPr>
          <w:szCs w:val="26"/>
          <w:highlight w:val="white"/>
        </w:rPr>
        <w:t xml:space="preserve">й услуги по выдаче разрешений в случаях, установленных законодательством Российской Федерации, на выполнение международных полетов из аэропортов, с аэродромов Российской Федерации, не открытых Правительством Российской Федерации для международных полетов»;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Приказ </w:t>
      </w:r>
      <w:r>
        <w:rPr>
          <w:szCs w:val="26"/>
          <w:highlight w:val="white"/>
        </w:rPr>
        <w:t xml:space="preserve">Росавиации</w:t>
      </w:r>
      <w:r>
        <w:rPr>
          <w:szCs w:val="26"/>
          <w:highlight w:val="white"/>
        </w:rPr>
        <w:t xml:space="preserve"> от 19.12.2025 № 991-П «О вводе в</w:t>
      </w:r>
      <w:r>
        <w:rPr>
          <w:szCs w:val="26"/>
          <w:highlight w:val="white"/>
        </w:rPr>
        <w:t xml:space="preserve"> эксплуатацию федеральной государственной информационной системы «Автоматизированная информационная система оказания государственных услуг Федерального агентства воздушного транспорта», доработанной в рамках государственного контракта от 12 ноября 2025 г. </w:t>
      </w:r>
      <w:r>
        <w:rPr>
          <w:szCs w:val="26"/>
          <w:highlight w:val="white"/>
        </w:rPr>
        <w:br/>
        <w:t xml:space="preserve">№ 0173100002925000030 на оказание услуг по доработке и интеграции федеральной и государственной информационной системы «Автоматизированная информационная система оказания государственных услуг Федерального агентства воздушного транспорта»;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Приказ </w:t>
      </w:r>
      <w:r>
        <w:rPr>
          <w:szCs w:val="26"/>
          <w:highlight w:val="white"/>
        </w:rPr>
        <w:t xml:space="preserve">Росавиации</w:t>
      </w:r>
      <w:r>
        <w:rPr>
          <w:szCs w:val="26"/>
          <w:highlight w:val="white"/>
        </w:rPr>
        <w:t xml:space="preserve"> от 28.10.2019 № 1040-П «Об утверждении Административного регламента Федерального агентст</w:t>
      </w:r>
      <w:r>
        <w:rPr>
          <w:szCs w:val="26"/>
          <w:highlight w:val="white"/>
        </w:rPr>
        <w:t xml:space="preserve">ва воздушного транспорта предоставления государственной услуги по учету беспилотных гражданских воздушных судов с максимальной взлетной массой от 0,25 килограмма до 30 килограммов, ввезенных в Российскую Федерацию или произведенных в Российской Федерации»;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Приказ </w:t>
      </w:r>
      <w:r>
        <w:rPr>
          <w:szCs w:val="26"/>
          <w:highlight w:val="white"/>
        </w:rPr>
        <w:t xml:space="preserve">Росавиации</w:t>
      </w:r>
      <w:r>
        <w:rPr>
          <w:szCs w:val="26"/>
          <w:highlight w:val="white"/>
        </w:rPr>
        <w:t xml:space="preserve"> от 19.06.2026 № 347-П «Об утверждении Положения о порядке функционирования модуля «Реестр </w:t>
      </w:r>
      <w:r>
        <w:rPr>
          <w:szCs w:val="26"/>
          <w:highlight w:val="white"/>
        </w:rPr>
        <w:t xml:space="preserve">эксплуатантов</w:t>
      </w:r>
      <w:r>
        <w:rPr>
          <w:szCs w:val="26"/>
          <w:highlight w:val="white"/>
        </w:rPr>
        <w:t xml:space="preserve"> и воздушных судов» федеральной государственной информационной системы «Автоматизированная информационная система оказания государственных услуг» Федерального агентства воздушного транспорта и о применении его информации»;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Приказ </w:t>
      </w:r>
      <w:r>
        <w:rPr>
          <w:szCs w:val="26"/>
          <w:highlight w:val="white"/>
        </w:rPr>
        <w:t xml:space="preserve">Росавиации</w:t>
      </w:r>
      <w:r>
        <w:rPr>
          <w:szCs w:val="26"/>
          <w:highlight w:val="white"/>
        </w:rPr>
        <w:t xml:space="preserve"> от 04.03.2020 № 260-П «Об утверждении Административного регламента Фед</w:t>
      </w:r>
      <w:r>
        <w:rPr>
          <w:szCs w:val="26"/>
          <w:highlight w:val="white"/>
        </w:rPr>
        <w:t xml:space="preserve">ерального агентства воздушного транспорта предоставления государственной услуги по выдаче разрешений на строительство и ввод в эксплуатацию аэропортов или иных объектов инфраструктуры воздушного транспорта, являющихся объектами капитального строительства»;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Приказ </w:t>
      </w:r>
      <w:r>
        <w:rPr>
          <w:szCs w:val="26"/>
          <w:highlight w:val="white"/>
        </w:rPr>
        <w:t xml:space="preserve">Росавиации</w:t>
      </w:r>
      <w:r>
        <w:rPr>
          <w:szCs w:val="26"/>
          <w:highlight w:val="white"/>
        </w:rPr>
        <w:t xml:space="preserve"> от 15.09.2011 № 551 «О Федеральных государственных информационных системах «Реестр </w:t>
      </w:r>
      <w:r>
        <w:rPr>
          <w:szCs w:val="26"/>
          <w:highlight w:val="white"/>
        </w:rPr>
        <w:t xml:space="preserve">эксплуатантов</w:t>
      </w:r>
      <w:r>
        <w:rPr>
          <w:szCs w:val="26"/>
          <w:highlight w:val="white"/>
        </w:rPr>
        <w:t xml:space="preserve"> и воздушных судов» и «Реестр выданных свидетельств авиационного персонала»;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Приказ </w:t>
      </w:r>
      <w:r>
        <w:rPr>
          <w:szCs w:val="26"/>
          <w:highlight w:val="white"/>
        </w:rPr>
        <w:t xml:space="preserve">Росавиации</w:t>
      </w:r>
      <w:r>
        <w:rPr>
          <w:szCs w:val="26"/>
          <w:highlight w:val="white"/>
        </w:rPr>
        <w:t xml:space="preserve"> от 18.12.2015 № 850 «О программном продукте, применяемом для информационной поддержки выдачи свидетельств диспетчерам управления воздушным движением»;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Приказ </w:t>
      </w:r>
      <w:r>
        <w:rPr>
          <w:szCs w:val="26"/>
          <w:highlight w:val="white"/>
        </w:rPr>
        <w:t xml:space="preserve">Росавиации</w:t>
      </w:r>
      <w:r>
        <w:rPr>
          <w:szCs w:val="26"/>
          <w:highlight w:val="white"/>
        </w:rPr>
        <w:t xml:space="preserve"> от 21.02.2011 № 82 «О вводе в эксплуатацию Автоматизированной информационной системы оказания государственных услуг Федерального агентства воздушного транспорта»;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Методические рекомендации по работе с Единой системой межведомственного электронного взаимодействия (далее СМЭВ), актуальная версия которых расположена на технологическом портале СМЭВ (далее Методические рекомендации);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Правила и процедуры работы в СМЭВ по Методическим рекомендациям версии </w:t>
      </w:r>
      <w:r>
        <w:rPr>
          <w:szCs w:val="26"/>
          <w:highlight w:val="white"/>
        </w:rPr>
        <w:t xml:space="preserve">3.XX.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shd w:val="clear" w:color="ffffff" w:themeColor="background1" w:fill="ffffff" w:themeFill="background1"/>
        <w:rPr>
          <w:highlight w:val="white"/>
        </w:rPr>
      </w:pPr>
      <w:r>
        <w:rPr>
          <w:b/>
          <w:bCs/>
          <w:highlight w:val="white"/>
        </w:rPr>
        <w:t xml:space="preserve">3.2. </w:t>
      </w:r>
      <w:bookmarkStart w:id="6" w:name="_Toc4"/>
      <w:r>
        <w:rPr>
          <w:b/>
          <w:bCs/>
          <w:highlight w:val="white"/>
        </w:rPr>
        <w:t xml:space="preserve">Характеристика объекта автоматизации</w:t>
      </w:r>
      <w:bookmarkEnd w:id="6"/>
      <w:r>
        <w:rPr>
          <w:highlight w:val="white"/>
        </w:rPr>
      </w:r>
      <w:r>
        <w:rPr>
          <w:highlight w:val="white"/>
        </w:rPr>
      </w:r>
    </w:p>
    <w:p>
      <w:pPr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</w:r>
      <w:bookmarkStart w:id="7" w:name="_Hlk192518042"/>
      <w:r>
        <w:rPr>
          <w:highlight w:val="white"/>
        </w:rPr>
        <w:t xml:space="preserve">АИС ОГУ обеспечивает автоматизацию процессов сбора, обработки и хранения информации при оказании Заказчиком государственных услуг и выполнения функций в сфере воздушного транспорта (гражданской авиации).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АИС ОГУ содержит защищае</w:t>
      </w:r>
      <w:r>
        <w:rPr>
          <w:highlight w:val="white"/>
        </w:rPr>
        <w:t xml:space="preserve">мую информацию – информацию, подлежащую защите в соответствии с требованиями законодательства Российской Федерации, в том числе персональные данные. Обработка информации, содержащей сведения, составляющие государственную тайну, в АИС ОГУ не осуществляется.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АИС ОГУ является государственно</w:t>
      </w:r>
      <w:r>
        <w:rPr>
          <w:highlight w:val="white"/>
        </w:rPr>
        <w:t xml:space="preserve">й информационной системой 1 (первого) класса защищенности, объектом критической информационной инфраструктуры Российской Федерации 1 (первой) категории значимости, в которой обеспечивается 2 (второй) уровень защищенности персональных данных, принадлежащая </w:t>
      </w:r>
      <w:r>
        <w:rPr>
          <w:highlight w:val="white"/>
        </w:rPr>
        <w:t xml:space="preserve">Росавиации</w:t>
      </w:r>
      <w:r>
        <w:rPr>
          <w:highlight w:val="white"/>
        </w:rPr>
        <w:t xml:space="preserve">.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АИС ОГУ соответствует Требованиям о защите информации, содержащейся в государственных информационных системах, иных информационных системах государственных органов, государственных унитарных предприя</w:t>
      </w:r>
      <w:r>
        <w:rPr>
          <w:highlight w:val="white"/>
        </w:rPr>
        <w:t xml:space="preserve">тий, государственных учреждений (утверждены приказом ФСТЭК России от 11.04.2025 № 117), Требованиям по обеспечению безопасности значимых объектов критической информационной инфраструктуры Российской Федерации (утверждены приказом ФСТЭК России от 25.12.2017</w:t>
      </w:r>
      <w:r>
        <w:rPr>
          <w:highlight w:val="white"/>
        </w:rPr>
        <w:t xml:space="preserve"> № 239) и Требованиям к защите персональных данных при их обработке в информационных системах персональных данных (утверждены постановлением Правительства Российской Федерации от 01.11.2012 № 1119), что подтверждено соответствующим аттестатом соответствия.</w:t>
      </w:r>
      <w:bookmarkEnd w:id="7"/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b/>
          <w:bCs/>
          <w:highlight w:val="white"/>
        </w:rPr>
        <w:t xml:space="preserve">3.2.1. Компоненты системы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Состав компонентов АИС ОГУ и распределение зоны ответственности по оказанию Услуг компонентов АИС ОГУ приведены в Таблице 2.1.</w:t>
      </w:r>
      <w:r>
        <w:rPr>
          <w:highlight w:val="white"/>
        </w:rPr>
      </w:r>
      <w:r>
        <w:rPr>
          <w:highlight w:val="white"/>
        </w:rPr>
      </w:r>
    </w:p>
    <w:p>
      <w:pPr>
        <w:pStyle w:val="1284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Таблица 2.1 – Компоненты АИС ОГУ с распределением зоны ответственности по оказанию Услуг </w:t>
      </w:r>
      <w:r>
        <w:rPr>
          <w:highlight w:val="white"/>
        </w:rPr>
      </w:r>
      <w:r>
        <w:rPr>
          <w:highlight w:val="white"/>
        </w:rPr>
      </w:r>
    </w:p>
    <w:tbl>
      <w:tblPr>
        <w:tblpPr w:horzAnchor="text" w:tblpXSpec="left" w:vertAnchor="text" w:tblpY="1" w:leftFromText="180" w:topFromText="0" w:rightFromText="180" w:bottomFromText="0"/>
        <w:tblW w:w="10314" w:type="dxa"/>
        <w:tblLayout w:type="fixed"/>
        <w:tblLook w:val="04A0" w:firstRow="1" w:lastRow="0" w:firstColumn="1" w:lastColumn="0" w:noHBand="0" w:noVBand="1"/>
      </w:tblPr>
      <w:tblGrid>
        <w:gridCol w:w="988"/>
        <w:gridCol w:w="6628"/>
        <w:gridCol w:w="2698"/>
      </w:tblGrid>
      <w:tr>
        <w:tblPrEx/>
        <w:trPr>
          <w:trHeight w:val="585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 w:val="false"/>
          </w:tcPr>
          <w:p>
            <w:pPr>
              <w:pStyle w:val="1291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highlight w:val="white"/>
              </w:rPr>
            </w:r>
            <w:bookmarkStart w:id="8" w:name="_Hlk181188087"/>
            <w:r>
              <w:rPr>
                <w:sz w:val="26"/>
                <w:szCs w:val="26"/>
                <w:highlight w:val="white"/>
              </w:rPr>
              <w:t xml:space="preserve">№</w:t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vAlign w:val="center"/>
            <w:textDirection w:val="lrTb"/>
            <w:noWrap w:val="false"/>
          </w:tcPr>
          <w:p>
            <w:pPr>
              <w:pStyle w:val="1291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Наименование</w:t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vAlign w:val="center"/>
            <w:textDirection w:val="lrTb"/>
            <w:noWrap w:val="false"/>
          </w:tcPr>
          <w:p>
            <w:pPr>
              <w:pStyle w:val="1291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Зона ответственности</w:t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</w:tr>
      <w:tr>
        <w:tblPrEx/>
        <w:trPr>
          <w:trHeight w:val="507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4" w:type="dxa"/>
            <w:vAlign w:val="center"/>
            <w:textDirection w:val="lrTb"/>
            <w:noWrap w:val="false"/>
          </w:tcPr>
          <w:p>
            <w:pPr>
              <w:pStyle w:val="1288"/>
              <w:ind w:left="0"/>
              <w:jc w:val="center"/>
              <w:shd w:val="clear" w:color="ffffff" w:themeColor="background1" w:fill="ffffff" w:themeFill="background1"/>
              <w:rPr>
                <w:b/>
                <w:bCs/>
                <w:sz w:val="26"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ФУНКЦИОНАЛЬНЫЕ КОМПОНЕНТЫ АИС ОГУ</w:t>
            </w:r>
            <w:r>
              <w:rPr>
                <w:b/>
                <w:bCs/>
                <w:sz w:val="26"/>
                <w:highlight w:val="white"/>
              </w:rPr>
            </w:r>
            <w:r>
              <w:rPr>
                <w:b/>
                <w:bCs/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0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highlight w:val="white"/>
              </w:rPr>
            </w:r>
            <w:bookmarkStart w:id="9" w:name="_Hlk184894218"/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Подсистема «Интеграции»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Модуль "Межведомственное взаимодействие - потребитель сведений"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rFonts w:eastAsia="Calibri"/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bookmarkEnd w:id="9"/>
            <w:r>
              <w:rPr>
                <w:rFonts w:eastAsia="Calibri"/>
                <w:sz w:val="26"/>
                <w:highlight w:val="white"/>
              </w:rPr>
            </w:r>
            <w:r>
              <w:rPr>
                <w:rFonts w:eastAsia="Calibri"/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2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color w:val="000000"/>
                <w:sz w:val="26"/>
                <w:highlight w:val="white"/>
              </w:rPr>
              <w:t xml:space="preserve">Компонент "Прием информации о погашении начисления"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2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color w:val="000000"/>
                <w:sz w:val="26"/>
                <w:highlight w:val="white"/>
              </w:rPr>
              <w:t xml:space="preserve">Компонент "Прием информации об уплате (информации из распоряжения плательщика)"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2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color w:val="000000"/>
                <w:sz w:val="26"/>
                <w:highlight w:val="white"/>
              </w:rPr>
              <w:t xml:space="preserve">Компонент "Открытые сведения из ЕГРЮЛ по запросам органов государственной власти и организаций, зарегистрированных в СМЭВ"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2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color w:val="000000"/>
                <w:sz w:val="26"/>
                <w:highlight w:val="white"/>
              </w:rPr>
              <w:t xml:space="preserve">Компонент "Предоставление информации о результатах квитирования"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2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color w:val="000000"/>
                <w:sz w:val="26"/>
                <w:highlight w:val="white"/>
              </w:rPr>
              <w:t xml:space="preserve">Компонент "Предоставление необходимой для уплаты информации"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2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color w:val="000000"/>
                <w:sz w:val="26"/>
                <w:highlight w:val="white"/>
              </w:rPr>
              <w:t xml:space="preserve">Компонент "Предоставление сведений о наличии (отсутствии) задолженности в размере отрицательного сальдо ЕНС"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2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color w:val="000000"/>
                <w:sz w:val="26"/>
                <w:highlight w:val="white"/>
              </w:rPr>
              <w:t xml:space="preserve">Компонент "Свидетельство об исключении государственного воздушного судна из государственного учета"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2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color w:val="000000"/>
                <w:sz w:val="26"/>
                <w:highlight w:val="white"/>
              </w:rPr>
              <w:t xml:space="preserve">Компонент "Прием обращений в ФГИС ЕГРН"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2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color w:val="000000"/>
                <w:sz w:val="26"/>
                <w:highlight w:val="white"/>
              </w:rPr>
              <w:t xml:space="preserve">Компонент "Сведения о лицензиях, выданных индивидуальным предпринимателям, передаваемые от лицензирующих органов в ФНС России"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2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color w:val="000000"/>
                <w:sz w:val="26"/>
                <w:highlight w:val="white"/>
              </w:rPr>
              <w:t xml:space="preserve">Компонент "Сведения о лицензиях, выданных юридическим лицам, передаваемые от лицензирующих органов в ФНС России"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2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color w:val="000000"/>
                <w:sz w:val="26"/>
                <w:highlight w:val="white"/>
              </w:rPr>
              <w:t xml:space="preserve">Компонент "Сервисный концентратор"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2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color w:val="000000"/>
                <w:sz w:val="26"/>
                <w:highlight w:val="white"/>
              </w:rPr>
              <w:t xml:space="preserve">Компонент "Сведения из ЕГРИП по запросам органов государственной власти (открытые сведения и сведения о рождении и адресе ИП)"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2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color w:val="000000"/>
                <w:sz w:val="26"/>
                <w:highlight w:val="white"/>
              </w:rPr>
              <w:t xml:space="preserve">Компонент "О соответствии фамильно-именной группы, даты рождения, пола и СНИЛС"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2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color w:val="000000"/>
                <w:sz w:val="26"/>
                <w:highlight w:val="white"/>
              </w:rPr>
              <w:t xml:space="preserve">Компонент "Проверка действительности паспорта"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2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color w:val="000000"/>
                <w:sz w:val="26"/>
                <w:highlight w:val="white"/>
              </w:rPr>
              <w:t xml:space="preserve">Компонент "Запрос номера лицензии в Едином реестре учета лицензий"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2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color w:val="000000"/>
                <w:sz w:val="26"/>
                <w:highlight w:val="white"/>
              </w:rPr>
              <w:t xml:space="preserve">Компонент "Направление дополнительной информации о лицензии в Единый реестр учета лицензий"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2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color w:val="000000"/>
                <w:sz w:val="26"/>
                <w:highlight w:val="white"/>
              </w:rPr>
              <w:t xml:space="preserve">Компонент "Запрос списка лицензирующих органов и их лицензируемых видов деятельности"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2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color w:val="000000"/>
                <w:sz w:val="26"/>
                <w:highlight w:val="white"/>
              </w:rPr>
              <w:t xml:space="preserve">Компонент "Запрос карточки лицензируемого вида деятельности в Едином реестре учета лицензий"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2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color w:val="000000"/>
                <w:sz w:val="26"/>
                <w:highlight w:val="white"/>
              </w:rPr>
              <w:t xml:space="preserve">Компонент "Направление информации о внесении изменений в лицензию в Единый реестр учета лицензий"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2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color w:val="000000"/>
                <w:sz w:val="26"/>
                <w:highlight w:val="white"/>
              </w:rPr>
              <w:t xml:space="preserve">Компонент "Предоставление в ЕРУЛ сведений об отказах на поданные заявления с выявленными нарушениями обязательных требований"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2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color w:val="000000"/>
                <w:sz w:val="26"/>
                <w:highlight w:val="white"/>
              </w:rPr>
              <w:t xml:space="preserve">Компонент "Передача статусов и результатов предоставления государственных и муниципальных услуг"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2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color w:val="000000"/>
                <w:sz w:val="26"/>
                <w:highlight w:val="white"/>
              </w:rPr>
              <w:t xml:space="preserve">Компонент "Сведения об актах, структурных единицах и обязательных требованиях ФГИС РОТ"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2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color w:val="000000"/>
                <w:sz w:val="26"/>
                <w:highlight w:val="white"/>
              </w:rPr>
              <w:t xml:space="preserve">Компонент "Отправка документов на подпись усиленной квалифицированной электронной подписью"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2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color w:val="000000"/>
                <w:sz w:val="26"/>
                <w:highlight w:val="white"/>
              </w:rPr>
              <w:t xml:space="preserve">Компонент "Отправка документов на подпись"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2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color w:val="000000"/>
                <w:sz w:val="26"/>
                <w:highlight w:val="white"/>
              </w:rPr>
              <w:t xml:space="preserve">Компонент "Запрос сведений о документах об образовании из ФРДО"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2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color w:val="000000"/>
                <w:sz w:val="26"/>
                <w:highlight w:val="white"/>
              </w:rPr>
              <w:t xml:space="preserve">Компонент "Предоставление сведений из Федерального реестра сведений о документах об образовании и (или) о квалификации, документах об обучении"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2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color w:val="000000"/>
                <w:sz w:val="26"/>
                <w:highlight w:val="white"/>
              </w:rPr>
              <w:t xml:space="preserve">Компонент "Универсальный вид сведений для приема событий электронного заявления на портале государственных услуг (функций)"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2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color w:val="000000"/>
                <w:sz w:val="26"/>
                <w:highlight w:val="white"/>
              </w:rPr>
              <w:t xml:space="preserve">Компонент "Предоставление из ЕГР ЗАГС по запросу сведений о рождении"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2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color w:val="000000"/>
                <w:sz w:val="26"/>
                <w:highlight w:val="white"/>
              </w:rPr>
              <w:t xml:space="preserve">Компонент "Предоставление учредительных документов ЮЛ в форме электронного документа"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2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color w:val="000000"/>
                <w:sz w:val="26"/>
                <w:highlight w:val="white"/>
              </w:rPr>
              <w:t xml:space="preserve">Компонент "Представление выписки из Единого государственного реестра налогоплательщиков"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2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color w:val="000000"/>
                <w:sz w:val="26"/>
                <w:highlight w:val="white"/>
              </w:rPr>
              <w:t xml:space="preserve">Компонент "Сведения из лицензии на осуществление деятельности по разработке, производству, испытанию и ремонту авиационной техники"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2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color w:val="000000"/>
                <w:sz w:val="26"/>
                <w:highlight w:val="white"/>
              </w:rPr>
              <w:t xml:space="preserve">Компонент "Предоставление сведений из государственного реестра юридических лиц, аккредитованных на право проведения негосударственной экспертизы проектной документации и (или) инженерных изысканий"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2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color w:val="000000"/>
                <w:sz w:val="26"/>
                <w:highlight w:val="white"/>
              </w:rPr>
              <w:t xml:space="preserve">Компонент "Предоставление из ЕГР ЗАГС по запросу сведений о перемене имени"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2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color w:val="000000"/>
                <w:sz w:val="26"/>
                <w:highlight w:val="white"/>
              </w:rPr>
              <w:t xml:space="preserve">Компонент "Проверка действительности паспорта для банков"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2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color w:val="000000"/>
                <w:sz w:val="26"/>
                <w:highlight w:val="white"/>
              </w:rPr>
              <w:t xml:space="preserve">Компонент «Получение списка учредительных документов юридического лица, представленных при государственной регистрации и имеющихся в регистрирующих (налоговых) органах в электронном виде»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2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color w:val="000000"/>
                <w:sz w:val="26"/>
                <w:highlight w:val="white"/>
              </w:rPr>
              <w:t xml:space="preserve">Компонент «Предоставление имеющихся в регистрирующем (налоговом) органе учредительных документов юридического лица в электронном виде, выбранных пользователем»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rFonts w:eastAsia="Calibri"/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bookmarkEnd w:id="8"/>
            <w:r>
              <w:rPr>
                <w:rFonts w:eastAsia="Calibri"/>
                <w:sz w:val="26"/>
                <w:highlight w:val="white"/>
              </w:rPr>
            </w:r>
            <w:r>
              <w:rPr>
                <w:rFonts w:eastAsia="Calibri"/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2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color w:val="000000"/>
                <w:sz w:val="26"/>
                <w:highlight w:val="white"/>
              </w:rPr>
            </w:pPr>
            <w:r>
              <w:rPr>
                <w:color w:val="000000"/>
                <w:sz w:val="26"/>
                <w:highlight w:val="white"/>
              </w:rPr>
              <w:t xml:space="preserve">Компонент "Представление электронных документов при аккредитации филиалов, представительств иностранных юридических лиц, внесении изменений в сведения РАФП, прекращении аккредитации"</w:t>
            </w:r>
            <w:r>
              <w:rPr>
                <w:color w:val="000000"/>
                <w:sz w:val="26"/>
                <w:highlight w:val="white"/>
              </w:rPr>
            </w:r>
            <w:r>
              <w:rPr>
                <w:color w:val="000000"/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rFonts w:eastAsia="Calibri"/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rFonts w:eastAsia="Calibri"/>
                <w:sz w:val="26"/>
                <w:highlight w:val="white"/>
              </w:rPr>
            </w:r>
            <w:r>
              <w:rPr>
                <w:rFonts w:eastAsia="Calibri"/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2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color w:val="000000"/>
                <w:sz w:val="26"/>
                <w:highlight w:val="white"/>
              </w:rPr>
            </w:pPr>
            <w:r>
              <w:rPr>
                <w:color w:val="000000"/>
                <w:sz w:val="26"/>
                <w:highlight w:val="white"/>
              </w:rPr>
              <w:t xml:space="preserve">Компонент "Предоставление сведений о статусе обработки электронных документов, представленных при аккредитации филиалов, представительств иностранных юридических лиц, внесении изменений в сведения РАФП, прекращении аккредитации"</w:t>
            </w:r>
            <w:r>
              <w:rPr>
                <w:color w:val="000000"/>
                <w:sz w:val="26"/>
                <w:highlight w:val="white"/>
              </w:rPr>
            </w:r>
            <w:r>
              <w:rPr>
                <w:color w:val="000000"/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rFonts w:eastAsia="Calibri"/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rFonts w:eastAsia="Calibri"/>
                <w:sz w:val="26"/>
                <w:highlight w:val="white"/>
              </w:rPr>
            </w:r>
            <w:r>
              <w:rPr>
                <w:rFonts w:eastAsia="Calibri"/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Модуль "Межведомственное взаимодействие - поставщик сведений"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2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Компонент "Универсальный вид сведений приема заявлений с ЕПГУ в электронном виде на предоставление услуг Федерального агентства воздушного транспорта"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2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Компонент "Копии сертификата, подтверждающего соответствие ЮЛ, ИП, осуществляющих техническое обслуживание гражданских воздушных судов, требованиям федеральных авиационных правил"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2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Компонент "Данные из реестра сертификатов на обслуживание и ремонт авиационной техники, в том числе авиационной техники двойного назначения"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2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Компонент "Сведения «О лицензиях на отдельные виды деятельности, отнесенные к компетенции </w:t>
            </w:r>
            <w:r>
              <w:rPr>
                <w:sz w:val="26"/>
                <w:highlight w:val="white"/>
              </w:rPr>
              <w:t xml:space="preserve">Росавиации</w:t>
            </w:r>
            <w:r>
              <w:rPr>
                <w:sz w:val="26"/>
                <w:highlight w:val="white"/>
              </w:rPr>
              <w:t xml:space="preserve">»"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2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Компонент "Сведения из лицензий на деятельность по перевозкам воздушным транспортом грузов"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2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Компонент "Сведения из лицензий на деятельность по перевозке воздушным транспортом пассажиров"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2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Компонент "Сведения из реестра лицензий на деятельность по перевозкам воздушным транспортом грузов"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2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Компонент "Сведения из реестра лицензий на деятельность по перевозкам воздушным транспортом пассажиров"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2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Компонент "Сведения из сертификата, подтверждающего соответствие ЮЛ, ИП, осуществляющих техническое обслуживание гражданских воздушных судов, требованиям федеральных авиационных правил"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2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Компонент "Сведения о наличие свидетельств авиационного персонала гражданской авиации Российской Федерации, выданных физическим лицам"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2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Компонент "Запрос на перечень юридических лиц, осуществляющих перевозку строительных материалов, изделий, конструкций, оборудования, машин и механизмов воздушным транспортом"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2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Компонент "Сведения о зарегистрированных воздушных судах, принадлежащих лицам, не исполнившим или ненадлежащим образом, исполнившим обязанность по уплате таможенных и иных платежей"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2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Компонент "Сведения о наложении </w:t>
            </w:r>
            <w:r>
              <w:rPr>
                <w:sz w:val="26"/>
                <w:highlight w:val="white"/>
              </w:rPr>
              <w:t xml:space="preserve">Росавиацией</w:t>
            </w:r>
            <w:r>
              <w:rPr>
                <w:sz w:val="26"/>
                <w:highlight w:val="white"/>
              </w:rPr>
              <w:t xml:space="preserve"> запрета на </w:t>
            </w:r>
            <w:r>
              <w:rPr>
                <w:sz w:val="26"/>
                <w:highlight w:val="white"/>
              </w:rPr>
              <w:t xml:space="preserve">осуществление регистрационных действий с воздушными судами, принадлежащих лицам, не исполнившим или ненадлежащим образом, исполнившим обязанность по уплате таможенных и иных платежей, на основании решения таможенного органа о наложении ареста на имущество"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2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Компонент "Сведения о снятии </w:t>
            </w:r>
            <w:r>
              <w:rPr>
                <w:sz w:val="26"/>
                <w:highlight w:val="white"/>
              </w:rPr>
              <w:t xml:space="preserve">Росавиацией</w:t>
            </w:r>
            <w:r>
              <w:rPr>
                <w:sz w:val="26"/>
                <w:highlight w:val="white"/>
              </w:rPr>
              <w:t xml:space="preserve"> запрета на</w:t>
            </w:r>
            <w:r>
              <w:rPr>
                <w:sz w:val="26"/>
                <w:highlight w:val="white"/>
              </w:rPr>
              <w:t xml:space="preserve"> осуществление регистрационных действий с воздушными судами, принадлежащими лицам, не исполнившим или ненадлежащим образом, исполнившим обязанность по уплате таможенных и иных платежей, на основании решения таможенного органа об отмене ареста на имущество"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2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Компонент "Сведения о включении и исключении данных о гражданских воздушных судах в Государственный реестр гражданских воздушных судов Российской Федерации, а также о причинах исключения данных"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2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Компонент "Сведения о включении и исключении данных о гражданских воздушных судах в реестр </w:t>
            </w:r>
            <w:r>
              <w:rPr>
                <w:sz w:val="26"/>
                <w:highlight w:val="white"/>
              </w:rPr>
              <w:t xml:space="preserve">эксплуатантов</w:t>
            </w:r>
            <w:r>
              <w:rPr>
                <w:sz w:val="26"/>
                <w:highlight w:val="white"/>
              </w:rPr>
              <w:t xml:space="preserve"> и воздушных судов в отношении гражданских воздушных судов, зарегистрированных в государственном реестре гражданских воздушных судов иностранного государства, а также о причинах изменения (исключения) таких данных"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2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Компонент "Сведения из государственного реестра гражданских воздушных судов для Центрального банка  Российской Федерации"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2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Компонент "Сведения из государственного реестра гражданских воздушных судов для Центрального избирательной комиссии Российской Федерации"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2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Компонент "Сведения из государственного реестра гражданских воздушных судов для Генеральной прокуратуры  Российской Федерации"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Модуль "Межведомственное взаимодействие – НСУД"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2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Компонент «Взаимодействие с МВД»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2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Компонент «Взаимодействие с </w:t>
            </w:r>
            <w:r>
              <w:rPr>
                <w:sz w:val="26"/>
                <w:highlight w:val="white"/>
              </w:rPr>
              <w:t xml:space="preserve">Росреестром</w:t>
            </w:r>
            <w:r>
              <w:rPr>
                <w:sz w:val="26"/>
                <w:highlight w:val="white"/>
              </w:rPr>
              <w:t xml:space="preserve">»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2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Компонент «Взаимодействие с СФР»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2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Компонент «Взаимодействие с </w:t>
            </w:r>
            <w:r>
              <w:rPr>
                <w:sz w:val="26"/>
                <w:highlight w:val="white"/>
              </w:rPr>
              <w:t xml:space="preserve">Росприроднадзором</w:t>
            </w:r>
            <w:r>
              <w:rPr>
                <w:sz w:val="26"/>
                <w:highlight w:val="white"/>
              </w:rPr>
              <w:t xml:space="preserve">»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Модуль «Внутриведомственное взаимодействие»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2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Компонент «Взаимодействие с СУ БВС»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2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Компонент «Взаимодействие с ведомственным порталом»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2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Компонент «Взаимодействие с СППИ»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2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Компонент «Взаимодействие с </w:t>
            </w:r>
            <w:r>
              <w:rPr>
                <w:sz w:val="26"/>
                <w:highlight w:val="white"/>
              </w:rPr>
              <w:t xml:space="preserve">Авиасерт</w:t>
            </w:r>
            <w:r>
              <w:rPr>
                <w:sz w:val="26"/>
                <w:highlight w:val="white"/>
              </w:rPr>
              <w:t xml:space="preserve">»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2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Компонент «Взаимодействие с АСУ ТК»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0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Подсистема "Услуги в электронном виде"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rFonts w:eastAsia="Calibri"/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rFonts w:eastAsia="Calibri"/>
                <w:sz w:val="26"/>
                <w:highlight w:val="white"/>
              </w:rPr>
            </w:r>
            <w:r>
              <w:rPr>
                <w:rFonts w:eastAsia="Calibri"/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Модуль "Оформление сертификата лётной годности пилотируемого гражданского воздушного судна на основании акта оценки ВС на его соответствие требованиям к летной годности и к охране окружающей среды"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Модуль "Оформление сертификата лётной годности гражданского воздушного судна"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Модуль "Организация и проведение обязательной сертификации аэродромов, предназначенных для осуществления коммерческих воздушных перевозок на самолетах </w:t>
            </w:r>
            <w:r>
              <w:rPr>
                <w:sz w:val="26"/>
                <w:highlight w:val="white"/>
              </w:rPr>
              <w:t xml:space="preserve">пассажировместимостью</w:t>
            </w:r>
            <w:r>
              <w:rPr>
                <w:sz w:val="26"/>
                <w:highlight w:val="white"/>
              </w:rPr>
              <w:t xml:space="preserve"> более чем двадцать человек, а также аэродромов, открытых для выполнения международных полетов гражданских воздушных судов"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Модуль "Регистрация гражданских аэродромов"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Модуль "Сертификация радиотехнического оборудования и оборудования авиационной электросвязи, используемых для обслуживания воздушного движения"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Модуль "Сертификации деятельности юридических лиц, осуществляющих изготовление радиотехнического оборудования и оборудования авиационной электросвязи, используемых для обслуживания воздушного движения"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Модуль "Обязательная сертификация пилотируемых гражданских воздушных судов, авиационных двигателей, воздушных винтов и борто</w:t>
            </w:r>
            <w:r>
              <w:rPr>
                <w:sz w:val="26"/>
                <w:highlight w:val="white"/>
              </w:rPr>
              <w:t xml:space="preserve">вого авиационного оборудования гражданских воздушных судов, беспилотных авиационных систем и (или) их элементов (с выдачей сертификата типа) и выдача документа, удостоверяющего изменение ранее утвержденной типовой конструкции гражданского воздушного судна"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Модуль "Аккредитация сертификационных центров и испытательных лабораторий"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Модуль "Выдача разрешений на строительство аэропортов или иных объектов инфраструктуры воздушного транспорта, являющихся объектами капитального строительства"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Модуль "Выдача разрешений на ввод в эксплуатацию аэропортов или иных объектов инфраструктуры воздушного транспорта, являющихся объектами капитального строительства"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Модуль "Выдача документа (решения) о допуске тренажерного устройства имитации полета, применяемого в целях подготовки и контроля профессиональных навыков членов летных экипажей гражданских воздушных судов"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Модуль "Выдача документа (свидетельства эксплуатанта АОН), подтверждающего соответствие юридического и физического лица требованиям, предъявляемым к </w:t>
            </w:r>
            <w:r>
              <w:rPr>
                <w:sz w:val="26"/>
                <w:highlight w:val="white"/>
              </w:rPr>
              <w:t xml:space="preserve">эксплуатанту</w:t>
            </w:r>
            <w:r>
              <w:rPr>
                <w:sz w:val="26"/>
                <w:highlight w:val="white"/>
              </w:rPr>
              <w:t xml:space="preserve"> авиации общего назначения"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</w:t>
            </w:r>
            <w:r>
              <w:rPr>
                <w:sz w:val="26"/>
                <w:highlight w:val="white"/>
              </w:rPr>
              <w:t xml:space="preserve">одуль "Выдача документа, подтверждающего соответствие образовательных организаций и организаций, осуществляющих обучение специалистов соответствующего уровня согласно перечням специалистов авиационного персонала, требованиям федеральных авиационных правил"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Модуль "Предоставление в установленном порядке </w:t>
            </w:r>
            <w:r>
              <w:rPr>
                <w:sz w:val="26"/>
                <w:highlight w:val="white"/>
              </w:rPr>
              <w:t xml:space="preserve">эксплуатантам</w:t>
            </w:r>
            <w:r>
              <w:rPr>
                <w:sz w:val="26"/>
                <w:highlight w:val="white"/>
              </w:rPr>
              <w:t xml:space="preserve"> воздушных судов освобождений от выполнения установленных требований, связанных с перевозкой опасных грузов воздушным транспортом"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Модуль "Выдача документа, подтверждающего соответствие операторов аэродромов гражданской авиации требованиям федеральных авиационных правил"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Модуль "Обязательная сертификация деятельности юридических лиц, осуществляющих разработку и изготовление подлежащей обязательной сертификации авиационной техники"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Модуль "Выдача документа, подтверждающего соответствие юридических лиц, индивидуальных предпринимателей, выполняющих авиационные работы, требованиям федеральных авиационных правил"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Модуль "Выдача документа, подтверждающего соответствие юридических лиц, индивидуальных предпринимателей, осуществляющих коммерческие воздушные перевозки, требованиям федеральных авиационных правил"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Модуль "Выдача документа, подтверждающего соответствие юридических лиц, индивидуальных предпринимателей, осуществляющих техническое обслуживание гражданских воздушных судов, требованиям федеральных авиационных правил"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Модуль "Ведение реестра юридических лиц, осуществляющих аэронавигационное обслуживание полетов воздушных судов пользователей воздушного пространства Российской Федерации, соответствующих требованиям федеральных авиационных правил"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Модуль "Принятие решения о предварительном согласовании предоставления земельных участков, которые находятся в федеральной собственности, для размещения объектов воздушного транспорта, в том числе аэродромов, аэропортов, объектов е</w:t>
            </w:r>
            <w:r>
              <w:rPr>
                <w:sz w:val="26"/>
                <w:highlight w:val="white"/>
              </w:rPr>
              <w:t xml:space="preserve">диной системы организации воздушного движения, объектов систем связи, иных зданий и сооружений, обеспечивающих использование объектов воздушного транспорта, в аренду, безвозмездное пользование или постоянное (бессрочное) пользование, без проведения торгов"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Модуль "Сертификация светосигнального оборудования, устанавливаемого на сертифицированных аэродромах, предназначенных для взлета, посадки, руления и стоянки гражданских воздушных судов"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Модуль "Государственный учет беспилотных</w:t>
            </w:r>
            <w:r>
              <w:rPr>
                <w:sz w:val="26"/>
                <w:highlight w:val="white"/>
              </w:rPr>
              <w:t xml:space="preserve"> гражданских судов с максимальной взлетной массой от 0,15 килограмм до 30 килограмм, сверхлегких пилотируемых гражданских воздушных судов с массой конструкции 115 килограмм и менее, ввезенных в Российскую Федерацию или произведенных в Российской Федерации"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rFonts w:eastAsia="Calibri"/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rFonts w:eastAsia="Calibri"/>
                <w:sz w:val="26"/>
                <w:highlight w:val="white"/>
              </w:rPr>
            </w:r>
            <w:r>
              <w:rPr>
                <w:rFonts w:eastAsia="Calibri"/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Модуль "Государственная регистрация гражданских воздушных судов и ведение Государственного реестра гражданских воздушных судов Российской Федерации"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Модуль "Государственная регистрация прав на воздушные суда и сделок с ними"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Модуль "Выдача разрешений на бортовые радиостанции, используемые на гражданских воздушных судах"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Модуль "Выдача свидетельств лицам из числа специалистов авиационного персонала гра</w:t>
            </w:r>
            <w:r>
              <w:rPr>
                <w:sz w:val="26"/>
                <w:highlight w:val="white"/>
              </w:rPr>
              <w:t xml:space="preserve">жданской авиации, допускаемым к выполнению функции членов экипажа гражданского воздушного судна, сотрудников по обеспечению полетов гражданской авиации, функции по техническому обслуживанию воздушных судов и диспетчерскому обслуживанию воздушного движения"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Модуль "Допуск перевозчиков к выполнению регулярных и чартерных международных воздушных перевозок пассажиров, багажа, грузов и почты"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Модуль "Выдача документа, подтверждающего соответствие юридического лица, индивидуального предпринимателя, осуществляющих заправку гражданских"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Модуль "Оформление сертификата летной годности беспилотных гражданских воздушных судов с максимальной взле</w:t>
            </w:r>
            <w:r>
              <w:rPr>
                <w:sz w:val="26"/>
                <w:highlight w:val="white"/>
              </w:rPr>
              <w:t xml:space="preserve">тной массой более 30 килограммов на основании акта оценки беспилотного гражданского воздушного судна на его соответствие применимым требованиям к летной годности и требованиям в области охраны окружающей среды от воздействия деятельности в области авиации"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Модуль «Принятие решения о предоставлении земельных участков, которые находятся в федеральной собствен</w:t>
            </w:r>
            <w:r>
              <w:rPr>
                <w:sz w:val="26"/>
                <w:highlight w:val="white"/>
              </w:rPr>
              <w:t xml:space="preserve">ности, для размещения объектов воздушного транспорта, в том числе аэродромов, аэропортов, объектов единой системы организации воздушного движения, объектов систем связи, иных зданий и сооружений, обеспечивающих использование объектов воздушного транспорта»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Модуль «</w:t>
            </w:r>
            <w:r>
              <w:rPr>
                <w:sz w:val="26"/>
                <w:highlight w:val="white"/>
              </w:rPr>
              <w:t xml:space="preserve">Проактивные</w:t>
            </w:r>
            <w:r>
              <w:rPr>
                <w:sz w:val="26"/>
                <w:highlight w:val="white"/>
              </w:rPr>
              <w:t xml:space="preserve"> заявления»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0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Подсистема "Единое хранилище реестров и документов"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rFonts w:eastAsia="Calibri"/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rFonts w:eastAsia="Calibri"/>
                <w:sz w:val="26"/>
                <w:highlight w:val="white"/>
              </w:rPr>
            </w:r>
            <w:r>
              <w:rPr>
                <w:rFonts w:eastAsia="Calibri"/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color w:val="000000"/>
                <w:sz w:val="26"/>
                <w:highlight w:val="white"/>
              </w:rPr>
              <w:t xml:space="preserve">Модуль "Реестр сертификатов аэродромов, предназначенных для осуществления коммерческих перевозок"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color w:val="000000"/>
                <w:sz w:val="26"/>
                <w:highlight w:val="white"/>
              </w:rPr>
              <w:t xml:space="preserve">Модуль "Реестр гражданских аэродромов и вертодромов"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color w:val="000000"/>
                <w:sz w:val="26"/>
                <w:highlight w:val="white"/>
              </w:rPr>
              <w:t xml:space="preserve">Модуль "Реестр сертификатов радиотехнического оборудования и оборудования авиационной электросвязи"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color w:val="000000"/>
                <w:sz w:val="26"/>
                <w:highlight w:val="white"/>
              </w:rPr>
              <w:t xml:space="preserve">Модуль "Реестр сертификатов изготовителей оборудования"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color w:val="000000"/>
                <w:sz w:val="26"/>
                <w:highlight w:val="white"/>
              </w:rPr>
              <w:t xml:space="preserve">Модуль "Реестр воздушных судов и авиационной техники"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color w:val="000000"/>
                <w:sz w:val="26"/>
                <w:highlight w:val="white"/>
              </w:rPr>
              <w:t xml:space="preserve">Модуль "Реестр сертификационных центров и испытательных лабораторий"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color w:val="000000"/>
                <w:sz w:val="26"/>
                <w:highlight w:val="white"/>
              </w:rPr>
              <w:t xml:space="preserve">Модуль "Реестр разрешений на строительство и ввод в эксплуатацию аэропортов"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color w:val="000000"/>
                <w:sz w:val="26"/>
                <w:highlight w:val="white"/>
              </w:rPr>
              <w:t xml:space="preserve">Модуль "Реестр освобождений при перевозке опасных грузов"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Модуль "Реестр документов, подтверждающих соответствие операторов аэродромов"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W w:w="2698" w:type="dxa"/>
            <w:textDirection w:val="lrTb"/>
            <w:noWrap w:val="false"/>
          </w:tcPr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b/>
                <w:bCs/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b/>
                <w:bCs/>
                <w:sz w:val="26"/>
                <w:highlight w:val="white"/>
              </w:rPr>
            </w:r>
            <w:r>
              <w:rPr>
                <w:b/>
                <w:bCs/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color w:val="000000"/>
                <w:sz w:val="26"/>
                <w:highlight w:val="white"/>
              </w:rPr>
              <w:t xml:space="preserve">Модуль "Реестр сертификатов изготовителей авиационной техники"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W w:w="2698" w:type="dxa"/>
            <w:textDirection w:val="lrTb"/>
            <w:noWrap w:val="false"/>
          </w:tcPr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b/>
                <w:bCs/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b/>
                <w:bCs/>
                <w:sz w:val="26"/>
                <w:highlight w:val="white"/>
              </w:rPr>
            </w:r>
            <w:r>
              <w:rPr>
                <w:b/>
                <w:bCs/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color w:val="000000"/>
                <w:sz w:val="26"/>
                <w:highlight w:val="white"/>
              </w:rPr>
              <w:t xml:space="preserve">Модуль "Реестр документов, подтверждающих соответствие лиц, осуществляющих техническое обслуживание воздушных судов"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W w:w="2698" w:type="dxa"/>
            <w:textDirection w:val="lrTb"/>
            <w:noWrap w:val="false"/>
          </w:tcPr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b/>
                <w:bCs/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b/>
                <w:bCs/>
                <w:sz w:val="26"/>
                <w:highlight w:val="white"/>
              </w:rPr>
            </w:r>
            <w:r>
              <w:rPr>
                <w:b/>
                <w:bCs/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color w:val="000000"/>
                <w:sz w:val="26"/>
                <w:highlight w:val="white"/>
              </w:rPr>
              <w:t xml:space="preserve">Модуль "Реестр согласований по земельным участкам"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W w:w="2698" w:type="dxa"/>
            <w:textDirection w:val="lrTb"/>
            <w:noWrap w:val="false"/>
          </w:tcPr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b/>
                <w:bCs/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b/>
                <w:bCs/>
                <w:sz w:val="26"/>
                <w:highlight w:val="white"/>
              </w:rPr>
            </w:r>
            <w:r>
              <w:rPr>
                <w:b/>
                <w:bCs/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color w:val="000000"/>
                <w:sz w:val="26"/>
                <w:highlight w:val="white"/>
              </w:rPr>
              <w:t xml:space="preserve">Модуль "Реестр сертификатов светосигнального оборудования"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color w:val="000000"/>
                <w:sz w:val="26"/>
                <w:highlight w:val="white"/>
              </w:rPr>
              <w:t xml:space="preserve">Модуль "Реестр выдаваемых допусков перевозчикам"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color w:val="000000"/>
                <w:sz w:val="26"/>
                <w:highlight w:val="white"/>
              </w:rPr>
              <w:t xml:space="preserve">Модуль "Реестр документов, подтверждающих соответствие лиц, осуществляющих заправку воздушных судов ГСМ"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color w:val="000000"/>
                <w:sz w:val="26"/>
                <w:highlight w:val="white"/>
              </w:rPr>
              <w:t xml:space="preserve">Модуль "</w:t>
            </w:r>
            <w:r>
              <w:rPr>
                <w:sz w:val="26"/>
                <w:highlight w:val="white"/>
              </w:rPr>
              <w:t xml:space="preserve">Ведение реестра юридических лиц, осуществляющих аэронавигационное обслуживание полетов воздушных судов пользователей воздушного пространства Российской Федерации, соответствующих требованиям федеральных авиационных правил</w:t>
            </w:r>
            <w:r>
              <w:rPr>
                <w:color w:val="000000"/>
                <w:sz w:val="26"/>
                <w:highlight w:val="white"/>
              </w:rPr>
              <w:t xml:space="preserve">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color w:val="000000"/>
                <w:sz w:val="26"/>
                <w:highlight w:val="white"/>
              </w:rPr>
              <w:t xml:space="preserve">Модуль «Реестр согласований на размещение объектов капитального строительства»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28" w:type="dxa"/>
            <w:vAlign w:val="center"/>
            <w:textDirection w:val="lrTb"/>
            <w:noWrap/>
          </w:tcPr>
          <w:p>
            <w:pPr>
              <w:ind w:firstLine="0"/>
              <w:shd w:val="clear" w:color="ffffff" w:themeColor="background1" w:fill="ffffff" w:themeFill="background1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 xml:space="preserve">Модуль «Реестр разрешений на выполнение разовых полетов воздушных судов»</w:t>
            </w:r>
            <w:r>
              <w:rPr>
                <w:color w:val="000000"/>
                <w:highlight w:val="white"/>
              </w:rPr>
            </w:r>
            <w:r>
              <w:rPr>
                <w:color w:val="000000"/>
                <w:highlight w:val="white"/>
              </w:rPr>
            </w:r>
          </w:p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color w:val="000000"/>
                <w:sz w:val="26"/>
                <w:highlight w:val="white"/>
              </w:rPr>
              <w:t xml:space="preserve">Модуль «Реестр иностранных свидетельств авиационного персонала»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28" w:type="dxa"/>
            <w:vAlign w:val="center"/>
            <w:textDirection w:val="lrTb"/>
            <w:noWrap/>
          </w:tcPr>
          <w:p>
            <w:pPr>
              <w:ind w:firstLine="0"/>
              <w:shd w:val="clear" w:color="ffffff" w:themeColor="background1" w:fill="ffffff" w:themeFill="background1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 xml:space="preserve">Модуль «Реестр разрешений на выполнение международных полетов из иных аэропортов»</w:t>
            </w:r>
            <w:r>
              <w:rPr>
                <w:color w:val="000000"/>
                <w:highlight w:val="white"/>
              </w:rPr>
            </w:r>
            <w:r>
              <w:rPr>
                <w:color w:val="000000"/>
                <w:highlight w:val="white"/>
              </w:rPr>
            </w:r>
          </w:p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28" w:type="dxa"/>
            <w:vAlign w:val="center"/>
            <w:textDirection w:val="lrTb"/>
            <w:noWrap/>
          </w:tcPr>
          <w:p>
            <w:pPr>
              <w:ind w:firstLine="0"/>
              <w:shd w:val="clear" w:color="ffffff" w:themeColor="background1" w:fill="ffffff" w:themeFill="background1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 xml:space="preserve">Модуль «Реестр разрешений на транзитные полеты иностранных воздушных судов»</w:t>
            </w:r>
            <w:r>
              <w:rPr>
                <w:color w:val="000000"/>
                <w:highlight w:val="white"/>
              </w:rPr>
            </w:r>
            <w:r>
              <w:rPr>
                <w:color w:val="00000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color w:val="000000"/>
                <w:sz w:val="26"/>
                <w:highlight w:val="white"/>
              </w:rPr>
              <w:t xml:space="preserve">Модуль «Реестр разрешений на эксплуатацию договорных линий»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color w:val="000000"/>
                <w:sz w:val="26"/>
                <w:highlight w:val="white"/>
              </w:rPr>
              <w:t xml:space="preserve">Модуль «Реестр решений об аккредитации иностранных юридических лиц»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0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b/>
                <w:sz w:val="26"/>
                <w:highlight w:val="white"/>
              </w:rPr>
            </w:pPr>
            <w:r>
              <w:rPr>
                <w:b/>
                <w:color w:val="000000"/>
                <w:sz w:val="26"/>
                <w:highlight w:val="white"/>
              </w:rPr>
              <w:t xml:space="preserve">Подсистема «</w:t>
            </w:r>
            <w:r>
              <w:rPr>
                <w:b/>
                <w:color w:val="000000"/>
                <w:sz w:val="26"/>
                <w:highlight w:val="white"/>
              </w:rPr>
              <w:t xml:space="preserve">Автоматизированная система электронных контрольных карт</w:t>
            </w:r>
            <w:r>
              <w:rPr>
                <w:b/>
                <w:color w:val="000000"/>
                <w:sz w:val="26"/>
                <w:highlight w:val="white"/>
              </w:rPr>
              <w:t xml:space="preserve">»</w:t>
            </w:r>
            <w:r>
              <w:rPr>
                <w:b/>
                <w:sz w:val="26"/>
                <w:highlight w:val="white"/>
              </w:rPr>
            </w:r>
            <w:r>
              <w:rPr>
                <w:b/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/>
          </w:tcPr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19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0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b/>
                <w:bCs/>
                <w:color w:val="000000"/>
                <w:sz w:val="26"/>
                <w:highlight w:val="white"/>
              </w:rPr>
              <w:t xml:space="preserve">Подсистема "Реестр авиационных учебных центров"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 w:val="false"/>
          </w:tcPr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19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0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b/>
                <w:bCs/>
                <w:color w:val="000000"/>
                <w:sz w:val="26"/>
                <w:highlight w:val="white"/>
              </w:rPr>
              <w:t xml:space="preserve">Подсистема "Реестр выданных свидетельств авиаперсонала"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 w:val="false"/>
          </w:tcPr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rFonts w:eastAsia="Calibri"/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rFonts w:eastAsia="Calibri"/>
                <w:sz w:val="26"/>
                <w:highlight w:val="white"/>
              </w:rPr>
            </w:r>
            <w:r>
              <w:rPr>
                <w:rFonts w:eastAsia="Calibri"/>
                <w:sz w:val="26"/>
                <w:highlight w:val="white"/>
              </w:rPr>
            </w:r>
          </w:p>
        </w:tc>
      </w:tr>
      <w:tr>
        <w:tblPrEx/>
        <w:trPr>
          <w:trHeight w:val="19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0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b/>
                <w:bCs/>
                <w:color w:val="000000"/>
                <w:sz w:val="26"/>
                <w:highlight w:val="white"/>
              </w:rPr>
              <w:t xml:space="preserve">Подсистема "Реестр прав на воздушные суда и сделок с ними"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 w:val="false"/>
          </w:tcPr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rFonts w:eastAsia="Calibri"/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rFonts w:eastAsia="Calibri"/>
                <w:sz w:val="26"/>
                <w:highlight w:val="white"/>
              </w:rPr>
            </w:r>
            <w:r>
              <w:rPr>
                <w:rFonts w:eastAsia="Calibri"/>
                <w:sz w:val="26"/>
                <w:highlight w:val="white"/>
              </w:rPr>
            </w:r>
          </w:p>
        </w:tc>
      </w:tr>
      <w:tr>
        <w:tblPrEx/>
        <w:trPr>
          <w:trHeight w:val="19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0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b/>
                <w:bCs/>
                <w:color w:val="000000"/>
                <w:sz w:val="26"/>
                <w:highlight w:val="white"/>
              </w:rPr>
              <w:t xml:space="preserve">Подсистема "Реестр </w:t>
            </w:r>
            <w:r>
              <w:rPr>
                <w:b/>
                <w:bCs/>
                <w:color w:val="000000"/>
                <w:sz w:val="26"/>
                <w:highlight w:val="white"/>
              </w:rPr>
              <w:t xml:space="preserve">эксплуатантов</w:t>
            </w:r>
            <w:r>
              <w:rPr>
                <w:b/>
                <w:bCs/>
                <w:color w:val="000000"/>
                <w:sz w:val="26"/>
                <w:highlight w:val="white"/>
              </w:rPr>
              <w:t xml:space="preserve"> и воздушных судов"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 w:val="false"/>
          </w:tcPr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rFonts w:eastAsia="Calibri"/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rFonts w:eastAsia="Calibri"/>
                <w:sz w:val="26"/>
                <w:highlight w:val="white"/>
              </w:rPr>
            </w:r>
            <w:r>
              <w:rPr>
                <w:rFonts w:eastAsia="Calibri"/>
                <w:sz w:val="26"/>
                <w:highlight w:val="white"/>
              </w:rPr>
            </w:r>
          </w:p>
        </w:tc>
      </w:tr>
      <w:tr>
        <w:tblPrEx/>
        <w:trPr>
          <w:trHeight w:val="19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0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b/>
                <w:bCs/>
                <w:color w:val="000000"/>
                <w:sz w:val="26"/>
                <w:highlight w:val="white"/>
              </w:rPr>
              <w:t xml:space="preserve">Подсистема "Администрирование"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 w:val="false"/>
          </w:tcPr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rFonts w:eastAsia="Calibri"/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rFonts w:eastAsia="Calibri"/>
                <w:sz w:val="26"/>
                <w:highlight w:val="white"/>
              </w:rPr>
            </w:r>
            <w:r>
              <w:rPr>
                <w:rFonts w:eastAsia="Calibri"/>
                <w:sz w:val="26"/>
                <w:highlight w:val="white"/>
              </w:rPr>
            </w:r>
          </w:p>
        </w:tc>
      </w:tr>
      <w:tr>
        <w:tblPrEx/>
        <w:trPr>
          <w:trHeight w:val="19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Модуль "Мониторинг"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 w:val="false"/>
          </w:tcPr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rFonts w:eastAsia="Calibri"/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rFonts w:eastAsia="Calibri"/>
                <w:sz w:val="26"/>
                <w:highlight w:val="white"/>
              </w:rPr>
            </w:r>
            <w:r>
              <w:rPr>
                <w:rFonts w:eastAsia="Calibri"/>
                <w:sz w:val="26"/>
                <w:highlight w:val="white"/>
              </w:rPr>
            </w:r>
          </w:p>
        </w:tc>
      </w:tr>
      <w:tr>
        <w:tblPrEx/>
        <w:trPr>
          <w:trHeight w:val="19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Модуль "Системные настройки"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 w:val="false"/>
          </w:tcPr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rFonts w:eastAsia="Calibri"/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rFonts w:eastAsia="Calibri"/>
                <w:sz w:val="26"/>
                <w:highlight w:val="white"/>
              </w:rPr>
            </w:r>
            <w:r>
              <w:rPr>
                <w:rFonts w:eastAsia="Calibri"/>
                <w:sz w:val="26"/>
                <w:highlight w:val="white"/>
              </w:rPr>
            </w:r>
          </w:p>
        </w:tc>
      </w:tr>
      <w:tr>
        <w:tblPrEx/>
        <w:trPr>
          <w:trHeight w:val="19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Модуль "Настройка Электронной подписи"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 w:val="false"/>
          </w:tcPr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rFonts w:eastAsia="Calibri"/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rFonts w:eastAsia="Calibri"/>
                <w:sz w:val="26"/>
                <w:highlight w:val="white"/>
              </w:rPr>
            </w:r>
            <w:r>
              <w:rPr>
                <w:rFonts w:eastAsia="Calibri"/>
                <w:sz w:val="26"/>
                <w:highlight w:val="white"/>
              </w:rPr>
            </w:r>
          </w:p>
        </w:tc>
      </w:tr>
      <w:tr>
        <w:tblPrEx/>
        <w:trPr>
          <w:trHeight w:val="19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Модуль "Сервисные функции"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 w:val="false"/>
          </w:tcPr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rFonts w:eastAsia="Calibri"/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rFonts w:eastAsia="Calibri"/>
                <w:sz w:val="26"/>
                <w:highlight w:val="white"/>
              </w:rPr>
            </w:r>
            <w:r>
              <w:rPr>
                <w:rFonts w:eastAsia="Calibri"/>
                <w:sz w:val="26"/>
                <w:highlight w:val="white"/>
              </w:rPr>
            </w:r>
          </w:p>
        </w:tc>
      </w:tr>
      <w:tr>
        <w:tblPrEx/>
        <w:trPr>
          <w:trHeight w:val="19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Модуль "Администрирование учетных данных"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 w:val="false"/>
          </w:tcPr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rFonts w:eastAsia="Calibri"/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rFonts w:eastAsia="Calibri"/>
                <w:sz w:val="26"/>
                <w:highlight w:val="white"/>
              </w:rPr>
            </w:r>
            <w:r>
              <w:rPr>
                <w:rFonts w:eastAsia="Calibri"/>
                <w:sz w:val="26"/>
                <w:highlight w:val="white"/>
              </w:rPr>
            </w:r>
          </w:p>
        </w:tc>
      </w:tr>
      <w:tr>
        <w:tblPrEx/>
        <w:trPr>
          <w:trHeight w:val="19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0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b/>
                <w:bCs/>
                <w:sz w:val="26"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Подсистема «Прохождение тестирования авиаперсонала»</w:t>
            </w:r>
            <w:r>
              <w:rPr>
                <w:b/>
                <w:bCs/>
                <w:sz w:val="26"/>
                <w:highlight w:val="white"/>
              </w:rPr>
            </w:r>
            <w:r>
              <w:rPr>
                <w:b/>
                <w:bCs/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 w:val="false"/>
          </w:tcPr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rFonts w:eastAsia="Calibri"/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rFonts w:eastAsia="Calibri"/>
                <w:sz w:val="26"/>
                <w:highlight w:val="white"/>
              </w:rPr>
            </w:r>
            <w:r>
              <w:rPr>
                <w:rFonts w:eastAsia="Calibri"/>
                <w:sz w:val="26"/>
                <w:highlight w:val="white"/>
              </w:rPr>
            </w:r>
          </w:p>
        </w:tc>
      </w:tr>
      <w:tr>
        <w:tblPrEx/>
        <w:trPr>
          <w:trHeight w:val="19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color w:val="000000"/>
                <w:sz w:val="26"/>
                <w:highlight w:val="white"/>
              </w:rPr>
              <w:t xml:space="preserve">Модуль "Мероприятие"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 w:val="false"/>
          </w:tcPr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rFonts w:eastAsia="Calibri"/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rFonts w:eastAsia="Calibri"/>
                <w:sz w:val="26"/>
                <w:highlight w:val="white"/>
              </w:rPr>
            </w:r>
            <w:r>
              <w:rPr>
                <w:rFonts w:eastAsia="Calibri"/>
                <w:sz w:val="26"/>
                <w:highlight w:val="white"/>
              </w:rPr>
            </w:r>
          </w:p>
        </w:tc>
      </w:tr>
      <w:tr>
        <w:tblPrEx/>
        <w:trPr>
          <w:trHeight w:val="19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2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color w:val="000000"/>
                <w:sz w:val="26"/>
                <w:highlight w:val="white"/>
              </w:rPr>
              <w:t xml:space="preserve">Компонент "Распознавания и идентификации лиц"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 w:val="false"/>
          </w:tcPr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rFonts w:eastAsia="Calibri"/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rFonts w:eastAsia="Calibri"/>
                <w:sz w:val="26"/>
                <w:highlight w:val="white"/>
              </w:rPr>
            </w:r>
            <w:r>
              <w:rPr>
                <w:rFonts w:eastAsia="Calibri"/>
                <w:sz w:val="26"/>
                <w:highlight w:val="white"/>
              </w:rPr>
            </w:r>
          </w:p>
        </w:tc>
      </w:tr>
      <w:tr>
        <w:tblPrEx/>
        <w:trPr>
          <w:trHeight w:val="19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2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color w:val="000000"/>
                <w:sz w:val="26"/>
                <w:highlight w:val="white"/>
              </w:rPr>
              <w:t xml:space="preserve">Компонент "Результаты тестирования в Модуле прохождения тестирования"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 w:val="false"/>
          </w:tcPr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rFonts w:eastAsia="Calibri"/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rFonts w:eastAsia="Calibri"/>
                <w:sz w:val="26"/>
                <w:highlight w:val="white"/>
              </w:rPr>
            </w:r>
            <w:r>
              <w:rPr>
                <w:rFonts w:eastAsia="Calibri"/>
                <w:sz w:val="26"/>
                <w:highlight w:val="white"/>
              </w:rPr>
            </w:r>
          </w:p>
        </w:tc>
      </w:tr>
      <w:tr>
        <w:tblPrEx/>
        <w:trPr>
          <w:trHeight w:val="19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2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color w:val="000000"/>
                <w:sz w:val="26"/>
                <w:highlight w:val="white"/>
              </w:rPr>
              <w:t xml:space="preserve">Компонент "Учет дат и времени"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 w:val="false"/>
          </w:tcPr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rFonts w:eastAsia="Calibri"/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rFonts w:eastAsia="Calibri"/>
                <w:sz w:val="26"/>
                <w:highlight w:val="white"/>
              </w:rPr>
            </w:r>
            <w:r>
              <w:rPr>
                <w:rFonts w:eastAsia="Calibri"/>
                <w:sz w:val="26"/>
                <w:highlight w:val="white"/>
              </w:rPr>
            </w:r>
          </w:p>
        </w:tc>
      </w:tr>
      <w:tr>
        <w:tblPrEx/>
        <w:trPr>
          <w:trHeight w:val="19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color w:val="000000"/>
                <w:sz w:val="26"/>
                <w:highlight w:val="white"/>
              </w:rPr>
              <w:t xml:space="preserve">Модуль "Подготовка тестов"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 w:val="false"/>
          </w:tcPr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rFonts w:eastAsia="Calibri"/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rFonts w:eastAsia="Calibri"/>
                <w:sz w:val="26"/>
                <w:highlight w:val="white"/>
              </w:rPr>
            </w:r>
            <w:r>
              <w:rPr>
                <w:rFonts w:eastAsia="Calibri"/>
                <w:sz w:val="26"/>
                <w:highlight w:val="white"/>
              </w:rPr>
            </w:r>
          </w:p>
        </w:tc>
      </w:tr>
      <w:tr>
        <w:tblPrEx/>
        <w:trPr>
          <w:trHeight w:val="19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2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color w:val="000000"/>
                <w:sz w:val="26"/>
                <w:highlight w:val="white"/>
              </w:rPr>
              <w:t xml:space="preserve">Компонент "Подготовка тестов на пилота"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 w:val="false"/>
          </w:tcPr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rFonts w:eastAsia="Calibri"/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rFonts w:eastAsia="Calibri"/>
                <w:sz w:val="26"/>
                <w:highlight w:val="white"/>
              </w:rPr>
            </w:r>
            <w:r>
              <w:rPr>
                <w:rFonts w:eastAsia="Calibri"/>
                <w:sz w:val="26"/>
                <w:highlight w:val="white"/>
              </w:rPr>
            </w:r>
          </w:p>
        </w:tc>
      </w:tr>
      <w:tr>
        <w:tblPrEx/>
        <w:trPr>
          <w:trHeight w:val="19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2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color w:val="000000"/>
                <w:sz w:val="26"/>
                <w:highlight w:val="white"/>
              </w:rPr>
              <w:t xml:space="preserve">Компонент "Подготовка тестов на бортпроводника"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 w:val="false"/>
          </w:tcPr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rFonts w:eastAsia="Calibri"/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rFonts w:eastAsia="Calibri"/>
                <w:sz w:val="26"/>
                <w:highlight w:val="white"/>
              </w:rPr>
            </w:r>
            <w:r>
              <w:rPr>
                <w:rFonts w:eastAsia="Calibri"/>
                <w:sz w:val="26"/>
                <w:highlight w:val="white"/>
              </w:rPr>
            </w:r>
          </w:p>
        </w:tc>
      </w:tr>
      <w:tr>
        <w:tblPrEx/>
        <w:trPr>
          <w:trHeight w:val="19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2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color w:val="000000"/>
                <w:sz w:val="26"/>
                <w:highlight w:val="white"/>
              </w:rPr>
              <w:t xml:space="preserve">Компонент "Подготовка тестов на бортинженера"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 w:val="false"/>
          </w:tcPr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rFonts w:eastAsia="Calibri"/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rFonts w:eastAsia="Calibri"/>
                <w:sz w:val="26"/>
                <w:highlight w:val="white"/>
              </w:rPr>
            </w:r>
            <w:r>
              <w:rPr>
                <w:rFonts w:eastAsia="Calibri"/>
                <w:sz w:val="26"/>
                <w:highlight w:val="white"/>
              </w:rPr>
            </w:r>
          </w:p>
        </w:tc>
      </w:tr>
      <w:tr>
        <w:tblPrEx/>
        <w:trPr>
          <w:trHeight w:val="19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2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color w:val="000000"/>
                <w:sz w:val="26"/>
                <w:highlight w:val="white"/>
              </w:rPr>
              <w:t xml:space="preserve">Компонент "Подготовка тестов на специалиста по техническому обслуживанию воздушных судов"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 w:val="false"/>
          </w:tcPr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rFonts w:eastAsia="Calibri"/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rFonts w:eastAsia="Calibri"/>
                <w:sz w:val="26"/>
                <w:highlight w:val="white"/>
              </w:rPr>
            </w:r>
            <w:r>
              <w:rPr>
                <w:rFonts w:eastAsia="Calibri"/>
                <w:sz w:val="26"/>
                <w:highlight w:val="white"/>
              </w:rPr>
            </w:r>
          </w:p>
        </w:tc>
      </w:tr>
      <w:tr>
        <w:tblPrEx/>
        <w:trPr>
          <w:trHeight w:val="19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2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color w:val="000000"/>
                <w:sz w:val="26"/>
                <w:highlight w:val="white"/>
              </w:rPr>
              <w:t xml:space="preserve">Компонент "Подготовка тестов на специалиста по диспетчерскому обслуживанию воздушного движения"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 w:val="false"/>
          </w:tcPr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rFonts w:eastAsia="Calibri"/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rFonts w:eastAsia="Calibri"/>
                <w:sz w:val="26"/>
                <w:highlight w:val="white"/>
              </w:rPr>
            </w:r>
            <w:r>
              <w:rPr>
                <w:rFonts w:eastAsia="Calibri"/>
                <w:sz w:val="26"/>
                <w:highlight w:val="white"/>
              </w:rPr>
            </w:r>
          </w:p>
        </w:tc>
      </w:tr>
      <w:tr>
        <w:tblPrEx/>
        <w:trPr>
          <w:trHeight w:val="19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color w:val="000000"/>
                <w:sz w:val="26"/>
                <w:highlight w:val="white"/>
              </w:rPr>
              <w:t xml:space="preserve">Модуль "Проведение тестирования"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 w:val="false"/>
          </w:tcPr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rFonts w:eastAsia="Calibri"/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rFonts w:eastAsia="Calibri"/>
                <w:sz w:val="26"/>
                <w:highlight w:val="white"/>
              </w:rPr>
            </w:r>
            <w:r>
              <w:rPr>
                <w:rFonts w:eastAsia="Calibri"/>
                <w:sz w:val="26"/>
                <w:highlight w:val="white"/>
              </w:rPr>
            </w:r>
          </w:p>
        </w:tc>
      </w:tr>
      <w:tr>
        <w:tblPrEx/>
        <w:trPr>
          <w:trHeight w:val="19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0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b/>
                <w:bCs/>
                <w:sz w:val="26"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Подсистема "Единая система нормативно-справочной информации"</w:t>
            </w:r>
            <w:r>
              <w:rPr>
                <w:b/>
                <w:bCs/>
                <w:sz w:val="26"/>
                <w:highlight w:val="white"/>
              </w:rPr>
            </w:r>
            <w:r>
              <w:rPr>
                <w:b/>
                <w:bCs/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 w:val="false"/>
          </w:tcPr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rFonts w:eastAsia="Calibri"/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rFonts w:eastAsia="Calibri"/>
                <w:sz w:val="26"/>
                <w:highlight w:val="white"/>
              </w:rPr>
            </w:r>
            <w:r>
              <w:rPr>
                <w:rFonts w:eastAsia="Calibri"/>
                <w:sz w:val="26"/>
                <w:highlight w:val="white"/>
              </w:rPr>
            </w:r>
          </w:p>
        </w:tc>
      </w:tr>
      <w:tr>
        <w:tblPrEx/>
        <w:trPr>
          <w:trHeight w:val="19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0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b/>
                <w:bCs/>
                <w:sz w:val="26"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Подсистема "Отчетности"</w:t>
            </w:r>
            <w:r>
              <w:rPr>
                <w:b/>
                <w:bCs/>
                <w:sz w:val="26"/>
                <w:highlight w:val="white"/>
              </w:rPr>
            </w:r>
            <w:r>
              <w:rPr>
                <w:b/>
                <w:bCs/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 w:val="false"/>
          </w:tcPr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rFonts w:eastAsia="Calibri"/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rFonts w:eastAsia="Calibri"/>
                <w:sz w:val="26"/>
                <w:highlight w:val="white"/>
              </w:rPr>
            </w:r>
            <w:r>
              <w:rPr>
                <w:rFonts w:eastAsia="Calibri"/>
                <w:sz w:val="26"/>
                <w:highlight w:val="white"/>
              </w:rPr>
            </w:r>
          </w:p>
        </w:tc>
      </w:tr>
      <w:tr>
        <w:tblPrEx/>
        <w:trPr>
          <w:trHeight w:val="19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0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b/>
                <w:bCs/>
                <w:sz w:val="26"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Подсистема «Государственные услуги, заявление по которым подаются в бумажном виде»</w:t>
            </w:r>
            <w:r>
              <w:rPr>
                <w:b/>
                <w:bCs/>
                <w:sz w:val="26"/>
                <w:highlight w:val="white"/>
              </w:rPr>
            </w:r>
            <w:r>
              <w:rPr>
                <w:b/>
                <w:bCs/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 w:val="false"/>
          </w:tcPr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rFonts w:eastAsia="Calibri"/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rFonts w:eastAsia="Calibri"/>
                <w:sz w:val="26"/>
                <w:highlight w:val="white"/>
              </w:rPr>
            </w:r>
            <w:r>
              <w:rPr>
                <w:rFonts w:eastAsia="Calibri"/>
                <w:sz w:val="26"/>
                <w:highlight w:val="white"/>
              </w:rPr>
            </w:r>
          </w:p>
        </w:tc>
      </w:tr>
      <w:tr>
        <w:tblPrEx/>
        <w:trPr>
          <w:trHeight w:val="19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Модуль «Согласование размещения объектов капитального строительства, радиотехнических и других объектов</w:t>
            </w:r>
            <w:r>
              <w:rPr>
                <w:sz w:val="26"/>
                <w:highlight w:val="white"/>
              </w:rPr>
              <w:t xml:space="preserve">, которые могут угрожать безопасности полетов воздушных судов, создавать помехи в работе радиотехнического оборудования, установленного на аэродроме, объектов радиолокации и аэронавигации, предназначенных для обеспечения полетов воздушных судов в границах </w:t>
            </w:r>
            <w:r>
              <w:rPr>
                <w:sz w:val="26"/>
                <w:highlight w:val="white"/>
              </w:rPr>
              <w:t xml:space="preserve">приаэродромных</w:t>
            </w:r>
            <w:r>
              <w:rPr>
                <w:sz w:val="26"/>
                <w:highlight w:val="white"/>
              </w:rPr>
              <w:t xml:space="preserve"> территорий, полос воздушных подходов и санитарно-защитных зон аэродромов гражданской авиации Российской Федерации»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 w:val="false"/>
          </w:tcPr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rFonts w:eastAsia="Calibri"/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rFonts w:eastAsia="Calibri"/>
                <w:sz w:val="26"/>
                <w:highlight w:val="white"/>
              </w:rPr>
            </w:r>
            <w:r>
              <w:rPr>
                <w:rFonts w:eastAsia="Calibri"/>
                <w:sz w:val="26"/>
                <w:highlight w:val="white"/>
              </w:rPr>
            </w:r>
          </w:p>
        </w:tc>
      </w:tr>
      <w:tr>
        <w:tblPrEx/>
        <w:trPr>
          <w:trHeight w:val="19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Модуль «Утверждение результатов оценки уязвимости объектов транспортной инфраструктуры в установленной сфере деятельности»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 w:val="false"/>
          </w:tcPr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rFonts w:eastAsia="Calibri"/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rFonts w:eastAsia="Calibri"/>
                <w:sz w:val="26"/>
                <w:highlight w:val="white"/>
              </w:rPr>
            </w:r>
            <w:r>
              <w:rPr>
                <w:rFonts w:eastAsia="Calibri"/>
                <w:sz w:val="26"/>
                <w:highlight w:val="white"/>
              </w:rPr>
            </w:r>
          </w:p>
        </w:tc>
      </w:tr>
      <w:tr>
        <w:tblPrEx/>
        <w:trPr>
          <w:trHeight w:val="19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Модуль «Утверждение планов обеспечения транспортной безопасности объектов транспортной инфраструктуры в установленной сфере деятельности»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 w:val="false"/>
          </w:tcPr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rFonts w:eastAsia="Calibri"/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rFonts w:eastAsia="Calibri"/>
                <w:sz w:val="26"/>
                <w:highlight w:val="white"/>
              </w:rPr>
            </w:r>
            <w:r>
              <w:rPr>
                <w:rFonts w:eastAsia="Calibri"/>
                <w:sz w:val="26"/>
                <w:highlight w:val="white"/>
              </w:rPr>
            </w:r>
          </w:p>
        </w:tc>
      </w:tr>
      <w:tr>
        <w:tblPrEx/>
        <w:trPr>
          <w:trHeight w:val="19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Модуль «Выдача разрешений на выполнение разовых полетов воздушных судов, если такие разрешения обусловлены особыми условиями эксплуатации воздушного судна и необходимы для обеспечения безопасности полета»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 w:val="false"/>
          </w:tcPr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rFonts w:eastAsia="Calibri"/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rFonts w:eastAsia="Calibri"/>
                <w:sz w:val="26"/>
                <w:highlight w:val="white"/>
              </w:rPr>
            </w:r>
            <w:r>
              <w:rPr>
                <w:rFonts w:eastAsia="Calibri"/>
                <w:sz w:val="26"/>
                <w:highlight w:val="white"/>
              </w:rPr>
            </w:r>
          </w:p>
        </w:tc>
      </w:tr>
      <w:tr>
        <w:tblPrEx/>
        <w:trPr>
          <w:trHeight w:val="19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Модуль «Признание свидетельств иностранного государства, выданных лицу из числа авиационного персонала гражданской авиации согласно перечням специалистов»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 w:val="false"/>
          </w:tcPr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rFonts w:eastAsia="Calibri"/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rFonts w:eastAsia="Calibri"/>
                <w:sz w:val="26"/>
                <w:highlight w:val="white"/>
              </w:rPr>
            </w:r>
            <w:r>
              <w:rPr>
                <w:rFonts w:eastAsia="Calibri"/>
                <w:sz w:val="26"/>
                <w:highlight w:val="white"/>
              </w:rPr>
            </w:r>
          </w:p>
        </w:tc>
      </w:tr>
      <w:tr>
        <w:tblPrEx/>
        <w:trPr>
          <w:trHeight w:val="19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Модуль «Выдача разрешений в случаях, установленных законодательством Российской Федерации, на выполнение международных полетов из аэропортов, с аэродромов Российской Федерации, не открытых Правительством Российской Федерации для международных полетов»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 w:val="false"/>
          </w:tcPr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rFonts w:eastAsia="Calibri"/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rFonts w:eastAsia="Calibri"/>
                <w:sz w:val="26"/>
                <w:highlight w:val="white"/>
              </w:rPr>
            </w:r>
            <w:r>
              <w:rPr>
                <w:rFonts w:eastAsia="Calibri"/>
                <w:sz w:val="26"/>
                <w:highlight w:val="white"/>
              </w:rPr>
            </w:r>
          </w:p>
        </w:tc>
      </w:tr>
      <w:tr>
        <w:tblPrEx/>
        <w:trPr>
          <w:trHeight w:val="19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Модуль «Выдача разрешений на транзитные полеты иностранных воздушных судов через воздушное пространство Российской Федерации»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 w:val="false"/>
          </w:tcPr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rFonts w:eastAsia="Calibri"/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rFonts w:eastAsia="Calibri"/>
                <w:sz w:val="26"/>
                <w:highlight w:val="white"/>
              </w:rPr>
            </w:r>
            <w:r>
              <w:rPr>
                <w:rFonts w:eastAsia="Calibri"/>
                <w:sz w:val="26"/>
                <w:highlight w:val="white"/>
              </w:rPr>
            </w:r>
          </w:p>
        </w:tc>
      </w:tr>
      <w:tr>
        <w:tblPrEx/>
        <w:trPr>
          <w:trHeight w:val="19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Модуль «Предоставление разрешений иностранным назначенным авиапредприятиям на эксплуатацию договорных линий»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 w:val="false"/>
          </w:tcPr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rFonts w:eastAsia="Calibri"/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rFonts w:eastAsia="Calibri"/>
                <w:sz w:val="26"/>
                <w:highlight w:val="white"/>
              </w:rPr>
            </w:r>
            <w:r>
              <w:rPr>
                <w:rFonts w:eastAsia="Calibri"/>
                <w:sz w:val="26"/>
                <w:highlight w:val="white"/>
              </w:rPr>
            </w:r>
          </w:p>
        </w:tc>
      </w:tr>
      <w:tr>
        <w:tblPrEx/>
        <w:trPr>
          <w:trHeight w:val="19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Модуль «Принятие реше</w:t>
            </w:r>
            <w:r>
              <w:rPr>
                <w:sz w:val="26"/>
                <w:highlight w:val="white"/>
              </w:rPr>
              <w:t xml:space="preserve">ния об аккредитации представительств иностранных юридических лиц, осуществляющих деятельность в области гражданской авиации, о внесении изменений в сведения, содержащиеся в государственном реестре аккредитованных филиалов, представительств иностранных юрид</w:t>
            </w:r>
            <w:r>
              <w:rPr>
                <w:sz w:val="26"/>
                <w:highlight w:val="white"/>
              </w:rPr>
              <w:t xml:space="preserve">ических лиц, о прекращении действия их аккредитации, об аккредитации иностранных граждан, являющихся работниками представительств иностранного юридического лица, осуществляющего деятельность в области гражданской авиации на территории Российской Федерации»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 w:val="false"/>
          </w:tcPr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rFonts w:eastAsia="Calibri"/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rFonts w:eastAsia="Calibri"/>
                <w:sz w:val="26"/>
                <w:highlight w:val="white"/>
              </w:rPr>
            </w:r>
            <w:r>
              <w:rPr>
                <w:rFonts w:eastAsia="Calibri"/>
                <w:sz w:val="26"/>
                <w:highlight w:val="white"/>
              </w:rPr>
            </w:r>
          </w:p>
        </w:tc>
      </w:tr>
      <w:tr>
        <w:tblPrEx/>
        <w:trPr>
          <w:trHeight w:val="38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0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rFonts w:eastAsia="Cambria" w:cs="Cambria"/>
                <w:sz w:val="26"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Система</w:t>
            </w:r>
            <w:r>
              <w:rPr>
                <w:rFonts w:eastAsia="Cambria" w:cs="Cambria"/>
                <w:sz w:val="26"/>
                <w:highlight w:val="white"/>
                <w:lang w:eastAsia="zh-CN"/>
              </w:rPr>
              <w:t xml:space="preserve"> </w:t>
            </w:r>
            <w:r>
              <w:rPr>
                <w:b/>
                <w:bCs/>
                <w:sz w:val="26"/>
                <w:highlight w:val="white"/>
              </w:rPr>
              <w:t xml:space="preserve">защиты информации АИС ОГУ</w:t>
            </w:r>
            <w:r>
              <w:rPr>
                <w:rFonts w:eastAsia="Cambria" w:cs="Cambria"/>
                <w:sz w:val="26"/>
                <w:highlight w:val="white"/>
              </w:rPr>
            </w:r>
            <w:r>
              <w:rPr>
                <w:rFonts w:eastAsia="Cambria" w:cs="Cambria"/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 w:val="false"/>
          </w:tcPr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 Зона ответственности указана в </w:t>
            </w:r>
            <w:r>
              <w:rPr>
                <w:sz w:val="26"/>
                <w:highlight w:val="white"/>
              </w:rPr>
              <w:t xml:space="preserve">п.</w:t>
            </w:r>
            <w:r>
              <w:rPr>
                <w:sz w:val="26"/>
                <w:highlight w:val="white"/>
              </w:rPr>
              <w:t xml:space="preserve"> 3.2.4.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198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4" w:type="dxa"/>
            <w:vAlign w:val="center"/>
            <w:textDirection w:val="lrTb"/>
            <w:noWrap/>
          </w:tcPr>
          <w:p>
            <w:pPr>
              <w:pStyle w:val="1288"/>
              <w:ind w:left="0"/>
              <w:jc w:val="center"/>
              <w:shd w:val="clear" w:color="ffffff" w:themeColor="background1" w:fill="ffffff" w:themeFill="background1"/>
              <w:rPr>
                <w:rFonts w:eastAsia="Calibri"/>
                <w:b/>
                <w:bCs/>
                <w:sz w:val="26"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ПРОГРАММНОЕ ОБЕСПЕЧЕНИЕ</w:t>
            </w:r>
            <w:r>
              <w:rPr>
                <w:rFonts w:eastAsia="Calibri"/>
                <w:b/>
                <w:bCs/>
                <w:sz w:val="26"/>
                <w:highlight w:val="white"/>
              </w:rPr>
            </w:r>
            <w:r>
              <w:rPr>
                <w:rFonts w:eastAsia="Calibri"/>
                <w:b/>
                <w:bCs/>
                <w:sz w:val="26"/>
                <w:highlight w:val="white"/>
              </w:rPr>
            </w:r>
          </w:p>
        </w:tc>
      </w:tr>
      <w:tr>
        <w:tblPrEx/>
        <w:trPr>
          <w:trHeight w:val="27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0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26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b/>
                <w:bCs/>
                <w:sz w:val="26"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Общее программное обеспечение</w:t>
            </w:r>
            <w:r>
              <w:rPr>
                <w:b/>
                <w:bCs/>
                <w:sz w:val="26"/>
                <w:highlight w:val="white"/>
              </w:rPr>
            </w:r>
            <w:r>
              <w:rPr>
                <w:b/>
                <w:bCs/>
                <w:sz w:val="26"/>
                <w:highlight w:val="white"/>
              </w:rPr>
            </w:r>
          </w:p>
        </w:tc>
      </w:tr>
      <w:tr>
        <w:tblPrEx/>
        <w:trPr>
          <w:trHeight w:val="32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Операционная система РЕД ОС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16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Средство криптографической защиты информации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Заказчик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ГЕМБАФЕЙС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32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СУБД «Ред База Данных»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47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Программное обеспечение для организации межведомственного взаимодействия РЕДШЛЮЗ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31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Платформа программных продуктов «Ред Платформа»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4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0"/>
                <w:numId w:val="7"/>
              </w:numPr>
              <w:shd w:val="clear" w:color="ffffff" w:themeColor="background1" w:fill="ffffff" w:themeFill="background1"/>
              <w:rPr>
                <w:b/>
                <w:bCs/>
                <w:sz w:val="26"/>
                <w:szCs w:val="26"/>
                <w:highlight w:val="white"/>
              </w:rPr>
            </w:pPr>
            <w:r>
              <w:rPr>
                <w:b/>
                <w:bCs/>
                <w:sz w:val="26"/>
                <w:szCs w:val="26"/>
                <w:highlight w:val="white"/>
              </w:rPr>
            </w:r>
            <w:r>
              <w:rPr>
                <w:b/>
                <w:bCs/>
                <w:sz w:val="26"/>
                <w:szCs w:val="26"/>
                <w:highlight w:val="white"/>
              </w:rPr>
            </w:r>
            <w:r>
              <w:rPr>
                <w:b/>
                <w:bCs/>
                <w:sz w:val="26"/>
                <w:szCs w:val="26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26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b/>
                <w:bCs/>
                <w:sz w:val="26"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Специальное программное обеспечение</w:t>
            </w:r>
            <w:r>
              <w:rPr>
                <w:b/>
                <w:bCs/>
                <w:sz w:val="26"/>
                <w:highlight w:val="white"/>
              </w:rPr>
            </w:r>
            <w:r>
              <w:rPr>
                <w:b/>
                <w:bCs/>
                <w:sz w:val="26"/>
                <w:highlight w:val="white"/>
              </w:rPr>
            </w:r>
          </w:p>
        </w:tc>
      </w:tr>
      <w:tr>
        <w:tblPrEx/>
        <w:trPr>
          <w:trHeight w:val="26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6628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СПО АИС ОГУ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2698" w:type="dxa"/>
            <w:textDirection w:val="lrTb"/>
            <w:noWrap w:val="false"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60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4" w:type="dxa"/>
            <w:vAlign w:val="center"/>
            <w:textDirection w:val="lrTb"/>
            <w:noWrap/>
          </w:tcPr>
          <w:p>
            <w:pPr>
              <w:pStyle w:val="1288"/>
              <w:ind w:left="0"/>
              <w:jc w:val="center"/>
              <w:shd w:val="clear" w:color="ffffff" w:themeColor="background1" w:fill="ffffff" w:themeFill="background1"/>
              <w:rPr>
                <w:b/>
                <w:bCs/>
                <w:sz w:val="26"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ТЕХНИЧЕСКОЕ ОБЕСПЕЧЕНИЕ</w:t>
            </w:r>
            <w:r>
              <w:rPr>
                <w:b/>
                <w:bCs/>
                <w:sz w:val="26"/>
                <w:highlight w:val="white"/>
              </w:rPr>
            </w:r>
            <w:r>
              <w:rPr>
                <w:b/>
                <w:bCs/>
                <w:sz w:val="26"/>
                <w:highlight w:val="white"/>
              </w:rPr>
            </w:r>
          </w:p>
        </w:tc>
      </w:tr>
      <w:tr>
        <w:tblPrEx/>
        <w:trPr>
          <w:trHeight w:val="27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0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26" w:type="dxa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Техническое обеспечение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9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b/>
                <w:bCs/>
                <w:sz w:val="26"/>
                <w:szCs w:val="26"/>
                <w:highlight w:val="white"/>
              </w:rPr>
            </w:pPr>
            <w:r>
              <w:rPr>
                <w:b/>
                <w:bCs/>
                <w:sz w:val="26"/>
                <w:szCs w:val="26"/>
                <w:highlight w:val="white"/>
              </w:rPr>
            </w:r>
            <w:r>
              <w:rPr>
                <w:b/>
                <w:bCs/>
                <w:sz w:val="26"/>
                <w:szCs w:val="26"/>
                <w:highlight w:val="white"/>
              </w:rPr>
            </w:r>
            <w:r>
              <w:rPr>
                <w:b/>
                <w:bCs/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Сервер и серверное оборудование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vAlign w:val="center"/>
            <w:textDirection w:val="lrTb"/>
            <w:noWrap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Заказчик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b/>
                <w:bCs/>
                <w:sz w:val="26"/>
                <w:szCs w:val="26"/>
                <w:highlight w:val="white"/>
              </w:rPr>
            </w:pPr>
            <w:r>
              <w:rPr>
                <w:b/>
                <w:bCs/>
                <w:sz w:val="26"/>
                <w:szCs w:val="26"/>
                <w:highlight w:val="white"/>
              </w:rPr>
            </w:r>
            <w:r>
              <w:rPr>
                <w:b/>
                <w:bCs/>
                <w:sz w:val="26"/>
                <w:szCs w:val="26"/>
                <w:highlight w:val="white"/>
              </w:rPr>
            </w:r>
            <w:r>
              <w:rPr>
                <w:b/>
                <w:bCs/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Сеть и сетевое оборудование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vAlign w:val="center"/>
            <w:textDirection w:val="lrTb"/>
            <w:noWrap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Заказчик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6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0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26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b/>
                <w:bCs/>
                <w:sz w:val="26"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Эксплуатационная документация</w:t>
            </w:r>
            <w:r>
              <w:rPr>
                <w:b/>
                <w:bCs/>
                <w:sz w:val="26"/>
                <w:highlight w:val="white"/>
              </w:rPr>
            </w:r>
            <w:r>
              <w:rPr>
                <w:b/>
                <w:bCs/>
                <w:sz w:val="26"/>
                <w:highlight w:val="white"/>
              </w:rPr>
            </w:r>
          </w:p>
        </w:tc>
      </w:tr>
      <w:tr>
        <w:tblPrEx/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b/>
                <w:bCs/>
                <w:sz w:val="26"/>
                <w:szCs w:val="26"/>
                <w:highlight w:val="white"/>
              </w:rPr>
            </w:pPr>
            <w:r>
              <w:rPr>
                <w:b/>
                <w:bCs/>
                <w:sz w:val="26"/>
                <w:szCs w:val="26"/>
                <w:highlight w:val="white"/>
              </w:rPr>
            </w:r>
            <w:r>
              <w:rPr>
                <w:b/>
                <w:bCs/>
                <w:sz w:val="26"/>
                <w:szCs w:val="26"/>
                <w:highlight w:val="white"/>
              </w:rPr>
            </w:r>
            <w:r>
              <w:rPr>
                <w:b/>
                <w:bCs/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Руководство пользователя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vAlign w:val="center"/>
            <w:textDirection w:val="lrTb"/>
            <w:noWrap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b/>
                <w:bCs/>
                <w:sz w:val="26"/>
                <w:szCs w:val="26"/>
                <w:highlight w:val="white"/>
              </w:rPr>
            </w:pPr>
            <w:r>
              <w:rPr>
                <w:b/>
                <w:bCs/>
                <w:sz w:val="26"/>
                <w:szCs w:val="26"/>
                <w:highlight w:val="white"/>
              </w:rPr>
            </w:r>
            <w:r>
              <w:rPr>
                <w:b/>
                <w:bCs/>
                <w:sz w:val="26"/>
                <w:szCs w:val="26"/>
                <w:highlight w:val="white"/>
              </w:rPr>
            </w:r>
            <w:r>
              <w:rPr>
                <w:b/>
                <w:bCs/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Руководство администратора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vAlign w:val="center"/>
            <w:textDirection w:val="lrTb"/>
            <w:noWrap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58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14" w:type="dxa"/>
            <w:vAlign w:val="center"/>
            <w:textDirection w:val="lrTb"/>
            <w:noWrap/>
          </w:tcPr>
          <w:p>
            <w:pPr>
              <w:pStyle w:val="1288"/>
              <w:ind w:left="0"/>
              <w:jc w:val="center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rFonts w:eastAsia="Cambria" w:cs="Cambria"/>
                <w:b/>
                <w:bCs/>
                <w:sz w:val="26"/>
                <w:highlight w:val="white"/>
                <w:lang w:eastAsia="zh-CN"/>
              </w:rPr>
              <w:t xml:space="preserve">ДАННЫЕ И ИНФОРМАЦИОННАЯ БЕЗОПАСНОСТЬ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19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0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26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b/>
                <w:bCs/>
                <w:sz w:val="26"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Данные</w:t>
            </w:r>
            <w:r>
              <w:rPr>
                <w:b/>
                <w:bCs/>
                <w:sz w:val="26"/>
                <w:highlight w:val="white"/>
              </w:rPr>
            </w:r>
            <w:r>
              <w:rPr>
                <w:b/>
                <w:bCs/>
                <w:sz w:val="26"/>
                <w:highlight w:val="white"/>
              </w:rPr>
            </w:r>
          </w:p>
        </w:tc>
      </w:tr>
      <w:tr>
        <w:tblPrEx/>
        <w:trPr>
          <w:trHeight w:val="17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База данных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vAlign w:val="center"/>
            <w:textDirection w:val="lrTb"/>
            <w:noWrap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Заказчик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3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Резервные копии базы данных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vAlign w:val="center"/>
            <w:textDirection w:val="lrTb"/>
            <w:noWrap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Заказчик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16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numPr>
                <w:ilvl w:val="0"/>
                <w:numId w:val="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26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Средства информационной безопасности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4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305"/>
              <w:numPr>
                <w:ilvl w:val="0"/>
                <w:numId w:val="0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Электронные подписи органа власти</w:t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vAlign w:val="center"/>
            <w:textDirection w:val="lrTb"/>
            <w:noWrap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Заказчик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5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8" w:type="dxa"/>
            <w:vAlign w:val="center"/>
            <w:textDirection w:val="lrTb"/>
            <w:noWrap/>
          </w:tcPr>
          <w:p>
            <w:pPr>
              <w:pStyle w:val="1305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8" w:type="dxa"/>
            <w:vAlign w:val="center"/>
            <w:textDirection w:val="lrTb"/>
            <w:noWrap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Электронные подписи для служебного пользования (должностных лиц)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8" w:type="dxa"/>
            <w:vAlign w:val="center"/>
            <w:textDirection w:val="lrTb"/>
            <w:noWrap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Заказчик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</w:tbl>
    <w:p>
      <w:pPr>
        <w:pStyle w:val="1270"/>
        <w:shd w:val="clear" w:color="ffffff" w:themeColor="background1" w:fill="ffffff" w:themeFill="background1"/>
        <w:rPr>
          <w:szCs w:val="26"/>
          <w:highlight w:val="white"/>
        </w:rPr>
      </w:pPr>
      <w:r>
        <w:rPr>
          <w:szCs w:val="26"/>
          <w:highlight w:val="white"/>
        </w:rPr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5"/>
        <w:numPr>
          <w:ilvl w:val="0"/>
          <w:numId w:val="0"/>
        </w:numPr>
        <w:ind w:firstLine="709"/>
        <w:shd w:val="clear" w:color="ffffff" w:themeColor="background1" w:fill="ffffff" w:themeFill="background1"/>
        <w:rPr>
          <w:sz w:val="26"/>
          <w:szCs w:val="26"/>
          <w:highlight w:val="white"/>
        </w:rPr>
      </w:pPr>
      <w:r>
        <w:rPr>
          <w:sz w:val="26"/>
          <w:szCs w:val="26"/>
          <w:highlight w:val="white"/>
        </w:rPr>
        <w:t xml:space="preserve">3.2.2. Показатели назначения системы</w:t>
      </w:r>
      <w:r>
        <w:rPr>
          <w:sz w:val="26"/>
          <w:szCs w:val="26"/>
          <w:highlight w:val="white"/>
        </w:rPr>
      </w:r>
      <w:r>
        <w:rPr>
          <w:sz w:val="26"/>
          <w:szCs w:val="26"/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szCs w:val="26"/>
          <w:highlight w:val="white"/>
        </w:rPr>
      </w:pPr>
      <w:r>
        <w:rPr>
          <w:szCs w:val="26"/>
          <w:highlight w:val="white"/>
        </w:rPr>
        <w:t xml:space="preserve">Показатели назначения АИС ОГУ приведены в Таблице 2.2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84"/>
        <w:shd w:val="clear" w:color="ffffff" w:themeColor="background1" w:fill="ffffff" w:themeFill="background1"/>
        <w:rPr>
          <w:szCs w:val="26"/>
          <w:highlight w:val="white"/>
        </w:rPr>
      </w:pPr>
      <w:r>
        <w:rPr>
          <w:szCs w:val="26"/>
          <w:highlight w:val="white"/>
        </w:rPr>
        <w:t xml:space="preserve">Таблица 2.2 – Показатели АИС ОГУ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tbl>
      <w:tblPr>
        <w:tblW w:w="5000" w:type="pct"/>
        <w:tblInd w:w="-5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98"/>
        <w:gridCol w:w="6148"/>
        <w:gridCol w:w="1701"/>
        <w:gridCol w:w="1548"/>
      </w:tblGrid>
      <w:tr>
        <w:tblPrEx/>
        <w:trPr>
          <w:trHeight w:val="961" w:hRule="exact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8" w:type="dxa"/>
            <w:vAlign w:val="center"/>
            <w:textDirection w:val="lrTb"/>
            <w:noWrap w:val="false"/>
          </w:tcPr>
          <w:p>
            <w:pPr>
              <w:pStyle w:val="1291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  <w:lang w:eastAsia="en-US"/>
              </w:rPr>
              <w:t xml:space="preserve">№</w:t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8" w:type="dxa"/>
            <w:vAlign w:val="center"/>
            <w:textDirection w:val="lrTb"/>
            <w:noWrap w:val="false"/>
          </w:tcPr>
          <w:p>
            <w:pPr>
              <w:pStyle w:val="1291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  <w:lang w:eastAsia="en-US"/>
              </w:rPr>
              <w:t xml:space="preserve">Наименование показателя назначения</w:t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pStyle w:val="1291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  <w:lang w:eastAsia="en-US"/>
              </w:rPr>
              <w:t xml:space="preserve">Единица измерения</w:t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8" w:type="dxa"/>
            <w:vAlign w:val="center"/>
            <w:textDirection w:val="lrTb"/>
            <w:noWrap w:val="false"/>
          </w:tcPr>
          <w:p>
            <w:pPr>
              <w:pStyle w:val="1291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  <w:lang w:eastAsia="en-US"/>
              </w:rPr>
              <w:t xml:space="preserve">Значение</w:t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8" w:type="dxa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9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8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Количество пользователей АИС ОГУ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шт.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8" w:type="dxa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1654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8" w:type="dxa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9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8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Количество видов сведений, необходимых </w:t>
            </w:r>
            <w:r>
              <w:rPr>
                <w:sz w:val="26"/>
                <w:highlight w:val="white"/>
              </w:rPr>
              <w:t xml:space="preserve">Росавиации</w:t>
            </w:r>
            <w:r>
              <w:rPr>
                <w:sz w:val="26"/>
                <w:highlight w:val="white"/>
              </w:rPr>
              <w:t xml:space="preserve"> и находящихся в распоряжении других органов власти </w:t>
            </w:r>
            <w:r>
              <w:rPr>
                <w:sz w:val="26"/>
                <w:highlight w:val="white"/>
              </w:rPr>
              <w:br/>
              <w:t xml:space="preserve">(в соответствии с Приложением А к ТЗ)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шт.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8" w:type="dxa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40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8" w:type="dxa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9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8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Количество видов сведений, находящихся в распоряжении </w:t>
            </w:r>
            <w:r>
              <w:rPr>
                <w:sz w:val="26"/>
                <w:highlight w:val="white"/>
              </w:rPr>
              <w:t xml:space="preserve">Росавиации</w:t>
            </w:r>
            <w:r>
              <w:rPr>
                <w:sz w:val="26"/>
                <w:highlight w:val="white"/>
              </w:rPr>
              <w:t xml:space="preserve">, по которым предоставляются ответы на поступающие посредством СМЭВ запросы от органов власти, а также иных участников СМЭВ в рамках оказания ими государственных услуг </w:t>
            </w:r>
            <w:r>
              <w:rPr>
                <w:sz w:val="26"/>
                <w:highlight w:val="white"/>
              </w:rPr>
              <w:br/>
              <w:t xml:space="preserve">(в соответствии с Приложением Б к ТЗ)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шт.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8" w:type="dxa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21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8" w:type="dxa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9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8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Количество сведений, по которым </w:t>
            </w:r>
            <w:r>
              <w:rPr>
                <w:sz w:val="26"/>
                <w:highlight w:val="white"/>
              </w:rPr>
              <w:t xml:space="preserve">Росавиация</w:t>
            </w:r>
            <w:r>
              <w:rPr>
                <w:sz w:val="26"/>
                <w:highlight w:val="white"/>
              </w:rPr>
              <w:t xml:space="preserve"> передает данные в Витрину НСУД (в соответствии с Приложением В к ТЗ)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шт.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8" w:type="dxa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3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8" w:type="dxa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9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8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Количество государственных услуг, предоставляемых </w:t>
            </w:r>
            <w:r>
              <w:rPr>
                <w:sz w:val="26"/>
                <w:highlight w:val="white"/>
              </w:rPr>
              <w:t xml:space="preserve">Росавиацией</w:t>
            </w:r>
            <w:r>
              <w:rPr>
                <w:sz w:val="26"/>
                <w:highlight w:val="white"/>
              </w:rPr>
              <w:t xml:space="preserve"> в электронном виде</w:t>
            </w:r>
            <w:r>
              <w:rPr>
                <w:sz w:val="26"/>
                <w:highlight w:val="white"/>
              </w:rPr>
              <w:br/>
              <w:t xml:space="preserve">(в соответствии с Приложением Г к ТЗ)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шт.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8" w:type="dxa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31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8" w:type="dxa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9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8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Количество государственных услуг </w:t>
            </w:r>
            <w:r>
              <w:rPr>
                <w:sz w:val="26"/>
                <w:highlight w:val="white"/>
              </w:rPr>
              <w:t xml:space="preserve">Росавиации</w:t>
            </w:r>
            <w:r>
              <w:rPr>
                <w:sz w:val="26"/>
                <w:highlight w:val="white"/>
              </w:rPr>
              <w:t xml:space="preserve">, заявление по которым подаются в бумажном виде (в соответствии с Приложением Д к ТЗ)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шт.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48" w:type="dxa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9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</w:tbl>
    <w:p>
      <w:pPr>
        <w:pStyle w:val="1277"/>
        <w:numPr>
          <w:ilvl w:val="0"/>
          <w:numId w:val="0"/>
        </w:numPr>
        <w:ind w:firstLine="709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3.2.3. Описание компонентов системы</w:t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highlight w:val="white"/>
        </w:rPr>
      </w:r>
      <w:r>
        <w:rPr>
          <w:highlight w:val="white"/>
        </w:rPr>
      </w:r>
    </w:p>
    <w:p>
      <w:pPr>
        <w:pStyle w:val="1277"/>
        <w:numPr>
          <w:ilvl w:val="0"/>
          <w:numId w:val="0"/>
        </w:numPr>
        <w:ind w:firstLine="709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3.2.3.1. Описание функциональных компонентов АИС ОГУ</w:t>
      </w:r>
      <w:r>
        <w:rPr>
          <w:highlight w:val="white"/>
        </w:rPr>
      </w:r>
      <w:r>
        <w:rPr>
          <w:highlight w:val="white"/>
        </w:rPr>
      </w:r>
    </w:p>
    <w:p>
      <w:pPr>
        <w:pStyle w:val="1298"/>
        <w:numPr>
          <w:ilvl w:val="0"/>
          <w:numId w:val="0"/>
        </w:numPr>
        <w:ind w:left="709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3.2.3.1.1. Подсистема «Интеграции» 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Подсистема «Интеграции» предназначена для конфигурирования жизненного цикла запросов от Федерального агентства воздушного транспорта на получение сведений, содержащихся в инфор</w:t>
      </w:r>
      <w:r>
        <w:rPr>
          <w:highlight w:val="white"/>
        </w:rPr>
        <w:t xml:space="preserve">мационных системах других органов исполнительной власти и организаций (поставщиков сведений в интересах Федерального агентства воздушного транспорта), в электронной форме и управления исполнением электронных административных регламентов по каждому запросу.</w:t>
      </w:r>
      <w:r>
        <w:rPr>
          <w:highlight w:val="white"/>
        </w:rPr>
      </w:r>
      <w:r>
        <w:rPr>
          <w:highlight w:val="white"/>
        </w:rPr>
      </w:r>
    </w:p>
    <w:p>
      <w:pPr>
        <w:pStyle w:val="1298"/>
        <w:numPr>
          <w:ilvl w:val="0"/>
          <w:numId w:val="0"/>
        </w:numPr>
        <w:ind w:left="709"/>
        <w:shd w:val="clear" w:color="ffffff" w:themeColor="background1" w:fill="ffffff" w:themeFill="background1"/>
        <w:rPr>
          <w:bCs/>
          <w:i/>
          <w:highlight w:val="white"/>
        </w:rPr>
      </w:pPr>
      <w:r>
        <w:rPr>
          <w:i/>
          <w:iCs/>
          <w:highlight w:val="white"/>
        </w:rPr>
        <w:t xml:space="preserve">3.2.3.1.1.1. Модуль «Межведомственное взаимодействие - потребитель сведений»</w:t>
      </w:r>
      <w:r>
        <w:rPr>
          <w:bCs/>
          <w:i/>
          <w:highlight w:val="white"/>
        </w:rPr>
      </w:r>
      <w:r>
        <w:rPr>
          <w:bCs/>
          <w:i/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Модуль «Межведомственное взаимодействие - потребит</w:t>
      </w:r>
      <w:r>
        <w:rPr>
          <w:highlight w:val="white"/>
        </w:rPr>
        <w:t xml:space="preserve">ель сведений» обеспечивает формирование и отправку запросов посредством СМЭВ в органы исполнительной власти с целью получения от них документов (сведений), необходимых для оказания государственных услуг, исполнения государственных функций, закрепленных за </w:t>
      </w:r>
      <w:r>
        <w:rPr>
          <w:highlight w:val="white"/>
        </w:rPr>
        <w:t xml:space="preserve">Росавиацией</w:t>
      </w:r>
      <w:r>
        <w:rPr>
          <w:highlight w:val="white"/>
        </w:rPr>
        <w:t xml:space="preserve">, а также предоставление ответов на полученные запросы в соответствии с Методическими рекомендации по работе с Единой системой межведомственного электронного взаимодействия, актуальная версия которых расположена на технологическом портале СМЭВ.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Перечень видов сведений, по которым Заказчик получает данные, приведён в Приложении А к ТЗ.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i/>
          <w:iCs/>
          <w:highlight w:val="white"/>
        </w:rPr>
        <w:t xml:space="preserve">3.2.3.1.1.2. Модуль «Межведомственное взаимодействие – поставщик сведений»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Модуль «Межведомственного взаимодействия – поставщик сведений» обеспе</w:t>
      </w:r>
      <w:r>
        <w:rPr>
          <w:highlight w:val="white"/>
        </w:rPr>
        <w:t xml:space="preserve">чивает формирование и предоставление ответов на полученные запросы в соответствии с Методическими рекомендации по работе с Единой системой межведомственного электронного взаимодействия, актуальная версия которых расположена на технологическом портале СМЭВ.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Перечень видов сведений, по которым Заказчик передает данные, приведён в Приложении Б к ТЗ.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bCs/>
          <w:i/>
          <w:highlight w:val="white"/>
        </w:rPr>
      </w:pPr>
      <w:r>
        <w:rPr>
          <w:i/>
          <w:iCs/>
          <w:highlight w:val="white"/>
        </w:rPr>
        <w:t xml:space="preserve">3.2.3.1.1.3. Модуль «Межведомственное взаимодействие – НСУД»</w:t>
      </w:r>
      <w:r>
        <w:rPr>
          <w:bCs/>
          <w:i/>
          <w:highlight w:val="white"/>
        </w:rPr>
      </w:r>
      <w:r>
        <w:rPr>
          <w:bCs/>
          <w:i/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Модуль «Межведомственное взаимодействие – НСУД» обеспечивает взаимодействие с витринами данных НСУД.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Перечень сведений, по которым Заказчик передает данные в Витри</w:t>
      </w:r>
      <w:r>
        <w:rPr>
          <w:highlight w:val="white"/>
        </w:rPr>
        <w:t xml:space="preserve">ну НСУД приведен в Приложении В </w:t>
      </w:r>
      <w:r>
        <w:rPr>
          <w:highlight w:val="white"/>
        </w:rPr>
        <w:t xml:space="preserve">ТЗ.</w:t>
      </w:r>
      <w:r>
        <w:rPr>
          <w:highlight w:val="white"/>
        </w:rPr>
      </w:r>
      <w:r>
        <w:rPr>
          <w:highlight w:val="white"/>
        </w:rPr>
      </w:r>
    </w:p>
    <w:p>
      <w:pPr>
        <w:pStyle w:val="1279"/>
        <w:numPr>
          <w:ilvl w:val="0"/>
          <w:numId w:val="0"/>
        </w:numPr>
        <w:ind w:firstLine="709"/>
        <w:shd w:val="clear" w:color="ffffff" w:themeColor="background1" w:fill="ffffff" w:themeFill="background1"/>
        <w:rPr>
          <w:highlight w:val="white"/>
        </w:rPr>
      </w:pPr>
      <w:r>
        <w:rPr>
          <w:i/>
          <w:iCs/>
          <w:highlight w:val="white"/>
        </w:rPr>
        <w:t xml:space="preserve">3.2.3.1.1.4.</w:t>
      </w:r>
      <w:r>
        <w:rPr>
          <w:highlight w:val="white"/>
        </w:rPr>
        <w:t xml:space="preserve"> </w:t>
      </w:r>
      <w:r>
        <w:rPr>
          <w:i/>
          <w:iCs/>
          <w:highlight w:val="white"/>
        </w:rPr>
        <w:t xml:space="preserve">Модуль «Внутриведомственное взаимодействие»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Модуль «Внутриведомственное взаимодействие» обеспечивает интеграционное взаимодействие со следующими ИС:</w:t>
      </w:r>
      <w:r>
        <w:rPr>
          <w:highlight w:val="white"/>
        </w:rPr>
      </w:r>
      <w:r>
        <w:rPr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СГУ ВС;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Ведомственный портал;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СППИ;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ФГИС «</w:t>
      </w:r>
      <w:r>
        <w:rPr>
          <w:szCs w:val="26"/>
          <w:highlight w:val="white"/>
        </w:rPr>
        <w:t xml:space="preserve">Авиасерт</w:t>
      </w:r>
      <w:r>
        <w:rPr>
          <w:szCs w:val="26"/>
          <w:highlight w:val="white"/>
        </w:rPr>
        <w:t xml:space="preserve">»;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АСУ ТК.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98"/>
        <w:numPr>
          <w:ilvl w:val="0"/>
          <w:numId w:val="0"/>
        </w:numPr>
        <w:ind w:left="709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3.2.3.1.2. Подсистема «Услуги в электронном виде»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Состав подсистемы «Услуги в электронном виде» представлен в пунктах 2.1. – 2.32 Таблицы 2.1.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Подсистема обеспечивает автоматизацию</w:t>
      </w:r>
      <w:r>
        <w:rPr>
          <w:highlight w:val="white"/>
        </w:rPr>
        <w:t xml:space="preserve"> процесса оказания услуг, включая вторичные административные процедуры (там, где такие процедуры предусмотрены административными регламентами), такие как выдачу дубликата, аннулирование, внесение изменений в ранее выданный разрешительный документ и т. д.  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Список государственных услуг, процессы исполнения административных процедур, по которым, реализованы в системе, перечислен в Приложении Г к ТЗ.</w:t>
      </w:r>
      <w:r>
        <w:rPr>
          <w:highlight w:val="white"/>
        </w:rPr>
      </w:r>
      <w:r>
        <w:rPr>
          <w:highlight w:val="white"/>
        </w:rPr>
      </w:r>
    </w:p>
    <w:p>
      <w:pPr>
        <w:ind w:firstLine="851"/>
        <w:jc w:val="both"/>
        <w:spacing w:line="360" w:lineRule="auto"/>
        <w:shd w:val="clear" w:color="ffffff" w:themeColor="background1" w:fill="ffffff" w:themeFill="background1"/>
        <w:tabs>
          <w:tab w:val="left" w:pos="851" w:leader="none"/>
        </w:tabs>
        <w:rPr>
          <w:rFonts w:eastAsia="Liberation Serif"/>
          <w:highlight w:val="white"/>
        </w:rPr>
      </w:pPr>
      <w:r>
        <w:rPr>
          <w:rFonts w:eastAsia="Liberation Serif"/>
          <w:highlight w:val="white"/>
        </w:rPr>
        <w:t xml:space="preserve">П</w:t>
      </w:r>
      <w:r>
        <w:rPr>
          <w:highlight w:val="white"/>
        </w:rPr>
        <w:t xml:space="preserve">одсистема обеспечивает </w:t>
      </w:r>
      <w:r>
        <w:rPr>
          <w:rFonts w:eastAsia="Liberation Serif"/>
          <w:highlight w:val="white"/>
        </w:rPr>
        <w:t xml:space="preserve">проактивное</w:t>
      </w:r>
      <w:r>
        <w:rPr>
          <w:rFonts w:eastAsia="Liberation Serif"/>
          <w:highlight w:val="white"/>
        </w:rPr>
        <w:t xml:space="preserve"> создание заявлений по следующим государственным услугам:</w:t>
      </w:r>
      <w:r>
        <w:rPr>
          <w:rFonts w:eastAsia="Liberation Serif"/>
          <w:highlight w:val="white"/>
        </w:rPr>
      </w:r>
      <w:r>
        <w:rPr>
          <w:rFonts w:eastAsia="Liberation Serif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Оформление сертификата летной годности пилотируемого гражданского воздушного судна на его соответствие требованиям к летной годности и охране окружающей среды;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Выдача документа (свидетельства эксплуатанта АОН), подтверждающего соответствие юридического и физического лица требованиям, предъявляемым к </w:t>
      </w:r>
      <w:r>
        <w:rPr>
          <w:szCs w:val="26"/>
          <w:highlight w:val="white"/>
        </w:rPr>
        <w:t xml:space="preserve">эксплуатанту</w:t>
      </w:r>
      <w:r>
        <w:rPr>
          <w:szCs w:val="26"/>
          <w:highlight w:val="white"/>
        </w:rPr>
        <w:t xml:space="preserve"> авиации общего назначения;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Об</w:t>
      </w:r>
      <w:r>
        <w:rPr>
          <w:szCs w:val="26"/>
          <w:highlight w:val="white"/>
        </w:rPr>
        <w:t xml:space="preserve">язательная сертификация аэродромов, предназначенных для осуществления коммерческих воздушных перевозок на самолетах пассажиров вместимостью более чем 20 человек, а также аэродромов, открытых для выполнения международных полетов гражданских воздушных судов;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highlight w:val="white"/>
        </w:rPr>
      </w:pPr>
      <w:r>
        <w:rPr>
          <w:szCs w:val="26"/>
          <w:highlight w:val="white"/>
        </w:rPr>
        <w:t xml:space="preserve">Предоставление в установленном порядке </w:t>
      </w:r>
      <w:r>
        <w:rPr>
          <w:szCs w:val="26"/>
          <w:highlight w:val="white"/>
        </w:rPr>
        <w:t xml:space="preserve">эксплуатантам</w:t>
      </w:r>
      <w:r>
        <w:rPr>
          <w:szCs w:val="26"/>
          <w:highlight w:val="white"/>
        </w:rPr>
        <w:t xml:space="preserve"> воздушных судов освобождений от выполнения установленных требований, связанных с перевозкой опасных</w:t>
      </w:r>
      <w:r>
        <w:rPr>
          <w:highlight w:val="white"/>
        </w:rPr>
        <w:t xml:space="preserve"> грузов воздушным транспортом.</w:t>
      </w:r>
      <w:r>
        <w:rPr>
          <w:highlight w:val="white"/>
        </w:rPr>
      </w:r>
      <w:r>
        <w:rPr>
          <w:highlight w:val="white"/>
        </w:rPr>
      </w:r>
    </w:p>
    <w:p>
      <w:pPr>
        <w:contextualSpacing/>
        <w:jc w:val="both"/>
        <w:spacing w:line="360" w:lineRule="auto"/>
        <w:shd w:val="clear" w:color="ffffff" w:themeColor="background1" w:fill="ffffff" w:themeFill="background1"/>
        <w:tabs>
          <w:tab w:val="left" w:pos="1134" w:leader="none"/>
        </w:tabs>
        <w:rPr>
          <w:highlight w:val="white"/>
        </w:rPr>
      </w:pPr>
      <w:r>
        <w:rPr>
          <w:highlight w:val="white"/>
        </w:rPr>
        <w:t xml:space="preserve">Подсистема обеспечивает оказание следующих комплексных государственных услуг:</w:t>
      </w:r>
      <w:r>
        <w:rPr>
          <w:highlight w:val="white"/>
        </w:rPr>
      </w:r>
      <w:r>
        <w:rPr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highlight w:val="white"/>
        </w:rPr>
      </w:pPr>
      <w:r>
        <w:rPr>
          <w:szCs w:val="26"/>
          <w:highlight w:val="white"/>
        </w:rPr>
        <w:t xml:space="preserve">Комплексная</w:t>
      </w:r>
      <w:r>
        <w:rPr>
          <w:highlight w:val="white"/>
        </w:rPr>
        <w:t xml:space="preserve"> услуга, состоящая из следующих услуг:</w:t>
      </w:r>
      <w:r>
        <w:rPr>
          <w:highlight w:val="white"/>
        </w:rPr>
      </w:r>
      <w:r>
        <w:rPr>
          <w:highlight w:val="white"/>
        </w:rPr>
      </w:r>
    </w:p>
    <w:p>
      <w:pPr>
        <w:numPr>
          <w:ilvl w:val="0"/>
          <w:numId w:val="19"/>
        </w:numPr>
        <w:contextualSpacing/>
        <w:ind w:left="567" w:firstLine="567"/>
        <w:jc w:val="both"/>
        <w:spacing w:line="360" w:lineRule="auto"/>
        <w:shd w:val="clear" w:color="ffffff" w:themeColor="background1" w:fill="ffffff" w:themeFill="background1"/>
        <w:tabs>
          <w:tab w:val="left" w:pos="1134" w:leader="none"/>
          <w:tab w:val="left" w:pos="1418" w:leader="none"/>
        </w:tabs>
        <w:rPr>
          <w:highlight w:val="white"/>
        </w:rPr>
      </w:pPr>
      <w:r>
        <w:rPr>
          <w:highlight w:val="white"/>
        </w:rPr>
        <w:t xml:space="preserve"> Государственная регистрация прав на воздушные суда и сделок с ними;</w:t>
      </w:r>
      <w:r>
        <w:rPr>
          <w:highlight w:val="white"/>
        </w:rPr>
      </w:r>
      <w:r>
        <w:rPr>
          <w:highlight w:val="white"/>
        </w:rPr>
      </w:r>
    </w:p>
    <w:p>
      <w:pPr>
        <w:numPr>
          <w:ilvl w:val="0"/>
          <w:numId w:val="19"/>
        </w:numPr>
        <w:contextualSpacing/>
        <w:ind w:left="567" w:firstLine="567"/>
        <w:jc w:val="both"/>
        <w:spacing w:line="360" w:lineRule="auto"/>
        <w:shd w:val="clear" w:color="ffffff" w:themeColor="background1" w:fill="ffffff" w:themeFill="background1"/>
        <w:tabs>
          <w:tab w:val="left" w:pos="1134" w:leader="none"/>
          <w:tab w:val="left" w:pos="1418" w:leader="none"/>
        </w:tabs>
        <w:rPr>
          <w:highlight w:val="white"/>
        </w:rPr>
      </w:pPr>
      <w:r>
        <w:rPr>
          <w:highlight w:val="white"/>
        </w:rPr>
        <w:t xml:space="preserve"> Государственная регистрация воздушных судов.</w:t>
      </w:r>
      <w:r>
        <w:rPr>
          <w:highlight w:val="white"/>
        </w:rPr>
      </w:r>
      <w:r>
        <w:rPr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highlight w:val="white"/>
        </w:rPr>
      </w:pPr>
      <w:r>
        <w:rPr>
          <w:szCs w:val="26"/>
          <w:highlight w:val="white"/>
        </w:rPr>
        <w:t xml:space="preserve">Комплексная</w:t>
      </w:r>
      <w:r>
        <w:rPr>
          <w:highlight w:val="white"/>
        </w:rPr>
        <w:t xml:space="preserve"> услуга, состоящая из следующих услуг:</w:t>
      </w:r>
      <w:r>
        <w:rPr>
          <w:highlight w:val="white"/>
        </w:rPr>
      </w:r>
      <w:r>
        <w:rPr>
          <w:highlight w:val="white"/>
        </w:rPr>
      </w:r>
    </w:p>
    <w:p>
      <w:pPr>
        <w:numPr>
          <w:ilvl w:val="0"/>
          <w:numId w:val="19"/>
        </w:numPr>
        <w:contextualSpacing/>
        <w:ind w:left="567" w:firstLine="567"/>
        <w:jc w:val="both"/>
        <w:spacing w:line="360" w:lineRule="auto"/>
        <w:shd w:val="clear" w:color="ffffff" w:themeColor="background1" w:fill="ffffff" w:themeFill="background1"/>
        <w:tabs>
          <w:tab w:val="left" w:pos="1134" w:leader="none"/>
          <w:tab w:val="left" w:pos="1418" w:leader="none"/>
        </w:tabs>
        <w:rPr>
          <w:highlight w:val="white"/>
        </w:rPr>
      </w:pPr>
      <w:r>
        <w:rPr>
          <w:highlight w:val="white"/>
        </w:rPr>
        <w:t xml:space="preserve"> Обязательная сертификация аэродромов, предназначенных для осуществления коммерческих воздушных перевозок на самолетах </w:t>
      </w:r>
      <w:r>
        <w:rPr>
          <w:highlight w:val="white"/>
        </w:rPr>
        <w:t xml:space="preserve">пассажировместимостью</w:t>
      </w:r>
      <w:r>
        <w:rPr>
          <w:highlight w:val="white"/>
        </w:rPr>
        <w:t xml:space="preserve"> более чем двадцать человек, а также аэродромов, открытых для выполнения международных полетов гражданских воздушных судов;</w:t>
      </w:r>
      <w:r>
        <w:rPr>
          <w:highlight w:val="white"/>
        </w:rPr>
      </w:r>
      <w:r>
        <w:rPr>
          <w:highlight w:val="white"/>
        </w:rPr>
      </w:r>
    </w:p>
    <w:p>
      <w:pPr>
        <w:numPr>
          <w:ilvl w:val="0"/>
          <w:numId w:val="19"/>
        </w:numPr>
        <w:contextualSpacing/>
        <w:ind w:left="567" w:firstLine="567"/>
        <w:jc w:val="both"/>
        <w:spacing w:line="360" w:lineRule="auto"/>
        <w:shd w:val="clear" w:color="ffffff" w:themeColor="background1" w:fill="ffffff" w:themeFill="background1"/>
        <w:tabs>
          <w:tab w:val="left" w:pos="1134" w:leader="none"/>
          <w:tab w:val="left" w:pos="1418" w:leader="none"/>
        </w:tabs>
        <w:rPr>
          <w:highlight w:val="white"/>
        </w:rPr>
      </w:pPr>
      <w:r>
        <w:rPr>
          <w:highlight w:val="white"/>
        </w:rPr>
        <w:t xml:space="preserve">Государственная регистрация аэродромов гражданской авиации и вертодромов гражданской авиации, предназначенных для взлета, посадки, руления и стоянки гражданских воздушных судов.</w:t>
      </w:r>
      <w:r>
        <w:rPr>
          <w:highlight w:val="white"/>
        </w:rPr>
      </w:r>
      <w:r>
        <w:rPr>
          <w:highlight w:val="white"/>
        </w:rPr>
      </w:r>
    </w:p>
    <w:p>
      <w:pPr>
        <w:pStyle w:val="1298"/>
        <w:numPr>
          <w:ilvl w:val="0"/>
          <w:numId w:val="0"/>
        </w:numPr>
        <w:ind w:firstLine="709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3.2.3.1.2.</w:t>
      </w:r>
      <w:r>
        <w:rPr>
          <w:highlight w:val="white"/>
        </w:rPr>
        <w:t xml:space="preserve"> Модули подсистемы «Услуги в электронном виде»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Модули подсистемы «Услуги в электронном виде» обеспечивают автоматизацию процессов оказания услуг, включая вторичные административные процедуры (там, где такие процедуры предусмотрены административными регламентами).  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Список государственных услуг, процессы исполнения административных процедур, по которым, реализованы в модулях подсистемы «Услуги в электронном виде», перечислен в Приложении Г к ТЗ.</w:t>
      </w:r>
      <w:r>
        <w:rPr>
          <w:highlight w:val="white"/>
        </w:rPr>
      </w:r>
      <w:r>
        <w:rPr>
          <w:highlight w:val="white"/>
        </w:rPr>
      </w:r>
    </w:p>
    <w:p>
      <w:pPr>
        <w:pStyle w:val="1298"/>
        <w:numPr>
          <w:ilvl w:val="0"/>
          <w:numId w:val="0"/>
        </w:numPr>
        <w:ind w:firstLine="709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3.2.3.1.3. Подсистема «Единое хранилище реестров и документов»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Подсистема единое хранилище реестров и документов обеспечивает автоматизацию централизованного формирования, управления и ведения реестров результатов оказания государственных услуг.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Перечень основных операций ведения реестра в автоматическом и автоматизированном режимах:</w:t>
      </w:r>
      <w:r>
        <w:rPr>
          <w:highlight w:val="white"/>
        </w:rPr>
      </w:r>
      <w:r>
        <w:rPr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внесение сведений в реестры;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изменение сведений в реестрах;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предоставление реестровых данных внешним потребителям;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highlight w:val="white"/>
        </w:rPr>
      </w:pPr>
      <w:r>
        <w:rPr>
          <w:szCs w:val="26"/>
          <w:highlight w:val="white"/>
        </w:rPr>
        <w:t xml:space="preserve">централизованное хранение информации о разрешительных документах (лицензии</w:t>
      </w:r>
      <w:r>
        <w:rPr>
          <w:highlight w:val="white"/>
        </w:rPr>
        <w:t xml:space="preserve">, допуски, разрешения, сертификаты).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Состав подсистемы «Единое хранилище реестров и документов» приведен в пу</w:t>
      </w:r>
      <w:r>
        <w:rPr>
          <w:highlight w:val="white"/>
        </w:rPr>
        <w:t xml:space="preserve">нктах 3.1 – </w:t>
      </w:r>
      <w:r>
        <w:rPr>
          <w:highlight w:val="white"/>
        </w:rPr>
        <w:t xml:space="preserve">3.23</w:t>
      </w:r>
      <w:r>
        <w:rPr>
          <w:highlight w:val="white"/>
        </w:rPr>
        <w:t xml:space="preserve"> Таблицы 2.1</w:t>
      </w:r>
      <w:r>
        <w:rPr>
          <w:highlight w:val="white"/>
        </w:rPr>
      </w:r>
      <w:r>
        <w:rPr>
          <w:highlight w:val="white"/>
        </w:rPr>
      </w:r>
    </w:p>
    <w:p>
      <w:pPr>
        <w:pStyle w:val="1298"/>
        <w:numPr>
          <w:ilvl w:val="0"/>
          <w:numId w:val="0"/>
        </w:numPr>
        <w:ind w:firstLine="709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3.2.3.1.4. Подсистема «Автоматизированная система электронных контрольных карт»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Подсистема АСЭКК предназначена для обеспечения учета, обработки и анализа результатов инспектирования </w:t>
      </w:r>
      <w:r>
        <w:rPr>
          <w:highlight w:val="white"/>
        </w:rPr>
        <w:t xml:space="preserve">эксплуатантов</w:t>
      </w:r>
      <w:r>
        <w:rPr>
          <w:highlight w:val="white"/>
        </w:rPr>
        <w:t xml:space="preserve"> гражданской авиации, осуществляемые при проведении процедур сертификации.</w:t>
      </w:r>
      <w:r>
        <w:rPr>
          <w:highlight w:val="white"/>
        </w:rPr>
      </w:r>
      <w:r>
        <w:rPr>
          <w:highlight w:val="white"/>
        </w:rPr>
      </w:r>
    </w:p>
    <w:p>
      <w:pPr>
        <w:pStyle w:val="1298"/>
        <w:numPr>
          <w:ilvl w:val="0"/>
          <w:numId w:val="0"/>
        </w:numPr>
        <w:ind w:firstLine="709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3.2.3.1.</w:t>
      </w:r>
      <w:r>
        <w:rPr>
          <w:highlight w:val="white"/>
        </w:rPr>
        <w:t xml:space="preserve">5</w:t>
      </w:r>
      <w:r>
        <w:rPr>
          <w:highlight w:val="white"/>
        </w:rPr>
        <w:t xml:space="preserve">. Подсистема «Реестр авиационных учебных центров»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Подсистема обеспечивает автоматизацию процессов внесения сведений в Реестр авиационных учебных центров по результатам исполнения административных процедур по государственным услугам:</w:t>
      </w:r>
      <w:r>
        <w:rPr>
          <w:highlight w:val="white"/>
        </w:rPr>
      </w:r>
      <w:r>
        <w:rPr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highlight w:val="white"/>
        </w:rPr>
        <w:t xml:space="preserve">«</w:t>
      </w:r>
      <w:r>
        <w:rPr>
          <w:szCs w:val="26"/>
          <w:highlight w:val="white"/>
        </w:rPr>
        <w:t xml:space="preserve">Выдача документа (решения) о допуске тренажерного устройства имитации полета, применяемого в целях подготовки и контроля профессиональных навыков членов летных экипажей гражданских воздушных судов»;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highlight w:val="white"/>
        </w:rPr>
      </w:pPr>
      <w:r>
        <w:rPr>
          <w:szCs w:val="26"/>
          <w:highlight w:val="white"/>
        </w:rPr>
        <w:t xml:space="preserve">«Выдача документа, подтверждающего соответствие образовательных организаций и организаций, осуществляющих обучение специалистов соответствующего уровня согласно перечням специалистов авиационного персонала, требованиям</w:t>
      </w:r>
      <w:r>
        <w:rPr>
          <w:highlight w:val="white"/>
        </w:rPr>
        <w:t xml:space="preserve"> федеральных авиационных правил».</w:t>
      </w:r>
      <w:r>
        <w:rPr>
          <w:highlight w:val="white"/>
        </w:rPr>
      </w:r>
      <w:r>
        <w:rPr>
          <w:highlight w:val="white"/>
        </w:rPr>
      </w:r>
    </w:p>
    <w:p>
      <w:pPr>
        <w:pStyle w:val="1298"/>
        <w:numPr>
          <w:ilvl w:val="0"/>
          <w:numId w:val="0"/>
        </w:numPr>
        <w:ind w:firstLine="709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3.2.3.1.</w:t>
      </w:r>
      <w:r>
        <w:rPr>
          <w:highlight w:val="white"/>
        </w:rPr>
        <w:t xml:space="preserve">6</w:t>
      </w:r>
      <w:r>
        <w:rPr>
          <w:highlight w:val="white"/>
        </w:rPr>
        <w:t xml:space="preserve">. Подсистема «Реестр выданных свидетельств авиационного персонала»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Подсистема включает следующие составные части (Модули):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numPr>
          <w:ilvl w:val="0"/>
          <w:numId w:val="34"/>
        </w:numPr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«Реестр выданных свидетельств авиационного персонала»;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numPr>
          <w:ilvl w:val="0"/>
          <w:numId w:val="34"/>
        </w:numPr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«Реестр выданных свидетельств авиационного персонала – диспетчеры УВД»;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numPr>
          <w:ilvl w:val="0"/>
          <w:numId w:val="34"/>
        </w:numPr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«Реестр выданных свидетельств авиационного персонала – медицинское освидетельствование авиационного персонала».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Подсистема реализует функции информационной поддержки административных процедур по:</w:t>
      </w:r>
      <w:r>
        <w:rPr>
          <w:highlight w:val="white"/>
        </w:rPr>
      </w:r>
      <w:r>
        <w:rPr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highlight w:val="white"/>
        </w:rPr>
      </w:pPr>
      <w:r>
        <w:rPr>
          <w:highlight w:val="white"/>
        </w:rPr>
        <w:t xml:space="preserve">выдаче свидетельств лицам из числа специалистов авиационного персонала гра</w:t>
      </w:r>
      <w:r>
        <w:rPr>
          <w:highlight w:val="white"/>
        </w:rPr>
        <w:t xml:space="preserve">жданской авиации, допускаемым к выполнению функции членов экипажа гражданского воздушного судна, сотрудников по обеспечению полетов гражданской авиации, функции по техническому обслуживанию воздушных судов и диспетчерскому обслуживанию воздушного движения;</w:t>
      </w:r>
      <w:r>
        <w:rPr>
          <w:highlight w:val="white"/>
        </w:rPr>
      </w:r>
      <w:r>
        <w:rPr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highlight w:val="white"/>
        </w:rPr>
      </w:pPr>
      <w:r>
        <w:rPr>
          <w:highlight w:val="white"/>
        </w:rPr>
        <w:t xml:space="preserve">выдаче свидетельства о признании свидетельства иностранного государства лицу из числа авиационного персонала гражданской авиации.</w:t>
      </w:r>
      <w:r>
        <w:rPr>
          <w:highlight w:val="white"/>
        </w:rPr>
      </w:r>
      <w:r>
        <w:rPr>
          <w:highlight w:val="white"/>
        </w:rPr>
      </w:r>
    </w:p>
    <w:p>
      <w:pPr>
        <w:pStyle w:val="1298"/>
        <w:numPr>
          <w:ilvl w:val="0"/>
          <w:numId w:val="0"/>
        </w:numPr>
        <w:ind w:firstLine="709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3.2.3.1.</w:t>
      </w:r>
      <w:r>
        <w:rPr>
          <w:highlight w:val="white"/>
        </w:rPr>
        <w:t xml:space="preserve">7</w:t>
      </w:r>
      <w:r>
        <w:rPr>
          <w:highlight w:val="white"/>
        </w:rPr>
        <w:t xml:space="preserve">. Подсистема «Реестр прав на воздушные суда и сделок с ними»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Подсистема обеспечивает автоматизацию процессов внесения сведений в Единый государственный реестр прав на воздушные суда и сделок с ними по результатам исполнения административных процедур по государственным услугам:</w:t>
      </w:r>
      <w:r>
        <w:rPr>
          <w:highlight w:val="white"/>
        </w:rPr>
      </w:r>
      <w:r>
        <w:rPr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highlight w:val="white"/>
        </w:rPr>
      </w:pPr>
      <w:r>
        <w:rPr>
          <w:szCs w:val="26"/>
          <w:highlight w:val="white"/>
        </w:rPr>
        <w:t xml:space="preserve">«Государственная</w:t>
      </w:r>
      <w:r>
        <w:rPr>
          <w:highlight w:val="white"/>
        </w:rPr>
        <w:t xml:space="preserve"> регистрация прав на воздушные суда и сделок с ними».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Подсистема обеспечивает следующие возможности:</w:t>
      </w:r>
      <w:r>
        <w:rPr>
          <w:highlight w:val="white"/>
        </w:rPr>
      </w:r>
      <w:r>
        <w:rPr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хранение истории изменения данных по всем объектам регистрации; 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ведение книг учета входящих и исходящих документов, необходимых для ведения Единого государственного реестра прав на воздушные суда и сделок с ними;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выгрузку печатных форм, сопровождающих процесс государственной регистрации;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поиск информации по запросам пользователей;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highlight w:val="white"/>
        </w:rPr>
      </w:pPr>
      <w:r>
        <w:rPr>
          <w:szCs w:val="26"/>
          <w:highlight w:val="white"/>
        </w:rPr>
        <w:t xml:space="preserve">ведение нормативно</w:t>
      </w:r>
      <w:r>
        <w:rPr>
          <w:highlight w:val="white"/>
        </w:rPr>
        <w:t xml:space="preserve">-справочной информации.</w:t>
      </w:r>
      <w:r>
        <w:rPr>
          <w:highlight w:val="white"/>
        </w:rPr>
      </w:r>
      <w:r>
        <w:rPr>
          <w:highlight w:val="white"/>
        </w:rPr>
      </w:r>
    </w:p>
    <w:p>
      <w:pPr>
        <w:pStyle w:val="1298"/>
        <w:numPr>
          <w:ilvl w:val="0"/>
          <w:numId w:val="0"/>
        </w:numPr>
        <w:ind w:firstLine="709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3.2.3.1.</w:t>
      </w:r>
      <w:r>
        <w:rPr>
          <w:highlight w:val="white"/>
        </w:rPr>
        <w:t xml:space="preserve">8</w:t>
      </w:r>
      <w:r>
        <w:rPr>
          <w:highlight w:val="white"/>
        </w:rPr>
        <w:t xml:space="preserve">. Подсистема «Реестр </w:t>
      </w:r>
      <w:r>
        <w:rPr>
          <w:highlight w:val="white"/>
        </w:rPr>
        <w:t xml:space="preserve">эксплуатантов</w:t>
      </w:r>
      <w:r>
        <w:rPr>
          <w:highlight w:val="white"/>
        </w:rPr>
        <w:t xml:space="preserve"> и воздушных судов»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Подсистема реализует функции информационной поддержки административных процедур:</w:t>
      </w:r>
      <w:r>
        <w:rPr>
          <w:highlight w:val="white"/>
        </w:rPr>
      </w:r>
      <w:r>
        <w:rPr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highlight w:val="white"/>
        </w:rPr>
      </w:pPr>
      <w:r>
        <w:rPr>
          <w:highlight w:val="white"/>
        </w:rPr>
        <w:t xml:space="preserve">государственная регистрация гражданских воздушных судов и ведение Государственного реестра гражданских воздушных судов Российской Федерации;</w:t>
      </w:r>
      <w:r>
        <w:rPr>
          <w:highlight w:val="white"/>
        </w:rPr>
      </w:r>
      <w:r>
        <w:rPr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highlight w:val="white"/>
        </w:rPr>
      </w:pPr>
      <w:r>
        <w:rPr>
          <w:highlight w:val="white"/>
        </w:rPr>
        <w:t xml:space="preserve">выдача сертификата летной годности беспилотных гражданских воздушных судов с максимальной взлет</w:t>
      </w:r>
      <w:r>
        <w:rPr>
          <w:highlight w:val="white"/>
        </w:rPr>
        <w:t xml:space="preserve">ной массой более 30 килограммов на основании акта оценки беспилотного гражданского воздушного судна на его соответствие применимым требованиям к летной годности и требованиям в области охраны окружающей среды от воздействия деятельности в области авиации»;</w:t>
      </w:r>
      <w:r>
        <w:rPr>
          <w:highlight w:val="white"/>
        </w:rPr>
      </w:r>
      <w:r>
        <w:rPr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highlight w:val="white"/>
        </w:rPr>
      </w:pPr>
      <w:r>
        <w:rPr>
          <w:highlight w:val="white"/>
        </w:rPr>
        <w:t xml:space="preserve">выдача сертификата летной годности пилотируемого гражданского воздушного судна на основании акта оценки воздушного судна на его соответствие требованиям к летной годности и охране окружающей среды;</w:t>
      </w:r>
      <w:r>
        <w:rPr>
          <w:highlight w:val="white"/>
        </w:rPr>
      </w:r>
      <w:r>
        <w:rPr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highlight w:val="white"/>
        </w:rPr>
      </w:pPr>
      <w:r>
        <w:rPr>
          <w:highlight w:val="white"/>
        </w:rPr>
        <w:t xml:space="preserve">выдача сертификата летной годности гражданского воздушного судна;</w:t>
      </w:r>
      <w:r>
        <w:rPr>
          <w:highlight w:val="white"/>
        </w:rPr>
      </w:r>
      <w:r>
        <w:rPr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highlight w:val="white"/>
        </w:rPr>
      </w:pPr>
      <w:r>
        <w:rPr>
          <w:highlight w:val="white"/>
        </w:rPr>
        <w:t xml:space="preserve">выдача разрешений на бортовые радиостанции, используемые на гражданских воздушных судах;</w:t>
      </w:r>
      <w:r>
        <w:rPr>
          <w:highlight w:val="white"/>
        </w:rPr>
      </w:r>
      <w:r>
        <w:rPr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highlight w:val="white"/>
        </w:rPr>
      </w:pPr>
      <w:r>
        <w:rPr>
          <w:highlight w:val="white"/>
        </w:rPr>
        <w:t xml:space="preserve">выдача удостоверения о годности экземпляра гражданского воздушного судна по шуму на местности;</w:t>
      </w:r>
      <w:r>
        <w:rPr>
          <w:highlight w:val="white"/>
        </w:rPr>
      </w:r>
      <w:r>
        <w:rPr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highlight w:val="white"/>
        </w:rPr>
      </w:pPr>
      <w:r>
        <w:rPr>
          <w:highlight w:val="white"/>
        </w:rPr>
        <w:t xml:space="preserve">выдача документа (свидетельства эксплуатанта АОН), подтверждающего соответствие юридического и физического лица требованиям, предъявляемым к </w:t>
      </w:r>
      <w:r>
        <w:rPr>
          <w:highlight w:val="white"/>
        </w:rPr>
        <w:t xml:space="preserve">эксплуатанту</w:t>
      </w:r>
      <w:r>
        <w:rPr>
          <w:highlight w:val="white"/>
        </w:rPr>
        <w:t xml:space="preserve"> авиации общего назначения;</w:t>
      </w:r>
      <w:r>
        <w:rPr>
          <w:highlight w:val="white"/>
        </w:rPr>
      </w:r>
      <w:r>
        <w:rPr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highlight w:val="white"/>
        </w:rPr>
      </w:pPr>
      <w:r>
        <w:rPr>
          <w:highlight w:val="white"/>
        </w:rPr>
        <w:t xml:space="preserve">выдача документа, подтверждающего соответствие юридических лиц, индивидуальных предпринимателей, выполняющих авиационные работы, требованиям федеральных авиационных правил;</w:t>
      </w:r>
      <w:r>
        <w:rPr>
          <w:highlight w:val="white"/>
        </w:rPr>
      </w:r>
      <w:r>
        <w:rPr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highlight w:val="white"/>
        </w:rPr>
      </w:pPr>
      <w:r>
        <w:rPr>
          <w:highlight w:val="white"/>
        </w:rPr>
        <w:t xml:space="preserve">выдача документа, подтверждающего соответствие юридических лиц, индивидуальных предпринимателей, осуществляющих коммерческие воздушные перевозки, требованиям федеральных авиационных правил.</w:t>
      </w:r>
      <w:r>
        <w:rPr>
          <w:highlight w:val="white"/>
        </w:rPr>
      </w:r>
      <w:r>
        <w:rPr>
          <w:highlight w:val="white"/>
        </w:rPr>
      </w:r>
    </w:p>
    <w:p>
      <w:pPr>
        <w:pStyle w:val="1298"/>
        <w:numPr>
          <w:ilvl w:val="0"/>
          <w:numId w:val="0"/>
        </w:numPr>
        <w:ind w:firstLine="709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3.2.3.1.</w:t>
      </w:r>
      <w:r>
        <w:rPr>
          <w:highlight w:val="white"/>
        </w:rPr>
        <w:t xml:space="preserve">9</w:t>
      </w:r>
      <w:r>
        <w:rPr>
          <w:highlight w:val="white"/>
        </w:rPr>
        <w:t xml:space="preserve">. Подсистема «Администрирование»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Подсистема «Администрирование» – предназначена для настройки АИС ОГУ и содержит в своем составе модули, приведенные в пунктах 9.1 – 9.5 Таблицы 2.1.</w:t>
      </w:r>
      <w:r>
        <w:rPr>
          <w:highlight w:val="white"/>
        </w:rPr>
      </w:r>
      <w:r>
        <w:rPr>
          <w:highlight w:val="white"/>
        </w:rPr>
      </w:r>
    </w:p>
    <w:p>
      <w:pPr>
        <w:pStyle w:val="1309"/>
        <w:numPr>
          <w:ilvl w:val="0"/>
          <w:numId w:val="0"/>
        </w:numPr>
        <w:ind w:firstLine="709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3.2.3.1.</w:t>
      </w:r>
      <w:r>
        <w:rPr>
          <w:highlight w:val="white"/>
        </w:rPr>
        <w:t xml:space="preserve">9</w:t>
      </w:r>
      <w:r>
        <w:rPr>
          <w:highlight w:val="white"/>
        </w:rPr>
        <w:t xml:space="preserve">.1. Модуль «Мониторинг»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Модуль предназначен для создания условий контроля операторами процессов предоставления сведений в электронной форме и обеспечивает:</w:t>
      </w:r>
      <w:r>
        <w:rPr>
          <w:highlight w:val="white"/>
        </w:rPr>
      </w:r>
      <w:r>
        <w:rPr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настройку и подготовку форм отчетности;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настройку, просмотр и анализ журналов и протоколов электронного взаимодействия;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highlight w:val="white"/>
        </w:rPr>
      </w:pPr>
      <w:r>
        <w:rPr>
          <w:szCs w:val="26"/>
          <w:highlight w:val="white"/>
        </w:rPr>
        <w:t xml:space="preserve">настройку и отображение ключевых индикаторов назначения и индикаторов диагностической</w:t>
      </w:r>
      <w:r>
        <w:rPr>
          <w:highlight w:val="white"/>
        </w:rPr>
        <w:t xml:space="preserve"> информации.</w:t>
      </w:r>
      <w:r>
        <w:rPr>
          <w:highlight w:val="white"/>
        </w:rPr>
      </w:r>
      <w:r>
        <w:rPr>
          <w:highlight w:val="white"/>
        </w:rPr>
      </w:r>
    </w:p>
    <w:p>
      <w:pPr>
        <w:pStyle w:val="1309"/>
        <w:numPr>
          <w:ilvl w:val="0"/>
          <w:numId w:val="0"/>
        </w:numPr>
        <w:ind w:firstLine="709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3.2.3.1.</w:t>
      </w:r>
      <w:r>
        <w:rPr>
          <w:highlight w:val="white"/>
        </w:rPr>
        <w:t xml:space="preserve">9</w:t>
      </w:r>
      <w:r>
        <w:rPr>
          <w:highlight w:val="white"/>
        </w:rPr>
        <w:t xml:space="preserve">.2. Модуль «Системные настройки» 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Модуль предназначен для определения параметров окружения, включая:</w:t>
      </w:r>
      <w:r>
        <w:rPr>
          <w:highlight w:val="white"/>
        </w:rPr>
      </w:r>
      <w:r>
        <w:rPr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определение параметров соединения с СУБД;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highlight w:val="white"/>
        </w:rPr>
      </w:pPr>
      <w:r>
        <w:rPr>
          <w:szCs w:val="26"/>
          <w:highlight w:val="white"/>
        </w:rPr>
        <w:t xml:space="preserve">ведение реестра операторов и разграничения прав доступа к функциям и информаци</w:t>
      </w:r>
      <w:r>
        <w:rPr>
          <w:highlight w:val="white"/>
        </w:rPr>
        <w:t xml:space="preserve">и.</w:t>
      </w:r>
      <w:r>
        <w:rPr>
          <w:highlight w:val="white"/>
        </w:rPr>
      </w:r>
      <w:r>
        <w:rPr>
          <w:highlight w:val="white"/>
        </w:rPr>
      </w:r>
    </w:p>
    <w:p>
      <w:pPr>
        <w:pStyle w:val="1309"/>
        <w:numPr>
          <w:ilvl w:val="0"/>
          <w:numId w:val="0"/>
        </w:numPr>
        <w:ind w:firstLine="85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3.2.3.1.</w:t>
      </w:r>
      <w:r>
        <w:rPr>
          <w:highlight w:val="white"/>
        </w:rPr>
        <w:t xml:space="preserve">9</w:t>
      </w:r>
      <w:r>
        <w:rPr>
          <w:highlight w:val="white"/>
        </w:rPr>
        <w:t xml:space="preserve">.3. Модуль «Настройки Электронной подписи»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Модуль предназначен для настройки средств ЭП включая:</w:t>
      </w:r>
      <w:r>
        <w:rPr>
          <w:highlight w:val="white"/>
        </w:rPr>
      </w:r>
      <w:r>
        <w:rPr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настройку правил подписания ЭП выходных документов;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highlight w:val="white"/>
        </w:rPr>
      </w:pPr>
      <w:r>
        <w:rPr>
          <w:szCs w:val="26"/>
          <w:highlight w:val="white"/>
        </w:rPr>
        <w:t xml:space="preserve">настройку</w:t>
      </w:r>
      <w:r>
        <w:rPr>
          <w:highlight w:val="white"/>
        </w:rPr>
        <w:t xml:space="preserve"> правил проверки ЭП входных документов.</w:t>
      </w:r>
      <w:r>
        <w:rPr>
          <w:highlight w:val="white"/>
        </w:rPr>
      </w:r>
      <w:r>
        <w:rPr>
          <w:highlight w:val="white"/>
        </w:rPr>
      </w:r>
    </w:p>
    <w:p>
      <w:pPr>
        <w:pStyle w:val="1309"/>
        <w:numPr>
          <w:ilvl w:val="0"/>
          <w:numId w:val="0"/>
        </w:numPr>
        <w:ind w:firstLine="85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3.2.3.1</w:t>
      </w:r>
      <w:r>
        <w:rPr>
          <w:highlight w:val="white"/>
        </w:rPr>
        <w:t xml:space="preserve">.9</w:t>
      </w:r>
      <w:r>
        <w:rPr>
          <w:highlight w:val="white"/>
        </w:rPr>
        <w:t xml:space="preserve">.4. Модуль «Сервисные функции» 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Модуль предназначен для выполнения процедур сервисного обслуживания, включая:</w:t>
      </w:r>
      <w:r>
        <w:rPr>
          <w:highlight w:val="white"/>
        </w:rPr>
      </w:r>
      <w:r>
        <w:rPr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архивирование журналов и протоколов информационного взаимодействия;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создание резервных копий информационных массивов;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highlight w:val="white"/>
        </w:rPr>
      </w:pPr>
      <w:r>
        <w:rPr>
          <w:szCs w:val="26"/>
          <w:highlight w:val="white"/>
        </w:rPr>
        <w:t xml:space="preserve">переключение</w:t>
      </w:r>
      <w:r>
        <w:rPr>
          <w:highlight w:val="white"/>
        </w:rPr>
        <w:t xml:space="preserve"> режимов эксплуатации.</w:t>
      </w:r>
      <w:r>
        <w:rPr>
          <w:highlight w:val="white"/>
        </w:rPr>
      </w:r>
      <w:r>
        <w:rPr>
          <w:highlight w:val="white"/>
        </w:rPr>
      </w:r>
    </w:p>
    <w:p>
      <w:pPr>
        <w:pStyle w:val="1309"/>
        <w:numPr>
          <w:ilvl w:val="0"/>
          <w:numId w:val="0"/>
        </w:numPr>
        <w:ind w:firstLine="709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3.2.3.1.</w:t>
      </w:r>
      <w:r>
        <w:rPr>
          <w:highlight w:val="white"/>
        </w:rPr>
        <w:t xml:space="preserve">9</w:t>
      </w:r>
      <w:r>
        <w:rPr>
          <w:highlight w:val="white"/>
        </w:rPr>
        <w:t xml:space="preserve">.5. Модуль «Администрирование учетных данных» 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Модуль предназначен для управление локальными и доменными учетными записями: аудит, квотирование и разграничение прав пользователей в зависимости от их потребностей и политики Заказчика.</w:t>
      </w:r>
      <w:r>
        <w:rPr>
          <w:highlight w:val="white"/>
        </w:rPr>
      </w:r>
      <w:r>
        <w:rPr>
          <w:highlight w:val="white"/>
        </w:rPr>
      </w:r>
    </w:p>
    <w:p>
      <w:pPr>
        <w:pStyle w:val="1298"/>
        <w:numPr>
          <w:ilvl w:val="0"/>
          <w:numId w:val="0"/>
        </w:numPr>
        <w:ind w:firstLine="709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3.2.3.1.</w:t>
      </w:r>
      <w:r>
        <w:rPr>
          <w:highlight w:val="white"/>
        </w:rPr>
        <w:t xml:space="preserve">10</w:t>
      </w:r>
      <w:r>
        <w:rPr>
          <w:highlight w:val="white"/>
        </w:rPr>
        <w:t xml:space="preserve">. Подсистема «Прохождение тестирования авиационного персонала»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Подсистема «Прохождение тестирования авиаперсонала» – предназначена для проведения тестирования авиаперсонала и содержит в своем составе модули, приведенные в пунктах 2.3.1.10.1 – 2.3.1.10.3.</w:t>
      </w:r>
      <w:r>
        <w:rPr>
          <w:highlight w:val="white"/>
        </w:rPr>
      </w:r>
      <w:r>
        <w:rPr>
          <w:highlight w:val="white"/>
        </w:rPr>
      </w:r>
    </w:p>
    <w:p>
      <w:pPr>
        <w:pStyle w:val="1309"/>
        <w:numPr>
          <w:ilvl w:val="0"/>
          <w:numId w:val="0"/>
        </w:numPr>
        <w:ind w:firstLine="709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3.2.3.1.</w:t>
      </w:r>
      <w:r>
        <w:rPr>
          <w:highlight w:val="white"/>
        </w:rPr>
        <w:t xml:space="preserve">10</w:t>
      </w:r>
      <w:r>
        <w:rPr>
          <w:highlight w:val="white"/>
        </w:rPr>
        <w:t xml:space="preserve">.1. Модуль «Мероприятие»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Модуль «Мероприятие» обеспечивает возможность учета и планирования дат, времени и места проведения проверок знаний, а также формирования и учета списка комиссии и списка кандидатов.</w:t>
      </w:r>
      <w:r>
        <w:rPr>
          <w:highlight w:val="white"/>
        </w:rPr>
      </w:r>
      <w:r>
        <w:rPr>
          <w:highlight w:val="white"/>
        </w:rPr>
      </w:r>
    </w:p>
    <w:p>
      <w:pPr>
        <w:pStyle w:val="1309"/>
        <w:numPr>
          <w:ilvl w:val="0"/>
          <w:numId w:val="0"/>
        </w:numPr>
        <w:ind w:firstLine="709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3.2.3.1.</w:t>
      </w:r>
      <w:r>
        <w:rPr>
          <w:highlight w:val="white"/>
        </w:rPr>
        <w:t xml:space="preserve">10</w:t>
      </w:r>
      <w:r>
        <w:rPr>
          <w:highlight w:val="white"/>
        </w:rPr>
        <w:t xml:space="preserve">.2. Модуль «Подготовка тестов»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Модуль «Подготовка тестов» обеспечивает возможность настройки механизмов формирования тестов, а также реестра вопросов, являющегося первичным источником данных для формирования тестов.</w:t>
      </w:r>
      <w:r>
        <w:rPr>
          <w:highlight w:val="white"/>
        </w:rPr>
      </w:r>
      <w:r>
        <w:rPr>
          <w:highlight w:val="white"/>
        </w:rPr>
      </w:r>
    </w:p>
    <w:p>
      <w:pPr>
        <w:pStyle w:val="1309"/>
        <w:numPr>
          <w:ilvl w:val="0"/>
          <w:numId w:val="0"/>
        </w:numPr>
        <w:ind w:firstLine="709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3.2.3.1.</w:t>
      </w:r>
      <w:r>
        <w:rPr>
          <w:highlight w:val="white"/>
        </w:rPr>
        <w:t xml:space="preserve">10</w:t>
      </w:r>
      <w:r>
        <w:rPr>
          <w:highlight w:val="white"/>
        </w:rPr>
        <w:t xml:space="preserve">.3. Модуль «Проведение тестирования»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Модуль «Проведение тестирования» обеспечивает возможность прохождения кандидатами тестирования в электронном виде на право получения свидетельства.</w:t>
      </w:r>
      <w:r>
        <w:rPr>
          <w:highlight w:val="white"/>
        </w:rPr>
      </w:r>
      <w:r>
        <w:rPr>
          <w:highlight w:val="white"/>
        </w:rPr>
      </w:r>
    </w:p>
    <w:p>
      <w:pPr>
        <w:pStyle w:val="1298"/>
        <w:numPr>
          <w:ilvl w:val="0"/>
          <w:numId w:val="0"/>
        </w:numPr>
        <w:ind w:firstLine="709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3.2.3.1.</w:t>
      </w:r>
      <w:r>
        <w:rPr>
          <w:highlight w:val="white"/>
        </w:rPr>
        <w:t xml:space="preserve">11</w:t>
      </w:r>
      <w:r>
        <w:rPr>
          <w:highlight w:val="white"/>
        </w:rPr>
        <w:t xml:space="preserve">. Подсистема «Единая система нормативно-справочной информации»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Подсистем</w:t>
      </w:r>
      <w:r>
        <w:rPr>
          <w:highlight w:val="white"/>
        </w:rPr>
        <w:t xml:space="preserve">а «Единая система нормативно-справочной информации» обеспечивает возможность ведения справочников, необходимых для реализации процесса исполнения административных процедур Заказчика и оказание государственных услуг в электронном виде с использованием ЕПГУ.</w:t>
      </w:r>
      <w:r>
        <w:rPr>
          <w:highlight w:val="white"/>
        </w:rPr>
      </w:r>
      <w:r>
        <w:rPr>
          <w:highlight w:val="white"/>
        </w:rPr>
      </w:r>
    </w:p>
    <w:p>
      <w:pPr>
        <w:pStyle w:val="1298"/>
        <w:numPr>
          <w:ilvl w:val="0"/>
          <w:numId w:val="0"/>
        </w:numPr>
        <w:ind w:firstLine="709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3.2.3.1.1</w:t>
      </w:r>
      <w:r>
        <w:rPr>
          <w:highlight w:val="white"/>
        </w:rPr>
        <w:t xml:space="preserve">2</w:t>
      </w:r>
      <w:r>
        <w:rPr>
          <w:highlight w:val="white"/>
        </w:rPr>
        <w:t xml:space="preserve">. Подсистема «Отчетности»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Подсистема «Отчетности» обеспечивает возможность в автоматическом режиме на основании данных, имеющихся в АИС ОГУ, формировать отчеты установленной формы. 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В частности, формировать отчеты 1-ГМУ и 2-ГМУ, форма которых утверждена приказом Росстата от 17.12.2018 № 744 «Об утверждении форм федерального статистического наблюдения для организации Министерством </w:t>
      </w:r>
      <w:r>
        <w:rPr>
          <w:highlight w:val="white"/>
        </w:rPr>
        <w:t xml:space="preserve">экономического развития Российской Федерации федерального статистического наблюдения о предоставлении государственных (муниципальных) услуг», а также формировать отчет для предоставления в ГАСУ в автоматизированном режиме, включающего следующую информацию:</w:t>
      </w:r>
      <w:r>
        <w:rPr>
          <w:highlight w:val="white"/>
        </w:rPr>
      </w:r>
      <w:r>
        <w:rPr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информация о поданных заявлениях (в том числе на бумажном носителе);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highlight w:val="white"/>
        </w:rPr>
      </w:pPr>
      <w:r>
        <w:rPr>
          <w:szCs w:val="26"/>
          <w:highlight w:val="white"/>
        </w:rPr>
        <w:t xml:space="preserve">инфор</w:t>
      </w:r>
      <w:r>
        <w:rPr>
          <w:highlight w:val="white"/>
        </w:rPr>
        <w:t xml:space="preserve">мация о выданных (прекращенных) лицензиях.</w:t>
      </w:r>
      <w:r>
        <w:rPr>
          <w:highlight w:val="white"/>
        </w:rPr>
      </w:r>
      <w:r>
        <w:rPr>
          <w:highlight w:val="white"/>
        </w:rPr>
      </w:r>
    </w:p>
    <w:p>
      <w:pPr>
        <w:pStyle w:val="1298"/>
        <w:numPr>
          <w:ilvl w:val="0"/>
          <w:numId w:val="0"/>
        </w:numPr>
        <w:ind w:firstLine="709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3.2.3.1.1</w:t>
      </w:r>
      <w:r>
        <w:rPr>
          <w:highlight w:val="white"/>
        </w:rPr>
        <w:t xml:space="preserve">3</w:t>
      </w:r>
      <w:r>
        <w:rPr>
          <w:highlight w:val="white"/>
        </w:rPr>
        <w:t xml:space="preserve">. Подсистема «Государственные услуги, заявление по которым подаются в бумажном виде»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Подсистема обеспечивает автоматизацию</w:t>
      </w:r>
      <w:r>
        <w:rPr>
          <w:highlight w:val="white"/>
        </w:rPr>
        <w:t xml:space="preserve"> процесса оказания услуг, включая вторичные административные процедуры (там, где такие процедуры предусмотрены административными регламентами), такие как выдачу дубликата, аннулирование, внесение изменений в ранее выданный разрешительный документ и т. д.  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Список государственных услуг, процессы исполнения административных процедур, по которым, реализованы в системе, перечислен в Приложении Д к ТЗ.</w:t>
      </w:r>
      <w:r>
        <w:rPr>
          <w:highlight w:val="white"/>
        </w:rPr>
      </w:r>
      <w:r>
        <w:rPr>
          <w:highlight w:val="white"/>
        </w:rPr>
      </w:r>
    </w:p>
    <w:p>
      <w:pPr>
        <w:pStyle w:val="1298"/>
        <w:numPr>
          <w:ilvl w:val="0"/>
          <w:numId w:val="0"/>
        </w:numPr>
        <w:ind w:firstLine="709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3.2.3.1.14 </w:t>
      </w:r>
      <w:r>
        <w:rPr>
          <w:highlight w:val="white"/>
        </w:rPr>
        <w:t xml:space="preserve">Система защиты информации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Описание Системы в п.3.2.4.</w:t>
      </w:r>
      <w:r>
        <w:rPr>
          <w:highlight w:val="white"/>
        </w:rPr>
      </w:r>
      <w:r>
        <w:rPr>
          <w:highlight w:val="white"/>
        </w:rPr>
      </w:r>
    </w:p>
    <w:p>
      <w:pPr>
        <w:pStyle w:val="1277"/>
        <w:numPr>
          <w:ilvl w:val="0"/>
          <w:numId w:val="0"/>
        </w:numPr>
        <w:ind w:left="71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3.2.3.2. Описание программного обеспечения</w:t>
      </w:r>
      <w:r>
        <w:rPr>
          <w:highlight w:val="white"/>
        </w:rPr>
      </w:r>
      <w:r>
        <w:rPr>
          <w:highlight w:val="white"/>
        </w:rPr>
      </w:r>
    </w:p>
    <w:p>
      <w:pPr>
        <w:pStyle w:val="1298"/>
        <w:numPr>
          <w:ilvl w:val="0"/>
          <w:numId w:val="0"/>
        </w:numPr>
        <w:ind w:firstLine="709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3.2.3.2.1. Описание общего программного обеспечения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Общее программное обеспечение </w:t>
      </w:r>
      <w:r>
        <w:rPr>
          <w:highlight w:val="white"/>
          <w:lang w:val="ru-RU"/>
        </w:rPr>
        <w:t xml:space="preserve">установлено в Росавиации и не является программным обеспечением в понимании п</w:t>
      </w:r>
      <w:r>
        <w:rPr>
          <w:highlight w:val="white"/>
          <w:lang w:val="ru-RU"/>
        </w:rPr>
        <w:t xml:space="preserve">остановления Правительства Российской Федерации от 23.12.2024 № 1875</w:t>
      </w:r>
      <w:r>
        <w:rPr>
          <w:highlight w:val="white"/>
        </w:rPr>
        <w:t xml:space="preserve">.</w:t>
      </w:r>
      <w:r>
        <w:rPr>
          <w:highlight w:val="white"/>
        </w:rPr>
      </w:r>
      <w:r>
        <w:rPr>
          <w:highlight w:val="white"/>
        </w:rPr>
      </w:r>
    </w:p>
    <w:p>
      <w:pPr>
        <w:pStyle w:val="1309"/>
        <w:numPr>
          <w:ilvl w:val="0"/>
          <w:numId w:val="0"/>
        </w:numPr>
        <w:ind w:left="709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3.2.3.2.1.1. Операционная система РЕД ОС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Программный комплекс, предоставляющий платформу унифицированной функциональной универсальной доверенной среды для выполнения прикладного программного обеспечения.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В составе операционной системы пред</w:t>
      </w:r>
      <w:r>
        <w:rPr>
          <w:highlight w:val="white"/>
        </w:rPr>
        <w:t xml:space="preserve">ставлен сервер веб-приложений, </w:t>
      </w:r>
      <w:r>
        <w:rPr>
          <w:highlight w:val="white"/>
        </w:rPr>
        <w:t xml:space="preserve">используемый для доставки контента и средств его представления для клиентских приложений, а также среда исполнения </w:t>
      </w:r>
      <w:r>
        <w:rPr>
          <w:highlight w:val="white"/>
        </w:rPr>
        <w:t xml:space="preserve">Java</w:t>
      </w:r>
      <w:r>
        <w:rPr>
          <w:highlight w:val="white"/>
        </w:rPr>
        <w:t xml:space="preserve">, используемая для выполнения приложений </w:t>
      </w:r>
      <w:r>
        <w:rPr>
          <w:highlight w:val="white"/>
        </w:rPr>
        <w:t xml:space="preserve">Java</w:t>
      </w:r>
      <w:r>
        <w:rPr>
          <w:highlight w:val="white"/>
        </w:rPr>
        <w:t xml:space="preserve">.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Операционная система РЕД ОС имеет свидетельство о государственной регистрации программы для ЭВМ (Роспатент) от 09.01.2018, номер 2018610234 и зарегистрирована в Едином реестре российских программ для электронных вычислительных машин и баз данных (</w:t>
      </w:r>
      <w:r>
        <w:rPr>
          <w:highlight w:val="white"/>
        </w:rPr>
        <w:t xml:space="preserve">Минцифры</w:t>
      </w:r>
      <w:r>
        <w:rPr>
          <w:highlight w:val="white"/>
        </w:rPr>
        <w:t xml:space="preserve"> России) от 23.07.2017, номер 3751.</w:t>
      </w:r>
      <w:r>
        <w:rPr>
          <w:highlight w:val="white"/>
        </w:rPr>
      </w:r>
      <w:r>
        <w:rPr>
          <w:highlight w:val="white"/>
        </w:rPr>
      </w:r>
    </w:p>
    <w:p>
      <w:pPr>
        <w:pStyle w:val="1309"/>
        <w:numPr>
          <w:ilvl w:val="0"/>
          <w:numId w:val="0"/>
        </w:numPr>
        <w:ind w:left="709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3.2.3.2.1.2. Средство криптографической защиты информации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Средство криптографической защиты информации используется для шифрования (дешифрования) информации, безопасного хранения и передачи данных, создания электронных подписей.</w:t>
      </w:r>
      <w:r>
        <w:rPr>
          <w:highlight w:val="white"/>
        </w:rPr>
      </w:r>
      <w:r>
        <w:rPr>
          <w:highlight w:val="white"/>
        </w:rPr>
      </w:r>
    </w:p>
    <w:p>
      <w:pPr>
        <w:pStyle w:val="1309"/>
        <w:numPr>
          <w:ilvl w:val="0"/>
          <w:numId w:val="0"/>
        </w:numPr>
        <w:ind w:left="709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3.2.3.2.1.3. ГЕМБАФЕЙС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ГЕМБАФЕЙС предназначен для формирования баз данных поисковых образов (биометрических данных) по фотографиям людей и последующего поиска по предъявленной фотографии. 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ГЕМБАФЕЙС предполагает информационное взаимодействие со смежными информационными системами по технологии REST API. 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ГЕМБАФЕЙС имеет свидетельство о государственной регистрации программы для ЭВМ (Роспатент) от 09.01.2018, номер 2018610294 и зарегистрирована в Едином реестре российских программ для электронных вычислительных машин и баз данных (</w:t>
      </w:r>
      <w:r>
        <w:rPr>
          <w:highlight w:val="white"/>
        </w:rPr>
        <w:t xml:space="preserve">Минцифры</w:t>
      </w:r>
      <w:r>
        <w:rPr>
          <w:highlight w:val="white"/>
        </w:rPr>
        <w:t xml:space="preserve"> России) от 12.08.2022, номер 14 574.</w:t>
      </w:r>
      <w:r>
        <w:rPr>
          <w:highlight w:val="white"/>
        </w:rPr>
      </w:r>
      <w:r>
        <w:rPr>
          <w:highlight w:val="white"/>
        </w:rPr>
      </w:r>
    </w:p>
    <w:p>
      <w:pPr>
        <w:pStyle w:val="1309"/>
        <w:numPr>
          <w:ilvl w:val="0"/>
          <w:numId w:val="0"/>
        </w:numPr>
        <w:ind w:left="709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3.2.3.2.1.4. СУБД «Ред База Данных»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Программный комплекс, позволяющий администрировать базу данных, защищающий ее целостность и обеспечивающий конфиденциальность сведений.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СУБД «Ред База Данных» имеет свидетельство об официальной регистрации программы для ЭВМ № 2007612459, зарегистрировано Федеральной службой по интеллектуальной собственности, патентам и товарным знакам в реестре программ для ЭВМ 09.06.2007.</w:t>
      </w:r>
      <w:r>
        <w:rPr>
          <w:highlight w:val="white"/>
        </w:rPr>
      </w:r>
      <w:r>
        <w:rPr>
          <w:highlight w:val="white"/>
        </w:rPr>
      </w:r>
    </w:p>
    <w:p>
      <w:pPr>
        <w:pStyle w:val="1309"/>
        <w:numPr>
          <w:ilvl w:val="0"/>
          <w:numId w:val="0"/>
        </w:numPr>
        <w:ind w:left="709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3.2.3.2.1.5. Платформа программных продуктов «Ред Платформа»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Программное обеспечение, предназначенное для управления документами и другими типами контента, их хранения и обработки в масштабах предприятия (ЕСМ, ЕСМ-платформа).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Платформ</w:t>
      </w:r>
      <w:r>
        <w:rPr>
          <w:highlight w:val="white"/>
        </w:rPr>
        <w:t xml:space="preserve">а программных продуктов «Ред Платформа» имеет свидетельство об официальной регистрации программы для ЭВМ № 2011614232, зарегистрировано Федеральной службой по интеллектуальной собственности, патентам и товарным знакам в реестре программ для ЭВМ 30.05.2011.</w:t>
      </w:r>
      <w:r>
        <w:rPr>
          <w:highlight w:val="white"/>
        </w:rPr>
      </w:r>
      <w:r>
        <w:rPr>
          <w:highlight w:val="white"/>
        </w:rPr>
      </w:r>
    </w:p>
    <w:p>
      <w:pPr>
        <w:pStyle w:val="1309"/>
        <w:numPr>
          <w:ilvl w:val="0"/>
          <w:numId w:val="0"/>
        </w:numPr>
        <w:ind w:left="709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3.2.3.2.1.6. Программное обеспечение для организации межведомственного взаимодействия РЕДШЛЮЗ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Программное обеспечение, предназначенное для:</w:t>
      </w:r>
      <w:r>
        <w:rPr>
          <w:highlight w:val="white"/>
        </w:rPr>
      </w:r>
      <w:r>
        <w:rPr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управления электронными административными регламентами предоставления государственных услуг (транспортная подсистема, хранилище информации, сервер, АРМ);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 управления электронными административными регламентами электронных сервисов предоставления сведений внешним контрагентам (транспортная подсистема, хранилище информации, сервер, АРМ); 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управления электронными административными регламентами электронных сервисов получения сведений от внешних контрагентов (транспортная подсистема, хранилище информации, сервер, АРМ); 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управления электронными административными регламентами взаимодействия с ведомственными информационными системами (транспортная подсистема, хранилище информации, сервер, АРМ); 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highlight w:val="white"/>
        </w:rPr>
      </w:pPr>
      <w:r>
        <w:rPr>
          <w:szCs w:val="26"/>
          <w:highlight w:val="white"/>
        </w:rPr>
        <w:t xml:space="preserve">администрирования</w:t>
      </w:r>
      <w:r>
        <w:rPr>
          <w:highlight w:val="white"/>
        </w:rPr>
        <w:t xml:space="preserve"> (хранилище информации, сервер, АРМ).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Программное обеспечение для организации межведо</w:t>
      </w:r>
      <w:r>
        <w:rPr>
          <w:highlight w:val="white"/>
        </w:rPr>
        <w:t xml:space="preserve">мственного взаимодействия РЕДШЛЮЗ имеет свидетельство о государственной регистрации программы для ЭВМ от 09.01.2020 № 2020610114 и зарегистрирована в Едином реестре российских программ для электронных вычислительных машин и баз данных от 29.03.2018 № 4312.</w:t>
      </w:r>
      <w:r>
        <w:rPr>
          <w:highlight w:val="white"/>
        </w:rPr>
      </w:r>
      <w:r>
        <w:rPr>
          <w:highlight w:val="white"/>
        </w:rPr>
      </w:r>
    </w:p>
    <w:p>
      <w:pPr>
        <w:pStyle w:val="1277"/>
        <w:numPr>
          <w:ilvl w:val="0"/>
          <w:numId w:val="0"/>
        </w:numPr>
        <w:ind w:left="71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3.2.3.3. Описание технического обеспечения</w:t>
      </w:r>
      <w:r>
        <w:rPr>
          <w:highlight w:val="white"/>
        </w:rPr>
      </w:r>
      <w:r>
        <w:rPr>
          <w:highlight w:val="white"/>
        </w:rPr>
      </w:r>
    </w:p>
    <w:p>
      <w:pPr>
        <w:pStyle w:val="1298"/>
        <w:numPr>
          <w:ilvl w:val="0"/>
          <w:numId w:val="0"/>
        </w:numPr>
        <w:ind w:left="709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3.2.3.3.1. Сервер и серверное оборудование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В таблице 2.3 приведены характеристики оборудования, на котором функционирует АИС ОГУ.</w:t>
      </w:r>
      <w:r>
        <w:rPr>
          <w:highlight w:val="white"/>
        </w:rPr>
      </w:r>
      <w:r>
        <w:rPr>
          <w:highlight w:val="white"/>
        </w:rPr>
      </w:r>
    </w:p>
    <w:p>
      <w:pPr>
        <w:pStyle w:val="1284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Таблица 2.3 – Характеристики оборудования, на котором функционирует АИС ОГУ</w:t>
      </w:r>
      <w:r>
        <w:rPr>
          <w:highlight w:val="white"/>
        </w:rPr>
      </w:r>
      <w:r>
        <w:rPr>
          <w:highlight w:val="white"/>
        </w:rPr>
      </w:r>
    </w:p>
    <w:tbl>
      <w:tblPr>
        <w:tblW w:w="4920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678"/>
        <w:gridCol w:w="3060"/>
        <w:gridCol w:w="3084"/>
        <w:gridCol w:w="3210"/>
      </w:tblGrid>
      <w:tr>
        <w:tblPrEx/>
        <w:trPr>
          <w:tblHeader/>
        </w:trPr>
        <w:tc>
          <w:tcPr>
            <w:tcW w:w="338" w:type="pct"/>
            <w:vAlign w:val="center"/>
            <w:textDirection w:val="lrTb"/>
            <w:noWrap w:val="false"/>
          </w:tcPr>
          <w:p>
            <w:pPr>
              <w:pStyle w:val="1291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№</w:t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W w:w="1525" w:type="pct"/>
            <w:vAlign w:val="center"/>
            <w:textDirection w:val="lrTb"/>
            <w:noWrap w:val="false"/>
          </w:tcPr>
          <w:p>
            <w:pPr>
              <w:pStyle w:val="1291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Наименование сервера</w:t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W w:w="1537" w:type="pct"/>
            <w:vAlign w:val="center"/>
            <w:textDirection w:val="lrTb"/>
            <w:noWrap w:val="false"/>
          </w:tcPr>
          <w:p>
            <w:pPr>
              <w:pStyle w:val="1291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Наименование аппаратного обеспечения</w:t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W w:w="1600" w:type="pct"/>
            <w:vAlign w:val="center"/>
            <w:textDirection w:val="lrTb"/>
            <w:noWrap w:val="false"/>
          </w:tcPr>
          <w:p>
            <w:pPr>
              <w:pStyle w:val="1291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Характеристики аппаратного обеспечения</w:t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</w:tr>
      <w:tr>
        <w:tblPrEx/>
        <w:trPr>
          <w:trHeight w:val="202"/>
        </w:trPr>
        <w:tc>
          <w:tcPr>
            <w:tcW w:w="338" w:type="pct"/>
            <w:vMerge w:val="restart"/>
            <w:textDirection w:val="lrTb"/>
            <w:noWrap w:val="false"/>
          </w:tcPr>
          <w:p>
            <w:pPr>
              <w:pStyle w:val="1293"/>
              <w:numPr>
                <w:ilvl w:val="0"/>
                <w:numId w:val="0"/>
              </w:numPr>
              <w:ind w:right="327"/>
              <w:jc w:val="center"/>
              <w:shd w:val="clear" w:color="ffffff" w:themeColor="background1" w:fill="ffffff" w:themeFill="background1"/>
              <w:tabs>
                <w:tab w:val="left" w:pos="1134" w:leader="none"/>
              </w:tabs>
              <w:rPr>
                <w:rFonts w:cs="Times New Roman"/>
                <w:sz w:val="26"/>
                <w:szCs w:val="26"/>
                <w:highlight w:val="white"/>
              </w:rPr>
            </w:pPr>
            <w:r>
              <w:rPr>
                <w:rFonts w:cs="Times New Roman"/>
                <w:sz w:val="26"/>
                <w:szCs w:val="26"/>
                <w:highlight w:val="white"/>
              </w:rPr>
              <w:t xml:space="preserve">1</w:t>
            </w:r>
            <w:r>
              <w:rPr>
                <w:rFonts w:cs="Times New Roman"/>
                <w:sz w:val="26"/>
                <w:szCs w:val="26"/>
                <w:highlight w:val="white"/>
              </w:rPr>
            </w:r>
            <w:r>
              <w:rPr>
                <w:rFonts w:cs="Times New Roman"/>
                <w:sz w:val="26"/>
                <w:szCs w:val="26"/>
                <w:highlight w:val="white"/>
              </w:rPr>
            </w:r>
          </w:p>
        </w:tc>
        <w:tc>
          <w:tcPr>
            <w:tcW w:w="1525" w:type="pct"/>
            <w:vMerge w:val="restar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Основной сервер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1537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Серверный процессор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1600" w:type="pct"/>
            <w:textDirection w:val="lrTb"/>
            <w:noWrap w:val="false"/>
          </w:tcPr>
          <w:p>
            <w:pPr>
              <w:contextualSpacing/>
              <w:ind w:right="-1" w:firstLine="0"/>
              <w:jc w:val="both"/>
              <w:spacing w:line="276" w:lineRule="auto"/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highlight w:val="white"/>
              </w:rPr>
              <w:t xml:space="preserve">2х процессора Интел </w:t>
            </w:r>
            <w:r>
              <w:rPr>
                <w:highlight w:val="white"/>
              </w:rPr>
              <w:t xml:space="preserve">Xeon</w:t>
            </w:r>
            <w:r>
              <w:rPr>
                <w:highlight w:val="white"/>
              </w:rPr>
              <w:t xml:space="preserve"> 16 ядер 32 потока частота от 2.6 ГГц поколение 12+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W w:w="338" w:type="pct"/>
            <w:vMerge w:val="continue"/>
            <w:textDirection w:val="lrTb"/>
            <w:noWrap w:val="false"/>
          </w:tcPr>
          <w:p>
            <w:pPr>
              <w:pStyle w:val="1293"/>
              <w:numPr>
                <w:ilvl w:val="0"/>
                <w:numId w:val="0"/>
              </w:numPr>
              <w:ind w:right="327"/>
              <w:tabs>
                <w:tab w:val="left" w:pos="1134" w:leader="none"/>
              </w:tabs>
              <w:rPr>
                <w:rFonts w:cs="Times New Roman"/>
              </w:rPr>
            </w:pPr>
            <w:r>
              <w:rPr>
                <w:rFonts w:cs="Times New Roman"/>
              </w:rPr>
            </w:r>
            <w:r>
              <w:rPr>
                <w:rFonts w:cs="Times New Roman"/>
              </w:rPr>
            </w:r>
            <w:r>
              <w:rPr>
                <w:rFonts w:cs="Times New Roman"/>
              </w:rPr>
            </w:r>
          </w:p>
        </w:tc>
        <w:tc>
          <w:tcPr>
            <w:tcW w:w="1525" w:type="pct"/>
            <w:vMerge w:val="continue"/>
            <w:textDirection w:val="lrTb"/>
            <w:noWrap w:val="false"/>
          </w:tcPr>
          <w:p>
            <w:pPr>
              <w:pStyle w:val="1288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tcW w:w="1537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Оперативная память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1600" w:type="pct"/>
            <w:textDirection w:val="lrTb"/>
            <w:noWrap w:val="false"/>
          </w:tcPr>
          <w:p>
            <w:pPr>
              <w:contextualSpacing/>
              <w:ind w:right="-1" w:firstLine="0"/>
              <w:jc w:val="both"/>
              <w:spacing w:line="276" w:lineRule="auto"/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highlight w:val="white"/>
              </w:rPr>
              <w:t xml:space="preserve">128 Гб </w:t>
            </w:r>
            <w:r>
              <w:rPr>
                <w:highlight w:val="white"/>
              </w:rPr>
              <w:t xml:space="preserve">Reg</w:t>
            </w:r>
            <w:r>
              <w:rPr>
                <w:highlight w:val="white"/>
              </w:rPr>
              <w:t xml:space="preserve">. ECC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W w:w="338" w:type="pct"/>
            <w:vMerge w:val="continue"/>
            <w:textDirection w:val="lrTb"/>
            <w:noWrap w:val="false"/>
          </w:tcPr>
          <w:p>
            <w:pPr>
              <w:pStyle w:val="1293"/>
              <w:numPr>
                <w:ilvl w:val="0"/>
                <w:numId w:val="0"/>
              </w:numPr>
              <w:ind w:right="327"/>
              <w:tabs>
                <w:tab w:val="left" w:pos="1134" w:leader="none"/>
              </w:tabs>
              <w:rPr>
                <w:rFonts w:cs="Times New Roman"/>
              </w:rPr>
            </w:pPr>
            <w:r>
              <w:rPr>
                <w:rFonts w:cs="Times New Roman"/>
              </w:rPr>
            </w:r>
            <w:r>
              <w:rPr>
                <w:rFonts w:cs="Times New Roman"/>
              </w:rPr>
            </w:r>
            <w:r>
              <w:rPr>
                <w:rFonts w:cs="Times New Roman"/>
              </w:rPr>
            </w:r>
          </w:p>
        </w:tc>
        <w:tc>
          <w:tcPr>
            <w:tcW w:w="1525" w:type="pct"/>
            <w:vMerge w:val="continue"/>
            <w:textDirection w:val="lrTb"/>
            <w:noWrap w:val="false"/>
          </w:tcPr>
          <w:p>
            <w:pPr>
              <w:pStyle w:val="1288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tcW w:w="1537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Дисковое пространство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1600" w:type="pct"/>
            <w:textDirection w:val="lrTb"/>
            <w:noWrap w:val="false"/>
          </w:tcPr>
          <w:p>
            <w:pPr>
              <w:contextualSpacing/>
              <w:ind w:right="-1" w:firstLine="0"/>
              <w:jc w:val="both"/>
              <w:spacing w:line="276" w:lineRule="auto"/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highlight w:val="white"/>
              </w:rPr>
              <w:t xml:space="preserve">8Тб RAID6 SSD, 64Тб RAID6 HDD, запасные накопители х2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W w:w="338" w:type="pct"/>
            <w:vMerge w:val="continue"/>
            <w:textDirection w:val="lrTb"/>
            <w:noWrap w:val="false"/>
          </w:tcPr>
          <w:p>
            <w:pPr>
              <w:pStyle w:val="1293"/>
              <w:numPr>
                <w:ilvl w:val="0"/>
                <w:numId w:val="0"/>
              </w:numPr>
              <w:ind w:right="327"/>
              <w:tabs>
                <w:tab w:val="left" w:pos="1134" w:leader="none"/>
              </w:tabs>
              <w:rPr>
                <w:rFonts w:cs="Times New Roman"/>
              </w:rPr>
            </w:pPr>
            <w:r>
              <w:rPr>
                <w:rFonts w:cs="Times New Roman"/>
              </w:rPr>
            </w:r>
            <w:r>
              <w:rPr>
                <w:rFonts w:cs="Times New Roman"/>
              </w:rPr>
            </w:r>
            <w:r>
              <w:rPr>
                <w:rFonts w:cs="Times New Roman"/>
              </w:rPr>
            </w:r>
          </w:p>
        </w:tc>
        <w:tc>
          <w:tcPr>
            <w:tcW w:w="1525" w:type="pct"/>
            <w:vMerge w:val="continue"/>
            <w:textDirection w:val="lrTb"/>
            <w:noWrap w:val="false"/>
          </w:tcPr>
          <w:p>
            <w:pPr>
              <w:pStyle w:val="1288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tcW w:w="1537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Блок питания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1600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2 шт.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/>
        <w:tc>
          <w:tcPr>
            <w:tcW w:w="338" w:type="pct"/>
            <w:vMerge w:val="restart"/>
            <w:textDirection w:val="lrTb"/>
            <w:noWrap w:val="false"/>
          </w:tcPr>
          <w:p>
            <w:pPr>
              <w:pStyle w:val="1293"/>
              <w:numPr>
                <w:ilvl w:val="0"/>
                <w:numId w:val="0"/>
              </w:numPr>
              <w:ind w:right="327"/>
              <w:shd w:val="clear" w:color="ffffff" w:themeColor="background1" w:fill="ffffff" w:themeFill="background1"/>
              <w:tabs>
                <w:tab w:val="left" w:pos="1134" w:leader="none"/>
              </w:tabs>
              <w:rPr>
                <w:rFonts w:cs="Times New Roman"/>
                <w:sz w:val="26"/>
                <w:szCs w:val="26"/>
                <w:highlight w:val="white"/>
              </w:rPr>
            </w:pPr>
            <w:r>
              <w:rPr>
                <w:rFonts w:cs="Times New Roman"/>
                <w:sz w:val="26"/>
                <w:szCs w:val="26"/>
                <w:highlight w:val="white"/>
              </w:rPr>
              <w:t xml:space="preserve">2</w:t>
            </w:r>
            <w:r>
              <w:rPr>
                <w:rFonts w:cs="Times New Roman"/>
                <w:sz w:val="26"/>
                <w:szCs w:val="26"/>
                <w:highlight w:val="white"/>
              </w:rPr>
            </w:r>
            <w:r>
              <w:rPr>
                <w:rFonts w:cs="Times New Roman"/>
                <w:sz w:val="26"/>
                <w:szCs w:val="26"/>
                <w:highlight w:val="white"/>
              </w:rPr>
            </w:r>
          </w:p>
        </w:tc>
        <w:tc>
          <w:tcPr>
            <w:tcW w:w="1525" w:type="pct"/>
            <w:vMerge w:val="restar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Сервер внешнего взаимодействия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1537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Серверный процессор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1600" w:type="pct"/>
            <w:textDirection w:val="lrTb"/>
            <w:noWrap w:val="false"/>
          </w:tcPr>
          <w:p>
            <w:pPr>
              <w:contextualSpacing/>
              <w:ind w:right="-1" w:firstLine="0"/>
              <w:jc w:val="both"/>
              <w:spacing w:line="276" w:lineRule="auto"/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highlight w:val="white"/>
              </w:rPr>
              <w:t xml:space="preserve">Интел </w:t>
            </w:r>
            <w:r>
              <w:rPr>
                <w:highlight w:val="white"/>
              </w:rPr>
              <w:t xml:space="preserve">Xeon</w:t>
            </w:r>
            <w:r>
              <w:rPr>
                <w:highlight w:val="white"/>
              </w:rPr>
              <w:t xml:space="preserve"> 8 ядер 16 потоков, частота от 2.0 </w:t>
            </w:r>
            <w:r>
              <w:rPr>
                <w:highlight w:val="white"/>
              </w:rPr>
              <w:t xml:space="preserve">Ггц</w:t>
            </w:r>
            <w:r>
              <w:rPr>
                <w:highlight w:val="white"/>
              </w:rPr>
              <w:t xml:space="preserve"> поколение 12+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W w:w="338" w:type="pct"/>
            <w:vMerge w:val="continue"/>
            <w:textDirection w:val="lrTb"/>
            <w:noWrap w:val="false"/>
          </w:tcPr>
          <w:p>
            <w:pPr>
              <w:pStyle w:val="1293"/>
              <w:numPr>
                <w:ilvl w:val="0"/>
                <w:numId w:val="0"/>
              </w:numPr>
              <w:ind w:right="327"/>
              <w:tabs>
                <w:tab w:val="left" w:pos="1134" w:leader="none"/>
              </w:tabs>
              <w:rPr>
                <w:rFonts w:cs="Times New Roman"/>
              </w:rPr>
            </w:pPr>
            <w:r>
              <w:rPr>
                <w:rFonts w:cs="Times New Roman"/>
              </w:rPr>
            </w:r>
            <w:r>
              <w:rPr>
                <w:rFonts w:cs="Times New Roman"/>
              </w:rPr>
            </w:r>
            <w:r>
              <w:rPr>
                <w:rFonts w:cs="Times New Roman"/>
              </w:rPr>
            </w:r>
          </w:p>
        </w:tc>
        <w:tc>
          <w:tcPr>
            <w:tcW w:w="1525" w:type="pct"/>
            <w:vMerge w:val="continue"/>
            <w:textDirection w:val="lrTb"/>
            <w:noWrap w:val="false"/>
          </w:tcPr>
          <w:p>
            <w:pPr>
              <w:pStyle w:val="1288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tcW w:w="1537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Оперативная память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1600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64 Гб </w:t>
            </w:r>
            <w:r>
              <w:rPr>
                <w:sz w:val="26"/>
                <w:highlight w:val="white"/>
              </w:rPr>
              <w:t xml:space="preserve">Reg</w:t>
            </w:r>
            <w:r>
              <w:rPr>
                <w:sz w:val="26"/>
                <w:highlight w:val="white"/>
              </w:rPr>
              <w:t xml:space="preserve">. ECC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/>
        <w:tc>
          <w:tcPr>
            <w:tcW w:w="338" w:type="pct"/>
            <w:vMerge w:val="continue"/>
            <w:textDirection w:val="lrTb"/>
            <w:noWrap w:val="false"/>
          </w:tcPr>
          <w:p>
            <w:pPr>
              <w:pStyle w:val="1293"/>
              <w:numPr>
                <w:ilvl w:val="0"/>
                <w:numId w:val="0"/>
              </w:numPr>
              <w:ind w:right="327"/>
              <w:tabs>
                <w:tab w:val="left" w:pos="1134" w:leader="none"/>
              </w:tabs>
              <w:rPr>
                <w:rFonts w:cs="Times New Roman"/>
              </w:rPr>
            </w:pPr>
            <w:r>
              <w:rPr>
                <w:rFonts w:cs="Times New Roman"/>
              </w:rPr>
            </w:r>
            <w:r>
              <w:rPr>
                <w:rFonts w:cs="Times New Roman"/>
              </w:rPr>
            </w:r>
            <w:r>
              <w:rPr>
                <w:rFonts w:cs="Times New Roman"/>
              </w:rPr>
            </w:r>
          </w:p>
        </w:tc>
        <w:tc>
          <w:tcPr>
            <w:tcW w:w="1525" w:type="pct"/>
            <w:vMerge w:val="continue"/>
            <w:textDirection w:val="lrTb"/>
            <w:noWrap w:val="false"/>
          </w:tcPr>
          <w:p>
            <w:pPr>
              <w:pStyle w:val="1288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tcW w:w="1537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Дисковое пространство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1600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4Тб RAID6 SSD, 32 Тб  RAID6 HDD, запасные накопители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/>
        <w:tc>
          <w:tcPr>
            <w:tcW w:w="338" w:type="pct"/>
            <w:vMerge w:val="continue"/>
            <w:textDirection w:val="lrTb"/>
            <w:noWrap w:val="false"/>
          </w:tcPr>
          <w:p>
            <w:pPr>
              <w:pStyle w:val="1293"/>
              <w:numPr>
                <w:ilvl w:val="0"/>
                <w:numId w:val="0"/>
              </w:numPr>
              <w:ind w:right="327"/>
              <w:tabs>
                <w:tab w:val="left" w:pos="1134" w:leader="none"/>
              </w:tabs>
              <w:rPr>
                <w:rFonts w:cs="Times New Roman"/>
              </w:rPr>
            </w:pPr>
            <w:r>
              <w:rPr>
                <w:rFonts w:cs="Times New Roman"/>
              </w:rPr>
            </w:r>
            <w:r>
              <w:rPr>
                <w:rFonts w:cs="Times New Roman"/>
              </w:rPr>
            </w:r>
            <w:r>
              <w:rPr>
                <w:rFonts w:cs="Times New Roman"/>
              </w:rPr>
            </w:r>
          </w:p>
        </w:tc>
        <w:tc>
          <w:tcPr>
            <w:tcW w:w="1525" w:type="pct"/>
            <w:vMerge w:val="continue"/>
            <w:textDirection w:val="lrTb"/>
            <w:noWrap w:val="false"/>
          </w:tcPr>
          <w:p>
            <w:pPr>
              <w:pStyle w:val="1288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tcW w:w="1537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Блок питания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1600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2 шт.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/>
        <w:tc>
          <w:tcPr>
            <w:tcW w:w="338" w:type="pct"/>
            <w:vMerge w:val="restart"/>
            <w:textDirection w:val="lrTb"/>
            <w:noWrap w:val="false"/>
          </w:tcPr>
          <w:p>
            <w:pPr>
              <w:pStyle w:val="1293"/>
              <w:numPr>
                <w:ilvl w:val="0"/>
                <w:numId w:val="0"/>
              </w:numPr>
              <w:ind w:right="327"/>
              <w:shd w:val="clear" w:color="ffffff" w:themeColor="background1" w:fill="ffffff" w:themeFill="background1"/>
              <w:tabs>
                <w:tab w:val="left" w:pos="1134" w:leader="none"/>
              </w:tabs>
              <w:rPr>
                <w:rFonts w:cs="Times New Roman"/>
                <w:sz w:val="26"/>
                <w:szCs w:val="26"/>
                <w:highlight w:val="white"/>
              </w:rPr>
            </w:pPr>
            <w:r>
              <w:rPr>
                <w:rFonts w:cs="Times New Roman"/>
                <w:sz w:val="26"/>
                <w:szCs w:val="26"/>
                <w:highlight w:val="white"/>
              </w:rPr>
              <w:t xml:space="preserve">3</w:t>
            </w:r>
            <w:r>
              <w:rPr>
                <w:rFonts w:cs="Times New Roman"/>
                <w:sz w:val="26"/>
                <w:szCs w:val="26"/>
                <w:highlight w:val="white"/>
              </w:rPr>
            </w:r>
            <w:r>
              <w:rPr>
                <w:rFonts w:cs="Times New Roman"/>
                <w:sz w:val="26"/>
                <w:szCs w:val="26"/>
                <w:highlight w:val="white"/>
              </w:rPr>
            </w:r>
          </w:p>
        </w:tc>
        <w:tc>
          <w:tcPr>
            <w:tcW w:w="1525" w:type="pct"/>
            <w:vMerge w:val="restar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Сервер внутреннего взаимодействия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1537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Серверный процессор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1600" w:type="pct"/>
            <w:textDirection w:val="lrTb"/>
            <w:noWrap w:val="false"/>
          </w:tcPr>
          <w:p>
            <w:pPr>
              <w:contextualSpacing/>
              <w:ind w:right="-1" w:firstLine="0"/>
              <w:jc w:val="both"/>
              <w:spacing w:line="276" w:lineRule="auto"/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highlight w:val="white"/>
              </w:rPr>
              <w:t xml:space="preserve">Интел </w:t>
            </w:r>
            <w:r>
              <w:rPr>
                <w:highlight w:val="white"/>
              </w:rPr>
              <w:t xml:space="preserve">Xeon</w:t>
            </w:r>
            <w:r>
              <w:rPr>
                <w:highlight w:val="white"/>
              </w:rPr>
              <w:t xml:space="preserve"> 8 ядер 16 потоков, частота от 2.0 </w:t>
            </w:r>
            <w:r>
              <w:rPr>
                <w:highlight w:val="white"/>
              </w:rPr>
              <w:t xml:space="preserve">Ггц</w:t>
            </w:r>
            <w:r>
              <w:rPr>
                <w:highlight w:val="white"/>
              </w:rPr>
              <w:t xml:space="preserve"> поколение 12+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W w:w="338" w:type="pct"/>
            <w:vMerge w:val="continue"/>
            <w:textDirection w:val="lrTb"/>
            <w:noWrap w:val="false"/>
          </w:tcPr>
          <w:p>
            <w:pPr>
              <w:pStyle w:val="1293"/>
              <w:numPr>
                <w:ilvl w:val="0"/>
                <w:numId w:val="0"/>
              </w:numPr>
              <w:ind w:right="327"/>
              <w:tabs>
                <w:tab w:val="left" w:pos="1134" w:leader="none"/>
              </w:tabs>
              <w:rPr>
                <w:rFonts w:cs="Times New Roman"/>
              </w:rPr>
            </w:pPr>
            <w:r>
              <w:rPr>
                <w:rFonts w:cs="Times New Roman"/>
              </w:rPr>
            </w:r>
            <w:r>
              <w:rPr>
                <w:rFonts w:cs="Times New Roman"/>
              </w:rPr>
            </w:r>
            <w:r>
              <w:rPr>
                <w:rFonts w:cs="Times New Roman"/>
              </w:rPr>
            </w:r>
          </w:p>
        </w:tc>
        <w:tc>
          <w:tcPr>
            <w:tcW w:w="1525" w:type="pct"/>
            <w:vMerge w:val="continue"/>
            <w:textDirection w:val="lrTb"/>
            <w:noWrap w:val="false"/>
          </w:tcPr>
          <w:p>
            <w:pPr>
              <w:pStyle w:val="1288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tcW w:w="1537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Оперативная память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1600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64 Гб </w:t>
            </w:r>
            <w:r>
              <w:rPr>
                <w:sz w:val="26"/>
                <w:highlight w:val="white"/>
              </w:rPr>
              <w:t xml:space="preserve">Reg</w:t>
            </w:r>
            <w:r>
              <w:rPr>
                <w:sz w:val="26"/>
                <w:highlight w:val="white"/>
              </w:rPr>
              <w:t xml:space="preserve">. ECC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/>
        <w:tc>
          <w:tcPr>
            <w:tcW w:w="338" w:type="pct"/>
            <w:vMerge w:val="continue"/>
            <w:textDirection w:val="lrTb"/>
            <w:noWrap w:val="false"/>
          </w:tcPr>
          <w:p>
            <w:pPr>
              <w:pStyle w:val="1293"/>
              <w:numPr>
                <w:ilvl w:val="0"/>
                <w:numId w:val="0"/>
              </w:numPr>
              <w:ind w:right="327"/>
              <w:tabs>
                <w:tab w:val="left" w:pos="1134" w:leader="none"/>
              </w:tabs>
              <w:rPr>
                <w:rFonts w:cs="Times New Roman"/>
              </w:rPr>
            </w:pPr>
            <w:r>
              <w:rPr>
                <w:rFonts w:cs="Times New Roman"/>
              </w:rPr>
            </w:r>
            <w:r>
              <w:rPr>
                <w:rFonts w:cs="Times New Roman"/>
              </w:rPr>
            </w:r>
            <w:r>
              <w:rPr>
                <w:rFonts w:cs="Times New Roman"/>
              </w:rPr>
            </w:r>
          </w:p>
        </w:tc>
        <w:tc>
          <w:tcPr>
            <w:tcW w:w="1525" w:type="pct"/>
            <w:vMerge w:val="continue"/>
            <w:textDirection w:val="lrTb"/>
            <w:noWrap w:val="false"/>
          </w:tcPr>
          <w:p>
            <w:pPr>
              <w:pStyle w:val="1288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tcW w:w="1537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Дисковое пространство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1600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4Тб RAID6 SSD, 32 Тб  RAID6 HDD, запасные накопители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/>
        <w:tc>
          <w:tcPr>
            <w:tcW w:w="338" w:type="pct"/>
            <w:vMerge w:val="continue"/>
            <w:textDirection w:val="lrTb"/>
            <w:noWrap w:val="false"/>
          </w:tcPr>
          <w:p>
            <w:pPr>
              <w:pStyle w:val="1293"/>
              <w:numPr>
                <w:ilvl w:val="0"/>
                <w:numId w:val="0"/>
              </w:numPr>
              <w:ind w:right="327"/>
              <w:tabs>
                <w:tab w:val="left" w:pos="1134" w:leader="none"/>
              </w:tabs>
              <w:rPr>
                <w:rFonts w:cs="Times New Roman"/>
              </w:rPr>
            </w:pPr>
            <w:r>
              <w:rPr>
                <w:rFonts w:cs="Times New Roman"/>
              </w:rPr>
            </w:r>
            <w:r>
              <w:rPr>
                <w:rFonts w:cs="Times New Roman"/>
              </w:rPr>
            </w:r>
            <w:r>
              <w:rPr>
                <w:rFonts w:cs="Times New Roman"/>
              </w:rPr>
            </w:r>
          </w:p>
        </w:tc>
        <w:tc>
          <w:tcPr>
            <w:tcW w:w="1525" w:type="pct"/>
            <w:vMerge w:val="continue"/>
            <w:textDirection w:val="lrTb"/>
            <w:noWrap w:val="false"/>
          </w:tcPr>
          <w:p>
            <w:pPr>
              <w:pStyle w:val="1288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tcW w:w="1537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Блок питания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1600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2 шт.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/>
        <w:tc>
          <w:tcPr>
            <w:tcW w:w="338" w:type="pct"/>
            <w:vMerge w:val="restart"/>
            <w:textDirection w:val="lrTb"/>
            <w:noWrap w:val="false"/>
          </w:tcPr>
          <w:p>
            <w:pPr>
              <w:pStyle w:val="1293"/>
              <w:numPr>
                <w:ilvl w:val="0"/>
                <w:numId w:val="0"/>
              </w:numPr>
              <w:ind w:right="327"/>
              <w:shd w:val="clear" w:color="ffffff" w:themeColor="background1" w:fill="ffffff" w:themeFill="background1"/>
              <w:tabs>
                <w:tab w:val="left" w:pos="1134" w:leader="none"/>
              </w:tabs>
              <w:rPr>
                <w:rFonts w:cs="Times New Roman"/>
                <w:sz w:val="26"/>
                <w:szCs w:val="26"/>
                <w:highlight w:val="white"/>
              </w:rPr>
            </w:pPr>
            <w:r>
              <w:rPr>
                <w:rFonts w:cs="Times New Roman"/>
                <w:sz w:val="26"/>
                <w:szCs w:val="26"/>
                <w:highlight w:val="white"/>
              </w:rPr>
              <w:t xml:space="preserve">4</w:t>
            </w:r>
            <w:r>
              <w:rPr>
                <w:rFonts w:cs="Times New Roman"/>
                <w:sz w:val="26"/>
                <w:szCs w:val="26"/>
                <w:highlight w:val="white"/>
              </w:rPr>
            </w:r>
            <w:r>
              <w:rPr>
                <w:rFonts w:cs="Times New Roman"/>
                <w:sz w:val="26"/>
                <w:szCs w:val="26"/>
                <w:highlight w:val="white"/>
              </w:rPr>
            </w:r>
          </w:p>
        </w:tc>
        <w:tc>
          <w:tcPr>
            <w:tcW w:w="1525" w:type="pct"/>
            <w:vMerge w:val="restar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Сервер резервного копирования 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1537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Серверный процессор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1600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Интел </w:t>
            </w:r>
            <w:r>
              <w:rPr>
                <w:sz w:val="26"/>
                <w:highlight w:val="white"/>
              </w:rPr>
              <w:t xml:space="preserve">Xeon</w:t>
            </w:r>
            <w:r>
              <w:rPr>
                <w:sz w:val="26"/>
                <w:highlight w:val="white"/>
              </w:rPr>
              <w:t xml:space="preserve"> 12+ поколения, число ядер от 6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/>
        <w:tc>
          <w:tcPr>
            <w:tcW w:w="338" w:type="pct"/>
            <w:vMerge w:val="continue"/>
            <w:textDirection w:val="lrTb"/>
            <w:noWrap w:val="false"/>
          </w:tcPr>
          <w:p>
            <w:pPr>
              <w:pStyle w:val="1293"/>
              <w:numPr>
                <w:ilvl w:val="0"/>
                <w:numId w:val="0"/>
              </w:numPr>
              <w:ind w:right="327"/>
              <w:tabs>
                <w:tab w:val="left" w:pos="1134" w:leader="none"/>
              </w:tabs>
              <w:rPr>
                <w:rFonts w:cs="Times New Roman"/>
              </w:rPr>
            </w:pPr>
            <w:r>
              <w:rPr>
                <w:rFonts w:cs="Times New Roman"/>
              </w:rPr>
            </w:r>
            <w:r>
              <w:rPr>
                <w:rFonts w:cs="Times New Roman"/>
              </w:rPr>
            </w:r>
            <w:r>
              <w:rPr>
                <w:rFonts w:cs="Times New Roman"/>
              </w:rPr>
            </w:r>
          </w:p>
        </w:tc>
        <w:tc>
          <w:tcPr>
            <w:tcW w:w="1525" w:type="pct"/>
            <w:vMerge w:val="continue"/>
            <w:textDirection w:val="lrTb"/>
            <w:noWrap w:val="false"/>
          </w:tcPr>
          <w:p>
            <w:pPr>
              <w:pStyle w:val="1288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tcW w:w="1537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Оперативная память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1600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32 Гб </w:t>
            </w:r>
            <w:r>
              <w:rPr>
                <w:sz w:val="26"/>
                <w:highlight w:val="white"/>
              </w:rPr>
              <w:t xml:space="preserve">Reg</w:t>
            </w:r>
            <w:r>
              <w:rPr>
                <w:sz w:val="26"/>
                <w:highlight w:val="white"/>
              </w:rPr>
              <w:t xml:space="preserve">. ECC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/>
        <w:tc>
          <w:tcPr>
            <w:tcW w:w="338" w:type="pct"/>
            <w:vMerge w:val="continue"/>
            <w:textDirection w:val="lrTb"/>
            <w:noWrap w:val="false"/>
          </w:tcPr>
          <w:p>
            <w:pPr>
              <w:pStyle w:val="1293"/>
              <w:numPr>
                <w:ilvl w:val="0"/>
                <w:numId w:val="0"/>
              </w:numPr>
              <w:ind w:right="327"/>
              <w:tabs>
                <w:tab w:val="left" w:pos="1134" w:leader="none"/>
              </w:tabs>
              <w:rPr>
                <w:rFonts w:cs="Times New Roman"/>
              </w:rPr>
            </w:pPr>
            <w:r>
              <w:rPr>
                <w:rFonts w:cs="Times New Roman"/>
              </w:rPr>
            </w:r>
            <w:r>
              <w:rPr>
                <w:rFonts w:cs="Times New Roman"/>
              </w:rPr>
            </w:r>
            <w:r>
              <w:rPr>
                <w:rFonts w:cs="Times New Roman"/>
              </w:rPr>
            </w:r>
          </w:p>
        </w:tc>
        <w:tc>
          <w:tcPr>
            <w:tcW w:w="1525" w:type="pct"/>
            <w:vMerge w:val="continue"/>
            <w:textDirection w:val="lrTb"/>
            <w:noWrap w:val="false"/>
          </w:tcPr>
          <w:p>
            <w:pPr>
              <w:pStyle w:val="1288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tcW w:w="1537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СХД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1600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1Тб SSD, 128Гб RAID6 HDD, оптические накопители, ленточная библиотека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/>
        <w:tc>
          <w:tcPr>
            <w:tcW w:w="338" w:type="pct"/>
            <w:vMerge w:val="restart"/>
            <w:textDirection w:val="lrTb"/>
            <w:noWrap w:val="false"/>
          </w:tcPr>
          <w:p>
            <w:pPr>
              <w:pStyle w:val="1293"/>
              <w:numPr>
                <w:ilvl w:val="0"/>
                <w:numId w:val="0"/>
              </w:numPr>
              <w:ind w:right="327"/>
              <w:shd w:val="clear" w:color="ffffff" w:themeColor="background1" w:fill="ffffff" w:themeFill="background1"/>
              <w:tabs>
                <w:tab w:val="left" w:pos="1134" w:leader="none"/>
              </w:tabs>
              <w:rPr>
                <w:rFonts w:cs="Times New Roman"/>
                <w:sz w:val="26"/>
                <w:szCs w:val="26"/>
                <w:highlight w:val="white"/>
              </w:rPr>
            </w:pPr>
            <w:r>
              <w:rPr>
                <w:rFonts w:cs="Times New Roman"/>
                <w:sz w:val="26"/>
                <w:szCs w:val="26"/>
                <w:highlight w:val="white"/>
              </w:rPr>
              <w:t xml:space="preserve">5</w:t>
            </w:r>
            <w:r>
              <w:rPr>
                <w:rFonts w:cs="Times New Roman"/>
                <w:sz w:val="26"/>
                <w:szCs w:val="26"/>
                <w:highlight w:val="white"/>
              </w:rPr>
            </w:r>
            <w:r>
              <w:rPr>
                <w:rFonts w:cs="Times New Roman"/>
                <w:sz w:val="26"/>
                <w:szCs w:val="26"/>
                <w:highlight w:val="white"/>
              </w:rPr>
            </w:r>
          </w:p>
        </w:tc>
        <w:tc>
          <w:tcPr>
            <w:tcW w:w="1525" w:type="pct"/>
            <w:vMerge w:val="restar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Тестовый сервер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1537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Серверный процессор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1600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Интел </w:t>
            </w:r>
            <w:r>
              <w:rPr>
                <w:sz w:val="26"/>
                <w:highlight w:val="white"/>
              </w:rPr>
              <w:t xml:space="preserve">Xeon</w:t>
            </w:r>
            <w:r>
              <w:rPr>
                <w:sz w:val="26"/>
                <w:highlight w:val="white"/>
              </w:rPr>
              <w:t xml:space="preserve"> 12+ поколения, число ядер от 6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/>
        <w:tc>
          <w:tcPr>
            <w:tcW w:w="338" w:type="pct"/>
            <w:vMerge w:val="continue"/>
            <w:textDirection w:val="lrTb"/>
            <w:noWrap w:val="false"/>
          </w:tcPr>
          <w:p>
            <w:pPr>
              <w:pStyle w:val="1293"/>
              <w:numPr>
                <w:ilvl w:val="0"/>
                <w:numId w:val="0"/>
              </w:numPr>
              <w:ind w:left="360"/>
              <w:rPr>
                <w:rFonts w:cs="Times New Roman"/>
              </w:rPr>
            </w:pPr>
            <w:r>
              <w:rPr>
                <w:rFonts w:cs="Times New Roman"/>
              </w:rPr>
            </w:r>
            <w:r>
              <w:rPr>
                <w:rFonts w:cs="Times New Roman"/>
              </w:rPr>
            </w:r>
            <w:r>
              <w:rPr>
                <w:rFonts w:cs="Times New Roman"/>
              </w:rPr>
            </w:r>
          </w:p>
        </w:tc>
        <w:tc>
          <w:tcPr>
            <w:tcW w:w="1525" w:type="pct"/>
            <w:vMerge w:val="continue"/>
            <w:textDirection w:val="lrTb"/>
            <w:noWrap w:val="false"/>
          </w:tcPr>
          <w:p>
            <w:pPr>
              <w:pStyle w:val="1288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tcW w:w="1537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Оперативная память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1600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32 Гб </w:t>
            </w:r>
            <w:r>
              <w:rPr>
                <w:sz w:val="26"/>
                <w:highlight w:val="white"/>
              </w:rPr>
              <w:t xml:space="preserve">Reg</w:t>
            </w:r>
            <w:r>
              <w:rPr>
                <w:sz w:val="26"/>
                <w:highlight w:val="white"/>
              </w:rPr>
              <w:t xml:space="preserve">. ECC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/>
        <w:tc>
          <w:tcPr>
            <w:tcW w:w="338" w:type="pct"/>
            <w:vMerge w:val="continue"/>
            <w:textDirection w:val="lrTb"/>
            <w:noWrap w:val="false"/>
          </w:tcPr>
          <w:p>
            <w:pPr>
              <w:pStyle w:val="1293"/>
              <w:numPr>
                <w:ilvl w:val="0"/>
                <w:numId w:val="0"/>
              </w:numPr>
              <w:ind w:left="360"/>
              <w:rPr>
                <w:rFonts w:cs="Times New Roman"/>
              </w:rPr>
            </w:pPr>
            <w:r>
              <w:rPr>
                <w:rFonts w:cs="Times New Roman"/>
              </w:rPr>
            </w:r>
            <w:r>
              <w:rPr>
                <w:rFonts w:cs="Times New Roman"/>
              </w:rPr>
            </w:r>
            <w:r>
              <w:rPr>
                <w:rFonts w:cs="Times New Roman"/>
              </w:rPr>
            </w:r>
          </w:p>
        </w:tc>
        <w:tc>
          <w:tcPr>
            <w:tcW w:w="1525" w:type="pct"/>
            <w:vMerge w:val="continue"/>
            <w:textDirection w:val="lrTb"/>
            <w:noWrap w:val="false"/>
          </w:tcPr>
          <w:p>
            <w:pPr>
              <w:pStyle w:val="1288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tcW w:w="1537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СХД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1600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1Тб SSD, 128Гб RAID6 HDD, оптические накопители, ленточная библиотека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</w:tbl>
    <w:p>
      <w:pPr>
        <w:pStyle w:val="1298"/>
        <w:numPr>
          <w:ilvl w:val="0"/>
          <w:numId w:val="0"/>
        </w:numPr>
        <w:ind w:left="709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3.2.3.3.2. Сеть и сетевое оборудование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Сетевое оборудование, обеспечивающее передачу информации между компонентами АИС ОГУ, соответствуют следующим показателям:</w:t>
      </w:r>
      <w:r>
        <w:rPr>
          <w:highlight w:val="white"/>
        </w:rPr>
      </w:r>
      <w:r>
        <w:rPr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среднескоростная (до 100 Мбит/с) проводная локальная сеть;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highlight w:val="white"/>
        </w:rPr>
      </w:pPr>
      <w:r>
        <w:rPr>
          <w:szCs w:val="26"/>
          <w:highlight w:val="white"/>
        </w:rPr>
        <w:t xml:space="preserve">сетев</w:t>
      </w:r>
      <w:r>
        <w:rPr>
          <w:highlight w:val="white"/>
        </w:rPr>
        <w:t xml:space="preserve">ое оборудования 1, 2 и 3 уровня. </w:t>
      </w:r>
      <w:r>
        <w:rPr>
          <w:highlight w:val="white"/>
        </w:rPr>
      </w:r>
      <w:r>
        <w:rPr>
          <w:highlight w:val="white"/>
        </w:rPr>
      </w:r>
    </w:p>
    <w:p>
      <w:pPr>
        <w:pStyle w:val="1277"/>
        <w:numPr>
          <w:ilvl w:val="0"/>
          <w:numId w:val="0"/>
        </w:numPr>
        <w:ind w:left="71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3.2.3.4. Описание эксплуатационной документации </w:t>
      </w:r>
      <w:r>
        <w:rPr>
          <w:highlight w:val="white"/>
        </w:rPr>
      </w:r>
      <w:r>
        <w:rPr>
          <w:highlight w:val="white"/>
        </w:rPr>
      </w:r>
    </w:p>
    <w:p>
      <w:pPr>
        <w:pStyle w:val="1298"/>
        <w:numPr>
          <w:ilvl w:val="0"/>
          <w:numId w:val="0"/>
        </w:numPr>
        <w:ind w:left="709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3.2.3.4.1. Руководство пользователя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Руководство пользователя содержит описание использования основных функций АИС ОГУ пользователями АИС ОГУ и входит в состав технической документации на АИ ОГУ.</w:t>
      </w:r>
      <w:r>
        <w:rPr>
          <w:highlight w:val="white"/>
        </w:rPr>
      </w:r>
      <w:r>
        <w:rPr>
          <w:highlight w:val="white"/>
        </w:rPr>
      </w:r>
    </w:p>
    <w:p>
      <w:pPr>
        <w:pStyle w:val="1298"/>
        <w:numPr>
          <w:ilvl w:val="0"/>
          <w:numId w:val="0"/>
        </w:numPr>
        <w:ind w:left="709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3.2.3.4.2. Руководство администратора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Руководство администратора содержит описание использования основных функций АИС ОГУ администраторами АИС ОГУ и входит в состав технической документации на АИС ОГУ.</w:t>
      </w:r>
      <w:r>
        <w:rPr>
          <w:highlight w:val="white"/>
        </w:rPr>
      </w:r>
      <w:r>
        <w:rPr>
          <w:highlight w:val="white"/>
        </w:rPr>
      </w:r>
    </w:p>
    <w:p>
      <w:pPr>
        <w:pStyle w:val="1277"/>
        <w:numPr>
          <w:ilvl w:val="0"/>
          <w:numId w:val="0"/>
        </w:numPr>
        <w:ind w:left="71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3.2.3.5. Описание данных и средств информационной безопасности системы</w:t>
      </w:r>
      <w:r>
        <w:rPr>
          <w:highlight w:val="white"/>
        </w:rPr>
      </w:r>
      <w:r>
        <w:rPr>
          <w:highlight w:val="white"/>
        </w:rPr>
      </w:r>
    </w:p>
    <w:p>
      <w:pPr>
        <w:pStyle w:val="1298"/>
        <w:numPr>
          <w:ilvl w:val="0"/>
          <w:numId w:val="0"/>
        </w:numPr>
        <w:ind w:left="709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3.2.3.5.1. Данные</w:t>
      </w:r>
      <w:r>
        <w:rPr>
          <w:highlight w:val="white"/>
        </w:rPr>
      </w:r>
      <w:r>
        <w:rPr>
          <w:highlight w:val="white"/>
        </w:rPr>
      </w:r>
    </w:p>
    <w:p>
      <w:pPr>
        <w:pStyle w:val="1309"/>
        <w:numPr>
          <w:ilvl w:val="0"/>
          <w:numId w:val="0"/>
        </w:numPr>
        <w:ind w:left="709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3.2.3.5.1.1. База данных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Информационное обеспечение АИС ОГУ состоит из </w:t>
      </w:r>
      <w:r>
        <w:rPr>
          <w:highlight w:val="white"/>
        </w:rPr>
        <w:t xml:space="preserve">внутримашинной</w:t>
      </w:r>
      <w:r>
        <w:rPr>
          <w:highlight w:val="white"/>
        </w:rPr>
        <w:t xml:space="preserve"> информационной базы.</w:t>
      </w:r>
      <w:r>
        <w:rPr>
          <w:highlight w:val="white"/>
        </w:rPr>
      </w:r>
      <w:r>
        <w:rPr>
          <w:highlight w:val="white"/>
        </w:rPr>
      </w:r>
    </w:p>
    <w:p>
      <w:pPr>
        <w:pStyle w:val="1309"/>
        <w:numPr>
          <w:ilvl w:val="0"/>
          <w:numId w:val="0"/>
        </w:numPr>
        <w:ind w:left="709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3.2.3.5.1.2. Резервные копии базы данных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ind w:firstLine="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Резервные копии базы данных.</w:t>
      </w:r>
      <w:r>
        <w:rPr>
          <w:highlight w:val="white"/>
        </w:rPr>
      </w:r>
      <w:r>
        <w:rPr>
          <w:highlight w:val="white"/>
        </w:rPr>
      </w:r>
    </w:p>
    <w:p>
      <w:pPr>
        <w:pStyle w:val="1298"/>
        <w:numPr>
          <w:ilvl w:val="0"/>
          <w:numId w:val="0"/>
        </w:numPr>
        <w:ind w:left="709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3.2.3.5.2. Средства информационной безопасности</w:t>
      </w:r>
      <w:r>
        <w:rPr>
          <w:highlight w:val="white"/>
        </w:rPr>
      </w:r>
      <w:r>
        <w:rPr>
          <w:highlight w:val="white"/>
        </w:rPr>
      </w:r>
    </w:p>
    <w:p>
      <w:pPr>
        <w:pStyle w:val="1309"/>
        <w:numPr>
          <w:ilvl w:val="0"/>
          <w:numId w:val="0"/>
        </w:numPr>
        <w:ind w:left="709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3.2.3.5.2.1. Электронные подписи органа власти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Сертификат и ключ электронной подписи (п. 3 ст. 14 Федерального зако</w:t>
      </w:r>
      <w:r>
        <w:rPr>
          <w:highlight w:val="white"/>
        </w:rPr>
        <w:t xml:space="preserve">на от 06.04.2011 № 63-ФЗ «Об электронной подписи»), используемый для формирования электронных подписей Заказчика. ЭП-ОВ применяются в АИС ОГУ при оказании государственных услуг (исполнении государственных функций) с использованием СМЭВ для формирования ЭП.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Ответственность за хранение и использование ключа подписи ЭП-ОВ несёт Заказчик. Порядок хранения и использования ключа подписи ЭП-ОВ контролируется представителями Заказчика.</w:t>
      </w:r>
      <w:r>
        <w:rPr>
          <w:highlight w:val="white"/>
        </w:rPr>
      </w:r>
      <w:r>
        <w:rPr>
          <w:highlight w:val="white"/>
        </w:rPr>
      </w:r>
    </w:p>
    <w:p>
      <w:pPr>
        <w:pStyle w:val="1309"/>
        <w:numPr>
          <w:ilvl w:val="0"/>
          <w:numId w:val="0"/>
        </w:numPr>
        <w:ind w:left="709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3.2.3.5.2.2. Электронные подписи для служебного пользования (должностных лиц)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Сертификаты и ключи электронной подписи (п. 3 ст. 14 Федерального закона от 06.04.2011 № 63-ФЗ «Об э</w:t>
      </w:r>
      <w:r>
        <w:rPr>
          <w:highlight w:val="white"/>
        </w:rPr>
        <w:t xml:space="preserve">лектронной подписи») должностного лица выдаются на имя физического лица представителя Заказчика. ЭП-СП применяются в АИС ОГУ при оказании государственных услуг (исполнении государственных функций) с использованием СМЭВ для формирования и (или) проверки ЭП.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Данные подписи аналогичны собственноручным подписям этих сотрудников и подтверждают, в том числе, факт формирования электронного документа конкретным сотрудником Заказчика в АИС ОГУ.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Ответственность за хранение и использование ключа подписи ЭП-СП несёт владелец ЭП-СП. Порядок хранения и использования ключа подписи ЭП-СП контролируется представителями Заказчика.</w:t>
      </w:r>
      <w:r>
        <w:rPr>
          <w:highlight w:val="white"/>
        </w:rPr>
      </w:r>
      <w:r>
        <w:rPr>
          <w:highlight w:val="white"/>
        </w:rPr>
      </w:r>
    </w:p>
    <w:p>
      <w:pPr>
        <w:pStyle w:val="984"/>
        <w:numPr>
          <w:ilvl w:val="0"/>
          <w:numId w:val="0"/>
        </w:numPr>
        <w:ind w:left="71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3.2.4.</w:t>
      </w:r>
      <w:r>
        <w:rPr>
          <w:highlight w:val="white"/>
        </w:rPr>
        <w:t xml:space="preserve"> Характеристика системы защиты информации АИС ОГУ</w:t>
      </w:r>
      <w:r>
        <w:rPr>
          <w:highlight w:val="white"/>
        </w:rPr>
      </w:r>
      <w:r>
        <w:rPr>
          <w:highlight w:val="white"/>
        </w:rPr>
      </w:r>
    </w:p>
    <w:p>
      <w:pPr>
        <w:pStyle w:val="1325"/>
        <w:ind w:left="1985" w:hanging="1276"/>
        <w:shd w:val="clear" w:color="ffffff" w:themeColor="background1" w:fill="ffffff" w:themeFill="background1"/>
        <w:rPr>
          <w:rFonts w:eastAsia="Liberation Serif"/>
          <w:highlight w:val="white"/>
        </w:rPr>
      </w:pPr>
      <w:r>
        <w:rPr>
          <w:rFonts w:eastAsia="Liberation Serif"/>
          <w:highlight w:val="white"/>
        </w:rPr>
        <w:t xml:space="preserve">3.2.4.1</w:t>
      </w:r>
      <w:r>
        <w:rPr>
          <w:rFonts w:eastAsia="Liberation Serif"/>
          <w:highlight w:val="white"/>
        </w:rPr>
        <w:t xml:space="preserve">.</w:t>
      </w:r>
      <w:r>
        <w:rPr>
          <w:rFonts w:eastAsia="Liberation Serif"/>
          <w:highlight w:val="white"/>
        </w:rPr>
        <w:t xml:space="preserve"> </w:t>
      </w:r>
      <w:r>
        <w:rPr>
          <w:rFonts w:eastAsia="Liberation Serif"/>
          <w:highlight w:val="white"/>
        </w:rPr>
        <w:t xml:space="preserve">Структура системы защиты информации АИС ОГУ</w:t>
      </w:r>
      <w:r>
        <w:rPr>
          <w:rFonts w:eastAsia="Liberation Serif"/>
          <w:highlight w:val="white"/>
        </w:rPr>
      </w:r>
      <w:r>
        <w:rPr>
          <w:rFonts w:eastAsia="Liberation Serif"/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Состав системы защиты информации А</w:t>
      </w:r>
      <w:r>
        <w:rPr>
          <w:rFonts w:eastAsia="Calibri"/>
          <w:highlight w:val="white"/>
        </w:rPr>
        <w:t xml:space="preserve">ИС ОГУ </w:t>
      </w:r>
      <w:r>
        <w:rPr>
          <w:rFonts w:eastAsia="Calibri"/>
          <w:highlight w:val="white"/>
        </w:rPr>
        <w:t xml:space="preserve">и распределения зоны ответственности по оказанию Услуг </w:t>
      </w:r>
      <w:r>
        <w:rPr>
          <w:highlight w:val="white"/>
        </w:rPr>
        <w:t xml:space="preserve">приведен в Таблице 4.2.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Таблица 4.2 – Состав системы защиты информации </w:t>
      </w:r>
      <w:r>
        <w:rPr>
          <w:rFonts w:eastAsia="Calibri"/>
          <w:highlight w:val="white"/>
        </w:rPr>
        <w:t xml:space="preserve">АИС ОГУ </w:t>
      </w:r>
      <w:r>
        <w:rPr>
          <w:highlight w:val="white"/>
        </w:rPr>
        <w:t xml:space="preserve">с распределением зоны ответственности по оказанию Услуг</w:t>
      </w:r>
      <w:r>
        <w:rPr>
          <w:highlight w:val="white"/>
        </w:rPr>
      </w:r>
      <w:r>
        <w:rPr>
          <w:highlight w:val="white"/>
        </w:rPr>
      </w:r>
    </w:p>
    <w:tbl>
      <w:tblPr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703"/>
        <w:gridCol w:w="7088"/>
        <w:gridCol w:w="2404"/>
      </w:tblGrid>
      <w:tr>
        <w:tblPrEx/>
        <w:trPr>
          <w:jc w:val="center"/>
          <w:tblHeader/>
        </w:trPr>
        <w:tc>
          <w:tcPr>
            <w:tcW w:w="345" w:type="pct"/>
            <w:vAlign w:val="center"/>
            <w:textDirection w:val="lrTb"/>
            <w:noWrap w:val="false"/>
          </w:tcPr>
          <w:p>
            <w:pPr>
              <w:pStyle w:val="1291"/>
              <w:contextualSpacing w:val="0"/>
              <w:jc w:val="left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highlight w:val="white"/>
              </w:rPr>
              <w:t xml:space="preserve">№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3476" w:type="pct"/>
            <w:vAlign w:val="center"/>
            <w:textDirection w:val="lrTb"/>
            <w:noWrap w:val="false"/>
          </w:tcPr>
          <w:p>
            <w:pPr>
              <w:pStyle w:val="1291"/>
              <w:contextualSpacing w:val="0"/>
              <w:jc w:val="center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highlight w:val="white"/>
              </w:rPr>
              <w:t xml:space="preserve">Наименование компонента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179" w:type="pct"/>
            <w:textDirection w:val="lrTb"/>
            <w:noWrap w:val="false"/>
          </w:tcPr>
          <w:p>
            <w:pPr>
              <w:pStyle w:val="1291"/>
              <w:contextualSpacing w:val="0"/>
              <w:jc w:val="center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highlight w:val="white"/>
              </w:rPr>
              <w:t xml:space="preserve">Зона ответственности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W w:w="345" w:type="pct"/>
            <w:textDirection w:val="lrTb"/>
            <w:noWrap w:val="false"/>
          </w:tcPr>
          <w:p>
            <w:pPr>
              <w:pStyle w:val="1283"/>
              <w:numPr>
                <w:ilvl w:val="0"/>
                <w:numId w:val="36"/>
              </w:numPr>
              <w:contextualSpacing w:val="0"/>
              <w:jc w:val="left"/>
              <w:spacing w:line="240" w:lineRule="auto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3476" w:type="pct"/>
            <w:textDirection w:val="lrTb"/>
            <w:noWrap w:val="false"/>
          </w:tcPr>
          <w:p>
            <w:pPr>
              <w:pStyle w:val="1288"/>
              <w:contextualSpacing w:val="0"/>
              <w:jc w:val="left"/>
              <w:shd w:val="clear" w:color="ffffff" w:themeColor="background1" w:fill="ffffff"/>
              <w:rPr>
                <w:rFonts w:eastAsia="Calibri"/>
                <w:b/>
                <w:bCs/>
                <w:highlight w:val="white"/>
              </w:rPr>
              <w:suppressLineNumbers w:val="0"/>
            </w:pPr>
            <w:r>
              <w:rPr>
                <w:rFonts w:eastAsia="Calibri"/>
                <w:b/>
                <w:bCs/>
                <w:highlight w:val="white"/>
              </w:rPr>
              <w:t xml:space="preserve">Организационные компоненты</w:t>
            </w:r>
            <w:r>
              <w:rPr>
                <w:rFonts w:eastAsia="Calibri"/>
                <w:b/>
                <w:bCs/>
                <w:highlight w:val="white"/>
              </w:rPr>
            </w:r>
            <w:r>
              <w:rPr>
                <w:rFonts w:eastAsia="Calibri"/>
                <w:b/>
                <w:bCs/>
                <w:highlight w:val="white"/>
              </w:rPr>
            </w:r>
          </w:p>
        </w:tc>
        <w:tc>
          <w:tcPr>
            <w:tcW w:w="1179" w:type="pct"/>
            <w:textDirection w:val="lrTb"/>
            <w:noWrap w:val="false"/>
          </w:tcPr>
          <w:p>
            <w:pPr>
              <w:contextualSpacing w:val="0"/>
              <w:jc w:val="left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rFonts w:eastAsia="Calibri"/>
                <w:bCs/>
                <w:sz w:val="22"/>
                <w:szCs w:val="22"/>
                <w:highlight w:val="white"/>
              </w:rPr>
              <w:t xml:space="preserve">Заказчик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W w:w="345" w:type="pct"/>
            <w:textDirection w:val="lrTb"/>
            <w:noWrap w:val="false"/>
          </w:tcPr>
          <w:p>
            <w:pPr>
              <w:pStyle w:val="1283"/>
              <w:numPr>
                <w:ilvl w:val="1"/>
                <w:numId w:val="36"/>
              </w:numPr>
              <w:contextualSpacing w:val="0"/>
              <w:jc w:val="left"/>
              <w:spacing w:line="240" w:lineRule="auto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76" w:type="pct"/>
            <w:vAlign w:val="center"/>
            <w:textDirection w:val="lrTb"/>
            <w:noWrap w:val="false"/>
          </w:tcPr>
          <w:p>
            <w:pPr>
              <w:pStyle w:val="1288"/>
              <w:contextualSpacing w:val="0"/>
              <w:jc w:val="left"/>
              <w:shd w:val="clear" w:color="ffffff" w:themeColor="background1" w:fill="ffffff"/>
              <w:rPr>
                <w:rFonts w:eastAsia="Calibri"/>
                <w:highlight w:val="white"/>
              </w:rPr>
              <w:suppressLineNumbers w:val="0"/>
            </w:pPr>
            <w:r>
              <w:rPr>
                <w:rFonts w:eastAsia="Calibri"/>
                <w:highlight w:val="white"/>
              </w:rPr>
              <w:t xml:space="preserve">Персонал</w:t>
            </w:r>
            <w:r>
              <w:rPr>
                <w:rFonts w:eastAsia="Calibri"/>
                <w:highlight w:val="white"/>
              </w:rPr>
            </w:r>
            <w:r>
              <w:rPr>
                <w:rFonts w:eastAsia="Calibri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79" w:type="pct"/>
            <w:textDirection w:val="lrTb"/>
            <w:noWrap w:val="false"/>
          </w:tcPr>
          <w:p>
            <w:pPr>
              <w:contextualSpacing w:val="0"/>
              <w:jc w:val="left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rFonts w:eastAsia="Calibri"/>
                <w:bCs/>
                <w:sz w:val="22"/>
                <w:szCs w:val="22"/>
                <w:highlight w:val="white"/>
              </w:rPr>
              <w:t xml:space="preserve">Заказчик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W w:w="345" w:type="pct"/>
            <w:textDirection w:val="lrTb"/>
            <w:noWrap w:val="false"/>
          </w:tcPr>
          <w:p>
            <w:pPr>
              <w:pStyle w:val="1283"/>
              <w:numPr>
                <w:ilvl w:val="1"/>
                <w:numId w:val="36"/>
              </w:numPr>
              <w:contextualSpacing w:val="0"/>
              <w:jc w:val="left"/>
              <w:spacing w:line="240" w:lineRule="auto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76" w:type="pct"/>
            <w:vAlign w:val="center"/>
            <w:textDirection w:val="lrTb"/>
            <w:noWrap w:val="false"/>
          </w:tcPr>
          <w:p>
            <w:pPr>
              <w:pStyle w:val="1288"/>
              <w:contextualSpacing w:val="0"/>
              <w:jc w:val="left"/>
              <w:shd w:val="clear" w:color="ffffff" w:themeColor="background1" w:fill="ffffff"/>
              <w:rPr>
                <w:rFonts w:eastAsia="Calibri"/>
                <w:highlight w:val="white"/>
              </w:rPr>
              <w:suppressLineNumbers w:val="0"/>
            </w:pPr>
            <w:r>
              <w:rPr>
                <w:rFonts w:eastAsia="Calibri"/>
                <w:highlight w:val="white"/>
              </w:rPr>
              <w:t xml:space="preserve">Эксплуатационная документация</w:t>
            </w:r>
            <w:r>
              <w:rPr>
                <w:rFonts w:eastAsia="Calibri"/>
                <w:highlight w:val="white"/>
              </w:rPr>
            </w:r>
            <w:r>
              <w:rPr>
                <w:rFonts w:eastAsia="Calibri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79" w:type="pct"/>
            <w:textDirection w:val="lrTb"/>
            <w:noWrap w:val="false"/>
          </w:tcPr>
          <w:p>
            <w:pPr>
              <w:contextualSpacing w:val="0"/>
              <w:jc w:val="left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rFonts w:eastAsia="Calibri"/>
                <w:bCs/>
                <w:sz w:val="22"/>
                <w:szCs w:val="22"/>
                <w:highlight w:val="white"/>
              </w:rPr>
              <w:t xml:space="preserve">Заказчик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W w:w="345" w:type="pct"/>
            <w:textDirection w:val="lrTb"/>
            <w:noWrap w:val="false"/>
          </w:tcPr>
          <w:p>
            <w:pPr>
              <w:pStyle w:val="1283"/>
              <w:numPr>
                <w:ilvl w:val="2"/>
                <w:numId w:val="36"/>
              </w:numPr>
              <w:contextualSpacing w:val="0"/>
              <w:jc w:val="left"/>
              <w:spacing w:line="240" w:lineRule="auto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76" w:type="pct"/>
            <w:vAlign w:val="center"/>
            <w:textDirection w:val="lrTb"/>
            <w:noWrap w:val="false"/>
          </w:tcPr>
          <w:p>
            <w:pPr>
              <w:pStyle w:val="1288"/>
              <w:contextualSpacing w:val="0"/>
              <w:jc w:val="left"/>
              <w:shd w:val="clear" w:color="ffffff" w:themeColor="background1" w:fill="ffffff"/>
              <w:rPr>
                <w:rFonts w:eastAsia="Calibri"/>
                <w:highlight w:val="white"/>
              </w:rPr>
              <w:suppressLineNumbers w:val="0"/>
            </w:pPr>
            <w:r>
              <w:rPr>
                <w:rFonts w:eastAsia="Calibri"/>
                <w:highlight w:val="white"/>
              </w:rPr>
              <w:t xml:space="preserve">Руководство пользователя информационной инфраструктуры </w:t>
            </w:r>
            <w:r>
              <w:rPr>
                <w:rFonts w:eastAsia="Calibri"/>
                <w:highlight w:val="white"/>
              </w:rPr>
              <w:t xml:space="preserve">Росавиации</w:t>
            </w:r>
            <w:r>
              <w:rPr>
                <w:rFonts w:eastAsia="Calibri"/>
                <w:highlight w:val="white"/>
              </w:rPr>
            </w:r>
            <w:r>
              <w:rPr>
                <w:rFonts w:eastAsia="Calibri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79" w:type="pct"/>
            <w:textDirection w:val="lrTb"/>
            <w:noWrap w:val="false"/>
          </w:tcPr>
          <w:p>
            <w:pPr>
              <w:contextualSpacing w:val="0"/>
              <w:jc w:val="left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rFonts w:eastAsia="Calibri"/>
                <w:bCs/>
                <w:sz w:val="22"/>
                <w:szCs w:val="22"/>
                <w:highlight w:val="white"/>
              </w:rPr>
              <w:t xml:space="preserve">Заказчик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W w:w="345" w:type="pct"/>
            <w:textDirection w:val="lrTb"/>
            <w:noWrap w:val="false"/>
          </w:tcPr>
          <w:p>
            <w:pPr>
              <w:pStyle w:val="1283"/>
              <w:numPr>
                <w:ilvl w:val="2"/>
                <w:numId w:val="36"/>
              </w:numPr>
              <w:contextualSpacing w:val="0"/>
              <w:jc w:val="left"/>
              <w:spacing w:line="240" w:lineRule="auto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76" w:type="pct"/>
            <w:vAlign w:val="center"/>
            <w:textDirection w:val="lrTb"/>
            <w:noWrap w:val="false"/>
          </w:tcPr>
          <w:p>
            <w:pPr>
              <w:pStyle w:val="1288"/>
              <w:contextualSpacing w:val="0"/>
              <w:jc w:val="left"/>
              <w:shd w:val="clear" w:color="ffffff" w:themeColor="background1" w:fill="ffffff"/>
              <w:rPr>
                <w:rFonts w:eastAsia="Calibri"/>
                <w:highlight w:val="white"/>
              </w:rPr>
              <w:suppressLineNumbers w:val="0"/>
            </w:pPr>
            <w:r>
              <w:rPr>
                <w:rFonts w:eastAsia="Calibri"/>
                <w:highlight w:val="white"/>
              </w:rPr>
              <w:t xml:space="preserve">Руководство ответственного за защиту информации</w:t>
            </w:r>
            <w:r>
              <w:rPr>
                <w:rFonts w:eastAsia="Calibri"/>
                <w:highlight w:val="white"/>
              </w:rPr>
            </w:r>
            <w:r>
              <w:rPr>
                <w:rFonts w:eastAsia="Calibri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79" w:type="pct"/>
            <w:textDirection w:val="lrTb"/>
            <w:noWrap w:val="false"/>
          </w:tcPr>
          <w:p>
            <w:pPr>
              <w:contextualSpacing w:val="0"/>
              <w:jc w:val="left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rFonts w:eastAsia="Calibri"/>
                <w:bCs/>
                <w:sz w:val="22"/>
                <w:szCs w:val="22"/>
                <w:highlight w:val="white"/>
              </w:rPr>
              <w:t xml:space="preserve">Заказчик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W w:w="345" w:type="pct"/>
            <w:textDirection w:val="lrTb"/>
            <w:noWrap w:val="false"/>
          </w:tcPr>
          <w:p>
            <w:pPr>
              <w:pStyle w:val="1283"/>
              <w:numPr>
                <w:ilvl w:val="2"/>
                <w:numId w:val="36"/>
              </w:numPr>
              <w:contextualSpacing w:val="0"/>
              <w:jc w:val="left"/>
              <w:spacing w:line="240" w:lineRule="auto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76" w:type="pct"/>
            <w:vAlign w:val="center"/>
            <w:textDirection w:val="lrTb"/>
            <w:noWrap w:val="false"/>
          </w:tcPr>
          <w:p>
            <w:pPr>
              <w:pStyle w:val="1288"/>
              <w:contextualSpacing w:val="0"/>
              <w:jc w:val="left"/>
              <w:shd w:val="clear" w:color="ffffff" w:themeColor="background1" w:fill="ffffff"/>
              <w:rPr>
                <w:rFonts w:eastAsia="Calibri"/>
                <w:highlight w:val="white"/>
              </w:rPr>
              <w:suppressLineNumbers w:val="0"/>
            </w:pPr>
            <w:r>
              <w:rPr>
                <w:rFonts w:eastAsia="Calibri"/>
                <w:highlight w:val="white"/>
              </w:rPr>
              <w:t xml:space="preserve">Руководство ответственного за организацию эксплуатации средств криптографической защиты информации</w:t>
            </w:r>
            <w:r>
              <w:rPr>
                <w:rFonts w:eastAsia="Calibri"/>
                <w:highlight w:val="white"/>
              </w:rPr>
            </w:r>
            <w:r>
              <w:rPr>
                <w:rFonts w:eastAsia="Calibri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79" w:type="pct"/>
            <w:textDirection w:val="lrTb"/>
            <w:noWrap w:val="false"/>
          </w:tcPr>
          <w:p>
            <w:pPr>
              <w:contextualSpacing w:val="0"/>
              <w:jc w:val="left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rFonts w:eastAsia="Calibri"/>
                <w:bCs/>
                <w:sz w:val="22"/>
                <w:szCs w:val="22"/>
                <w:highlight w:val="white"/>
              </w:rPr>
              <w:t xml:space="preserve">Заказчик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W w:w="345" w:type="pct"/>
            <w:textDirection w:val="lrTb"/>
            <w:noWrap w:val="false"/>
          </w:tcPr>
          <w:p>
            <w:pPr>
              <w:pStyle w:val="1283"/>
              <w:numPr>
                <w:ilvl w:val="2"/>
                <w:numId w:val="36"/>
              </w:numPr>
              <w:contextualSpacing w:val="0"/>
              <w:jc w:val="left"/>
              <w:spacing w:line="240" w:lineRule="auto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76" w:type="pct"/>
            <w:vAlign w:val="center"/>
            <w:textDirection w:val="lrTb"/>
            <w:noWrap w:val="false"/>
          </w:tcPr>
          <w:p>
            <w:pPr>
              <w:pStyle w:val="1288"/>
              <w:contextualSpacing w:val="0"/>
              <w:jc w:val="left"/>
              <w:shd w:val="clear" w:color="ffffff" w:themeColor="background1" w:fill="ffffff"/>
              <w:rPr>
                <w:rFonts w:eastAsia="Calibri"/>
                <w:highlight w:val="white"/>
              </w:rPr>
              <w:suppressLineNumbers w:val="0"/>
            </w:pPr>
            <w:r>
              <w:rPr>
                <w:rFonts w:eastAsia="Calibri"/>
                <w:highlight w:val="white"/>
              </w:rPr>
              <w:t xml:space="preserve">Руководство ответственного за управление (администрирование) системой защиты информации (администратора безопасности)</w:t>
            </w:r>
            <w:r>
              <w:rPr>
                <w:rFonts w:eastAsia="Calibri"/>
                <w:highlight w:val="white"/>
              </w:rPr>
            </w:r>
            <w:r>
              <w:rPr>
                <w:rFonts w:eastAsia="Calibri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79" w:type="pct"/>
            <w:textDirection w:val="lrTb"/>
            <w:noWrap w:val="false"/>
          </w:tcPr>
          <w:p>
            <w:pPr>
              <w:contextualSpacing w:val="0"/>
              <w:jc w:val="left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rFonts w:eastAsia="Calibri"/>
                <w:bCs/>
                <w:sz w:val="22"/>
                <w:szCs w:val="22"/>
                <w:highlight w:val="white"/>
              </w:rPr>
              <w:t xml:space="preserve">Заказчик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W w:w="345" w:type="pct"/>
            <w:textDirection w:val="lrTb"/>
            <w:noWrap w:val="false"/>
          </w:tcPr>
          <w:p>
            <w:pPr>
              <w:pStyle w:val="1283"/>
              <w:numPr>
                <w:ilvl w:val="2"/>
                <w:numId w:val="36"/>
              </w:numPr>
              <w:contextualSpacing w:val="0"/>
              <w:jc w:val="left"/>
              <w:spacing w:line="240" w:lineRule="auto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76" w:type="pct"/>
            <w:vAlign w:val="center"/>
            <w:textDirection w:val="lrTb"/>
            <w:noWrap w:val="false"/>
          </w:tcPr>
          <w:p>
            <w:pPr>
              <w:pStyle w:val="1288"/>
              <w:contextualSpacing w:val="0"/>
              <w:jc w:val="left"/>
              <w:shd w:val="clear" w:color="ffffff" w:themeColor="background1" w:fill="ffffff"/>
              <w:rPr>
                <w:rFonts w:eastAsia="Calibri"/>
                <w:highlight w:val="white"/>
              </w:rPr>
              <w:suppressLineNumbers w:val="0"/>
            </w:pPr>
            <w:r>
              <w:rPr>
                <w:rFonts w:eastAsia="Calibri"/>
                <w:highlight w:val="white"/>
              </w:rPr>
              <w:t xml:space="preserve">Формуляры средств защиты информации</w:t>
            </w:r>
            <w:r>
              <w:rPr>
                <w:rFonts w:eastAsia="Calibri"/>
                <w:highlight w:val="white"/>
              </w:rPr>
            </w:r>
            <w:r>
              <w:rPr>
                <w:rFonts w:eastAsia="Calibri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79" w:type="pct"/>
            <w:textDirection w:val="lrTb"/>
            <w:noWrap w:val="false"/>
          </w:tcPr>
          <w:p>
            <w:pPr>
              <w:contextualSpacing w:val="0"/>
              <w:jc w:val="left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rFonts w:eastAsia="Calibri"/>
                <w:bCs/>
                <w:sz w:val="22"/>
                <w:szCs w:val="22"/>
                <w:highlight w:val="white"/>
              </w:rPr>
              <w:t xml:space="preserve">Заказчик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W w:w="345" w:type="pct"/>
            <w:textDirection w:val="lrTb"/>
            <w:noWrap w:val="false"/>
          </w:tcPr>
          <w:p>
            <w:pPr>
              <w:pStyle w:val="1283"/>
              <w:numPr>
                <w:ilvl w:val="1"/>
                <w:numId w:val="36"/>
              </w:numPr>
              <w:contextualSpacing w:val="0"/>
              <w:jc w:val="left"/>
              <w:spacing w:line="240" w:lineRule="auto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76" w:type="pct"/>
            <w:vAlign w:val="center"/>
            <w:textDirection w:val="lrTb"/>
            <w:noWrap w:val="false"/>
          </w:tcPr>
          <w:p>
            <w:pPr>
              <w:pStyle w:val="1288"/>
              <w:contextualSpacing w:val="0"/>
              <w:jc w:val="left"/>
              <w:shd w:val="clear" w:color="ffffff" w:themeColor="background1" w:fill="ffffff"/>
              <w:rPr>
                <w:rFonts w:eastAsia="Calibri"/>
                <w:highlight w:val="white"/>
              </w:rPr>
              <w:suppressLineNumbers w:val="0"/>
            </w:pPr>
            <w:r>
              <w:rPr>
                <w:rFonts w:eastAsia="Calibri"/>
                <w:highlight w:val="white"/>
              </w:rPr>
              <w:t xml:space="preserve">Организационно-распорядительная документация</w:t>
            </w:r>
            <w:r>
              <w:rPr>
                <w:rFonts w:eastAsia="Calibri"/>
                <w:highlight w:val="white"/>
              </w:rPr>
            </w:r>
            <w:r>
              <w:rPr>
                <w:rFonts w:eastAsia="Calibri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79" w:type="pct"/>
            <w:textDirection w:val="lrTb"/>
            <w:noWrap w:val="false"/>
          </w:tcPr>
          <w:p>
            <w:pPr>
              <w:contextualSpacing w:val="0"/>
              <w:jc w:val="left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rFonts w:eastAsia="Calibri"/>
                <w:bCs/>
                <w:sz w:val="22"/>
                <w:szCs w:val="22"/>
                <w:highlight w:val="white"/>
              </w:rPr>
              <w:t xml:space="preserve">Заказчик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W w:w="345" w:type="pct"/>
            <w:textDirection w:val="lrTb"/>
            <w:noWrap w:val="false"/>
          </w:tcPr>
          <w:p>
            <w:pPr>
              <w:pStyle w:val="1283"/>
              <w:numPr>
                <w:ilvl w:val="2"/>
                <w:numId w:val="36"/>
              </w:numPr>
              <w:contextualSpacing w:val="0"/>
              <w:jc w:val="left"/>
              <w:spacing w:line="240" w:lineRule="auto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76" w:type="pct"/>
            <w:vAlign w:val="center"/>
            <w:textDirection w:val="lrTb"/>
            <w:noWrap w:val="false"/>
          </w:tcPr>
          <w:p>
            <w:pPr>
              <w:pStyle w:val="1288"/>
              <w:contextualSpacing w:val="0"/>
              <w:jc w:val="left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highlight w:val="white"/>
              </w:rPr>
              <w:t xml:space="preserve">Акт классификации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79" w:type="pct"/>
            <w:textDirection w:val="lrTb"/>
            <w:noWrap w:val="false"/>
          </w:tcPr>
          <w:p>
            <w:pPr>
              <w:contextualSpacing w:val="0"/>
              <w:jc w:val="left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rFonts w:eastAsia="Calibri"/>
                <w:bCs/>
                <w:sz w:val="22"/>
                <w:szCs w:val="22"/>
                <w:highlight w:val="white"/>
              </w:rPr>
              <w:t xml:space="preserve">Заказчик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W w:w="345" w:type="pct"/>
            <w:textDirection w:val="lrTb"/>
            <w:noWrap w:val="false"/>
          </w:tcPr>
          <w:p>
            <w:pPr>
              <w:pStyle w:val="1283"/>
              <w:numPr>
                <w:ilvl w:val="2"/>
                <w:numId w:val="36"/>
              </w:numPr>
              <w:contextualSpacing w:val="0"/>
              <w:jc w:val="left"/>
              <w:spacing w:line="240" w:lineRule="auto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76" w:type="pct"/>
            <w:vAlign w:val="center"/>
            <w:textDirection w:val="lrTb"/>
            <w:noWrap w:val="false"/>
          </w:tcPr>
          <w:p>
            <w:pPr>
              <w:pStyle w:val="1288"/>
              <w:contextualSpacing w:val="0"/>
              <w:jc w:val="left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highlight w:val="white"/>
              </w:rPr>
              <w:t xml:space="preserve">Акт категорирования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79" w:type="pct"/>
            <w:textDirection w:val="lrTb"/>
            <w:noWrap w:val="false"/>
          </w:tcPr>
          <w:p>
            <w:pPr>
              <w:contextualSpacing w:val="0"/>
              <w:jc w:val="left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rFonts w:eastAsia="Calibri"/>
                <w:bCs/>
                <w:sz w:val="22"/>
                <w:szCs w:val="22"/>
                <w:highlight w:val="white"/>
              </w:rPr>
              <w:t xml:space="preserve">Заказчик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W w:w="345" w:type="pct"/>
            <w:textDirection w:val="lrTb"/>
            <w:noWrap w:val="false"/>
          </w:tcPr>
          <w:p>
            <w:pPr>
              <w:pStyle w:val="1283"/>
              <w:numPr>
                <w:ilvl w:val="2"/>
                <w:numId w:val="36"/>
              </w:numPr>
              <w:contextualSpacing w:val="0"/>
              <w:jc w:val="left"/>
              <w:spacing w:line="240" w:lineRule="auto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76" w:type="pct"/>
            <w:vAlign w:val="center"/>
            <w:textDirection w:val="lrTb"/>
            <w:noWrap w:val="false"/>
          </w:tcPr>
          <w:p>
            <w:pPr>
              <w:pStyle w:val="1288"/>
              <w:contextualSpacing w:val="0"/>
              <w:jc w:val="left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highlight w:val="white"/>
              </w:rPr>
              <w:t xml:space="preserve">Модель угроз безопасности информации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79" w:type="pct"/>
            <w:textDirection w:val="lrTb"/>
            <w:noWrap w:val="false"/>
          </w:tcPr>
          <w:p>
            <w:pPr>
              <w:contextualSpacing w:val="0"/>
              <w:jc w:val="left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rFonts w:eastAsia="Calibri"/>
                <w:bCs/>
                <w:sz w:val="22"/>
                <w:szCs w:val="22"/>
                <w:highlight w:val="white"/>
              </w:rPr>
              <w:t xml:space="preserve">Заказчик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W w:w="345" w:type="pct"/>
            <w:textDirection w:val="lrTb"/>
            <w:noWrap w:val="false"/>
          </w:tcPr>
          <w:p>
            <w:pPr>
              <w:pStyle w:val="1283"/>
              <w:numPr>
                <w:ilvl w:val="2"/>
                <w:numId w:val="36"/>
              </w:numPr>
              <w:contextualSpacing w:val="0"/>
              <w:jc w:val="left"/>
              <w:spacing w:line="240" w:lineRule="auto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76" w:type="pct"/>
            <w:vAlign w:val="center"/>
            <w:textDirection w:val="lrTb"/>
            <w:noWrap w:val="false"/>
          </w:tcPr>
          <w:p>
            <w:pPr>
              <w:pStyle w:val="1288"/>
              <w:contextualSpacing w:val="0"/>
              <w:jc w:val="left"/>
              <w:shd w:val="clear" w:color="ffffff" w:themeColor="background1" w:fill="ffffff"/>
              <w:rPr>
                <w:rFonts w:eastAsia="Calibri"/>
                <w:highlight w:val="white"/>
              </w:rPr>
              <w:suppressLineNumbers w:val="0"/>
            </w:pPr>
            <w:r>
              <w:rPr>
                <w:rFonts w:eastAsia="Calibri"/>
                <w:highlight w:val="white"/>
              </w:rPr>
              <w:t xml:space="preserve">Технический паспорт</w:t>
            </w:r>
            <w:r>
              <w:rPr>
                <w:rFonts w:eastAsia="Calibri"/>
                <w:highlight w:val="white"/>
              </w:rPr>
            </w:r>
            <w:r>
              <w:rPr>
                <w:rFonts w:eastAsia="Calibri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79" w:type="pct"/>
            <w:textDirection w:val="lrTb"/>
            <w:noWrap w:val="false"/>
          </w:tcPr>
          <w:p>
            <w:pPr>
              <w:contextualSpacing w:val="0"/>
              <w:jc w:val="left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rFonts w:eastAsia="Calibri"/>
                <w:bCs/>
                <w:sz w:val="22"/>
                <w:szCs w:val="22"/>
                <w:highlight w:val="white"/>
              </w:rPr>
              <w:t xml:space="preserve">Заказчик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W w:w="345" w:type="pct"/>
            <w:textDirection w:val="lrTb"/>
            <w:noWrap w:val="false"/>
          </w:tcPr>
          <w:p>
            <w:pPr>
              <w:pStyle w:val="1283"/>
              <w:numPr>
                <w:ilvl w:val="2"/>
                <w:numId w:val="36"/>
              </w:numPr>
              <w:contextualSpacing w:val="0"/>
              <w:jc w:val="left"/>
              <w:spacing w:line="240" w:lineRule="auto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76" w:type="pct"/>
            <w:vAlign w:val="center"/>
            <w:textDirection w:val="lrTb"/>
            <w:noWrap w:val="false"/>
          </w:tcPr>
          <w:p>
            <w:pPr>
              <w:pStyle w:val="1288"/>
              <w:contextualSpacing w:val="0"/>
              <w:jc w:val="left"/>
              <w:shd w:val="clear" w:color="ffffff" w:themeColor="background1" w:fill="ffffff"/>
              <w:rPr>
                <w:rFonts w:eastAsia="Calibri"/>
                <w:highlight w:val="white"/>
              </w:rPr>
              <w:suppressLineNumbers w:val="0"/>
            </w:pPr>
            <w:r>
              <w:rPr>
                <w:rFonts w:eastAsia="Calibri"/>
                <w:highlight w:val="white"/>
              </w:rPr>
              <w:t xml:space="preserve">Регламент защиты сетевого периметра и каналов связи</w:t>
            </w:r>
            <w:r>
              <w:rPr>
                <w:rFonts w:eastAsia="Calibri"/>
                <w:highlight w:val="white"/>
              </w:rPr>
            </w:r>
            <w:r>
              <w:rPr>
                <w:rFonts w:eastAsia="Calibri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79" w:type="pct"/>
            <w:textDirection w:val="lrTb"/>
            <w:noWrap w:val="false"/>
          </w:tcPr>
          <w:p>
            <w:pPr>
              <w:contextualSpacing w:val="0"/>
              <w:jc w:val="left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rFonts w:eastAsia="Calibri"/>
                <w:bCs/>
                <w:sz w:val="22"/>
                <w:szCs w:val="22"/>
                <w:highlight w:val="white"/>
              </w:rPr>
              <w:t xml:space="preserve">Заказчик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W w:w="345" w:type="pct"/>
            <w:textDirection w:val="lrTb"/>
            <w:noWrap w:val="false"/>
          </w:tcPr>
          <w:p>
            <w:pPr>
              <w:pStyle w:val="1283"/>
              <w:numPr>
                <w:ilvl w:val="2"/>
                <w:numId w:val="36"/>
              </w:numPr>
              <w:contextualSpacing w:val="0"/>
              <w:jc w:val="left"/>
              <w:spacing w:line="240" w:lineRule="auto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76" w:type="pct"/>
            <w:vAlign w:val="center"/>
            <w:textDirection w:val="lrTb"/>
            <w:noWrap w:val="false"/>
          </w:tcPr>
          <w:p>
            <w:pPr>
              <w:pStyle w:val="1288"/>
              <w:contextualSpacing w:val="0"/>
              <w:jc w:val="left"/>
              <w:shd w:val="clear" w:color="ffffff" w:themeColor="background1" w:fill="ffffff"/>
              <w:rPr>
                <w:rFonts w:eastAsia="Calibri"/>
                <w:highlight w:val="white"/>
              </w:rPr>
              <w:suppressLineNumbers w:val="0"/>
            </w:pPr>
            <w:r>
              <w:rPr>
                <w:rFonts w:eastAsia="Calibri"/>
                <w:highlight w:val="white"/>
              </w:rPr>
              <w:t xml:space="preserve">Регламент антивирусной защиты</w:t>
            </w:r>
            <w:r>
              <w:rPr>
                <w:rFonts w:eastAsia="Calibri"/>
                <w:highlight w:val="white"/>
              </w:rPr>
            </w:r>
            <w:r>
              <w:rPr>
                <w:rFonts w:eastAsia="Calibri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79" w:type="pct"/>
            <w:textDirection w:val="lrTb"/>
            <w:noWrap w:val="false"/>
          </w:tcPr>
          <w:p>
            <w:pPr>
              <w:contextualSpacing w:val="0"/>
              <w:jc w:val="left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rFonts w:eastAsia="Calibri"/>
                <w:bCs/>
                <w:sz w:val="22"/>
                <w:szCs w:val="22"/>
                <w:highlight w:val="white"/>
              </w:rPr>
              <w:t xml:space="preserve">Заказчик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W w:w="345" w:type="pct"/>
            <w:textDirection w:val="lrTb"/>
            <w:noWrap w:val="false"/>
          </w:tcPr>
          <w:p>
            <w:pPr>
              <w:pStyle w:val="1283"/>
              <w:numPr>
                <w:ilvl w:val="2"/>
                <w:numId w:val="36"/>
              </w:numPr>
              <w:contextualSpacing w:val="0"/>
              <w:jc w:val="left"/>
              <w:spacing w:line="240" w:lineRule="auto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76" w:type="pct"/>
            <w:vAlign w:val="center"/>
            <w:textDirection w:val="lrTb"/>
            <w:noWrap w:val="false"/>
          </w:tcPr>
          <w:p>
            <w:pPr>
              <w:pStyle w:val="1288"/>
              <w:contextualSpacing w:val="0"/>
              <w:jc w:val="left"/>
              <w:shd w:val="clear" w:color="ffffff" w:themeColor="background1" w:fill="ffffff"/>
              <w:rPr>
                <w:rFonts w:eastAsia="Calibri"/>
                <w:highlight w:val="white"/>
              </w:rPr>
              <w:suppressLineNumbers w:val="0"/>
            </w:pPr>
            <w:r>
              <w:rPr>
                <w:rFonts w:eastAsia="Calibri"/>
                <w:highlight w:val="white"/>
              </w:rPr>
              <w:t xml:space="preserve">Регламент защиты технических средств</w:t>
            </w:r>
            <w:r>
              <w:rPr>
                <w:rFonts w:eastAsia="Calibri"/>
                <w:highlight w:val="white"/>
              </w:rPr>
            </w:r>
            <w:r>
              <w:rPr>
                <w:rFonts w:eastAsia="Calibri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79" w:type="pct"/>
            <w:textDirection w:val="lrTb"/>
            <w:noWrap w:val="false"/>
          </w:tcPr>
          <w:p>
            <w:pPr>
              <w:contextualSpacing w:val="0"/>
              <w:jc w:val="left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rFonts w:eastAsia="Calibri"/>
                <w:bCs/>
                <w:sz w:val="22"/>
                <w:szCs w:val="22"/>
                <w:highlight w:val="white"/>
              </w:rPr>
              <w:t xml:space="preserve">Заказчик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W w:w="345" w:type="pct"/>
            <w:textDirection w:val="lrTb"/>
            <w:noWrap w:val="false"/>
          </w:tcPr>
          <w:p>
            <w:pPr>
              <w:pStyle w:val="1283"/>
              <w:numPr>
                <w:ilvl w:val="2"/>
                <w:numId w:val="36"/>
              </w:numPr>
              <w:contextualSpacing w:val="0"/>
              <w:jc w:val="left"/>
              <w:spacing w:line="240" w:lineRule="auto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76" w:type="pct"/>
            <w:vAlign w:val="center"/>
            <w:textDirection w:val="lrTb"/>
            <w:noWrap w:val="false"/>
          </w:tcPr>
          <w:p>
            <w:pPr>
              <w:pStyle w:val="1288"/>
              <w:contextualSpacing w:val="0"/>
              <w:jc w:val="left"/>
              <w:shd w:val="clear" w:color="ffffff" w:themeColor="background1" w:fill="ffffff"/>
              <w:rPr>
                <w:rFonts w:eastAsia="Calibri"/>
                <w:highlight w:val="white"/>
              </w:rPr>
              <w:suppressLineNumbers w:val="0"/>
            </w:pPr>
            <w:r>
              <w:rPr>
                <w:rFonts w:eastAsia="Calibri"/>
                <w:highlight w:val="white"/>
              </w:rPr>
              <w:t xml:space="preserve">Регламент мониторинга событий безопасности</w:t>
            </w:r>
            <w:r>
              <w:rPr>
                <w:rFonts w:eastAsia="Calibri"/>
                <w:highlight w:val="white"/>
              </w:rPr>
            </w:r>
            <w:r>
              <w:rPr>
                <w:rFonts w:eastAsia="Calibri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79" w:type="pct"/>
            <w:textDirection w:val="lrTb"/>
            <w:noWrap w:val="false"/>
          </w:tcPr>
          <w:p>
            <w:pPr>
              <w:contextualSpacing w:val="0"/>
              <w:jc w:val="left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rFonts w:eastAsia="Calibri"/>
                <w:bCs/>
                <w:sz w:val="22"/>
                <w:szCs w:val="22"/>
                <w:highlight w:val="white"/>
              </w:rPr>
              <w:t xml:space="preserve">Заказчик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W w:w="345" w:type="pct"/>
            <w:textDirection w:val="lrTb"/>
            <w:noWrap w:val="false"/>
          </w:tcPr>
          <w:p>
            <w:pPr>
              <w:pStyle w:val="1283"/>
              <w:numPr>
                <w:ilvl w:val="2"/>
                <w:numId w:val="36"/>
              </w:numPr>
              <w:contextualSpacing w:val="0"/>
              <w:jc w:val="left"/>
              <w:spacing w:line="240" w:lineRule="auto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76" w:type="pct"/>
            <w:vAlign w:val="center"/>
            <w:textDirection w:val="lrTb"/>
            <w:noWrap w:val="false"/>
          </w:tcPr>
          <w:p>
            <w:pPr>
              <w:pStyle w:val="1288"/>
              <w:contextualSpacing w:val="0"/>
              <w:jc w:val="left"/>
              <w:shd w:val="clear" w:color="ffffff" w:themeColor="background1" w:fill="ffffff"/>
              <w:rPr>
                <w:rFonts w:eastAsia="Calibri"/>
                <w:highlight w:val="white"/>
              </w:rPr>
              <w:suppressLineNumbers w:val="0"/>
            </w:pPr>
            <w:r>
              <w:rPr>
                <w:rFonts w:eastAsia="Calibri"/>
                <w:highlight w:val="white"/>
              </w:rPr>
              <w:t xml:space="preserve">Регламент</w:t>
            </w:r>
            <w:r>
              <w:rPr>
                <w:highlight w:val="white"/>
              </w:rPr>
              <w:t xml:space="preserve"> </w:t>
            </w:r>
            <w:r>
              <w:rPr>
                <w:rFonts w:eastAsia="Calibri"/>
                <w:highlight w:val="white"/>
              </w:rPr>
              <w:t xml:space="preserve">защиты машинных носителей информации</w:t>
            </w:r>
            <w:r>
              <w:rPr>
                <w:rFonts w:eastAsia="Calibri"/>
                <w:highlight w:val="white"/>
              </w:rPr>
            </w:r>
            <w:r>
              <w:rPr>
                <w:rFonts w:eastAsia="Calibri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79" w:type="pct"/>
            <w:textDirection w:val="lrTb"/>
            <w:noWrap w:val="false"/>
          </w:tcPr>
          <w:p>
            <w:pPr>
              <w:contextualSpacing w:val="0"/>
              <w:jc w:val="left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rFonts w:eastAsia="Calibri"/>
                <w:bCs/>
                <w:sz w:val="22"/>
                <w:szCs w:val="22"/>
                <w:highlight w:val="white"/>
              </w:rPr>
              <w:t xml:space="preserve">Заказчик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W w:w="345" w:type="pct"/>
            <w:textDirection w:val="lrTb"/>
            <w:noWrap w:val="false"/>
          </w:tcPr>
          <w:p>
            <w:pPr>
              <w:pStyle w:val="1283"/>
              <w:numPr>
                <w:ilvl w:val="2"/>
                <w:numId w:val="36"/>
              </w:numPr>
              <w:contextualSpacing w:val="0"/>
              <w:jc w:val="left"/>
              <w:spacing w:line="240" w:lineRule="auto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76" w:type="pct"/>
            <w:vAlign w:val="center"/>
            <w:textDirection w:val="lrTb"/>
            <w:noWrap w:val="false"/>
          </w:tcPr>
          <w:p>
            <w:pPr>
              <w:pStyle w:val="1288"/>
              <w:contextualSpacing w:val="0"/>
              <w:jc w:val="left"/>
              <w:shd w:val="clear" w:color="ffffff" w:themeColor="background1" w:fill="ffffff"/>
              <w:rPr>
                <w:rFonts w:eastAsia="Calibri"/>
                <w:highlight w:val="white"/>
              </w:rPr>
              <w:suppressLineNumbers w:val="0"/>
            </w:pPr>
            <w:r>
              <w:rPr>
                <w:rFonts w:eastAsia="Calibri"/>
                <w:highlight w:val="white"/>
              </w:rPr>
              <w:t xml:space="preserve">Регламент</w:t>
            </w:r>
            <w:r>
              <w:rPr>
                <w:highlight w:val="white"/>
              </w:rPr>
              <w:t xml:space="preserve"> </w:t>
            </w:r>
            <w:r>
              <w:rPr>
                <w:rFonts w:eastAsia="Calibri"/>
                <w:highlight w:val="white"/>
              </w:rPr>
              <w:t xml:space="preserve">обеспечения доступности и резервного копирования</w:t>
            </w:r>
            <w:r>
              <w:rPr>
                <w:rFonts w:eastAsia="Calibri"/>
                <w:highlight w:val="white"/>
              </w:rPr>
            </w:r>
            <w:r>
              <w:rPr>
                <w:rFonts w:eastAsia="Calibri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79" w:type="pct"/>
            <w:textDirection w:val="lrTb"/>
            <w:noWrap w:val="false"/>
          </w:tcPr>
          <w:p>
            <w:pPr>
              <w:contextualSpacing w:val="0"/>
              <w:jc w:val="left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rFonts w:eastAsia="Calibri"/>
                <w:bCs/>
                <w:sz w:val="22"/>
                <w:szCs w:val="22"/>
                <w:highlight w:val="white"/>
              </w:rPr>
              <w:t xml:space="preserve">Заказчик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W w:w="345" w:type="pct"/>
            <w:textDirection w:val="lrTb"/>
            <w:noWrap w:val="false"/>
          </w:tcPr>
          <w:p>
            <w:pPr>
              <w:pStyle w:val="1283"/>
              <w:numPr>
                <w:ilvl w:val="2"/>
                <w:numId w:val="36"/>
              </w:numPr>
              <w:contextualSpacing w:val="0"/>
              <w:jc w:val="left"/>
              <w:spacing w:line="240" w:lineRule="auto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76" w:type="pct"/>
            <w:vAlign w:val="center"/>
            <w:textDirection w:val="lrTb"/>
            <w:noWrap w:val="false"/>
          </w:tcPr>
          <w:p>
            <w:pPr>
              <w:pStyle w:val="1288"/>
              <w:contextualSpacing w:val="0"/>
              <w:jc w:val="left"/>
              <w:shd w:val="clear" w:color="ffffff" w:themeColor="background1" w:fill="ffffff"/>
              <w:rPr>
                <w:rFonts w:eastAsia="Calibri"/>
                <w:highlight w:val="white"/>
              </w:rPr>
              <w:suppressLineNumbers w:val="0"/>
            </w:pPr>
            <w:r>
              <w:rPr>
                <w:rFonts w:eastAsia="Calibri"/>
                <w:highlight w:val="white"/>
              </w:rPr>
              <w:t xml:space="preserve">Регламент</w:t>
            </w:r>
            <w:r>
              <w:rPr>
                <w:highlight w:val="white"/>
              </w:rPr>
              <w:t xml:space="preserve"> </w:t>
            </w:r>
            <w:r>
              <w:rPr>
                <w:rFonts w:eastAsia="Calibri"/>
                <w:highlight w:val="white"/>
              </w:rPr>
              <w:t xml:space="preserve">планирования мероприятий по защите информации</w:t>
            </w:r>
            <w:r>
              <w:rPr>
                <w:rFonts w:eastAsia="Calibri"/>
                <w:highlight w:val="white"/>
              </w:rPr>
            </w:r>
            <w:r>
              <w:rPr>
                <w:rFonts w:eastAsia="Calibri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79" w:type="pct"/>
            <w:textDirection w:val="lrTb"/>
            <w:noWrap w:val="false"/>
          </w:tcPr>
          <w:p>
            <w:pPr>
              <w:contextualSpacing w:val="0"/>
              <w:jc w:val="left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rFonts w:eastAsia="Calibri"/>
                <w:bCs/>
                <w:sz w:val="22"/>
                <w:szCs w:val="22"/>
                <w:highlight w:val="white"/>
              </w:rPr>
              <w:t xml:space="preserve">Заказчик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W w:w="345" w:type="pct"/>
            <w:textDirection w:val="lrTb"/>
            <w:noWrap w:val="false"/>
          </w:tcPr>
          <w:p>
            <w:pPr>
              <w:pStyle w:val="1283"/>
              <w:numPr>
                <w:ilvl w:val="2"/>
                <w:numId w:val="36"/>
              </w:numPr>
              <w:contextualSpacing w:val="0"/>
              <w:jc w:val="left"/>
              <w:spacing w:line="240" w:lineRule="auto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76" w:type="pct"/>
            <w:vAlign w:val="center"/>
            <w:textDirection w:val="lrTb"/>
            <w:noWrap w:val="false"/>
          </w:tcPr>
          <w:p>
            <w:pPr>
              <w:pStyle w:val="1288"/>
              <w:contextualSpacing w:val="0"/>
              <w:jc w:val="left"/>
              <w:shd w:val="clear" w:color="ffffff" w:themeColor="background1" w:fill="ffffff"/>
              <w:rPr>
                <w:rFonts w:eastAsia="Calibri"/>
                <w:highlight w:val="white"/>
              </w:rPr>
              <w:suppressLineNumbers w:val="0"/>
            </w:pPr>
            <w:r>
              <w:rPr>
                <w:rFonts w:eastAsia="Calibri"/>
                <w:highlight w:val="white"/>
              </w:rPr>
              <w:t xml:space="preserve">Регламент</w:t>
            </w:r>
            <w:r>
              <w:rPr>
                <w:highlight w:val="white"/>
              </w:rPr>
              <w:t xml:space="preserve"> </w:t>
            </w:r>
            <w:r>
              <w:rPr>
                <w:rFonts w:eastAsia="Calibri"/>
                <w:highlight w:val="white"/>
              </w:rPr>
              <w:t xml:space="preserve">управления уязвимостями и анализа угроз безопасности информации</w:t>
            </w:r>
            <w:r>
              <w:rPr>
                <w:rFonts w:eastAsia="Calibri"/>
                <w:highlight w:val="white"/>
              </w:rPr>
            </w:r>
            <w:r>
              <w:rPr>
                <w:rFonts w:eastAsia="Calibri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79" w:type="pct"/>
            <w:textDirection w:val="lrTb"/>
            <w:noWrap w:val="false"/>
          </w:tcPr>
          <w:p>
            <w:pPr>
              <w:contextualSpacing w:val="0"/>
              <w:jc w:val="left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rFonts w:eastAsia="Calibri"/>
                <w:bCs/>
                <w:sz w:val="22"/>
                <w:szCs w:val="22"/>
                <w:highlight w:val="white"/>
              </w:rPr>
              <w:t xml:space="preserve">Заказчик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W w:w="345" w:type="pct"/>
            <w:textDirection w:val="lrTb"/>
            <w:noWrap w:val="false"/>
          </w:tcPr>
          <w:p>
            <w:pPr>
              <w:pStyle w:val="1283"/>
              <w:numPr>
                <w:ilvl w:val="2"/>
                <w:numId w:val="36"/>
              </w:numPr>
              <w:contextualSpacing w:val="0"/>
              <w:jc w:val="left"/>
              <w:spacing w:line="240" w:lineRule="auto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76" w:type="pct"/>
            <w:vAlign w:val="center"/>
            <w:textDirection w:val="lrTb"/>
            <w:noWrap w:val="false"/>
          </w:tcPr>
          <w:p>
            <w:pPr>
              <w:pStyle w:val="1288"/>
              <w:contextualSpacing w:val="0"/>
              <w:jc w:val="left"/>
              <w:shd w:val="clear" w:color="ffffff" w:themeColor="background1" w:fill="ffffff"/>
              <w:rPr>
                <w:rFonts w:eastAsia="Calibri"/>
                <w:highlight w:val="white"/>
              </w:rPr>
              <w:suppressLineNumbers w:val="0"/>
            </w:pPr>
            <w:r>
              <w:rPr>
                <w:rFonts w:eastAsia="Calibri"/>
                <w:highlight w:val="white"/>
              </w:rPr>
              <w:t xml:space="preserve">Регламент</w:t>
            </w:r>
            <w:r>
              <w:rPr>
                <w:highlight w:val="white"/>
              </w:rPr>
              <w:t xml:space="preserve"> </w:t>
            </w:r>
            <w:r>
              <w:rPr>
                <w:rFonts w:eastAsia="Calibri"/>
                <w:highlight w:val="white"/>
              </w:rPr>
              <w:t xml:space="preserve">идентификации, аутентификации и управления доступом к защищаемым информационным ресурсам</w:t>
            </w:r>
            <w:r>
              <w:rPr>
                <w:rFonts w:eastAsia="Calibri"/>
                <w:highlight w:val="white"/>
              </w:rPr>
            </w:r>
            <w:r>
              <w:rPr>
                <w:rFonts w:eastAsia="Calibri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79" w:type="pct"/>
            <w:textDirection w:val="lrTb"/>
            <w:noWrap w:val="false"/>
          </w:tcPr>
          <w:p>
            <w:pPr>
              <w:contextualSpacing w:val="0"/>
              <w:jc w:val="left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rFonts w:eastAsia="Calibri"/>
                <w:bCs/>
                <w:sz w:val="22"/>
                <w:szCs w:val="22"/>
                <w:highlight w:val="white"/>
              </w:rPr>
              <w:t xml:space="preserve">Заказчик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W w:w="345" w:type="pct"/>
            <w:textDirection w:val="lrTb"/>
            <w:noWrap w:val="false"/>
          </w:tcPr>
          <w:p>
            <w:pPr>
              <w:pStyle w:val="1283"/>
              <w:numPr>
                <w:ilvl w:val="2"/>
                <w:numId w:val="36"/>
              </w:numPr>
              <w:contextualSpacing w:val="0"/>
              <w:jc w:val="left"/>
              <w:spacing w:line="240" w:lineRule="auto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76" w:type="pct"/>
            <w:vAlign w:val="center"/>
            <w:textDirection w:val="lrTb"/>
            <w:noWrap w:val="false"/>
          </w:tcPr>
          <w:p>
            <w:pPr>
              <w:pStyle w:val="1288"/>
              <w:contextualSpacing w:val="0"/>
              <w:jc w:val="left"/>
              <w:shd w:val="clear" w:color="ffffff" w:themeColor="background1" w:fill="ffffff"/>
              <w:rPr>
                <w:rFonts w:eastAsia="Calibri"/>
                <w:highlight w:val="white"/>
              </w:rPr>
              <w:suppressLineNumbers w:val="0"/>
            </w:pPr>
            <w:r>
              <w:rPr>
                <w:rFonts w:eastAsia="Calibri"/>
                <w:highlight w:val="white"/>
              </w:rPr>
              <w:t xml:space="preserve">Регламент</w:t>
            </w:r>
            <w:r>
              <w:rPr>
                <w:highlight w:val="white"/>
              </w:rPr>
              <w:t xml:space="preserve"> </w:t>
            </w:r>
            <w:r>
              <w:rPr>
                <w:rFonts w:eastAsia="Calibri"/>
                <w:highlight w:val="white"/>
              </w:rPr>
              <w:t xml:space="preserve">управления конфигурацией информационных систем и их системы защиты информации</w:t>
            </w:r>
            <w:r>
              <w:rPr>
                <w:rFonts w:eastAsia="Calibri"/>
                <w:highlight w:val="white"/>
              </w:rPr>
            </w:r>
            <w:r>
              <w:rPr>
                <w:rFonts w:eastAsia="Calibri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79" w:type="pct"/>
            <w:textDirection w:val="lrTb"/>
            <w:noWrap w:val="false"/>
          </w:tcPr>
          <w:p>
            <w:pPr>
              <w:contextualSpacing w:val="0"/>
              <w:jc w:val="left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rFonts w:eastAsia="Calibri"/>
                <w:bCs/>
                <w:sz w:val="22"/>
                <w:szCs w:val="22"/>
                <w:highlight w:val="white"/>
              </w:rPr>
              <w:t xml:space="preserve">Заказчик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W w:w="345" w:type="pct"/>
            <w:textDirection w:val="lrTb"/>
            <w:noWrap w:val="false"/>
          </w:tcPr>
          <w:p>
            <w:pPr>
              <w:pStyle w:val="1283"/>
              <w:numPr>
                <w:ilvl w:val="2"/>
                <w:numId w:val="36"/>
              </w:numPr>
              <w:contextualSpacing w:val="0"/>
              <w:jc w:val="left"/>
              <w:spacing w:line="240" w:lineRule="auto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76" w:type="pct"/>
            <w:vAlign w:val="center"/>
            <w:textDirection w:val="lrTb"/>
            <w:noWrap w:val="false"/>
          </w:tcPr>
          <w:p>
            <w:pPr>
              <w:pStyle w:val="1288"/>
              <w:contextualSpacing w:val="0"/>
              <w:jc w:val="left"/>
              <w:shd w:val="clear" w:color="ffffff" w:themeColor="background1" w:fill="ffffff"/>
              <w:rPr>
                <w:rFonts w:eastAsia="Calibri"/>
                <w:highlight w:val="white"/>
              </w:rPr>
              <w:suppressLineNumbers w:val="0"/>
            </w:pPr>
            <w:r>
              <w:rPr>
                <w:rFonts w:eastAsia="Calibri"/>
                <w:highlight w:val="white"/>
              </w:rPr>
              <w:t xml:space="preserve">Регламент контроля за обеспечением уровня защищенности информации</w:t>
            </w:r>
            <w:r>
              <w:rPr>
                <w:rFonts w:eastAsia="Calibri"/>
                <w:highlight w:val="white"/>
              </w:rPr>
            </w:r>
            <w:r>
              <w:rPr>
                <w:rFonts w:eastAsia="Calibri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79" w:type="pct"/>
            <w:textDirection w:val="lrTb"/>
            <w:noWrap w:val="false"/>
          </w:tcPr>
          <w:p>
            <w:pPr>
              <w:contextualSpacing w:val="0"/>
              <w:jc w:val="left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rFonts w:eastAsia="Calibri"/>
                <w:bCs/>
                <w:sz w:val="22"/>
                <w:szCs w:val="22"/>
                <w:highlight w:val="white"/>
              </w:rPr>
              <w:t xml:space="preserve">Заказчик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W w:w="345" w:type="pct"/>
            <w:textDirection w:val="lrTb"/>
            <w:noWrap w:val="false"/>
          </w:tcPr>
          <w:p>
            <w:pPr>
              <w:pStyle w:val="1283"/>
              <w:numPr>
                <w:ilvl w:val="2"/>
                <w:numId w:val="36"/>
              </w:numPr>
              <w:contextualSpacing w:val="0"/>
              <w:jc w:val="left"/>
              <w:spacing w:line="240" w:lineRule="auto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76" w:type="pct"/>
            <w:vAlign w:val="center"/>
            <w:textDirection w:val="lrTb"/>
            <w:noWrap w:val="false"/>
          </w:tcPr>
          <w:p>
            <w:pPr>
              <w:pStyle w:val="1288"/>
              <w:contextualSpacing w:val="0"/>
              <w:jc w:val="left"/>
              <w:shd w:val="clear" w:color="ffffff" w:themeColor="background1" w:fill="ffffff"/>
              <w:rPr>
                <w:rFonts w:eastAsia="Calibri"/>
                <w:highlight w:val="white"/>
              </w:rPr>
              <w:suppressLineNumbers w:val="0"/>
            </w:pPr>
            <w:r>
              <w:rPr>
                <w:rFonts w:eastAsia="Calibri"/>
                <w:highlight w:val="white"/>
              </w:rPr>
              <w:t xml:space="preserve">План реагирования на компьютерные инциденты</w:t>
            </w:r>
            <w:r>
              <w:rPr>
                <w:rFonts w:eastAsia="Calibri"/>
                <w:highlight w:val="white"/>
              </w:rPr>
            </w:r>
            <w:r>
              <w:rPr>
                <w:rFonts w:eastAsia="Calibri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79" w:type="pct"/>
            <w:textDirection w:val="lrTb"/>
            <w:noWrap w:val="false"/>
          </w:tcPr>
          <w:p>
            <w:pPr>
              <w:contextualSpacing w:val="0"/>
              <w:jc w:val="left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rFonts w:eastAsia="Calibri"/>
                <w:bCs/>
                <w:sz w:val="22"/>
                <w:szCs w:val="22"/>
                <w:highlight w:val="white"/>
              </w:rPr>
              <w:t xml:space="preserve">Заказчик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W w:w="345" w:type="pct"/>
            <w:textDirection w:val="lrTb"/>
            <w:noWrap w:val="false"/>
          </w:tcPr>
          <w:p>
            <w:pPr>
              <w:pStyle w:val="1283"/>
              <w:numPr>
                <w:ilvl w:val="2"/>
                <w:numId w:val="36"/>
              </w:numPr>
              <w:contextualSpacing w:val="0"/>
              <w:jc w:val="left"/>
              <w:spacing w:line="240" w:lineRule="auto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76" w:type="pct"/>
            <w:vAlign w:val="center"/>
            <w:textDirection w:val="lrTb"/>
            <w:noWrap w:val="false"/>
          </w:tcPr>
          <w:p>
            <w:pPr>
              <w:pStyle w:val="1288"/>
              <w:contextualSpacing w:val="0"/>
              <w:jc w:val="left"/>
              <w:shd w:val="clear" w:color="ffffff" w:themeColor="background1" w:fill="ffffff"/>
              <w:rPr>
                <w:rFonts w:eastAsia="Calibri"/>
                <w:highlight w:val="white"/>
              </w:rPr>
              <w:suppressLineNumbers w:val="0"/>
            </w:pPr>
            <w:r>
              <w:rPr>
                <w:rFonts w:eastAsia="Calibri"/>
                <w:highlight w:val="white"/>
              </w:rPr>
              <w:t xml:space="preserve">Правила обращения со средствами криптографической защиты информации</w:t>
            </w:r>
            <w:r>
              <w:rPr>
                <w:rFonts w:eastAsia="Calibri"/>
                <w:highlight w:val="white"/>
              </w:rPr>
            </w:r>
            <w:r>
              <w:rPr>
                <w:rFonts w:eastAsia="Calibri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79" w:type="pct"/>
            <w:textDirection w:val="lrTb"/>
            <w:noWrap w:val="false"/>
          </w:tcPr>
          <w:p>
            <w:pPr>
              <w:contextualSpacing w:val="0"/>
              <w:jc w:val="left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rFonts w:eastAsia="Calibri"/>
                <w:bCs/>
                <w:sz w:val="22"/>
                <w:szCs w:val="22"/>
                <w:highlight w:val="white"/>
              </w:rPr>
              <w:t xml:space="preserve">Заказчик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W w:w="345" w:type="pct"/>
            <w:textDirection w:val="lrTb"/>
            <w:noWrap w:val="false"/>
          </w:tcPr>
          <w:p>
            <w:pPr>
              <w:pStyle w:val="1283"/>
              <w:numPr>
                <w:ilvl w:val="2"/>
                <w:numId w:val="36"/>
              </w:numPr>
              <w:contextualSpacing w:val="0"/>
              <w:jc w:val="left"/>
              <w:spacing w:line="240" w:lineRule="auto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76" w:type="pct"/>
            <w:vAlign w:val="center"/>
            <w:textDirection w:val="lrTb"/>
            <w:noWrap w:val="false"/>
          </w:tcPr>
          <w:p>
            <w:pPr>
              <w:pStyle w:val="1288"/>
              <w:contextualSpacing w:val="0"/>
              <w:jc w:val="left"/>
              <w:shd w:val="clear" w:color="ffffff" w:themeColor="background1" w:fill="ffffff"/>
              <w:rPr>
                <w:rFonts w:eastAsia="Calibri"/>
                <w:highlight w:val="white"/>
              </w:rPr>
              <w:suppressLineNumbers w:val="0"/>
            </w:pPr>
            <w:r>
              <w:rPr>
                <w:rFonts w:eastAsia="Calibri"/>
                <w:highlight w:val="white"/>
              </w:rPr>
              <w:t xml:space="preserve">Акт ввода системы защиты информации АИС ОГУ в постоянную эксплуатацию</w:t>
            </w:r>
            <w:r>
              <w:rPr>
                <w:rFonts w:eastAsia="Calibri"/>
                <w:highlight w:val="white"/>
              </w:rPr>
            </w:r>
            <w:r>
              <w:rPr>
                <w:rFonts w:eastAsia="Calibri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79" w:type="pct"/>
            <w:textDirection w:val="lrTb"/>
            <w:noWrap w:val="false"/>
          </w:tcPr>
          <w:p>
            <w:pPr>
              <w:contextualSpacing w:val="0"/>
              <w:jc w:val="left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rFonts w:eastAsia="Calibri"/>
                <w:bCs/>
                <w:sz w:val="22"/>
                <w:szCs w:val="22"/>
                <w:highlight w:val="white"/>
              </w:rPr>
              <w:t xml:space="preserve">Заказчик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W w:w="345" w:type="pct"/>
            <w:textDirection w:val="lrTb"/>
            <w:noWrap w:val="false"/>
          </w:tcPr>
          <w:p>
            <w:pPr>
              <w:pStyle w:val="1283"/>
              <w:numPr>
                <w:ilvl w:val="0"/>
                <w:numId w:val="36"/>
              </w:numPr>
              <w:contextualSpacing w:val="0"/>
              <w:jc w:val="left"/>
              <w:spacing w:line="240" w:lineRule="auto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3476" w:type="pct"/>
            <w:textDirection w:val="lrTb"/>
            <w:noWrap w:val="false"/>
          </w:tcPr>
          <w:p>
            <w:pPr>
              <w:pStyle w:val="1288"/>
              <w:contextualSpacing w:val="0"/>
              <w:jc w:val="left"/>
              <w:shd w:val="clear" w:color="ffffff" w:themeColor="background1" w:fill="ffffff"/>
              <w:rPr>
                <w:rFonts w:eastAsia="Calibri"/>
                <w:b/>
                <w:bCs/>
                <w:highlight w:val="white"/>
              </w:rPr>
              <w:suppressLineNumbers w:val="0"/>
            </w:pPr>
            <w:r>
              <w:rPr>
                <w:rFonts w:eastAsia="Calibri"/>
                <w:b/>
                <w:bCs/>
                <w:highlight w:val="white"/>
              </w:rPr>
              <w:t xml:space="preserve">Программно-аппаратные компоненты</w:t>
            </w:r>
            <w:r>
              <w:rPr>
                <w:rFonts w:eastAsia="Calibri"/>
                <w:b/>
                <w:bCs/>
                <w:highlight w:val="white"/>
              </w:rPr>
            </w:r>
            <w:r>
              <w:rPr>
                <w:rFonts w:eastAsia="Calibri"/>
                <w:b/>
                <w:bCs/>
                <w:highlight w:val="white"/>
              </w:rPr>
            </w:r>
          </w:p>
        </w:tc>
        <w:tc>
          <w:tcPr>
            <w:tcW w:w="1179" w:type="pct"/>
            <w:textDirection w:val="lrTb"/>
            <w:noWrap w:val="false"/>
          </w:tcPr>
          <w:p>
            <w:pPr>
              <w:contextualSpacing w:val="0"/>
              <w:jc w:val="left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rFonts w:eastAsia="Calibri"/>
                <w:bCs/>
                <w:sz w:val="22"/>
                <w:szCs w:val="22"/>
                <w:highlight w:val="white"/>
              </w:rPr>
              <w:t xml:space="preserve">Заказчик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W w:w="345" w:type="pct"/>
            <w:textDirection w:val="lrTb"/>
            <w:noWrap w:val="false"/>
          </w:tcPr>
          <w:p>
            <w:pPr>
              <w:pStyle w:val="1283"/>
              <w:numPr>
                <w:ilvl w:val="1"/>
                <w:numId w:val="36"/>
              </w:numPr>
              <w:contextualSpacing w:val="0"/>
              <w:jc w:val="left"/>
              <w:spacing w:line="240" w:lineRule="auto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76" w:type="pct"/>
            <w:textDirection w:val="lrTb"/>
            <w:noWrap w:val="false"/>
          </w:tcPr>
          <w:p>
            <w:pPr>
              <w:pStyle w:val="1288"/>
              <w:contextualSpacing w:val="0"/>
              <w:jc w:val="left"/>
              <w:shd w:val="clear" w:color="ffffff" w:themeColor="background1" w:fill="ffffff"/>
              <w:rPr>
                <w:rFonts w:eastAsia="Calibri"/>
                <w:bCs/>
                <w:highlight w:val="white"/>
              </w:rPr>
              <w:suppressLineNumbers w:val="0"/>
            </w:pPr>
            <w:r>
              <w:rPr>
                <w:rFonts w:eastAsia="Calibri"/>
                <w:bCs/>
                <w:highlight w:val="white"/>
              </w:rPr>
              <w:t xml:space="preserve">Операционная </w:t>
            </w:r>
            <w:r>
              <w:rPr>
                <w:rFonts w:eastAsia="Calibri"/>
                <w:bCs/>
                <w:highlight w:val="white"/>
              </w:rPr>
              <w:t xml:space="preserve">система</w:t>
            </w:r>
            <w:r>
              <w:rPr>
                <w:rFonts w:eastAsia="Calibri"/>
                <w:bCs/>
                <w:highlight w:val="white"/>
              </w:rPr>
            </w:r>
            <w:r>
              <w:rPr>
                <w:rFonts w:eastAsia="Calibri"/>
                <w:bCs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79" w:type="pct"/>
            <w:textDirection w:val="lrTb"/>
            <w:noWrap w:val="false"/>
          </w:tcPr>
          <w:p>
            <w:pPr>
              <w:contextualSpacing w:val="0"/>
              <w:ind w:firstLine="0"/>
              <w:jc w:val="left"/>
              <w:shd w:val="clear" w:color="ffffff" w:themeColor="background1" w:fill="ffffff"/>
              <w:tabs>
                <w:tab w:val="left" w:pos="463" w:leader="none"/>
                <w:tab w:val="center" w:pos="1094" w:leader="none"/>
              </w:tabs>
              <w:rPr>
                <w:highlight w:val="white"/>
              </w:rPr>
              <w:suppressLineNumbers w:val="0"/>
            </w:pPr>
            <w:r>
              <w:rPr>
                <w:rFonts w:eastAsia="Calibri"/>
                <w:bCs/>
                <w:sz w:val="22"/>
                <w:szCs w:val="22"/>
                <w:highlight w:val="white"/>
              </w:rPr>
              <w:tab/>
            </w:r>
            <w:r>
              <w:rPr>
                <w:rFonts w:eastAsia="Calibri"/>
                <w:bCs/>
                <w:sz w:val="22"/>
                <w:szCs w:val="22"/>
                <w:highlight w:val="white"/>
              </w:rPr>
              <w:tab/>
              <w:t xml:space="preserve">Исполнитель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W w:w="345" w:type="pct"/>
            <w:textDirection w:val="lrTb"/>
            <w:noWrap w:val="false"/>
          </w:tcPr>
          <w:p>
            <w:pPr>
              <w:pStyle w:val="1283"/>
              <w:numPr>
                <w:ilvl w:val="1"/>
                <w:numId w:val="36"/>
              </w:numPr>
              <w:contextualSpacing w:val="0"/>
              <w:jc w:val="left"/>
              <w:spacing w:line="240" w:lineRule="auto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76" w:type="pct"/>
            <w:textDirection w:val="lrTb"/>
            <w:noWrap w:val="false"/>
          </w:tcPr>
          <w:p>
            <w:pPr>
              <w:pStyle w:val="1288"/>
              <w:contextualSpacing w:val="0"/>
              <w:jc w:val="left"/>
              <w:shd w:val="clear" w:color="ffffff" w:themeColor="background1" w:fill="ffffff"/>
              <w:rPr>
                <w:rFonts w:eastAsia="Calibri"/>
                <w:bCs/>
                <w:highlight w:val="white"/>
              </w:rPr>
              <w:suppressLineNumbers w:val="0"/>
            </w:pPr>
            <w:r>
              <w:rPr>
                <w:rFonts w:eastAsia="Calibri"/>
                <w:bCs/>
                <w:highlight w:val="white"/>
              </w:rPr>
              <w:t xml:space="preserve">Средство</w:t>
            </w:r>
            <w:r>
              <w:rPr>
                <w:rFonts w:eastAsia="Calibri"/>
                <w:bCs/>
                <w:highlight w:val="white"/>
              </w:rPr>
              <w:t xml:space="preserve"> антивирусной защиты</w:t>
            </w:r>
            <w:r>
              <w:rPr>
                <w:rFonts w:eastAsia="Calibri"/>
                <w:bCs/>
                <w:highlight w:val="white"/>
              </w:rPr>
            </w:r>
            <w:r>
              <w:rPr>
                <w:rFonts w:eastAsia="Calibri"/>
                <w:bCs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79" w:type="pct"/>
            <w:textDirection w:val="lrTb"/>
            <w:noWrap w:val="false"/>
          </w:tcPr>
          <w:p>
            <w:pPr>
              <w:contextualSpacing w:val="0"/>
              <w:jc w:val="left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rFonts w:eastAsia="Calibri"/>
                <w:bCs/>
                <w:sz w:val="22"/>
                <w:szCs w:val="22"/>
                <w:highlight w:val="white"/>
              </w:rPr>
              <w:t xml:space="preserve">Заказчик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W w:w="345" w:type="pct"/>
            <w:textDirection w:val="lrTb"/>
            <w:noWrap w:val="false"/>
          </w:tcPr>
          <w:p>
            <w:pPr>
              <w:pStyle w:val="1283"/>
              <w:numPr>
                <w:ilvl w:val="1"/>
                <w:numId w:val="36"/>
              </w:numPr>
              <w:contextualSpacing w:val="0"/>
              <w:jc w:val="left"/>
              <w:spacing w:line="240" w:lineRule="auto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highlight w:val="white"/>
                <w:lang w:val="en-US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76" w:type="pct"/>
            <w:textDirection w:val="lrTb"/>
            <w:noWrap w:val="false"/>
          </w:tcPr>
          <w:p>
            <w:pPr>
              <w:pStyle w:val="1288"/>
              <w:contextualSpacing w:val="0"/>
              <w:jc w:val="left"/>
              <w:shd w:val="clear" w:color="ffffff" w:themeColor="background1" w:fill="ffffff"/>
              <w:rPr>
                <w:rFonts w:eastAsia="Calibri"/>
                <w:bCs/>
                <w:highlight w:val="white"/>
              </w:rPr>
              <w:suppressLineNumbers w:val="0"/>
            </w:pPr>
            <w:r>
              <w:rPr>
                <w:rFonts w:eastAsia="Calibri"/>
                <w:bCs/>
                <w:highlight w:val="white"/>
              </w:rPr>
              <w:t xml:space="preserve">Средство</w:t>
            </w:r>
            <w:r>
              <w:rPr>
                <w:rFonts w:eastAsia="Calibri"/>
                <w:bCs/>
                <w:highlight w:val="white"/>
              </w:rPr>
              <w:t xml:space="preserve"> анализа защищенности</w:t>
            </w:r>
            <w:r>
              <w:rPr>
                <w:rFonts w:eastAsia="Calibri"/>
                <w:bCs/>
                <w:highlight w:val="white"/>
              </w:rPr>
            </w:r>
            <w:r>
              <w:rPr>
                <w:rFonts w:eastAsia="Calibri"/>
                <w:bCs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79" w:type="pct"/>
            <w:textDirection w:val="lrTb"/>
            <w:noWrap w:val="false"/>
          </w:tcPr>
          <w:p>
            <w:pPr>
              <w:contextualSpacing w:val="0"/>
              <w:jc w:val="left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rFonts w:eastAsia="Calibri"/>
                <w:bCs/>
                <w:sz w:val="22"/>
                <w:szCs w:val="22"/>
                <w:highlight w:val="white"/>
              </w:rPr>
              <w:t xml:space="preserve">Заказчик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W w:w="345" w:type="pct"/>
            <w:textDirection w:val="lrTb"/>
            <w:noWrap w:val="false"/>
          </w:tcPr>
          <w:p>
            <w:pPr>
              <w:pStyle w:val="1283"/>
              <w:numPr>
                <w:ilvl w:val="1"/>
                <w:numId w:val="36"/>
              </w:numPr>
              <w:contextualSpacing w:val="0"/>
              <w:jc w:val="left"/>
              <w:spacing w:line="240" w:lineRule="auto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76" w:type="pct"/>
            <w:textDirection w:val="lrTb"/>
            <w:noWrap w:val="false"/>
          </w:tcPr>
          <w:p>
            <w:pPr>
              <w:pStyle w:val="1288"/>
              <w:contextualSpacing w:val="0"/>
              <w:jc w:val="left"/>
              <w:shd w:val="clear" w:color="ffffff" w:themeColor="background1" w:fill="ffffff"/>
              <w:rPr>
                <w:rFonts w:eastAsia="Calibri"/>
                <w:highlight w:val="white"/>
              </w:rPr>
              <w:suppressLineNumbers w:val="0"/>
            </w:pPr>
            <w:r>
              <w:rPr>
                <w:rFonts w:eastAsia="Calibri"/>
                <w:highlight w:val="white"/>
              </w:rPr>
              <w:t xml:space="preserve">Средство</w:t>
            </w:r>
            <w:r>
              <w:rPr>
                <w:rFonts w:eastAsia="Calibri"/>
                <w:highlight w:val="white"/>
              </w:rPr>
              <w:t xml:space="preserve"> доверенной загрузки</w:t>
            </w:r>
            <w:r>
              <w:rPr>
                <w:rFonts w:eastAsia="Calibri"/>
                <w:highlight w:val="white"/>
              </w:rPr>
            </w:r>
            <w:r>
              <w:rPr>
                <w:rFonts w:eastAsia="Calibri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79" w:type="pct"/>
            <w:textDirection w:val="lrTb"/>
            <w:noWrap w:val="false"/>
          </w:tcPr>
          <w:p>
            <w:pPr>
              <w:contextualSpacing w:val="0"/>
              <w:jc w:val="left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rFonts w:eastAsia="Calibri"/>
                <w:bCs/>
                <w:sz w:val="22"/>
                <w:szCs w:val="22"/>
                <w:highlight w:val="white"/>
              </w:rPr>
              <w:t xml:space="preserve">Заказчик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W w:w="345" w:type="pct"/>
            <w:textDirection w:val="lrTb"/>
            <w:noWrap w:val="false"/>
          </w:tcPr>
          <w:p>
            <w:pPr>
              <w:pStyle w:val="1283"/>
              <w:numPr>
                <w:ilvl w:val="1"/>
                <w:numId w:val="36"/>
              </w:numPr>
              <w:contextualSpacing w:val="0"/>
              <w:jc w:val="left"/>
              <w:spacing w:line="240" w:lineRule="auto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76" w:type="pct"/>
            <w:textDirection w:val="lrTb"/>
            <w:noWrap w:val="false"/>
          </w:tcPr>
          <w:p>
            <w:pPr>
              <w:pStyle w:val="1288"/>
              <w:contextualSpacing w:val="0"/>
              <w:jc w:val="left"/>
              <w:shd w:val="clear" w:color="ffffff" w:themeColor="background1" w:fill="ffffff"/>
              <w:rPr>
                <w:rFonts w:eastAsia="Calibri"/>
                <w:highlight w:val="white"/>
              </w:rPr>
              <w:suppressLineNumbers w:val="0"/>
            </w:pPr>
            <w:r>
              <w:rPr>
                <w:rFonts w:eastAsia="Calibri"/>
                <w:highlight w:val="white"/>
              </w:rPr>
              <w:t xml:space="preserve">Средство</w:t>
            </w:r>
            <w:r>
              <w:rPr>
                <w:rFonts w:eastAsia="Calibri"/>
                <w:highlight w:val="white"/>
              </w:rPr>
              <w:t xml:space="preserve"> межсетевого экранирования</w:t>
            </w:r>
            <w:r>
              <w:rPr>
                <w:rFonts w:eastAsia="Calibri"/>
                <w:highlight w:val="white"/>
              </w:rPr>
            </w:r>
            <w:r>
              <w:rPr>
                <w:rFonts w:eastAsia="Calibri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79" w:type="pct"/>
            <w:textDirection w:val="lrTb"/>
            <w:noWrap w:val="false"/>
          </w:tcPr>
          <w:p>
            <w:pPr>
              <w:contextualSpacing w:val="0"/>
              <w:jc w:val="left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rFonts w:eastAsia="Calibri"/>
                <w:bCs/>
                <w:sz w:val="22"/>
                <w:szCs w:val="22"/>
                <w:highlight w:val="white"/>
              </w:rPr>
              <w:t xml:space="preserve">Заказчик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W w:w="345" w:type="pct"/>
            <w:textDirection w:val="lrTb"/>
            <w:noWrap w:val="false"/>
          </w:tcPr>
          <w:p>
            <w:pPr>
              <w:pStyle w:val="1283"/>
              <w:numPr>
                <w:ilvl w:val="1"/>
                <w:numId w:val="36"/>
              </w:numPr>
              <w:contextualSpacing w:val="0"/>
              <w:jc w:val="left"/>
              <w:spacing w:line="240" w:lineRule="auto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76" w:type="pct"/>
            <w:textDirection w:val="lrTb"/>
            <w:noWrap w:val="false"/>
          </w:tcPr>
          <w:p>
            <w:pPr>
              <w:pStyle w:val="1288"/>
              <w:contextualSpacing w:val="0"/>
              <w:jc w:val="left"/>
              <w:shd w:val="clear" w:color="ffffff" w:themeColor="background1" w:fill="ffffff"/>
              <w:rPr>
                <w:rFonts w:eastAsia="Calibri"/>
                <w:highlight w:val="white"/>
              </w:rPr>
              <w:suppressLineNumbers w:val="0"/>
            </w:pPr>
            <w:r>
              <w:rPr>
                <w:rFonts w:eastAsia="Calibri"/>
                <w:highlight w:val="white"/>
              </w:rPr>
              <w:t xml:space="preserve">Система</w:t>
            </w:r>
            <w:r>
              <w:rPr>
                <w:rFonts w:eastAsia="Calibri"/>
                <w:highlight w:val="white"/>
              </w:rPr>
              <w:t xml:space="preserve"> управления базами данных</w:t>
            </w:r>
            <w:r>
              <w:rPr>
                <w:rFonts w:eastAsia="Calibri"/>
                <w:highlight w:val="white"/>
              </w:rPr>
            </w:r>
            <w:r>
              <w:rPr>
                <w:rFonts w:eastAsia="Calibri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79" w:type="pct"/>
            <w:textDirection w:val="lrTb"/>
            <w:noWrap w:val="false"/>
          </w:tcPr>
          <w:p>
            <w:pPr>
              <w:contextualSpacing w:val="0"/>
              <w:ind w:firstLine="0"/>
              <w:jc w:val="left"/>
              <w:shd w:val="clear" w:color="ffffff" w:themeColor="background1" w:fill="ffffff"/>
              <w:tabs>
                <w:tab w:val="left" w:pos="463" w:leader="none"/>
                <w:tab w:val="center" w:pos="1094" w:leader="none"/>
              </w:tabs>
              <w:rPr>
                <w:highlight w:val="white"/>
              </w:rPr>
              <w:suppressLineNumbers w:val="0"/>
            </w:pPr>
            <w:r>
              <w:rPr>
                <w:rFonts w:eastAsia="Calibri"/>
                <w:bCs/>
                <w:sz w:val="22"/>
                <w:szCs w:val="22"/>
                <w:highlight w:val="white"/>
              </w:rPr>
              <w:tab/>
            </w:r>
            <w:r>
              <w:rPr>
                <w:rFonts w:eastAsia="Calibri"/>
                <w:bCs/>
                <w:sz w:val="22"/>
                <w:szCs w:val="22"/>
                <w:highlight w:val="white"/>
              </w:rPr>
              <w:tab/>
            </w:r>
            <w:r>
              <w:rPr>
                <w:rFonts w:eastAsia="Calibri"/>
                <w:bCs/>
                <w:sz w:val="22"/>
                <w:szCs w:val="22"/>
                <w:highlight w:val="white"/>
              </w:rPr>
              <w:t xml:space="preserve">Исполнитель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W w:w="345" w:type="pct"/>
            <w:textDirection w:val="lrTb"/>
            <w:noWrap w:val="false"/>
          </w:tcPr>
          <w:p>
            <w:pPr>
              <w:pStyle w:val="1283"/>
              <w:numPr>
                <w:ilvl w:val="1"/>
                <w:numId w:val="36"/>
              </w:numPr>
              <w:contextualSpacing w:val="0"/>
              <w:jc w:val="left"/>
              <w:spacing w:line="240" w:lineRule="auto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76" w:type="pct"/>
            <w:textDirection w:val="lrTb"/>
            <w:noWrap w:val="false"/>
          </w:tcPr>
          <w:p>
            <w:pPr>
              <w:pStyle w:val="1288"/>
              <w:contextualSpacing w:val="0"/>
              <w:jc w:val="left"/>
              <w:shd w:val="clear" w:color="ffffff" w:themeColor="background1" w:fill="ffffff"/>
              <w:rPr>
                <w:rFonts w:eastAsia="Calibri"/>
                <w:highlight w:val="white"/>
              </w:rPr>
              <w:suppressLineNumbers w:val="0"/>
            </w:pPr>
            <w:r>
              <w:rPr>
                <w:rFonts w:eastAsia="Calibri"/>
                <w:highlight w:val="white"/>
              </w:rPr>
              <w:t xml:space="preserve">Средство</w:t>
            </w:r>
            <w:r>
              <w:rPr>
                <w:rFonts w:eastAsia="Calibri"/>
                <w:highlight w:val="white"/>
              </w:rPr>
              <w:t xml:space="preserve"> криптографической защиты информации</w:t>
            </w:r>
            <w:r>
              <w:rPr>
                <w:rFonts w:eastAsia="Calibri"/>
                <w:highlight w:val="white"/>
              </w:rPr>
            </w:r>
            <w:r>
              <w:rPr>
                <w:rFonts w:eastAsia="Calibri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79" w:type="pct"/>
            <w:textDirection w:val="lrTb"/>
            <w:noWrap w:val="false"/>
          </w:tcPr>
          <w:p>
            <w:pPr>
              <w:contextualSpacing w:val="0"/>
              <w:jc w:val="left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rFonts w:eastAsia="Calibri"/>
                <w:bCs/>
                <w:sz w:val="22"/>
                <w:szCs w:val="22"/>
                <w:highlight w:val="white"/>
              </w:rPr>
              <w:t xml:space="preserve">Заказчик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W w:w="345" w:type="pct"/>
            <w:textDirection w:val="lrTb"/>
            <w:noWrap w:val="false"/>
          </w:tcPr>
          <w:p>
            <w:pPr>
              <w:pStyle w:val="1283"/>
              <w:numPr>
                <w:ilvl w:val="0"/>
                <w:numId w:val="36"/>
              </w:numPr>
              <w:contextualSpacing w:val="0"/>
              <w:jc w:val="left"/>
              <w:spacing w:line="240" w:lineRule="auto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76" w:type="pct"/>
            <w:textDirection w:val="lrTb"/>
            <w:noWrap w:val="false"/>
          </w:tcPr>
          <w:p>
            <w:pPr>
              <w:pStyle w:val="1288"/>
              <w:contextualSpacing w:val="0"/>
              <w:jc w:val="left"/>
              <w:shd w:val="clear" w:color="ffffff" w:themeColor="background1" w:fill="ffffff"/>
              <w:rPr>
                <w:rFonts w:eastAsia="Calibri"/>
                <w:b/>
                <w:bCs/>
                <w:highlight w:val="white"/>
              </w:rPr>
              <w:suppressLineNumbers w:val="0"/>
            </w:pPr>
            <w:r>
              <w:rPr>
                <w:rFonts w:eastAsia="Calibri"/>
                <w:b/>
                <w:bCs/>
                <w:highlight w:val="white"/>
              </w:rPr>
              <w:t xml:space="preserve">Сервисные компоненты</w:t>
            </w:r>
            <w:r>
              <w:rPr>
                <w:rFonts w:eastAsia="Calibri"/>
                <w:b/>
                <w:bCs/>
                <w:highlight w:val="white"/>
              </w:rPr>
            </w:r>
            <w:r>
              <w:rPr>
                <w:rFonts w:eastAsia="Calibri"/>
                <w:b/>
                <w:bCs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79" w:type="pct"/>
            <w:textDirection w:val="lrTb"/>
            <w:noWrap w:val="false"/>
          </w:tcPr>
          <w:p>
            <w:pPr>
              <w:contextualSpacing w:val="0"/>
              <w:jc w:val="left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rFonts w:eastAsia="Calibri"/>
                <w:bCs/>
                <w:sz w:val="22"/>
                <w:szCs w:val="22"/>
                <w:highlight w:val="white"/>
              </w:rPr>
              <w:t xml:space="preserve">Заказчик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W w:w="345" w:type="pct"/>
            <w:textDirection w:val="lrTb"/>
            <w:noWrap w:val="false"/>
          </w:tcPr>
          <w:p>
            <w:pPr>
              <w:pStyle w:val="1283"/>
              <w:numPr>
                <w:ilvl w:val="1"/>
                <w:numId w:val="36"/>
              </w:numPr>
              <w:contextualSpacing w:val="0"/>
              <w:jc w:val="left"/>
              <w:spacing w:line="240" w:lineRule="auto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76" w:type="pct"/>
            <w:textDirection w:val="lrTb"/>
            <w:noWrap w:val="false"/>
          </w:tcPr>
          <w:p>
            <w:pPr>
              <w:pStyle w:val="1288"/>
              <w:contextualSpacing w:val="0"/>
              <w:jc w:val="left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highlight w:val="white"/>
              </w:rPr>
              <w:t xml:space="preserve">Средства коммутации и каналы связи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79" w:type="pct"/>
            <w:textDirection w:val="lrTb"/>
            <w:noWrap w:val="false"/>
          </w:tcPr>
          <w:p>
            <w:pPr>
              <w:contextualSpacing w:val="0"/>
              <w:jc w:val="left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rFonts w:eastAsia="Calibri"/>
                <w:bCs/>
                <w:sz w:val="22"/>
                <w:szCs w:val="22"/>
                <w:highlight w:val="white"/>
              </w:rPr>
              <w:t xml:space="preserve">Заказчик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W w:w="345" w:type="pct"/>
            <w:textDirection w:val="lrTb"/>
            <w:noWrap w:val="false"/>
          </w:tcPr>
          <w:p>
            <w:pPr>
              <w:pStyle w:val="1283"/>
              <w:numPr>
                <w:ilvl w:val="1"/>
                <w:numId w:val="36"/>
              </w:numPr>
              <w:contextualSpacing w:val="0"/>
              <w:jc w:val="left"/>
              <w:spacing w:line="240" w:lineRule="auto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76" w:type="pct"/>
            <w:textDirection w:val="lrTb"/>
            <w:noWrap w:val="false"/>
          </w:tcPr>
          <w:p>
            <w:pPr>
              <w:pStyle w:val="1288"/>
              <w:contextualSpacing w:val="0"/>
              <w:jc w:val="left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highlight w:val="white"/>
              </w:rPr>
              <w:t xml:space="preserve">Электрическая сеть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79" w:type="pct"/>
            <w:textDirection w:val="lrTb"/>
            <w:noWrap w:val="false"/>
          </w:tcPr>
          <w:p>
            <w:pPr>
              <w:contextualSpacing w:val="0"/>
              <w:jc w:val="left"/>
              <w:shd w:val="clear" w:color="ffffff" w:themeColor="background1" w:fill="ffffff"/>
              <w:rPr>
                <w:highlight w:val="white"/>
              </w:rPr>
              <w:suppressLineNumbers w:val="0"/>
            </w:pPr>
            <w:r>
              <w:rPr>
                <w:rFonts w:eastAsia="Calibri"/>
                <w:bCs/>
                <w:sz w:val="22"/>
                <w:szCs w:val="22"/>
                <w:highlight w:val="white"/>
              </w:rPr>
              <w:t xml:space="preserve">Заказчик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</w:tbl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1325"/>
        <w:ind w:left="1985" w:hanging="1418"/>
        <w:shd w:val="clear" w:color="ffffff" w:themeColor="background1" w:fill="ffffff" w:themeFill="background1"/>
        <w:rPr>
          <w:rFonts w:eastAsia="Liberation Serif"/>
          <w:highlight w:val="white"/>
        </w:rPr>
      </w:pPr>
      <w:r>
        <w:rPr>
          <w:rFonts w:eastAsia="Liberation Serif"/>
          <w:highlight w:val="white"/>
        </w:rPr>
        <w:t xml:space="preserve">3.2.4.2. </w:t>
      </w:r>
      <w:r>
        <w:rPr>
          <w:rFonts w:eastAsia="Liberation Serif"/>
          <w:highlight w:val="white"/>
        </w:rPr>
        <w:t xml:space="preserve">Описание организационных компонентов системы защиты информации </w:t>
      </w:r>
      <w:r>
        <w:rPr>
          <w:rFonts w:eastAsia="Liberation Serif"/>
          <w:highlight w:val="white"/>
        </w:rPr>
      </w:r>
      <w:r>
        <w:rPr>
          <w:rFonts w:eastAsia="Liberation Serif"/>
          <w:highlight w:val="white"/>
        </w:rPr>
      </w:r>
    </w:p>
    <w:p>
      <w:pPr>
        <w:pStyle w:val="1327"/>
        <w:ind w:left="567" w:firstLine="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3.2.4.2.1. </w:t>
      </w:r>
      <w:r>
        <w:rPr>
          <w:highlight w:val="white"/>
        </w:rPr>
        <w:t xml:space="preserve">Персонал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Совокупность штатных сотрудников </w:t>
      </w:r>
      <w:r>
        <w:rPr>
          <w:highlight w:val="white"/>
        </w:rPr>
        <w:t xml:space="preserve">Росавиации</w:t>
      </w:r>
      <w:r>
        <w:rPr>
          <w:highlight w:val="white"/>
        </w:rPr>
        <w:t xml:space="preserve">, наделенных административными, функциональн</w:t>
      </w:r>
      <w:r>
        <w:rPr>
          <w:highlight w:val="white"/>
        </w:rPr>
        <w:t xml:space="preserve">ыми и учетными полномочиями, которые реализуют процессы управления, внедрения, эксплуатации и контроля эффективности мер защиты информации, определенных политикой информационной безопасности и требованиями регуляторов (ФСТЭК России, ФСБ России), в АИС ОГУ.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В состав уполномоченных сотрудников </w:t>
      </w:r>
      <w:r>
        <w:rPr>
          <w:highlight w:val="white"/>
        </w:rPr>
        <w:t xml:space="preserve">Росавиации</w:t>
      </w:r>
      <w:r>
        <w:rPr>
          <w:highlight w:val="white"/>
        </w:rPr>
        <w:t xml:space="preserve"> входят:</w:t>
      </w:r>
      <w:r>
        <w:rPr>
          <w:highlight w:val="white"/>
        </w:rPr>
      </w:r>
      <w:r>
        <w:rPr>
          <w:highlight w:val="white"/>
        </w:rPr>
      </w:r>
    </w:p>
    <w:p>
      <w:pPr>
        <w:pStyle w:val="1279"/>
        <w:numPr>
          <w:ilvl w:val="0"/>
          <w:numId w:val="35"/>
        </w:numPr>
        <w:ind w:left="0" w:firstLine="426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ответственный за защиту информации;</w:t>
      </w:r>
      <w:r>
        <w:rPr>
          <w:highlight w:val="white"/>
        </w:rPr>
      </w:r>
      <w:r>
        <w:rPr>
          <w:highlight w:val="white"/>
        </w:rPr>
      </w:r>
    </w:p>
    <w:p>
      <w:pPr>
        <w:pStyle w:val="1279"/>
        <w:numPr>
          <w:ilvl w:val="0"/>
          <w:numId w:val="35"/>
        </w:numPr>
        <w:ind w:left="0" w:firstLine="426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ответственный за организацию эксплуатации средств криптографической защиты информации;</w:t>
      </w:r>
      <w:r>
        <w:rPr>
          <w:highlight w:val="white"/>
        </w:rPr>
      </w:r>
      <w:r>
        <w:rPr>
          <w:highlight w:val="white"/>
        </w:rPr>
      </w:r>
    </w:p>
    <w:p>
      <w:pPr>
        <w:pStyle w:val="1279"/>
        <w:numPr>
          <w:ilvl w:val="0"/>
          <w:numId w:val="35"/>
        </w:numPr>
        <w:ind w:left="0" w:firstLine="426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администратор безопасности.</w:t>
      </w:r>
      <w:r>
        <w:rPr>
          <w:highlight w:val="white"/>
        </w:rPr>
      </w:r>
      <w:r>
        <w:rPr>
          <w:highlight w:val="white"/>
        </w:rPr>
      </w:r>
    </w:p>
    <w:p>
      <w:pPr>
        <w:pStyle w:val="1279"/>
        <w:numPr>
          <w:ilvl w:val="0"/>
          <w:numId w:val="0"/>
        </w:numPr>
        <w:ind w:left="426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1327"/>
        <w:ind w:left="1560" w:hanging="993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 </w:t>
      </w:r>
      <w:r>
        <w:rPr>
          <w:highlight w:val="white"/>
        </w:rPr>
        <w:t xml:space="preserve">3.2.4.2.2. </w:t>
      </w:r>
      <w:r>
        <w:rPr>
          <w:highlight w:val="white"/>
        </w:rPr>
        <w:t xml:space="preserve">Эксплуатационная документация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Совокупность документов, определяющих правила, процедуры и порядок практического использования, администрирования и поддержания работоспособности средств защиты информации на всех этапах жизненного цикла АИС ОГУ.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В состав эксплуатационной документации АИС ОГУ входят следующие документы:</w:t>
      </w:r>
      <w:r>
        <w:rPr>
          <w:highlight w:val="white"/>
        </w:rPr>
      </w:r>
      <w:r>
        <w:rPr>
          <w:highlight w:val="white"/>
        </w:rPr>
      </w:r>
    </w:p>
    <w:p>
      <w:pPr>
        <w:pStyle w:val="1279"/>
        <w:numPr>
          <w:ilvl w:val="0"/>
          <w:numId w:val="35"/>
        </w:numPr>
        <w:ind w:left="0" w:firstLine="426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руководство пользователя информационной инфраструктуры </w:t>
      </w:r>
      <w:r>
        <w:rPr>
          <w:highlight w:val="white"/>
        </w:rPr>
        <w:t xml:space="preserve">Росавиации</w:t>
      </w:r>
      <w:r>
        <w:rPr>
          <w:highlight w:val="white"/>
        </w:rPr>
        <w:t xml:space="preserve">;</w:t>
      </w:r>
      <w:r>
        <w:rPr>
          <w:highlight w:val="white"/>
        </w:rPr>
      </w:r>
      <w:r>
        <w:rPr>
          <w:highlight w:val="white"/>
        </w:rPr>
      </w:r>
    </w:p>
    <w:p>
      <w:pPr>
        <w:pStyle w:val="1279"/>
        <w:numPr>
          <w:ilvl w:val="0"/>
          <w:numId w:val="35"/>
        </w:numPr>
        <w:ind w:left="0" w:firstLine="426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руководство ответственного за защиту информации;</w:t>
      </w:r>
      <w:r>
        <w:rPr>
          <w:highlight w:val="white"/>
        </w:rPr>
      </w:r>
      <w:r>
        <w:rPr>
          <w:highlight w:val="white"/>
        </w:rPr>
      </w:r>
    </w:p>
    <w:p>
      <w:pPr>
        <w:pStyle w:val="1279"/>
        <w:numPr>
          <w:ilvl w:val="0"/>
          <w:numId w:val="35"/>
        </w:numPr>
        <w:ind w:left="0" w:firstLine="426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руководство ответственного за организацию эксплуатации средств криптографической защиты информации;</w:t>
      </w:r>
      <w:r>
        <w:rPr>
          <w:highlight w:val="white"/>
        </w:rPr>
      </w:r>
      <w:r>
        <w:rPr>
          <w:highlight w:val="white"/>
        </w:rPr>
      </w:r>
    </w:p>
    <w:p>
      <w:pPr>
        <w:pStyle w:val="1279"/>
        <w:numPr>
          <w:ilvl w:val="0"/>
          <w:numId w:val="35"/>
        </w:numPr>
        <w:ind w:left="0" w:firstLine="426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руководство ответственного за управление (администрирование) системой защиты информации (администратора безопасности);</w:t>
      </w:r>
      <w:r>
        <w:rPr>
          <w:highlight w:val="white"/>
        </w:rPr>
      </w:r>
      <w:r>
        <w:rPr>
          <w:highlight w:val="white"/>
        </w:rPr>
      </w:r>
    </w:p>
    <w:p>
      <w:pPr>
        <w:pStyle w:val="1279"/>
        <w:numPr>
          <w:ilvl w:val="0"/>
          <w:numId w:val="35"/>
        </w:numPr>
        <w:ind w:left="0" w:firstLine="426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формуляры средств защиты информации используемых в АИС ОГУ.</w:t>
      </w:r>
      <w:r>
        <w:rPr>
          <w:highlight w:val="white"/>
        </w:rPr>
      </w:r>
      <w:r>
        <w:rPr>
          <w:highlight w:val="white"/>
        </w:rPr>
      </w:r>
    </w:p>
    <w:p>
      <w:pPr>
        <w:pStyle w:val="1279"/>
        <w:numPr>
          <w:ilvl w:val="0"/>
          <w:numId w:val="0"/>
        </w:numPr>
        <w:ind w:left="426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1327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3.2.4.2.3. </w:t>
      </w:r>
      <w:r>
        <w:rPr>
          <w:highlight w:val="white"/>
        </w:rPr>
        <w:t xml:space="preserve">Организационно-распорядительные документы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Комплекс взаим</w:t>
      </w:r>
      <w:r>
        <w:rPr>
          <w:highlight w:val="white"/>
        </w:rPr>
        <w:t xml:space="preserve">освязанных управленческих и нормативных документов, которые устанавливают цели, функции, права, обязанности и ответственность должностных лиц, а также регламентируют порядок действий по обеспечению защиты информации на всех этапах жизненного цикла АИС ОГУ.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В состав организационно-распорядительной документации АИС ОГУ входят следующие документы:</w:t>
      </w:r>
      <w:r>
        <w:rPr>
          <w:highlight w:val="white"/>
        </w:rPr>
      </w:r>
      <w:r>
        <w:rPr>
          <w:highlight w:val="white"/>
        </w:rPr>
      </w:r>
    </w:p>
    <w:p>
      <w:pPr>
        <w:pStyle w:val="1279"/>
        <w:numPr>
          <w:ilvl w:val="0"/>
          <w:numId w:val="35"/>
        </w:numPr>
        <w:ind w:left="0" w:firstLine="426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акт классификации;</w:t>
      </w:r>
      <w:r>
        <w:rPr>
          <w:highlight w:val="white"/>
        </w:rPr>
      </w:r>
      <w:r>
        <w:rPr>
          <w:highlight w:val="white"/>
        </w:rPr>
      </w:r>
    </w:p>
    <w:p>
      <w:pPr>
        <w:pStyle w:val="1279"/>
        <w:numPr>
          <w:ilvl w:val="0"/>
          <w:numId w:val="35"/>
        </w:numPr>
        <w:ind w:left="0" w:firstLine="426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акт категорирования;</w:t>
      </w:r>
      <w:r>
        <w:rPr>
          <w:highlight w:val="white"/>
        </w:rPr>
      </w:r>
      <w:r>
        <w:rPr>
          <w:highlight w:val="white"/>
        </w:rPr>
      </w:r>
    </w:p>
    <w:p>
      <w:pPr>
        <w:pStyle w:val="1279"/>
        <w:numPr>
          <w:ilvl w:val="0"/>
          <w:numId w:val="35"/>
        </w:numPr>
        <w:ind w:left="0" w:firstLine="426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модель угроз безопасности информации;</w:t>
      </w:r>
      <w:r>
        <w:rPr>
          <w:highlight w:val="white"/>
        </w:rPr>
      </w:r>
      <w:r>
        <w:rPr>
          <w:highlight w:val="white"/>
        </w:rPr>
      </w:r>
    </w:p>
    <w:p>
      <w:pPr>
        <w:pStyle w:val="1279"/>
        <w:numPr>
          <w:ilvl w:val="0"/>
          <w:numId w:val="35"/>
        </w:numPr>
        <w:ind w:left="0" w:firstLine="426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технический паспорт;</w:t>
      </w:r>
      <w:r>
        <w:rPr>
          <w:highlight w:val="white"/>
        </w:rPr>
      </w:r>
      <w:r>
        <w:rPr>
          <w:highlight w:val="white"/>
        </w:rPr>
      </w:r>
    </w:p>
    <w:p>
      <w:pPr>
        <w:pStyle w:val="1279"/>
        <w:numPr>
          <w:ilvl w:val="0"/>
          <w:numId w:val="35"/>
        </w:numPr>
        <w:ind w:left="0" w:firstLine="426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регламент защиты сетевого периметра и каналов связи;</w:t>
      </w:r>
      <w:r>
        <w:rPr>
          <w:highlight w:val="white"/>
        </w:rPr>
      </w:r>
      <w:r>
        <w:rPr>
          <w:highlight w:val="white"/>
        </w:rPr>
      </w:r>
    </w:p>
    <w:p>
      <w:pPr>
        <w:pStyle w:val="1279"/>
        <w:numPr>
          <w:ilvl w:val="0"/>
          <w:numId w:val="35"/>
        </w:numPr>
        <w:ind w:left="0" w:firstLine="426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регламент антивирусной защиты;</w:t>
      </w:r>
      <w:r>
        <w:rPr>
          <w:highlight w:val="white"/>
        </w:rPr>
      </w:r>
      <w:r>
        <w:rPr>
          <w:highlight w:val="white"/>
        </w:rPr>
      </w:r>
    </w:p>
    <w:p>
      <w:pPr>
        <w:pStyle w:val="1279"/>
        <w:numPr>
          <w:ilvl w:val="0"/>
          <w:numId w:val="35"/>
        </w:numPr>
        <w:ind w:left="0" w:firstLine="426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регламент защиты технических средств;</w:t>
      </w:r>
      <w:r>
        <w:rPr>
          <w:highlight w:val="white"/>
        </w:rPr>
      </w:r>
      <w:r>
        <w:rPr>
          <w:highlight w:val="white"/>
        </w:rPr>
      </w:r>
    </w:p>
    <w:p>
      <w:pPr>
        <w:pStyle w:val="1279"/>
        <w:numPr>
          <w:ilvl w:val="0"/>
          <w:numId w:val="35"/>
        </w:numPr>
        <w:ind w:left="0" w:firstLine="426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регламент мониторинга событий безопасности;</w:t>
      </w:r>
      <w:r>
        <w:rPr>
          <w:highlight w:val="white"/>
        </w:rPr>
      </w:r>
      <w:r>
        <w:rPr>
          <w:highlight w:val="white"/>
        </w:rPr>
      </w:r>
    </w:p>
    <w:p>
      <w:pPr>
        <w:pStyle w:val="1279"/>
        <w:numPr>
          <w:ilvl w:val="0"/>
          <w:numId w:val="35"/>
        </w:numPr>
        <w:ind w:left="0" w:firstLine="426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регламент защиты машинных носителей информации;</w:t>
      </w:r>
      <w:r>
        <w:rPr>
          <w:highlight w:val="white"/>
        </w:rPr>
      </w:r>
      <w:r>
        <w:rPr>
          <w:highlight w:val="white"/>
        </w:rPr>
      </w:r>
    </w:p>
    <w:p>
      <w:pPr>
        <w:pStyle w:val="1279"/>
        <w:numPr>
          <w:ilvl w:val="0"/>
          <w:numId w:val="35"/>
        </w:numPr>
        <w:ind w:left="0" w:firstLine="426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регламент обеспечения доступности и резервного копирования;</w:t>
      </w:r>
      <w:r>
        <w:rPr>
          <w:highlight w:val="white"/>
        </w:rPr>
      </w:r>
      <w:r>
        <w:rPr>
          <w:highlight w:val="white"/>
        </w:rPr>
      </w:r>
    </w:p>
    <w:p>
      <w:pPr>
        <w:pStyle w:val="1279"/>
        <w:numPr>
          <w:ilvl w:val="0"/>
          <w:numId w:val="35"/>
        </w:numPr>
        <w:ind w:left="0" w:firstLine="426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регламент планирования мероприятий по защите информации;</w:t>
      </w:r>
      <w:r>
        <w:rPr>
          <w:highlight w:val="white"/>
        </w:rPr>
      </w:r>
      <w:r>
        <w:rPr>
          <w:highlight w:val="white"/>
        </w:rPr>
      </w:r>
    </w:p>
    <w:p>
      <w:pPr>
        <w:pStyle w:val="1279"/>
        <w:numPr>
          <w:ilvl w:val="0"/>
          <w:numId w:val="35"/>
        </w:numPr>
        <w:ind w:left="0" w:firstLine="426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регламент управления уязвимостями и анализа угроз безопасности информации;</w:t>
      </w:r>
      <w:r>
        <w:rPr>
          <w:highlight w:val="white"/>
        </w:rPr>
      </w:r>
      <w:r>
        <w:rPr>
          <w:highlight w:val="white"/>
        </w:rPr>
      </w:r>
    </w:p>
    <w:p>
      <w:pPr>
        <w:pStyle w:val="1279"/>
        <w:numPr>
          <w:ilvl w:val="0"/>
          <w:numId w:val="35"/>
        </w:numPr>
        <w:ind w:left="0" w:firstLine="426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регламент идентификации, аутентификации и управления доступом к защищаемым информационным ресурсам;</w:t>
      </w:r>
      <w:r>
        <w:rPr>
          <w:highlight w:val="white"/>
        </w:rPr>
      </w:r>
      <w:r>
        <w:rPr>
          <w:highlight w:val="white"/>
        </w:rPr>
      </w:r>
    </w:p>
    <w:p>
      <w:pPr>
        <w:pStyle w:val="1279"/>
        <w:numPr>
          <w:ilvl w:val="0"/>
          <w:numId w:val="35"/>
        </w:numPr>
        <w:ind w:left="0" w:firstLine="426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регламент управления конфигурацией информационных систем и их системы защиты информации;</w:t>
      </w:r>
      <w:r>
        <w:rPr>
          <w:highlight w:val="white"/>
        </w:rPr>
      </w:r>
      <w:r>
        <w:rPr>
          <w:highlight w:val="white"/>
        </w:rPr>
      </w:r>
    </w:p>
    <w:p>
      <w:pPr>
        <w:pStyle w:val="1279"/>
        <w:numPr>
          <w:ilvl w:val="0"/>
          <w:numId w:val="35"/>
        </w:numPr>
        <w:ind w:left="0" w:firstLine="426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регламент контроля за обеспечением уровня защищенности информации;</w:t>
      </w:r>
      <w:r>
        <w:rPr>
          <w:highlight w:val="white"/>
        </w:rPr>
      </w:r>
      <w:r>
        <w:rPr>
          <w:highlight w:val="white"/>
        </w:rPr>
      </w:r>
    </w:p>
    <w:p>
      <w:pPr>
        <w:pStyle w:val="1279"/>
        <w:numPr>
          <w:ilvl w:val="0"/>
          <w:numId w:val="35"/>
        </w:numPr>
        <w:ind w:left="0" w:firstLine="426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план реагирования на компьютерные инциденты;</w:t>
      </w:r>
      <w:r>
        <w:rPr>
          <w:highlight w:val="white"/>
        </w:rPr>
      </w:r>
      <w:r>
        <w:rPr>
          <w:highlight w:val="white"/>
        </w:rPr>
      </w:r>
    </w:p>
    <w:p>
      <w:pPr>
        <w:pStyle w:val="1279"/>
        <w:numPr>
          <w:ilvl w:val="0"/>
          <w:numId w:val="35"/>
        </w:numPr>
        <w:ind w:left="0" w:firstLine="426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правила обращения со средствами криптографической защиты информации;</w:t>
      </w:r>
      <w:r>
        <w:rPr>
          <w:highlight w:val="white"/>
        </w:rPr>
      </w:r>
      <w:r>
        <w:rPr>
          <w:highlight w:val="white"/>
        </w:rPr>
      </w:r>
    </w:p>
    <w:p>
      <w:pPr>
        <w:pStyle w:val="1279"/>
        <w:numPr>
          <w:ilvl w:val="0"/>
          <w:numId w:val="35"/>
        </w:numPr>
        <w:ind w:left="0" w:firstLine="426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акт ввода системы защиты информации АИС ОГУ в постоянную эксплуатацию.</w:t>
      </w:r>
      <w:r>
        <w:rPr>
          <w:highlight w:val="white"/>
        </w:rPr>
      </w:r>
      <w:r>
        <w:rPr>
          <w:highlight w:val="white"/>
        </w:rPr>
      </w:r>
    </w:p>
    <w:p>
      <w:pPr>
        <w:pStyle w:val="1325"/>
        <w:ind w:left="1985" w:hanging="1418"/>
        <w:shd w:val="clear" w:color="ffffff" w:themeColor="background1" w:fill="ffffff" w:themeFill="background1"/>
        <w:rPr>
          <w:rFonts w:eastAsia="Liberation Serif"/>
          <w:highlight w:val="white"/>
        </w:rPr>
      </w:pPr>
      <w:r>
        <w:rPr>
          <w:rFonts w:eastAsia="Liberation Serif"/>
          <w:highlight w:val="white"/>
        </w:rPr>
        <w:t xml:space="preserve">3.2.4.3. </w:t>
      </w:r>
      <w:r>
        <w:rPr>
          <w:rFonts w:eastAsia="Liberation Serif"/>
          <w:highlight w:val="white"/>
        </w:rPr>
        <w:t xml:space="preserve">Описание программно-аппаратных компонентов системы защиты информации</w:t>
      </w:r>
      <w:r>
        <w:rPr>
          <w:rFonts w:eastAsia="Liberation Serif"/>
          <w:highlight w:val="white"/>
        </w:rPr>
      </w:r>
      <w:r>
        <w:rPr>
          <w:rFonts w:eastAsia="Liberation Serif"/>
          <w:highlight w:val="white"/>
        </w:rPr>
      </w:r>
    </w:p>
    <w:p>
      <w:pPr>
        <w:pStyle w:val="1327"/>
        <w:numPr>
          <w:ilvl w:val="4"/>
          <w:numId w:val="37"/>
        </w:numPr>
        <w:ind w:left="1701"/>
        <w:shd w:val="clear" w:color="ffffff" w:themeColor="background1" w:fill="ffffff" w:themeFill="background1"/>
        <w:rPr>
          <w:szCs w:val="24"/>
          <w:highlight w:val="white"/>
        </w:rPr>
      </w:pPr>
      <w:r>
        <w:rPr>
          <w:highlight w:val="white"/>
        </w:rPr>
        <w:t xml:space="preserve"> </w:t>
      </w:r>
      <w:r>
        <w:rPr>
          <w:rFonts w:eastAsia="Calibri"/>
          <w:bCs/>
          <w:highlight w:val="white"/>
        </w:rPr>
        <w:t xml:space="preserve">Операционная система</w:t>
      </w:r>
      <w:r>
        <w:rPr>
          <w:szCs w:val="24"/>
          <w:highlight w:val="white"/>
        </w:rPr>
      </w:r>
      <w:r>
        <w:rPr>
          <w:szCs w:val="24"/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Программное обеспечение, предназначенное</w:t>
      </w:r>
      <w:r>
        <w:rPr>
          <w:highlight w:val="white"/>
        </w:rPr>
        <w:t xml:space="preserve"> для предотвращения несанкционированного доступа к информации, реализующ</w:t>
      </w:r>
      <w:r>
        <w:rPr>
          <w:highlight w:val="white"/>
        </w:rPr>
        <w:t xml:space="preserve">ее</w:t>
      </w:r>
      <w:r>
        <w:rPr>
          <w:highlight w:val="white"/>
        </w:rPr>
        <w:t xml:space="preserve"> функции идентификации и аутентификации, разграничения доступа субъектов к объектам, контроля замкнутой среды доверенной загрузки, изоляции программ, учета, регистрации и контроля съемных носителей информации.</w:t>
      </w:r>
      <w:r>
        <w:rPr>
          <w:highlight w:val="white"/>
        </w:rPr>
      </w:r>
      <w:r>
        <w:rPr>
          <w:highlight w:val="white"/>
        </w:rPr>
      </w:r>
    </w:p>
    <w:p>
      <w:pPr>
        <w:pStyle w:val="1327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3.2.4.3.2. </w:t>
      </w:r>
      <w:r>
        <w:rPr>
          <w:highlight w:val="white"/>
        </w:rPr>
        <w:t xml:space="preserve">Средств</w:t>
      </w:r>
      <w:r>
        <w:rPr>
          <w:highlight w:val="white"/>
        </w:rPr>
        <w:t xml:space="preserve">о</w:t>
      </w:r>
      <w:r>
        <w:rPr>
          <w:highlight w:val="white"/>
        </w:rPr>
        <w:t xml:space="preserve"> антивирусной защиты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Программное обеспеч</w:t>
      </w:r>
      <w:r>
        <w:rPr>
          <w:highlight w:val="white"/>
        </w:rPr>
        <w:t xml:space="preserve">ение, реализующе</w:t>
      </w:r>
      <w:r>
        <w:rPr>
          <w:highlight w:val="white"/>
        </w:rPr>
        <w:t xml:space="preserve">е функции обнаружения компьютерных </w:t>
      </w:r>
      <w:r>
        <w:rPr>
          <w:highlight w:val="white"/>
        </w:rPr>
        <w:t xml:space="preserve">программ или иной компьютерной информации, предназначенных для несанкционированного уничтожения, блокирования, модификации, копирования информации или нейтрализации средств защиты информации, а также реагирования на обнаружение таких программ и информации.</w:t>
      </w:r>
      <w:r>
        <w:rPr>
          <w:highlight w:val="white"/>
        </w:rPr>
      </w:r>
      <w:r>
        <w:rPr>
          <w:highlight w:val="white"/>
        </w:rPr>
      </w:r>
    </w:p>
    <w:p>
      <w:pPr>
        <w:pStyle w:val="1327"/>
        <w:ind w:left="1702" w:hanging="1135"/>
        <w:shd w:val="clear" w:color="ffffff" w:themeColor="background1" w:fill="ffffff" w:themeFill="background1"/>
        <w:rPr>
          <w:szCs w:val="24"/>
          <w:highlight w:val="white"/>
        </w:rPr>
      </w:pPr>
      <w:r>
        <w:rPr>
          <w:highlight w:val="white"/>
        </w:rPr>
        <w:t xml:space="preserve">3.2.4.3.3. </w:t>
      </w:r>
      <w:r>
        <w:rPr>
          <w:highlight w:val="white"/>
        </w:rPr>
        <w:t xml:space="preserve">Средств</w:t>
      </w:r>
      <w:r>
        <w:rPr>
          <w:highlight w:val="white"/>
        </w:rPr>
        <w:t xml:space="preserve">о</w:t>
      </w:r>
      <w:r>
        <w:rPr>
          <w:highlight w:val="white"/>
        </w:rPr>
        <w:t xml:space="preserve"> анализа защищенности</w:t>
      </w:r>
      <w:r>
        <w:rPr>
          <w:szCs w:val="24"/>
          <w:highlight w:val="white"/>
        </w:rPr>
      </w:r>
      <w:r>
        <w:rPr>
          <w:szCs w:val="24"/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Программное обеспечение, предназначенное</w:t>
      </w:r>
      <w:r>
        <w:rPr>
          <w:highlight w:val="white"/>
        </w:rPr>
        <w:t xml:space="preserve"> для выявления уязвимостей в АИС ОГУ, включая ошибки конфигурации, некорректные политики безопасности, с целью оценки текущего уровня защищенности и выработки рекомендаций по устранению недостатков.</w:t>
      </w:r>
      <w:r>
        <w:rPr>
          <w:highlight w:val="white"/>
        </w:rPr>
      </w:r>
      <w:r>
        <w:rPr>
          <w:highlight w:val="white"/>
        </w:rPr>
      </w:r>
    </w:p>
    <w:p>
      <w:pPr>
        <w:pStyle w:val="1327"/>
        <w:ind w:left="1560" w:hanging="993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3.2.4.3.4. </w:t>
      </w:r>
      <w:r>
        <w:rPr>
          <w:highlight w:val="white"/>
        </w:rPr>
        <w:t xml:space="preserve">Средств</w:t>
      </w:r>
      <w:r>
        <w:rPr>
          <w:highlight w:val="white"/>
        </w:rPr>
        <w:t xml:space="preserve">о</w:t>
      </w:r>
      <w:r>
        <w:rPr>
          <w:highlight w:val="white"/>
        </w:rPr>
        <w:t xml:space="preserve"> доверенной загрузки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П</w:t>
      </w:r>
      <w:r>
        <w:rPr>
          <w:highlight w:val="white"/>
        </w:rPr>
        <w:t xml:space="preserve">рограммно-аппаратн</w:t>
      </w:r>
      <w:r>
        <w:rPr>
          <w:highlight w:val="white"/>
        </w:rPr>
        <w:t xml:space="preserve">ое</w:t>
      </w:r>
      <w:r>
        <w:rPr>
          <w:highlight w:val="white"/>
        </w:rPr>
        <w:t xml:space="preserve"> средств</w:t>
      </w:r>
      <w:r>
        <w:rPr>
          <w:highlight w:val="white"/>
        </w:rPr>
        <w:t xml:space="preserve">о</w:t>
      </w:r>
      <w:r>
        <w:rPr>
          <w:highlight w:val="white"/>
        </w:rPr>
        <w:t xml:space="preserve">, реализующ</w:t>
      </w:r>
      <w:r>
        <w:rPr>
          <w:highlight w:val="white"/>
        </w:rPr>
        <w:t xml:space="preserve">ее</w:t>
      </w:r>
      <w:r>
        <w:rPr>
          <w:highlight w:val="white"/>
        </w:rPr>
        <w:t xml:space="preserve"> функции по предотвращению несанкционированного доступа к программным и/или аппаратным ресурсам средств вычислительной техники на этапе его загрузки, обеспечивающ</w:t>
      </w:r>
      <w:r>
        <w:rPr>
          <w:highlight w:val="white"/>
        </w:rPr>
        <w:t xml:space="preserve">ее</w:t>
      </w:r>
      <w:r>
        <w:rPr>
          <w:highlight w:val="white"/>
        </w:rPr>
        <w:t xml:space="preserve"> аутентификацию пользователя до запуска операционной системы, контроль целостности системных файлов и аппаратной конфигурации, а также управление порядком загрузки.</w:t>
      </w:r>
      <w:r>
        <w:rPr>
          <w:highlight w:val="white"/>
        </w:rPr>
      </w:r>
      <w:r>
        <w:rPr>
          <w:highlight w:val="white"/>
        </w:rPr>
      </w:r>
    </w:p>
    <w:p>
      <w:pPr>
        <w:pStyle w:val="1327"/>
        <w:ind w:left="1986" w:hanging="1277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3.2.4.3.5. </w:t>
      </w:r>
      <w:r>
        <w:rPr>
          <w:highlight w:val="white"/>
        </w:rPr>
        <w:t xml:space="preserve">Средство</w:t>
      </w:r>
      <w:r>
        <w:rPr>
          <w:highlight w:val="white"/>
        </w:rPr>
        <w:t xml:space="preserve"> межсетевого экранирования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П</w:t>
      </w:r>
      <w:r>
        <w:rPr>
          <w:highlight w:val="white"/>
        </w:rPr>
        <w:t xml:space="preserve">рограммное </w:t>
      </w:r>
      <w:r>
        <w:rPr>
          <w:highlight w:val="white"/>
        </w:rPr>
        <w:t xml:space="preserve">и/или программно-аппаратное</w:t>
      </w:r>
      <w:r>
        <w:rPr>
          <w:highlight w:val="white"/>
        </w:rPr>
        <w:t xml:space="preserve"> средство (комплекс), реализующее контроль за информацией, поступающей в АИС ОГУ и/или выходящей из нее, и обеспечивающее защиту АИС ОГУ посредством фильтрации информации (анализа по совокупности критериев и принятия решения о ее пропуске).</w:t>
      </w:r>
      <w:r>
        <w:rPr>
          <w:highlight w:val="white"/>
        </w:rPr>
      </w:r>
      <w:r>
        <w:rPr>
          <w:highlight w:val="white"/>
        </w:rPr>
      </w:r>
    </w:p>
    <w:p>
      <w:pPr>
        <w:pStyle w:val="1327"/>
        <w:ind w:left="1986" w:hanging="1277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3.2.4.3.6. </w:t>
      </w:r>
      <w:r>
        <w:rPr>
          <w:highlight w:val="white"/>
        </w:rPr>
        <w:t xml:space="preserve">Система</w:t>
      </w:r>
      <w:r>
        <w:rPr>
          <w:highlight w:val="white"/>
        </w:rPr>
        <w:t xml:space="preserve"> управления базами данных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Программное</w:t>
      </w:r>
      <w:r>
        <w:rPr>
          <w:highlight w:val="white"/>
        </w:rPr>
        <w:t xml:space="preserve"> </w:t>
      </w:r>
      <w:r>
        <w:rPr>
          <w:highlight w:val="white"/>
        </w:rPr>
        <w:t xml:space="preserve">обеспечение, реализующее</w:t>
      </w:r>
      <w:r>
        <w:rPr>
          <w:highlight w:val="white"/>
        </w:rPr>
        <w:t xml:space="preserve"> поддержку создания баз данных, централизованного управления и организации доступа к ним различных польз</w:t>
      </w:r>
      <w:r>
        <w:rPr>
          <w:highlight w:val="white"/>
        </w:rPr>
        <w:t xml:space="preserve">ователей, а также обеспечивающее</w:t>
      </w:r>
      <w:r>
        <w:rPr>
          <w:highlight w:val="white"/>
        </w:rPr>
        <w:t xml:space="preserve"> безопасность данных (защиту от несанкционированного доступа, поддержку целостности и восстановление) в условиях принятой технологии обработки данных.</w:t>
      </w:r>
      <w:r>
        <w:rPr>
          <w:highlight w:val="white"/>
        </w:rPr>
      </w:r>
      <w:r>
        <w:rPr>
          <w:highlight w:val="white"/>
        </w:rPr>
      </w:r>
    </w:p>
    <w:p>
      <w:pPr>
        <w:pStyle w:val="1327"/>
        <w:ind w:left="1986" w:hanging="1277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3.2.4.3.7. </w:t>
      </w:r>
      <w:r>
        <w:rPr>
          <w:highlight w:val="white"/>
        </w:rPr>
        <w:t xml:space="preserve">Средство</w:t>
      </w:r>
      <w:r>
        <w:rPr>
          <w:highlight w:val="white"/>
        </w:rPr>
        <w:t xml:space="preserve"> криптографической защиты информации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Средство</w:t>
      </w:r>
      <w:r>
        <w:rPr>
          <w:highlight w:val="white"/>
        </w:rPr>
        <w:t xml:space="preserve"> защиты информации, реализующе</w:t>
      </w:r>
      <w:r>
        <w:rPr>
          <w:highlight w:val="white"/>
        </w:rPr>
        <w:t xml:space="preserve">е функции шифрования, электронной подписи, выработки аутентификации, </w:t>
      </w:r>
      <w:r>
        <w:rPr>
          <w:highlight w:val="white"/>
        </w:rPr>
        <w:t xml:space="preserve">хэширования</w:t>
      </w:r>
      <w:r>
        <w:rPr>
          <w:highlight w:val="white"/>
        </w:rPr>
        <w:t xml:space="preserve"> и управления ключевой информацией с использованием криптографических преобразований, предназначенные для обеспечения конфиденциальности, целостности и подлинности информации при ее передаче по каналам связи или хранении.</w:t>
      </w:r>
      <w:r>
        <w:rPr>
          <w:highlight w:val="white"/>
        </w:rPr>
      </w:r>
      <w:r>
        <w:rPr>
          <w:highlight w:val="white"/>
        </w:rPr>
      </w:r>
    </w:p>
    <w:p>
      <w:pPr>
        <w:pStyle w:val="1325"/>
        <w:numPr>
          <w:ilvl w:val="3"/>
          <w:numId w:val="38"/>
        </w:numPr>
        <w:shd w:val="clear" w:color="ffffff" w:themeColor="background1" w:fill="ffffff" w:themeFill="background1"/>
        <w:rPr>
          <w:rFonts w:eastAsia="Liberation Serif"/>
          <w:highlight w:val="white"/>
        </w:rPr>
      </w:pPr>
      <w:r>
        <w:rPr>
          <w:rFonts w:eastAsia="Liberation Serif"/>
          <w:highlight w:val="white"/>
        </w:rPr>
        <w:t xml:space="preserve">Описание сервисных компонентов системы защиты информации</w:t>
      </w:r>
      <w:r>
        <w:rPr>
          <w:rFonts w:eastAsia="Liberation Serif"/>
          <w:highlight w:val="white"/>
        </w:rPr>
      </w:r>
      <w:r>
        <w:rPr>
          <w:rFonts w:eastAsia="Liberation Serif"/>
          <w:highlight w:val="white"/>
        </w:rPr>
      </w:r>
    </w:p>
    <w:p>
      <w:pPr>
        <w:pStyle w:val="1327"/>
        <w:numPr>
          <w:ilvl w:val="4"/>
          <w:numId w:val="39"/>
        </w:numPr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Средства коммутации и каналы связи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Активное сетевое оборудование, обеспечивающее физическое или логическое соединение абонентских систем, каналов связи и сегментов АИС ОГУ. </w:t>
      </w:r>
      <w:r>
        <w:rPr>
          <w:highlight w:val="white"/>
        </w:rPr>
      </w:r>
      <w:r>
        <w:rPr>
          <w:highlight w:val="white"/>
        </w:rPr>
      </w:r>
    </w:p>
    <w:p>
      <w:pPr>
        <w:pStyle w:val="1327"/>
        <w:numPr>
          <w:ilvl w:val="4"/>
          <w:numId w:val="39"/>
        </w:numPr>
        <w:ind w:hanging="1234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Электрическая сеть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  <w:sectPr>
          <w:headerReference w:type="default" r:id="rId9"/>
          <w:headerReference w:type="even" r:id="rId10"/>
          <w:headerReference w:type="first" r:id="rId11"/>
          <w:footerReference w:type="even" r:id="rId14"/>
          <w:footnotePr/>
          <w:endnotePr/>
          <w:type w:val="nextPage"/>
          <w:pgSz w:w="11906" w:h="16838" w:orient="portrait"/>
          <w:pgMar w:top="1134" w:right="567" w:bottom="1134" w:left="1134" w:header="709" w:footer="709" w:gutter="0"/>
          <w:pgNumType w:start="1"/>
          <w:cols w:num="1" w:sep="0" w:space="720" w:equalWidth="1"/>
          <w:docGrid w:linePitch="360"/>
          <w:titlePg/>
        </w:sectPr>
      </w:pPr>
      <w:r>
        <w:rPr>
          <w:highlight w:val="white"/>
        </w:rPr>
        <w:t xml:space="preserve">Совокупность электроустановок, линий электропередачи и распределительных устройств, обеспечивающих электроснабжение технических средств АИС ОГУ.</w:t>
      </w:r>
      <w:r>
        <w:rPr>
          <w:highlight w:val="white"/>
        </w:rPr>
      </w:r>
      <w:r>
        <w:rPr>
          <w:highlight w:val="white"/>
        </w:rPr>
      </w:r>
    </w:p>
    <w:p>
      <w:pPr>
        <w:pStyle w:val="1275"/>
        <w:numPr>
          <w:ilvl w:val="0"/>
          <w:numId w:val="0"/>
        </w:numPr>
        <w:ind w:left="709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3.3. Состав и содержание услуг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Состав и содержание услуг, а также количественные и качественные параметры их оказания приведены в Таблице 3.1.</w:t>
      </w:r>
      <w:r>
        <w:rPr>
          <w:rStyle w:val="1164"/>
          <w:highlight w:val="white"/>
        </w:rPr>
        <w:footnoteReference w:id="2"/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В случае если хотя бы один из колич</w:t>
      </w:r>
      <w:r>
        <w:rPr>
          <w:highlight w:val="white"/>
        </w:rPr>
        <w:t xml:space="preserve">ественных параметров услуги превышает нормативное значение, Исполнитель не гарантирует соблюдение качественных параметров соответствующей услуги. В таких случаях Заказчик не может предъявить Исполнителю претензии за срыв сроков или качество оказания Услуг.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1284"/>
        <w:shd w:val="clear" w:color="ffffff" w:themeColor="background1" w:fill="ffffff" w:themeFill="background1"/>
        <w:rPr>
          <w:highlight w:val="white"/>
        </w:rPr>
        <w:sectPr>
          <w:footnotePr/>
          <w:endnotePr/>
          <w:type w:val="continuous"/>
          <w:pgSz w:w="11906" w:h="16838" w:orient="portrait"/>
          <w:pgMar w:top="1134" w:right="567" w:bottom="1134" w:left="1134" w:header="709" w:footer="709" w:gutter="0"/>
          <w:cols w:num="1" w:sep="0" w:space="720" w:equalWidth="1"/>
          <w:docGrid w:linePitch="360"/>
          <w:titlePg/>
        </w:sect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1284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Таблица 3.1 - Состав и содержание услуг</w:t>
      </w:r>
      <w:r>
        <w:rPr>
          <w:highlight w:val="white"/>
        </w:rPr>
      </w:r>
      <w:r>
        <w:rPr>
          <w:highlight w:val="white"/>
        </w:rPr>
      </w:r>
    </w:p>
    <w:tbl>
      <w:tblPr>
        <w:tblStyle w:val="1199"/>
        <w:tblW w:w="14937" w:type="dxa"/>
        <w:tblLayout w:type="fixed"/>
        <w:tblLook w:val="04A0" w:firstRow="1" w:lastRow="0" w:firstColumn="1" w:lastColumn="0" w:noHBand="0" w:noVBand="1"/>
      </w:tblPr>
      <w:tblGrid>
        <w:gridCol w:w="787"/>
        <w:gridCol w:w="2752"/>
        <w:gridCol w:w="2835"/>
        <w:gridCol w:w="2086"/>
        <w:gridCol w:w="2030"/>
        <w:gridCol w:w="2534"/>
        <w:gridCol w:w="1913"/>
      </w:tblGrid>
      <w:tr>
        <w:tblPrEx/>
        <w:trPr>
          <w:tblHeader/>
        </w:trPr>
        <w:tc>
          <w:tcPr>
            <w:tcW w:w="787" w:type="dxa"/>
            <w:vAlign w:val="center"/>
            <w:vMerge w:val="restart"/>
            <w:textDirection w:val="lrTb"/>
            <w:noWrap w:val="false"/>
          </w:tcPr>
          <w:p>
            <w:pPr>
              <w:pStyle w:val="1288"/>
              <w:jc w:val="center"/>
              <w:shd w:val="clear" w:color="ffffff" w:themeColor="background1" w:fill="ffffff" w:themeFill="background1"/>
              <w:rPr>
                <w:b/>
                <w:bCs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№</w:t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</w:tc>
        <w:tc>
          <w:tcPr>
            <w:tcW w:w="2752" w:type="dxa"/>
            <w:vAlign w:val="center"/>
            <w:vMerge w:val="restart"/>
            <w:textDirection w:val="lrTb"/>
            <w:noWrap w:val="false"/>
          </w:tcPr>
          <w:p>
            <w:pPr>
              <w:pStyle w:val="1288"/>
              <w:jc w:val="center"/>
              <w:shd w:val="clear" w:color="ffffff" w:themeColor="background1" w:fill="ffffff" w:themeFill="background1"/>
              <w:rPr>
                <w:b/>
                <w:bCs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Название услуги (или группы услуг)</w:t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</w:tc>
        <w:tc>
          <w:tcPr>
            <w:tcW w:w="2835" w:type="dxa"/>
            <w:vAlign w:val="center"/>
            <w:vMerge w:val="restart"/>
            <w:textDirection w:val="lrTb"/>
            <w:noWrap w:val="false"/>
          </w:tcPr>
          <w:p>
            <w:pPr>
              <w:pStyle w:val="1288"/>
              <w:jc w:val="center"/>
              <w:shd w:val="clear" w:color="ffffff" w:themeColor="background1" w:fill="ffffff" w:themeFill="background1"/>
              <w:rPr>
                <w:b/>
                <w:bCs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Содержание услуги</w:t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</w:tc>
        <w:tc>
          <w:tcPr>
            <w:gridSpan w:val="2"/>
            <w:tcW w:w="4116" w:type="dxa"/>
            <w:vAlign w:val="center"/>
            <w:textDirection w:val="lrTb"/>
            <w:noWrap w:val="false"/>
          </w:tcPr>
          <w:p>
            <w:pPr>
              <w:pStyle w:val="1288"/>
              <w:jc w:val="center"/>
              <w:shd w:val="clear" w:color="ffffff" w:themeColor="background1" w:fill="ffffff" w:themeFill="background1"/>
              <w:rPr>
                <w:b/>
                <w:bCs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Качественные параметры услуги</w:t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</w:tc>
        <w:tc>
          <w:tcPr>
            <w:gridSpan w:val="2"/>
            <w:tcW w:w="4447" w:type="dxa"/>
            <w:vAlign w:val="center"/>
            <w:textDirection w:val="lrTb"/>
            <w:noWrap w:val="false"/>
          </w:tcPr>
          <w:p>
            <w:pPr>
              <w:pStyle w:val="1288"/>
              <w:jc w:val="center"/>
              <w:shd w:val="clear" w:color="ffffff" w:themeColor="background1" w:fill="ffffff" w:themeFill="background1"/>
              <w:rPr>
                <w:b/>
                <w:bCs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Количественные параметры услуги</w:t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</w:tc>
      </w:tr>
      <w:tr>
        <w:tblPrEx/>
        <w:trPr>
          <w:tblHeader/>
        </w:trPr>
        <w:tc>
          <w:tcPr>
            <w:tcW w:w="787" w:type="dxa"/>
            <w:vAlign w:val="center"/>
            <w:vMerge w:val="continue"/>
            <w:textDirection w:val="lrTb"/>
            <w:noWrap w:val="false"/>
          </w:tcPr>
          <w:p>
            <w:pPr>
              <w:pStyle w:val="1288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W w:w="2752" w:type="dxa"/>
            <w:vAlign w:val="center"/>
            <w:vMerge w:val="continue"/>
            <w:textDirection w:val="lrTb"/>
            <w:noWrap w:val="false"/>
          </w:tcPr>
          <w:p>
            <w:pPr>
              <w:pStyle w:val="1288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W w:w="2835" w:type="dxa"/>
            <w:vAlign w:val="center"/>
            <w:vMerge w:val="continue"/>
            <w:textDirection w:val="lrTb"/>
            <w:noWrap w:val="false"/>
          </w:tcPr>
          <w:p>
            <w:pPr>
              <w:pStyle w:val="1288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W w:w="2086" w:type="dxa"/>
            <w:vAlign w:val="center"/>
            <w:textDirection w:val="lrTb"/>
            <w:noWrap w:val="false"/>
          </w:tcPr>
          <w:p>
            <w:pPr>
              <w:pStyle w:val="1288"/>
              <w:jc w:val="center"/>
              <w:shd w:val="clear" w:color="ffffff" w:themeColor="background1" w:fill="ffffff" w:themeFill="background1"/>
              <w:rPr>
                <w:b/>
                <w:bCs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Описание параметра</w:t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</w:tc>
        <w:tc>
          <w:tcPr>
            <w:tcW w:w="2030" w:type="dxa"/>
            <w:vAlign w:val="center"/>
            <w:textDirection w:val="lrTb"/>
            <w:noWrap w:val="false"/>
          </w:tcPr>
          <w:p>
            <w:pPr>
              <w:pStyle w:val="1288"/>
              <w:jc w:val="center"/>
              <w:shd w:val="clear" w:color="ffffff" w:themeColor="background1" w:fill="ffffff" w:themeFill="background1"/>
              <w:rPr>
                <w:b/>
                <w:bCs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Значение параметра</w:t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</w:tc>
        <w:tc>
          <w:tcPr>
            <w:tcW w:w="2534" w:type="dxa"/>
            <w:vAlign w:val="center"/>
            <w:textDirection w:val="lrTb"/>
            <w:noWrap w:val="false"/>
          </w:tcPr>
          <w:p>
            <w:pPr>
              <w:pStyle w:val="1288"/>
              <w:jc w:val="center"/>
              <w:shd w:val="clear" w:color="ffffff" w:themeColor="background1" w:fill="ffffff" w:themeFill="background1"/>
              <w:rPr>
                <w:b/>
                <w:bCs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Описание параметра</w:t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</w:tc>
        <w:tc>
          <w:tcPr>
            <w:tcW w:w="1913" w:type="dxa"/>
            <w:vAlign w:val="center"/>
            <w:textDirection w:val="lrTb"/>
            <w:noWrap w:val="false"/>
          </w:tcPr>
          <w:p>
            <w:pPr>
              <w:pStyle w:val="1288"/>
              <w:jc w:val="center"/>
              <w:shd w:val="clear" w:color="ffffff" w:themeColor="background1" w:fill="ffffff" w:themeFill="background1"/>
              <w:rPr>
                <w:b/>
                <w:bCs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Значение параметра</w:t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</w:tc>
      </w:tr>
      <w:tr>
        <w:tblPrEx/>
        <w:trPr>
          <w:trHeight w:val="569"/>
        </w:trPr>
        <w:tc>
          <w:tcPr>
            <w:tcW w:w="787" w:type="dxa"/>
            <w:textDirection w:val="lrTb"/>
            <w:noWrap w:val="false"/>
          </w:tcPr>
          <w:p>
            <w:pPr>
              <w:pStyle w:val="1305"/>
              <w:numPr>
                <w:ilvl w:val="0"/>
                <w:numId w:val="32"/>
              </w:numPr>
              <w:shd w:val="clear" w:color="ffffff" w:themeColor="background1" w:fill="ffffff" w:themeFill="background1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</w:tc>
        <w:tc>
          <w:tcPr>
            <w:gridSpan w:val="2"/>
            <w:tcW w:w="5587" w:type="dxa"/>
            <w:textDirection w:val="lrTb"/>
            <w:noWrap w:val="false"/>
          </w:tcPr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b/>
                <w:bCs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Организация службы технической поддержки АИС ОГУ</w:t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</w:tc>
        <w:tc>
          <w:tcPr>
            <w:tcW w:w="2086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030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534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1913" w:type="dxa"/>
            <w:textDirection w:val="lrTb"/>
            <w:noWrap w:val="false"/>
          </w:tcPr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/>
        <w:tc>
          <w:tcPr>
            <w:tcW w:w="787" w:type="dxa"/>
            <w:textDirection w:val="lrTb"/>
            <w:noWrap w:val="false"/>
          </w:tcPr>
          <w:p>
            <w:pPr>
              <w:pStyle w:val="1305"/>
              <w:numPr>
                <w:ilvl w:val="0"/>
                <w:numId w:val="0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1.1.</w:t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W w:w="2752" w:type="dxa"/>
            <w:textDirection w:val="lrTb"/>
            <w:noWrap w:val="false"/>
          </w:tcPr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Обеспечение функционирования телефонной линии СТП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Обеспечение функционирования телефонной линии СТП для пользователей АИС ОГУ в соответствии с порядком обработки обращений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086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Временной режим доступности телефонной линии СТП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030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Стандартное время работы СТП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534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1913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/>
        <w:tc>
          <w:tcPr>
            <w:tcW w:w="787" w:type="dxa"/>
            <w:textDirection w:val="lrTb"/>
            <w:noWrap w:val="false"/>
          </w:tcPr>
          <w:p>
            <w:pPr>
              <w:pStyle w:val="1305"/>
              <w:numPr>
                <w:ilvl w:val="0"/>
                <w:numId w:val="0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1.2.</w:t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W w:w="2752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Обеспечение функционирования электронной почты СТП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Обеспечение функционирования электронной почты СТП для пользователей АИС ОГУ в соответствии с порядком обработки обращений.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086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Временной режим доступности электронной почты СТП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030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Стандартное время работы СТП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534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Допустимый объем файлов, приложенных к электронному письму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1913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10 Мб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1003"/>
        </w:trPr>
        <w:tc>
          <w:tcPr>
            <w:tcW w:w="787" w:type="dxa"/>
            <w:textDirection w:val="lrTb"/>
            <w:noWrap w:val="false"/>
          </w:tcPr>
          <w:p>
            <w:pPr>
              <w:pStyle w:val="1305"/>
              <w:numPr>
                <w:ilvl w:val="0"/>
                <w:numId w:val="0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1.3.</w:t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W w:w="2752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Обеспечение функционирования СТПП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Обеспечение функционирования СТПП в соответствии с порядком оказания услуг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086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Временной режим доступности СТПП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030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Стандартное время работы СТП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534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Количество одновременно работающих пользователей в СТПП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1913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5 шт.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/>
        <w:tc>
          <w:tcPr>
            <w:tcW w:w="787" w:type="dxa"/>
            <w:vMerge w:val="restart"/>
            <w:textDirection w:val="lrTb"/>
            <w:noWrap w:val="false"/>
          </w:tcPr>
          <w:p>
            <w:pPr>
              <w:pStyle w:val="1305"/>
              <w:numPr>
                <w:ilvl w:val="0"/>
                <w:numId w:val="0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1.4.</w:t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W w:w="2752" w:type="dxa"/>
            <w:vMerge w:val="restart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Прием и регистрация обращений пользователей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Прием и регистрация обращений пользователей в соответствии с порядком обработки обращений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086" w:type="dxa"/>
            <w:vMerge w:val="restart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Временной режим приема и регистрации обращений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030" w:type="dxa"/>
            <w:vMerge w:val="restart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Стандартное время работы СТП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534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Количество обращений пользователей за весь период оказания Услуг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1913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Не более 217 шт.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/>
        <w:tc>
          <w:tcPr>
            <w:tcW w:w="787" w:type="dxa"/>
            <w:vMerge w:val="continue"/>
            <w:textDirection w:val="lrTb"/>
            <w:noWrap w:val="false"/>
          </w:tcPr>
          <w:p>
            <w:pPr>
              <w:pStyle w:val="1305"/>
              <w:numPr>
                <w:ilvl w:val="0"/>
                <w:numId w:val="0"/>
              </w:numPr>
            </w:pPr>
            <w:r/>
            <w:r/>
          </w:p>
        </w:tc>
        <w:tc>
          <w:tcPr>
            <w:tcW w:w="2752" w:type="dxa"/>
            <w:vMerge w:val="continue"/>
            <w:textDirection w:val="lrTb"/>
            <w:noWrap w:val="false"/>
          </w:tcPr>
          <w:p>
            <w:pPr>
              <w:pStyle w:val="1288"/>
              <w:jc w:val="left"/>
            </w:pPr>
            <w:r/>
            <w:r/>
          </w:p>
        </w:tc>
        <w:tc>
          <w:tcPr>
            <w:tcW w:w="2835" w:type="dxa"/>
            <w:vMerge w:val="continue"/>
            <w:textDirection w:val="lrTb"/>
            <w:noWrap w:val="false"/>
          </w:tcPr>
          <w:p>
            <w:pPr>
              <w:pStyle w:val="1288"/>
              <w:jc w:val="left"/>
            </w:pPr>
            <w:r/>
            <w:r/>
          </w:p>
        </w:tc>
        <w:tc>
          <w:tcPr>
            <w:tcW w:w="2086" w:type="dxa"/>
            <w:vMerge w:val="continue"/>
            <w:textDirection w:val="lrTb"/>
            <w:noWrap w:val="false"/>
          </w:tcPr>
          <w:p>
            <w:pPr>
              <w:pStyle w:val="1288"/>
              <w:jc w:val="left"/>
            </w:pPr>
            <w:r/>
            <w:r/>
          </w:p>
        </w:tc>
        <w:tc>
          <w:tcPr>
            <w:tcW w:w="2030" w:type="dxa"/>
            <w:vMerge w:val="continue"/>
            <w:textDirection w:val="lrTb"/>
            <w:noWrap w:val="false"/>
          </w:tcPr>
          <w:p>
            <w:pPr>
              <w:pStyle w:val="1288"/>
              <w:jc w:val="left"/>
            </w:pPr>
            <w:r/>
            <w:r/>
          </w:p>
        </w:tc>
        <w:tc>
          <w:tcPr>
            <w:tcW w:w="2534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Срок регистрации обращения в СТПП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1913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В течение 2 рабочих часов с момента обращения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/>
        <w:tc>
          <w:tcPr>
            <w:tcW w:w="787" w:type="dxa"/>
            <w:vMerge w:val="continue"/>
            <w:textDirection w:val="lrTb"/>
            <w:noWrap w:val="false"/>
          </w:tcPr>
          <w:p>
            <w:pPr>
              <w:pStyle w:val="1305"/>
              <w:numPr>
                <w:ilvl w:val="0"/>
                <w:numId w:val="0"/>
              </w:numPr>
            </w:pPr>
            <w:r/>
            <w:r/>
          </w:p>
        </w:tc>
        <w:tc>
          <w:tcPr>
            <w:tcW w:w="2752" w:type="dxa"/>
            <w:vMerge w:val="continue"/>
            <w:textDirection w:val="lrTb"/>
            <w:noWrap w:val="false"/>
          </w:tcPr>
          <w:p>
            <w:pPr>
              <w:pStyle w:val="1288"/>
              <w:jc w:val="left"/>
            </w:pPr>
            <w:r/>
            <w:r/>
          </w:p>
        </w:tc>
        <w:tc>
          <w:tcPr>
            <w:tcW w:w="2835" w:type="dxa"/>
            <w:vMerge w:val="continue"/>
            <w:textDirection w:val="lrTb"/>
            <w:noWrap w:val="false"/>
          </w:tcPr>
          <w:p>
            <w:pPr>
              <w:pStyle w:val="1288"/>
              <w:jc w:val="left"/>
            </w:pPr>
            <w:r/>
            <w:r/>
          </w:p>
        </w:tc>
        <w:tc>
          <w:tcPr>
            <w:tcW w:w="2086" w:type="dxa"/>
            <w:vMerge w:val="continue"/>
            <w:textDirection w:val="lrTb"/>
            <w:noWrap w:val="false"/>
          </w:tcPr>
          <w:p>
            <w:pPr>
              <w:pStyle w:val="1288"/>
              <w:jc w:val="left"/>
            </w:pPr>
            <w:r/>
            <w:r/>
          </w:p>
        </w:tc>
        <w:tc>
          <w:tcPr>
            <w:tcW w:w="2030" w:type="dxa"/>
            <w:vMerge w:val="continue"/>
            <w:textDirection w:val="lrTb"/>
            <w:noWrap w:val="false"/>
          </w:tcPr>
          <w:p>
            <w:pPr>
              <w:pStyle w:val="1288"/>
              <w:jc w:val="left"/>
            </w:pPr>
            <w:r/>
            <w:r/>
          </w:p>
        </w:tc>
        <w:tc>
          <w:tcPr>
            <w:tcW w:w="2534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Срок информирования пользователя о регистрации обращения по электронной почте (в случае ее предоставления) с указанием присвоенного идентификатора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1913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В течение 2 рабочих часов с момента регистрации обращения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/>
        <w:tc>
          <w:tcPr>
            <w:tcW w:w="787" w:type="dxa"/>
            <w:vMerge w:val="restart"/>
            <w:textDirection w:val="lrTb"/>
            <w:noWrap w:val="false"/>
          </w:tcPr>
          <w:p>
            <w:pPr>
              <w:pStyle w:val="1305"/>
              <w:numPr>
                <w:ilvl w:val="0"/>
                <w:numId w:val="0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1.5.</w:t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W w:w="2752" w:type="dxa"/>
            <w:vMerge w:val="restart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Информирование пользователей о результатах обработки обращения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Информирование пользователей о результатах обработки зарегистрированных обращений в соответствии с порядком обработки обращений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086" w:type="dxa"/>
            <w:vMerge w:val="restart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Временной режим информирования пользователей о результатах обработки зарегистрированных обращений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030" w:type="dxa"/>
            <w:vMerge w:val="restart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Стандартное время работы СТП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534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Срок предоставления информации о статусе и результатах обработки зарегистрированных обращений по запросу инициатора или уполномоченного представителя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1913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В течение 2 рабочих часов с момента запроса информации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/>
        <w:tc>
          <w:tcPr>
            <w:tcW w:w="787" w:type="dxa"/>
            <w:vMerge w:val="continue"/>
            <w:textDirection w:val="lrTb"/>
            <w:noWrap w:val="false"/>
          </w:tcPr>
          <w:p>
            <w:pPr>
              <w:pStyle w:val="1288"/>
            </w:pPr>
            <w:r/>
            <w:r/>
          </w:p>
        </w:tc>
        <w:tc>
          <w:tcPr>
            <w:tcW w:w="2752" w:type="dxa"/>
            <w:vMerge w:val="continue"/>
            <w:textDirection w:val="lrTb"/>
            <w:noWrap w:val="false"/>
          </w:tcPr>
          <w:p>
            <w:pPr>
              <w:pStyle w:val="1288"/>
              <w:jc w:val="left"/>
            </w:pPr>
            <w:r/>
            <w:r/>
          </w:p>
        </w:tc>
        <w:tc>
          <w:tcPr>
            <w:tcW w:w="2835" w:type="dxa"/>
            <w:vMerge w:val="continue"/>
            <w:textDirection w:val="lrTb"/>
            <w:noWrap w:val="false"/>
          </w:tcPr>
          <w:p>
            <w:pPr>
              <w:pStyle w:val="1288"/>
              <w:jc w:val="left"/>
            </w:pPr>
            <w:r/>
            <w:r/>
          </w:p>
        </w:tc>
        <w:tc>
          <w:tcPr>
            <w:tcW w:w="2086" w:type="dxa"/>
            <w:vMerge w:val="continue"/>
            <w:textDirection w:val="lrTb"/>
            <w:noWrap w:val="false"/>
          </w:tcPr>
          <w:p>
            <w:pPr>
              <w:pStyle w:val="1288"/>
              <w:jc w:val="left"/>
            </w:pPr>
            <w:r/>
            <w:r/>
          </w:p>
        </w:tc>
        <w:tc>
          <w:tcPr>
            <w:tcW w:w="2030" w:type="dxa"/>
            <w:vMerge w:val="continue"/>
            <w:textDirection w:val="lrTb"/>
            <w:noWrap w:val="false"/>
          </w:tcPr>
          <w:p>
            <w:pPr>
              <w:pStyle w:val="1288"/>
              <w:jc w:val="left"/>
            </w:pPr>
            <w:r/>
            <w:r/>
          </w:p>
        </w:tc>
        <w:tc>
          <w:tcPr>
            <w:tcW w:w="2534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Срок уведомления пользователей о результатах обработки зарегистрированных обращений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1913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В течение 2 рабочих часов с момента завершения обработки обращения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/>
        <w:tc>
          <w:tcPr>
            <w:tcW w:w="787" w:type="dxa"/>
            <w:vMerge w:val="continue"/>
            <w:textDirection w:val="lrTb"/>
            <w:noWrap w:val="false"/>
          </w:tcPr>
          <w:p>
            <w:pPr>
              <w:pStyle w:val="1288"/>
            </w:pPr>
            <w:r/>
            <w:r/>
          </w:p>
        </w:tc>
        <w:tc>
          <w:tcPr>
            <w:tcW w:w="2752" w:type="dxa"/>
            <w:vMerge w:val="continue"/>
            <w:textDirection w:val="lrTb"/>
            <w:noWrap w:val="false"/>
          </w:tcPr>
          <w:p>
            <w:pPr>
              <w:pStyle w:val="1288"/>
              <w:jc w:val="left"/>
            </w:pPr>
            <w:r/>
            <w:r/>
          </w:p>
        </w:tc>
        <w:tc>
          <w:tcPr>
            <w:tcW w:w="2835" w:type="dxa"/>
            <w:vMerge w:val="continue"/>
            <w:textDirection w:val="lrTb"/>
            <w:noWrap w:val="false"/>
          </w:tcPr>
          <w:p>
            <w:pPr>
              <w:pStyle w:val="1288"/>
              <w:jc w:val="left"/>
            </w:pPr>
            <w:r/>
            <w:r/>
          </w:p>
        </w:tc>
        <w:tc>
          <w:tcPr>
            <w:tcW w:w="2086" w:type="dxa"/>
            <w:vMerge w:val="continue"/>
            <w:textDirection w:val="lrTb"/>
            <w:noWrap w:val="false"/>
          </w:tcPr>
          <w:p>
            <w:pPr>
              <w:pStyle w:val="1288"/>
              <w:jc w:val="left"/>
            </w:pPr>
            <w:r/>
            <w:r/>
          </w:p>
        </w:tc>
        <w:tc>
          <w:tcPr>
            <w:tcW w:w="2030" w:type="dxa"/>
            <w:vMerge w:val="continue"/>
            <w:textDirection w:val="lrTb"/>
            <w:noWrap w:val="false"/>
          </w:tcPr>
          <w:p>
            <w:pPr>
              <w:pStyle w:val="1288"/>
              <w:jc w:val="left"/>
            </w:pPr>
            <w:r/>
            <w:r/>
          </w:p>
        </w:tc>
        <w:tc>
          <w:tcPr>
            <w:tcW w:w="2534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Срок рассмотрения претензий к результату обработки обращения, по истечении которого обращение считается закрытым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1913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В течение 3 рабочих дней с момента завершения обработки обращения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/>
        <w:tc>
          <w:tcPr>
            <w:tcW w:w="787" w:type="dxa"/>
            <w:textDirection w:val="lrTb"/>
            <w:noWrap w:val="false"/>
          </w:tcPr>
          <w:p>
            <w:pPr>
              <w:pStyle w:val="1305"/>
              <w:numPr>
                <w:ilvl w:val="0"/>
                <w:numId w:val="32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gridSpan w:val="2"/>
            <w:tcW w:w="5587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b/>
                <w:bCs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Техническое обслуживание и ремонт АИС ОГУ</w:t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</w:tc>
        <w:tc>
          <w:tcPr>
            <w:tcW w:w="2086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030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534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1913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3048"/>
        </w:trPr>
        <w:tc>
          <w:tcPr>
            <w:tcW w:w="787" w:type="dxa"/>
            <w:textDirection w:val="lrTb"/>
            <w:noWrap w:val="false"/>
          </w:tcPr>
          <w:p>
            <w:pPr>
              <w:pStyle w:val="1305"/>
              <w:numPr>
                <w:ilvl w:val="0"/>
                <w:numId w:val="0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2.1.</w:t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W w:w="2752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Обеспечение непрерывности функционирования АИС ОГУ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Восстановление ПО АИС ОГУ с помощью установки дистрибутивов и восстановления БД АИС ОГУ из резервной копии после аварий и отказов, воссоздания исходной конфигурации БД АИС ОГУ с нуля в случае утраты резервной копии после аварий и отказов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086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Временной режим воссоздания АИС ОГУ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030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Стандартное время работы СТП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534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Срок воссоздания АИС ОГУ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1913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32 рабочих часа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4554"/>
        </w:trPr>
        <w:tc>
          <w:tcPr>
            <w:tcW w:w="787" w:type="dxa"/>
            <w:textDirection w:val="lrTb"/>
            <w:noWrap w:val="false"/>
          </w:tcPr>
          <w:p>
            <w:pPr>
              <w:pStyle w:val="1305"/>
              <w:numPr>
                <w:ilvl w:val="0"/>
                <w:numId w:val="0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2.2.</w:t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W w:w="2752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Неотложный ремонт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Проведение комплекса технических операций в</w:t>
            </w:r>
            <w:r>
              <w:rPr>
                <w:sz w:val="26"/>
                <w:highlight w:val="white"/>
              </w:rPr>
              <w:t xml:space="preserve"> своей зоне ответственности по восстановлению исправного или работоспособного состояния АИС ОГУ, включая следующие операции: диагностика и устранение неисправностей, установка и переустановка ПО, применение пакетов обновлений ПО, откладка и тестирования ПО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086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Временной интервал проведения неотложного ремонта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030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В любое время по согласованию с Заказчиком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534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Минимальное время уведомления до проведения неотложного ремонта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1913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30 рабочих минут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7158"/>
        </w:trPr>
        <w:tc>
          <w:tcPr>
            <w:tcW w:w="787" w:type="dxa"/>
            <w:textDirection w:val="lrTb"/>
            <w:noWrap w:val="false"/>
          </w:tcPr>
          <w:p>
            <w:pPr>
              <w:pStyle w:val="1305"/>
              <w:numPr>
                <w:ilvl w:val="0"/>
                <w:numId w:val="0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2.3.</w:t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W w:w="2752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Плановое техническое обслуживание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Прове</w:t>
            </w:r>
            <w:r>
              <w:rPr>
                <w:sz w:val="26"/>
                <w:highlight w:val="white"/>
              </w:rPr>
              <w:t xml:space="preserve">дение комплекса технических операций в своей зоне ответственности, направленных на поддержание работоспособности и исправности АИС ОГУ и снижение вероятности ее отказов при использовании по назначению, включая следующие операции: архивация логов (перенос л</w:t>
            </w:r>
            <w:r>
              <w:rPr>
                <w:sz w:val="26"/>
                <w:highlight w:val="white"/>
              </w:rPr>
              <w:t xml:space="preserve">огов из БД в архив), удаление записей технических таблиц, профилактическая архивация и восстановление БД, оптимизация структуры БД, создание индексов, оптимизация запросов БД, плановый анализ эксплуатационных журналов и показателей функционирования АИС ОГУ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086" w:type="dxa"/>
            <w:textDirection w:val="lrTb"/>
            <w:noWrap w:val="false"/>
          </w:tcPr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Временной интервал проведения планового технического обслуживания, требующего ограничения доступности АИС ОГУ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030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Время наименьшей востребованности АИС ОГУ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534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Минимальное время уведомления до проведения планового технического обслуживания, требующего ограничения доступности АИС ОГУ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1913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4 рабочих часа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842"/>
        </w:trPr>
        <w:tc>
          <w:tcPr>
            <w:tcW w:w="787" w:type="dxa"/>
            <w:vMerge w:val="restart"/>
            <w:textDirection w:val="lrTb"/>
            <w:noWrap w:val="false"/>
          </w:tcPr>
          <w:p>
            <w:pPr>
              <w:pStyle w:val="1305"/>
              <w:numPr>
                <w:ilvl w:val="0"/>
                <w:numId w:val="0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2.4.</w:t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W w:w="2752" w:type="dxa"/>
            <w:vMerge w:val="restart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Резервное копирование БД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Конфигурирование и осуществление резервного копирования БД АИС ОГУ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086" w:type="dxa"/>
            <w:vMerge w:val="restart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030" w:type="dxa"/>
            <w:vMerge w:val="restart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534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Частота резервного копирования БД АИС ОГУ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1913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Ежедневно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/>
        <w:tc>
          <w:tcPr>
            <w:tcW w:w="787" w:type="dxa"/>
            <w:vMerge w:val="continue"/>
            <w:textDirection w:val="lrTb"/>
            <w:noWrap w:val="false"/>
          </w:tcPr>
          <w:p>
            <w:pPr>
              <w:pStyle w:val="1288"/>
            </w:pPr>
            <w:r/>
            <w:r/>
          </w:p>
        </w:tc>
        <w:tc>
          <w:tcPr>
            <w:tcW w:w="2752" w:type="dxa"/>
            <w:vMerge w:val="continue"/>
            <w:textDirection w:val="lrTb"/>
            <w:noWrap w:val="false"/>
          </w:tcPr>
          <w:p>
            <w:pPr>
              <w:pStyle w:val="1288"/>
              <w:jc w:val="left"/>
            </w:pPr>
            <w:r/>
            <w:r/>
          </w:p>
        </w:tc>
        <w:tc>
          <w:tcPr>
            <w:tcW w:w="2835" w:type="dxa"/>
            <w:vMerge w:val="continue"/>
            <w:textDirection w:val="lrTb"/>
            <w:noWrap w:val="false"/>
          </w:tcPr>
          <w:p>
            <w:pPr>
              <w:pStyle w:val="1288"/>
              <w:jc w:val="left"/>
            </w:pPr>
            <w:r/>
            <w:r/>
          </w:p>
        </w:tc>
        <w:tc>
          <w:tcPr>
            <w:tcW w:w="2086" w:type="dxa"/>
            <w:vMerge w:val="continue"/>
            <w:textDirection w:val="lrTb"/>
            <w:noWrap w:val="false"/>
          </w:tcPr>
          <w:p>
            <w:pPr>
              <w:pStyle w:val="1288"/>
              <w:jc w:val="left"/>
            </w:pPr>
            <w:r/>
            <w:r/>
          </w:p>
        </w:tc>
        <w:tc>
          <w:tcPr>
            <w:tcW w:w="2030" w:type="dxa"/>
            <w:vMerge w:val="continue"/>
            <w:textDirection w:val="lrTb"/>
            <w:noWrap w:val="false"/>
          </w:tcPr>
          <w:p>
            <w:pPr>
              <w:pStyle w:val="1288"/>
              <w:jc w:val="left"/>
            </w:pPr>
            <w:r/>
            <w:r/>
          </w:p>
        </w:tc>
        <w:tc>
          <w:tcPr>
            <w:tcW w:w="2534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Объем дискового пространства для хранения резервных копий БД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1913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Достаточный для осуществления резервного копирования БД АИС ОГУ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/>
        <w:tc>
          <w:tcPr>
            <w:tcW w:w="787" w:type="dxa"/>
            <w:textDirection w:val="lrTb"/>
            <w:noWrap w:val="false"/>
          </w:tcPr>
          <w:p>
            <w:pPr>
              <w:pStyle w:val="1305"/>
              <w:numPr>
                <w:ilvl w:val="0"/>
                <w:numId w:val="32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gridSpan w:val="2"/>
            <w:tcW w:w="5587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b/>
                <w:bCs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Выпуск, тестирование и установка обновлений АИС ОГУ</w:t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</w:tc>
        <w:tc>
          <w:tcPr>
            <w:tcW w:w="2086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030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534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1913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/>
        <w:tc>
          <w:tcPr>
            <w:tcW w:w="787" w:type="dxa"/>
            <w:textDirection w:val="lrTb"/>
            <w:noWrap w:val="false"/>
          </w:tcPr>
          <w:p>
            <w:pPr>
              <w:pStyle w:val="1305"/>
              <w:numPr>
                <w:ilvl w:val="0"/>
                <w:numId w:val="0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3.1.</w:t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W w:w="2752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Организация тестового стенда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Проведение комплекса операций по созданию и техническому обслуживанию тестового стенда АИС ОГУ, включая следующие операции: выделение серверных мощностей для размещения тестового стенда, установка и </w:t>
            </w:r>
            <w:r>
              <w:rPr>
                <w:sz w:val="26"/>
                <w:highlight w:val="white"/>
              </w:rPr>
              <w:t xml:space="preserve">пусконаладка</w:t>
            </w:r>
            <w:r>
              <w:rPr>
                <w:sz w:val="26"/>
                <w:highlight w:val="white"/>
              </w:rPr>
              <w:t xml:space="preserve"> ПО АИС ОГУ, подключение тестового стенда к СМЭВ, обеспечение уровня доступности тестового стенда, необходимого для целей тестирования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086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030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534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1913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/>
        <w:tc>
          <w:tcPr>
            <w:tcW w:w="787" w:type="dxa"/>
            <w:textDirection w:val="lrTb"/>
            <w:noWrap w:val="false"/>
          </w:tcPr>
          <w:p>
            <w:pPr>
              <w:pStyle w:val="1305"/>
              <w:numPr>
                <w:ilvl w:val="0"/>
                <w:numId w:val="0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3.2.</w:t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W w:w="2752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Сценарное тестирование обновлений на тестовом стенде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Сценарное тестирование обновлений на тестовом стенде перед их установкой на рабочие сервера Заказчика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086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Период проведения сценарного тестирования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030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Перед каждым выводом в продуктивный контур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534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1913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1012"/>
        </w:trPr>
        <w:tc>
          <w:tcPr>
            <w:tcW w:w="787" w:type="dxa"/>
            <w:textDirection w:val="lrTb"/>
            <w:noWrap w:val="false"/>
          </w:tcPr>
          <w:p>
            <w:pPr>
              <w:pStyle w:val="1305"/>
              <w:numPr>
                <w:ilvl w:val="0"/>
                <w:numId w:val="0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3.3.</w:t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W w:w="2752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Установка обновлений на рабочие сервера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Установка обновлений на рабочие сервера АИС ОГУ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086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Временной интервал установки обновлений АИС ОГУ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030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Время наименьшей востребованности АИС ОГУ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534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Минимальное время уведомления до проведения установки обновлений АИС ОГУ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1913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4 рабочих часа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1265"/>
        </w:trPr>
        <w:tc>
          <w:tcPr>
            <w:tcW w:w="787" w:type="dxa"/>
            <w:textDirection w:val="lrTb"/>
            <w:noWrap w:val="false"/>
          </w:tcPr>
          <w:p>
            <w:pPr>
              <w:pStyle w:val="1305"/>
              <w:numPr>
                <w:ilvl w:val="0"/>
                <w:numId w:val="0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3.4.</w:t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W w:w="2752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Установка отдельных пакетов изменений на рабочие сервера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Установка отдельных пакетов изменений на рабочие сервера АИС ОГУ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086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Временной интервал установки обновлений АИС ОГУ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030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Время наименьшей востребованности АИС ОГУ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534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Минимальное время уведомления до проведения установки отдельных пакетов изменений АИС ОГУ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1913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1 рабочий час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/>
        <w:tc>
          <w:tcPr>
            <w:tcW w:w="787" w:type="dxa"/>
            <w:textDirection w:val="lrTb"/>
            <w:noWrap w:val="false"/>
          </w:tcPr>
          <w:p>
            <w:pPr>
              <w:pStyle w:val="1305"/>
              <w:numPr>
                <w:ilvl w:val="0"/>
                <w:numId w:val="32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gridSpan w:val="2"/>
            <w:tcW w:w="5587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b/>
                <w:bCs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Мониторинг технического состояния и диагностика неисправностей АИС ОГУ</w:t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</w:tc>
        <w:tc>
          <w:tcPr>
            <w:tcW w:w="2086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030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534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1913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3495"/>
        </w:trPr>
        <w:tc>
          <w:tcPr>
            <w:tcW w:w="787" w:type="dxa"/>
            <w:textDirection w:val="lrTb"/>
            <w:noWrap w:val="false"/>
          </w:tcPr>
          <w:p>
            <w:pPr>
              <w:pStyle w:val="1305"/>
              <w:numPr>
                <w:ilvl w:val="0"/>
                <w:numId w:val="0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4.1.</w:t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W w:w="2752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Мониторинг взаимодействия с единым сервисом СМЭВ 3.х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Проверка логов адапт</w:t>
            </w:r>
            <w:r>
              <w:rPr>
                <w:sz w:val="26"/>
                <w:highlight w:val="white"/>
              </w:rPr>
              <w:t xml:space="preserve">ера «Универсальный адаптер СМЭВ версии 3.х» на наличие ошибочных записей. Диагностика причин нахождения записей на статусах «Ошибка (на клиенте)», «Ошибка обработки запроса (на сервере)». Инициация процесса устранения неисправностей в зависимости от причин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086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030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534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Частота мониторинга взаимодействия с единым сервисом СМЭВ 3.х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1913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Ежедневно по рабочим дням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/>
        <w:tc>
          <w:tcPr>
            <w:tcW w:w="787" w:type="dxa"/>
            <w:textDirection w:val="lrTb"/>
            <w:noWrap w:val="false"/>
          </w:tcPr>
          <w:p>
            <w:pPr>
              <w:pStyle w:val="1305"/>
              <w:numPr>
                <w:ilvl w:val="0"/>
                <w:numId w:val="32"/>
              </w:numPr>
              <w:shd w:val="clear" w:color="ffffff" w:themeColor="background1" w:fill="ffffff" w:themeFill="background1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</w:tc>
        <w:tc>
          <w:tcPr>
            <w:gridSpan w:val="2"/>
            <w:tcW w:w="5587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b/>
                <w:bCs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Разрешение инцидентов</w:t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</w:tc>
        <w:tc>
          <w:tcPr>
            <w:tcW w:w="2086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030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534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1913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/>
        <w:tc>
          <w:tcPr>
            <w:tcW w:w="787" w:type="dxa"/>
            <w:vMerge w:val="restart"/>
            <w:textDirection w:val="lrTb"/>
            <w:noWrap w:val="false"/>
          </w:tcPr>
          <w:p>
            <w:pPr>
              <w:pStyle w:val="1305"/>
              <w:numPr>
                <w:ilvl w:val="0"/>
                <w:numId w:val="0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5.1.</w:t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W w:w="2752" w:type="dxa"/>
            <w:vMerge w:val="restart"/>
            <w:textDirection w:val="lrTb"/>
            <w:noWrap w:val="false"/>
          </w:tcPr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Устранение сбоев и отказов АИС ОГУ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Устранение сбоев и отказов АИС ОГУ в своей зоне ответственности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086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Временной режим разрешения инцидентов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030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Стандартное время работы СТП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534" w:type="dxa"/>
            <w:vMerge w:val="restart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1913" w:type="dxa"/>
            <w:vMerge w:val="restart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/>
        <w:tc>
          <w:tcPr>
            <w:tcW w:w="787" w:type="dxa"/>
            <w:vMerge w:val="continue"/>
            <w:textDirection w:val="lrTb"/>
            <w:noWrap w:val="false"/>
          </w:tcPr>
          <w:p>
            <w:pPr>
              <w:pStyle w:val="1305"/>
              <w:numPr>
                <w:ilvl w:val="0"/>
                <w:numId w:val="0"/>
              </w:numPr>
            </w:pPr>
            <w:r/>
            <w:r/>
          </w:p>
        </w:tc>
        <w:tc>
          <w:tcPr>
            <w:tcW w:w="2752" w:type="dxa"/>
            <w:vMerge w:val="continue"/>
            <w:textDirection w:val="lrTb"/>
            <w:noWrap w:val="false"/>
          </w:tcPr>
          <w:p>
            <w:pPr>
              <w:pStyle w:val="1288"/>
            </w:pPr>
            <w:r/>
            <w:r/>
          </w:p>
        </w:tc>
        <w:tc>
          <w:tcPr>
            <w:tcW w:w="2835" w:type="dxa"/>
            <w:vMerge w:val="continue"/>
            <w:textDirection w:val="lrTb"/>
            <w:noWrap w:val="false"/>
          </w:tcPr>
          <w:p>
            <w:pPr>
              <w:pStyle w:val="1288"/>
            </w:pPr>
            <w:r/>
            <w:r/>
          </w:p>
        </w:tc>
        <w:tc>
          <w:tcPr>
            <w:tcW w:w="2086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Сроки разрешения инцидентов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030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В соответствии со сроками обработки обращений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534" w:type="dxa"/>
            <w:vMerge w:val="continue"/>
            <w:textDirection w:val="lrTb"/>
            <w:noWrap w:val="false"/>
          </w:tcPr>
          <w:p>
            <w:pPr>
              <w:pStyle w:val="1288"/>
            </w:pPr>
            <w:r/>
            <w:r/>
          </w:p>
        </w:tc>
        <w:tc>
          <w:tcPr>
            <w:tcW w:w="1913" w:type="dxa"/>
            <w:vMerge w:val="continue"/>
            <w:textDirection w:val="lrTb"/>
            <w:noWrap w:val="false"/>
          </w:tcPr>
          <w:p>
            <w:pPr>
              <w:pStyle w:val="1288"/>
            </w:pPr>
            <w:r/>
            <w:r/>
          </w:p>
        </w:tc>
      </w:tr>
      <w:tr>
        <w:tblPrEx/>
        <w:trPr/>
        <w:tc>
          <w:tcPr>
            <w:tcW w:w="787" w:type="dxa"/>
            <w:textDirection w:val="lrTb"/>
            <w:noWrap w:val="false"/>
          </w:tcPr>
          <w:p>
            <w:pPr>
              <w:pStyle w:val="1305"/>
              <w:numPr>
                <w:ilvl w:val="0"/>
                <w:numId w:val="32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gridSpan w:val="2"/>
            <w:tcW w:w="5587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b/>
                <w:bCs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Обработка запросов на обслуживание и консультации</w:t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</w:tc>
        <w:tc>
          <w:tcPr>
            <w:tcW w:w="2086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030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534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1913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/>
        <w:tc>
          <w:tcPr>
            <w:tcW w:w="787" w:type="dxa"/>
            <w:vMerge w:val="restart"/>
            <w:textDirection w:val="lrTb"/>
            <w:noWrap w:val="false"/>
          </w:tcPr>
          <w:p>
            <w:pPr>
              <w:pStyle w:val="1305"/>
              <w:numPr>
                <w:ilvl w:val="0"/>
                <w:numId w:val="0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6.1.</w:t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W w:w="2752" w:type="dxa"/>
            <w:vMerge w:val="restart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Замена ключей ЭП-ОВ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Замена ключей ЭП-ОВ для работы АИС ОГУ в СМЭВ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086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Временной режим обработки запросов на обслуживание и предоставление консультаций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030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Стандартное время работы СТП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534" w:type="dxa"/>
            <w:vMerge w:val="restart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Количество замен ключей ЭП-ОВ за весь период оказания Услуг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1913" w:type="dxa"/>
            <w:vMerge w:val="restart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Не более 1 шт.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/>
        <w:tc>
          <w:tcPr>
            <w:tcW w:w="787" w:type="dxa"/>
            <w:vMerge w:val="continue"/>
            <w:textDirection w:val="lrTb"/>
            <w:noWrap w:val="false"/>
          </w:tcPr>
          <w:p>
            <w:pPr>
              <w:pStyle w:val="1305"/>
              <w:numPr>
                <w:ilvl w:val="0"/>
                <w:numId w:val="0"/>
              </w:numPr>
            </w:pPr>
            <w:r/>
            <w:r/>
          </w:p>
        </w:tc>
        <w:tc>
          <w:tcPr>
            <w:tcW w:w="2752" w:type="dxa"/>
            <w:vMerge w:val="continue"/>
            <w:textDirection w:val="lrTb"/>
            <w:noWrap w:val="false"/>
          </w:tcPr>
          <w:p>
            <w:pPr>
              <w:pStyle w:val="1288"/>
            </w:pPr>
            <w:r/>
            <w:r/>
          </w:p>
        </w:tc>
        <w:tc>
          <w:tcPr>
            <w:tcW w:w="2835" w:type="dxa"/>
            <w:vMerge w:val="continue"/>
            <w:textDirection w:val="lrTb"/>
            <w:noWrap w:val="false"/>
          </w:tcPr>
          <w:p>
            <w:pPr>
              <w:pStyle w:val="1288"/>
            </w:pPr>
            <w:r/>
            <w:r/>
          </w:p>
        </w:tc>
        <w:tc>
          <w:tcPr>
            <w:tcW w:w="2086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Сроки обработки запросов на обслуживание и предоставление консультаций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030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В соответствии со сроками обработки обращений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534" w:type="dxa"/>
            <w:vMerge w:val="continue"/>
            <w:textDirection w:val="lrTb"/>
            <w:noWrap w:val="false"/>
          </w:tcPr>
          <w:p>
            <w:pPr>
              <w:pStyle w:val="1288"/>
            </w:pPr>
            <w:r/>
            <w:r/>
          </w:p>
        </w:tc>
        <w:tc>
          <w:tcPr>
            <w:tcW w:w="1913" w:type="dxa"/>
            <w:vMerge w:val="continue"/>
            <w:textDirection w:val="lrTb"/>
            <w:noWrap w:val="false"/>
          </w:tcPr>
          <w:p>
            <w:pPr>
              <w:pStyle w:val="1288"/>
            </w:pPr>
            <w:r/>
            <w:r/>
          </w:p>
        </w:tc>
      </w:tr>
      <w:tr>
        <w:tblPrEx/>
        <w:trPr/>
        <w:tc>
          <w:tcPr>
            <w:tcW w:w="787" w:type="dxa"/>
            <w:vMerge w:val="restart"/>
            <w:textDirection w:val="lrTb"/>
            <w:noWrap w:val="false"/>
          </w:tcPr>
          <w:p>
            <w:pPr>
              <w:pStyle w:val="1305"/>
              <w:numPr>
                <w:ilvl w:val="0"/>
                <w:numId w:val="0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6.2.</w:t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W w:w="2752" w:type="dxa"/>
            <w:vMerge w:val="restart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Администрирование пользователей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Добавление, редактирование и удаление учетных записей пользователей АИС ОГУ, настройка прав доступа, сброс паролей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086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Временной режим обработки запросов на обслуживание и предоставление консультаций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030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Стандартное время работы СТП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534" w:type="dxa"/>
            <w:vMerge w:val="restart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Количество работ по администрированию пользователей за весь период оказания Услуг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1913" w:type="dxa"/>
            <w:vMerge w:val="restart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Не более 80 шт.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/>
        <w:tc>
          <w:tcPr>
            <w:tcW w:w="787" w:type="dxa"/>
            <w:vMerge w:val="continue"/>
            <w:textDirection w:val="lrTb"/>
            <w:noWrap w:val="false"/>
          </w:tcPr>
          <w:p>
            <w:pPr>
              <w:pStyle w:val="1305"/>
              <w:numPr>
                <w:ilvl w:val="0"/>
                <w:numId w:val="0"/>
              </w:numPr>
            </w:pPr>
            <w:r/>
            <w:r/>
          </w:p>
        </w:tc>
        <w:tc>
          <w:tcPr>
            <w:tcW w:w="2752" w:type="dxa"/>
            <w:vMerge w:val="continue"/>
            <w:textDirection w:val="lrTb"/>
            <w:noWrap w:val="false"/>
          </w:tcPr>
          <w:p>
            <w:pPr>
              <w:pStyle w:val="1288"/>
              <w:jc w:val="left"/>
            </w:pPr>
            <w:r/>
            <w:r/>
          </w:p>
        </w:tc>
        <w:tc>
          <w:tcPr>
            <w:tcW w:w="2835" w:type="dxa"/>
            <w:vMerge w:val="continue"/>
            <w:textDirection w:val="lrTb"/>
            <w:noWrap w:val="false"/>
          </w:tcPr>
          <w:p>
            <w:pPr>
              <w:pStyle w:val="1288"/>
              <w:jc w:val="left"/>
            </w:pPr>
            <w:r/>
            <w:r/>
          </w:p>
        </w:tc>
        <w:tc>
          <w:tcPr>
            <w:tcW w:w="2086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Сроки обработки запросов на обслуживание и предоставление консультаций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030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В соответствии со сроками обработки обращений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534" w:type="dxa"/>
            <w:vMerge w:val="continue"/>
            <w:textDirection w:val="lrTb"/>
            <w:noWrap w:val="false"/>
          </w:tcPr>
          <w:p>
            <w:pPr>
              <w:pStyle w:val="1288"/>
              <w:jc w:val="left"/>
            </w:pPr>
            <w:r/>
            <w:r/>
          </w:p>
        </w:tc>
        <w:tc>
          <w:tcPr>
            <w:tcW w:w="1913" w:type="dxa"/>
            <w:vMerge w:val="continue"/>
            <w:textDirection w:val="lrTb"/>
            <w:noWrap w:val="false"/>
          </w:tcPr>
          <w:p>
            <w:pPr>
              <w:pStyle w:val="1288"/>
              <w:jc w:val="left"/>
            </w:pPr>
            <w:r/>
            <w:r/>
          </w:p>
        </w:tc>
      </w:tr>
      <w:tr>
        <w:tblPrEx/>
        <w:trPr/>
        <w:tc>
          <w:tcPr>
            <w:tcW w:w="787" w:type="dxa"/>
            <w:vMerge w:val="restart"/>
            <w:textDirection w:val="lrTb"/>
            <w:noWrap w:val="false"/>
          </w:tcPr>
          <w:p>
            <w:pPr>
              <w:pStyle w:val="1305"/>
              <w:numPr>
                <w:ilvl w:val="0"/>
                <w:numId w:val="0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6.3.</w:t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W w:w="2752" w:type="dxa"/>
            <w:vMerge w:val="restart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Актуализация справочников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Актуализация справочников АИС ОГУ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086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Временной режим обработки запросов на обслуживание и предоставление консультаций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030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Стандартное время работы СТП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534" w:type="dxa"/>
            <w:vMerge w:val="restart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Количество работ по актуализации справочников за весь период оказания Услуг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1913" w:type="dxa"/>
            <w:vMerge w:val="restart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Не более</w:t>
            </w:r>
            <w:r>
              <w:rPr>
                <w:sz w:val="26"/>
                <w:highlight w:val="white"/>
                <w:lang w:val="en-US"/>
              </w:rPr>
              <w:t xml:space="preserve"> </w:t>
            </w:r>
            <w:r>
              <w:rPr>
                <w:sz w:val="26"/>
                <w:highlight w:val="white"/>
              </w:rPr>
              <w:t xml:space="preserve">46 шт.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/>
        <w:tc>
          <w:tcPr>
            <w:tcW w:w="787" w:type="dxa"/>
            <w:vMerge w:val="continue"/>
            <w:textDirection w:val="lrTb"/>
            <w:noWrap w:val="false"/>
          </w:tcPr>
          <w:p>
            <w:pPr>
              <w:pStyle w:val="1305"/>
              <w:numPr>
                <w:ilvl w:val="0"/>
                <w:numId w:val="0"/>
              </w:numPr>
            </w:pPr>
            <w:r/>
            <w:r/>
          </w:p>
        </w:tc>
        <w:tc>
          <w:tcPr>
            <w:tcW w:w="2752" w:type="dxa"/>
            <w:vMerge w:val="continue"/>
            <w:textDirection w:val="lrTb"/>
            <w:noWrap w:val="false"/>
          </w:tcPr>
          <w:p>
            <w:pPr>
              <w:pStyle w:val="1288"/>
              <w:jc w:val="left"/>
            </w:pPr>
            <w:r/>
            <w:r/>
          </w:p>
        </w:tc>
        <w:tc>
          <w:tcPr>
            <w:tcW w:w="2835" w:type="dxa"/>
            <w:vMerge w:val="continue"/>
            <w:textDirection w:val="lrTb"/>
            <w:noWrap w:val="false"/>
          </w:tcPr>
          <w:p>
            <w:pPr>
              <w:pStyle w:val="1288"/>
              <w:jc w:val="left"/>
            </w:pPr>
            <w:r/>
            <w:r/>
          </w:p>
        </w:tc>
        <w:tc>
          <w:tcPr>
            <w:tcW w:w="2086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Сроки обработки запросов на обслуживание и предоставление консультаций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030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В соответствии со сроками обработки обращений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534" w:type="dxa"/>
            <w:vMerge w:val="continue"/>
            <w:textDirection w:val="lrTb"/>
            <w:noWrap w:val="false"/>
          </w:tcPr>
          <w:p>
            <w:pPr>
              <w:pStyle w:val="1288"/>
              <w:jc w:val="left"/>
            </w:pPr>
            <w:r/>
            <w:r/>
          </w:p>
        </w:tc>
        <w:tc>
          <w:tcPr>
            <w:tcW w:w="1913" w:type="dxa"/>
            <w:vMerge w:val="continue"/>
            <w:textDirection w:val="lrTb"/>
            <w:noWrap w:val="false"/>
          </w:tcPr>
          <w:p>
            <w:pPr>
              <w:pStyle w:val="1288"/>
              <w:jc w:val="left"/>
            </w:pPr>
            <w:r/>
            <w:r/>
          </w:p>
        </w:tc>
      </w:tr>
      <w:tr>
        <w:tblPrEx/>
        <w:trPr/>
        <w:tc>
          <w:tcPr>
            <w:tcW w:w="787" w:type="dxa"/>
            <w:vMerge w:val="restart"/>
            <w:textDirection w:val="lrTb"/>
            <w:noWrap w:val="false"/>
          </w:tcPr>
          <w:p>
            <w:pPr>
              <w:pStyle w:val="1305"/>
              <w:numPr>
                <w:ilvl w:val="0"/>
                <w:numId w:val="0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6.4.</w:t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W w:w="2752" w:type="dxa"/>
            <w:vMerge w:val="restart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Консультации по вопросам эксплуатации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Консультации по вопросам эксплуатации АИС ОГУ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086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Временной режим обработки запросов на обслуживание и предоставление консультаций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030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Стандартное время работы СТП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534" w:type="dxa"/>
            <w:vMerge w:val="restart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Количество консультаций по вопросам эксплуатации АИС ОГУ за весь период оказания Услуг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1913" w:type="dxa"/>
            <w:vMerge w:val="restart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Не более 87 шт.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/>
        <w:tc>
          <w:tcPr>
            <w:tcW w:w="787" w:type="dxa"/>
            <w:vMerge w:val="continue"/>
            <w:textDirection w:val="lrTb"/>
            <w:noWrap w:val="false"/>
          </w:tcPr>
          <w:p>
            <w:pPr>
              <w:pStyle w:val="1305"/>
              <w:numPr>
                <w:ilvl w:val="0"/>
                <w:numId w:val="0"/>
              </w:numPr>
            </w:pPr>
            <w:r/>
            <w:r/>
          </w:p>
        </w:tc>
        <w:tc>
          <w:tcPr>
            <w:tcW w:w="2752" w:type="dxa"/>
            <w:vMerge w:val="continue"/>
            <w:textDirection w:val="lrTb"/>
            <w:noWrap w:val="false"/>
          </w:tcPr>
          <w:p>
            <w:pPr>
              <w:pStyle w:val="1288"/>
            </w:pPr>
            <w:r/>
            <w:r/>
          </w:p>
        </w:tc>
        <w:tc>
          <w:tcPr>
            <w:tcW w:w="2835" w:type="dxa"/>
            <w:vMerge w:val="continue"/>
            <w:textDirection w:val="lrTb"/>
            <w:noWrap w:val="false"/>
          </w:tcPr>
          <w:p>
            <w:pPr>
              <w:pStyle w:val="1288"/>
            </w:pPr>
            <w:r/>
            <w:r/>
          </w:p>
        </w:tc>
        <w:tc>
          <w:tcPr>
            <w:tcW w:w="2086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Сроки обработки запросов на обслуживание и предоставление консультаций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030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В соответствии со сроками обработки обращений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534" w:type="dxa"/>
            <w:vMerge w:val="continue"/>
            <w:textDirection w:val="lrTb"/>
            <w:noWrap w:val="false"/>
          </w:tcPr>
          <w:p>
            <w:pPr>
              <w:pStyle w:val="1288"/>
            </w:pPr>
            <w:r/>
            <w:r/>
          </w:p>
        </w:tc>
        <w:tc>
          <w:tcPr>
            <w:tcW w:w="1913" w:type="dxa"/>
            <w:vMerge w:val="continue"/>
            <w:textDirection w:val="lrTb"/>
            <w:noWrap w:val="false"/>
          </w:tcPr>
          <w:p>
            <w:pPr>
              <w:pStyle w:val="1288"/>
            </w:pPr>
            <w:r/>
            <w:r/>
          </w:p>
        </w:tc>
      </w:tr>
      <w:tr>
        <w:tblPrEx/>
        <w:trPr/>
        <w:tc>
          <w:tcPr>
            <w:tcW w:w="787" w:type="dxa"/>
            <w:vMerge w:val="restart"/>
            <w:textDirection w:val="lrTb"/>
            <w:noWrap w:val="false"/>
          </w:tcPr>
          <w:p>
            <w:pPr>
              <w:pStyle w:val="1305"/>
              <w:numPr>
                <w:ilvl w:val="0"/>
                <w:numId w:val="0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6.5.</w:t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W w:w="2752" w:type="dxa"/>
            <w:vMerge w:val="restart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Формирование нерегламентированных отчетов и выгрузок из АИС ОГУ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Формирование нерегламентированных отчетов стандартными средствами без использования программирования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086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Временной режим обработки запросов на обслуживание и предоставление консультаций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030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Стандартное время работы СТП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534" w:type="dxa"/>
            <w:vMerge w:val="restart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Количество работ по формированию нерегламентированных отчетов и выгрузок из АИС ОГУ за весь период оказания Услуг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1913" w:type="dxa"/>
            <w:vMerge w:val="restart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Не более 4 шт.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/>
        <w:tc>
          <w:tcPr>
            <w:tcW w:w="787" w:type="dxa"/>
            <w:vMerge w:val="continue"/>
            <w:textDirection w:val="lrTb"/>
            <w:noWrap w:val="false"/>
          </w:tcPr>
          <w:p>
            <w:pPr>
              <w:pStyle w:val="1305"/>
              <w:numPr>
                <w:ilvl w:val="0"/>
                <w:numId w:val="0"/>
              </w:numPr>
            </w:pPr>
            <w:r/>
            <w:r/>
          </w:p>
        </w:tc>
        <w:tc>
          <w:tcPr>
            <w:tcW w:w="2752" w:type="dxa"/>
            <w:vMerge w:val="continue"/>
            <w:textDirection w:val="lrTb"/>
            <w:noWrap w:val="false"/>
          </w:tcPr>
          <w:p>
            <w:pPr>
              <w:pStyle w:val="1288"/>
              <w:jc w:val="left"/>
            </w:pPr>
            <w:r/>
            <w:r/>
          </w:p>
        </w:tc>
        <w:tc>
          <w:tcPr>
            <w:tcW w:w="2835" w:type="dxa"/>
            <w:vMerge w:val="continue"/>
            <w:textDirection w:val="lrTb"/>
            <w:noWrap w:val="false"/>
          </w:tcPr>
          <w:p>
            <w:pPr>
              <w:pStyle w:val="1288"/>
              <w:jc w:val="left"/>
            </w:pPr>
            <w:r/>
            <w:r/>
          </w:p>
        </w:tc>
        <w:tc>
          <w:tcPr>
            <w:tcW w:w="2086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Сроки обработки запросов на обслуживание и предоставление консультаций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030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В соответствии со сроками обработки обращений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534" w:type="dxa"/>
            <w:vMerge w:val="continue"/>
            <w:textDirection w:val="lrTb"/>
            <w:noWrap w:val="false"/>
          </w:tcPr>
          <w:p>
            <w:pPr>
              <w:pStyle w:val="1288"/>
              <w:jc w:val="left"/>
            </w:pPr>
            <w:r/>
            <w:r/>
          </w:p>
        </w:tc>
        <w:tc>
          <w:tcPr>
            <w:tcW w:w="1913" w:type="dxa"/>
            <w:vMerge w:val="continue"/>
            <w:textDirection w:val="lrTb"/>
            <w:noWrap w:val="false"/>
          </w:tcPr>
          <w:p>
            <w:pPr>
              <w:pStyle w:val="1288"/>
              <w:jc w:val="left"/>
            </w:pPr>
            <w:r/>
            <w:r/>
          </w:p>
        </w:tc>
      </w:tr>
      <w:tr>
        <w:tblPrEx/>
        <w:trPr/>
        <w:tc>
          <w:tcPr>
            <w:tcW w:w="787" w:type="dxa"/>
            <w:textDirection w:val="lrTb"/>
            <w:noWrap w:val="false"/>
          </w:tcPr>
          <w:p>
            <w:pPr>
              <w:pStyle w:val="1305"/>
              <w:numPr>
                <w:ilvl w:val="0"/>
                <w:numId w:val="32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gridSpan w:val="2"/>
            <w:tcW w:w="5587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b/>
                <w:bCs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Взаимодействие с третьими лицами</w:t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</w:tc>
        <w:tc>
          <w:tcPr>
            <w:tcW w:w="2086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030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534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1913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/>
        <w:tc>
          <w:tcPr>
            <w:tcW w:w="787" w:type="dxa"/>
            <w:textDirection w:val="lrTb"/>
            <w:noWrap w:val="false"/>
          </w:tcPr>
          <w:p>
            <w:pPr>
              <w:pStyle w:val="1305"/>
              <w:numPr>
                <w:ilvl w:val="0"/>
                <w:numId w:val="0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7.1.</w:t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W w:w="2752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Взаимодействие с третьими лицами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Взаимодействие с третьими лицами в своей зоне ответственности в рамках оказания услуг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086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030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534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1913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/>
        <w:tc>
          <w:tcPr>
            <w:tcW w:w="787" w:type="dxa"/>
            <w:textDirection w:val="lrTb"/>
            <w:noWrap w:val="false"/>
          </w:tcPr>
          <w:p>
            <w:pPr>
              <w:pStyle w:val="1305"/>
              <w:numPr>
                <w:ilvl w:val="0"/>
                <w:numId w:val="0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7.2.</w:t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W w:w="2752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Совместное тестирование с третьими лицами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Организация и проведение совместного тестирования с третьими лицами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086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030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534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1913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1771"/>
        </w:trPr>
        <w:tc>
          <w:tcPr>
            <w:tcW w:w="787" w:type="dxa"/>
            <w:textDirection w:val="lrTb"/>
            <w:noWrap w:val="false"/>
          </w:tcPr>
          <w:p>
            <w:pPr>
              <w:pStyle w:val="1305"/>
              <w:numPr>
                <w:ilvl w:val="0"/>
                <w:numId w:val="0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7.3.</w:t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W w:w="2752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Регистрация АИС ОГУ в СМЭВ с новой ЭП-ОВ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Регистрация АИС ОГУ в СМЭВ с новой ЭП-ОВ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086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030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534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Время начала регистрации до истечения срока действия текущей ЭП-ОВ (при условии предоставления новой ЭП-ОВ Заказчиком)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1913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2 календарные недели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/>
        <w:tc>
          <w:tcPr>
            <w:tcW w:w="787" w:type="dxa"/>
            <w:textDirection w:val="lrTb"/>
            <w:noWrap w:val="false"/>
          </w:tcPr>
          <w:p>
            <w:pPr>
              <w:pStyle w:val="1305"/>
              <w:numPr>
                <w:ilvl w:val="0"/>
                <w:numId w:val="32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gridSpan w:val="2"/>
            <w:tcW w:w="5587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b/>
                <w:bCs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Предоставление отчетности об оказанных услугах</w:t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</w:tc>
        <w:tc>
          <w:tcPr>
            <w:tcW w:w="2086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030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534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1913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402"/>
        </w:trPr>
        <w:tc>
          <w:tcPr>
            <w:tcW w:w="787" w:type="dxa"/>
            <w:textDirection w:val="lrTb"/>
            <w:noWrap w:val="false"/>
          </w:tcPr>
          <w:p>
            <w:pPr>
              <w:pStyle w:val="1305"/>
              <w:numPr>
                <w:ilvl w:val="0"/>
                <w:numId w:val="0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8.1.</w:t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W w:w="2752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Предоставление отчета о техническом обслуживании, ремонте и обновлениях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Предоставление отчета о техническом обслуживании, ремонте и обновлениях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086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030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534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Срок предоставления отчета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1913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В течение 5 рабочих дней с момента истечения периода оказания Услуг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402"/>
        </w:trPr>
        <w:tc>
          <w:tcPr>
            <w:tcW w:w="787" w:type="dxa"/>
            <w:textDirection w:val="lrTb"/>
            <w:noWrap w:val="false"/>
          </w:tcPr>
          <w:p>
            <w:pPr>
              <w:pStyle w:val="1305"/>
              <w:numPr>
                <w:ilvl w:val="0"/>
                <w:numId w:val="0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8.2.</w:t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W w:w="2752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Предоставление отчета об обработке инцидентов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Предоставление отчета об обработке инцидентов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086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030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534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Срок предоставления отчета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1913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В течение 5 рабочих дней с момента истечения периода оказания Услуг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402"/>
        </w:trPr>
        <w:tc>
          <w:tcPr>
            <w:tcW w:w="787" w:type="dxa"/>
            <w:textDirection w:val="lrTb"/>
            <w:noWrap w:val="false"/>
          </w:tcPr>
          <w:p>
            <w:pPr>
              <w:pStyle w:val="1305"/>
              <w:numPr>
                <w:ilvl w:val="0"/>
                <w:numId w:val="0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8.3.</w:t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W w:w="2752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Предоставление отчета об обработке запросов на обслуживание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Предоставление отчета об обработке запросов на обслуживание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086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030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534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Срок предоставления отчета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1913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В течение 5 рабочих дней с момента истечения периода оказания Услуг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402"/>
        </w:trPr>
        <w:tc>
          <w:tcPr>
            <w:tcW w:w="787" w:type="dxa"/>
            <w:textDirection w:val="lrTb"/>
            <w:noWrap w:val="false"/>
          </w:tcPr>
          <w:p>
            <w:pPr>
              <w:pStyle w:val="1305"/>
              <w:numPr>
                <w:ilvl w:val="0"/>
                <w:numId w:val="0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8.4.</w:t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W w:w="2752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Предоставление отчета об обработке обращений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Предоставление отчета об обработке обращениях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086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030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534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Срок предоставления отчета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1913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В течение 5 рабочих дней с момента истечения периода оказания Услуг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/>
        <w:tc>
          <w:tcPr>
            <w:tcW w:w="787" w:type="dxa"/>
            <w:textDirection w:val="lrTb"/>
            <w:noWrap w:val="false"/>
          </w:tcPr>
          <w:p>
            <w:pPr>
              <w:pStyle w:val="1305"/>
              <w:numPr>
                <w:ilvl w:val="0"/>
                <w:numId w:val="32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gridSpan w:val="2"/>
            <w:tcW w:w="5587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b/>
                <w:bCs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Предоставление результатов оказания услуг</w:t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</w:tc>
        <w:tc>
          <w:tcPr>
            <w:tcW w:w="2086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030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534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1913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/>
        <w:tc>
          <w:tcPr>
            <w:tcW w:w="787" w:type="dxa"/>
            <w:textDirection w:val="lrTb"/>
            <w:noWrap w:val="false"/>
          </w:tcPr>
          <w:p>
            <w:pPr>
              <w:pStyle w:val="1305"/>
              <w:numPr>
                <w:ilvl w:val="0"/>
                <w:numId w:val="0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9.1.</w:t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W w:w="2752" w:type="dxa"/>
            <w:textDirection w:val="lrTb"/>
            <w:noWrap w:val="false"/>
          </w:tcPr>
          <w:p>
            <w:pPr>
              <w:pStyle w:val="1288"/>
              <w:ind w:left="0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Предоставление актуальной эксплуатационной документации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Предоставление актуальных версий руководств пользователя и администратора 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086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030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534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Срок предоставления актуальных версий руководств пользователя и администратора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1913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В течение 5 рабочих дней с момента истечения периода оказания Услуг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/>
        <w:tc>
          <w:tcPr>
            <w:tcW w:w="787" w:type="dxa"/>
            <w:textDirection w:val="lrTb"/>
            <w:noWrap w:val="false"/>
          </w:tcPr>
          <w:p>
            <w:pPr>
              <w:pStyle w:val="1305"/>
              <w:numPr>
                <w:ilvl w:val="0"/>
                <w:numId w:val="0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9.2.</w:t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W w:w="2752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Предоставление актуального дистрибутива СПО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Предоставление актуальной версии дистрибутива СПО АИС ОГУ на электронном носителе информации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086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030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2534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Срок предоставления актуальной версии дистрибутива СПО АИС ОГУ на электронном носителе информации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1913" w:type="dxa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В течение 5 рабочих дней с момента истечения периода оказания Услуг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</w:tbl>
    <w:p>
      <w:pPr>
        <w:shd w:val="clear" w:color="ffffff" w:themeColor="background1" w:fill="ffffff" w:themeFill="background1"/>
        <w:rPr>
          <w:szCs w:val="24"/>
          <w:highlight w:val="white"/>
        </w:rPr>
      </w:pPr>
      <w:r>
        <w:rPr>
          <w:highlight w:val="white"/>
        </w:rPr>
        <w:br w:type="page" w:clear="all"/>
      </w:r>
      <w:r>
        <w:rPr>
          <w:szCs w:val="24"/>
          <w:highlight w:val="white"/>
        </w:rPr>
      </w:r>
      <w:r>
        <w:rPr>
          <w:szCs w:val="24"/>
          <w:highlight w:val="white"/>
        </w:rPr>
      </w:r>
    </w:p>
    <w:p>
      <w:pPr>
        <w:shd w:val="clear" w:color="ffffff" w:themeColor="background1" w:fill="ffffff" w:themeFill="background1"/>
        <w:rPr>
          <w:b/>
          <w:bCs/>
          <w:highlight w:val="white"/>
        </w:rPr>
        <w:sectPr>
          <w:footnotePr/>
          <w:endnotePr/>
          <w:type w:val="nextPage"/>
          <w:pgSz w:w="16838" w:h="11906" w:orient="landscape"/>
          <w:pgMar w:top="1134" w:right="1134" w:bottom="567" w:left="1134" w:header="709" w:footer="709" w:gutter="0"/>
          <w:cols w:num="1" w:sep="0" w:space="720" w:equalWidth="1"/>
          <w:docGrid w:linePitch="360"/>
          <w:titlePg/>
        </w:sectPr>
      </w:pPr>
      <w:r>
        <w:rPr>
          <w:b/>
          <w:bCs/>
          <w:highlight w:val="white"/>
        </w:rPr>
      </w:r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shd w:val="clear" w:color="ffffff" w:themeColor="background1" w:fill="ffffff" w:themeFill="background1"/>
        <w:rPr>
          <w:b/>
          <w:bCs/>
          <w:highlight w:val="white"/>
        </w:rPr>
      </w:pPr>
      <w:r>
        <w:rPr>
          <w:b/>
          <w:bCs/>
          <w:highlight w:val="white"/>
        </w:rPr>
        <w:t xml:space="preserve">3.4. ПОРЯДОК ОКАЗАНИЯ УСЛУГ </w:t>
      </w:r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b/>
          <w:bCs/>
          <w:highlight w:val="white"/>
        </w:rPr>
        <w:t xml:space="preserve">3.4.1. Порядок обеспечения доступности и работоспособности системы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Для достижения внутренней доступности АИС ОГУ Исполнитель обязуется выполнить услуги, приведенные в Таблице 3.1, установленными количественными и качественными параметрами в своей зоне ответственности.</w:t>
      </w:r>
      <w:r>
        <w:rPr>
          <w:highlight w:val="white"/>
        </w:rPr>
      </w:r>
      <w:r>
        <w:rPr>
          <w:highlight w:val="white"/>
        </w:rPr>
      </w:r>
    </w:p>
    <w:p>
      <w:pPr>
        <w:pStyle w:val="1275"/>
        <w:numPr>
          <w:ilvl w:val="0"/>
          <w:numId w:val="0"/>
        </w:numPr>
        <w:ind w:left="709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3.4.2. Порядок организации службы технической поддержки системы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В рамках описания параметров услуг используются временные периоды, приведенные в Таблице 4.1.</w:t>
      </w:r>
      <w:r>
        <w:rPr>
          <w:highlight w:val="white"/>
        </w:rPr>
      </w:r>
      <w:r>
        <w:rPr>
          <w:highlight w:val="white"/>
        </w:rPr>
      </w:r>
    </w:p>
    <w:p>
      <w:pPr>
        <w:pStyle w:val="1284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Таблица 4.1 – Временные периоды</w:t>
      </w:r>
      <w:r>
        <w:rPr>
          <w:highlight w:val="white"/>
        </w:rPr>
      </w:r>
      <w:r>
        <w:rPr>
          <w:highlight w:val="white"/>
        </w:rPr>
      </w:r>
    </w:p>
    <w:tbl>
      <w:tblPr>
        <w:tblW w:w="5003" w:type="pct"/>
        <w:jc w:val="center"/>
        <w:tblLook w:val="04A0" w:firstRow="1" w:lastRow="0" w:firstColumn="1" w:lastColumn="0" w:noHBand="0" w:noVBand="1"/>
      </w:tblPr>
      <w:tblGrid>
        <w:gridCol w:w="643"/>
        <w:gridCol w:w="5984"/>
        <w:gridCol w:w="3574"/>
      </w:tblGrid>
      <w:tr>
        <w:tblPrEx/>
        <w:trPr>
          <w:jc w:val="center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5" w:type="pct"/>
            <w:vAlign w:val="center"/>
            <w:textDirection w:val="lrTb"/>
            <w:noWrap w:val="false"/>
          </w:tcPr>
          <w:p>
            <w:pPr>
              <w:pStyle w:val="1288"/>
              <w:jc w:val="center"/>
              <w:shd w:val="clear" w:color="ffffff" w:themeColor="background1" w:fill="ffffff" w:themeFill="background1"/>
              <w:rPr>
                <w:b/>
                <w:bCs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№</w:t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33" w:type="pct"/>
            <w:vAlign w:val="center"/>
            <w:textDirection w:val="lrTb"/>
            <w:noWrap w:val="false"/>
          </w:tcPr>
          <w:p>
            <w:pPr>
              <w:pStyle w:val="1288"/>
              <w:jc w:val="center"/>
              <w:shd w:val="clear" w:color="ffffff" w:themeColor="background1" w:fill="ffffff" w:themeFill="background1"/>
              <w:rPr>
                <w:b/>
                <w:bCs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Наименование временного периода</w:t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3" w:type="pct"/>
            <w:vAlign w:val="center"/>
            <w:textDirection w:val="lrTb"/>
            <w:noWrap w:val="false"/>
          </w:tcPr>
          <w:p>
            <w:pPr>
              <w:pStyle w:val="1288"/>
              <w:jc w:val="center"/>
              <w:shd w:val="clear" w:color="ffffff" w:themeColor="background1" w:fill="ffffff" w:themeFill="background1"/>
              <w:rPr>
                <w:b/>
                <w:bCs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Временной период</w:t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5" w:type="pct"/>
            <w:vAlign w:val="center"/>
            <w:textDirection w:val="lrTb"/>
            <w:noWrap w:val="false"/>
          </w:tcPr>
          <w:p>
            <w:pPr>
              <w:pStyle w:val="1293"/>
              <w:numPr>
                <w:ilvl w:val="0"/>
                <w:numId w:val="21"/>
              </w:numPr>
              <w:ind w:left="27" w:right="115" w:firstLine="0"/>
              <w:shd w:val="clear" w:color="ffffff" w:themeColor="background1" w:fill="ffffff" w:themeFill="background1"/>
              <w:tabs>
                <w:tab w:val="left" w:pos="542" w:leader="none"/>
              </w:tabs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33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Стандартное время работы СТП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3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 09:00 до 18:00 часов (МСК) ежедневно по рабочим дням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5" w:type="pct"/>
            <w:vAlign w:val="center"/>
            <w:textDirection w:val="lrTb"/>
            <w:noWrap w:val="false"/>
          </w:tcPr>
          <w:p>
            <w:pPr>
              <w:pStyle w:val="1293"/>
              <w:numPr>
                <w:ilvl w:val="0"/>
                <w:numId w:val="21"/>
              </w:numPr>
              <w:ind w:left="27" w:right="115" w:firstLine="0"/>
              <w:shd w:val="clear" w:color="ffffff" w:themeColor="background1" w:fill="ffffff" w:themeFill="background1"/>
              <w:tabs>
                <w:tab w:val="left" w:pos="542" w:leader="none"/>
              </w:tabs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33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Время наименьшей востребованности АИС ОГУ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3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В рабочие дни: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 00:00 до 09:00 часов (МСК)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 18:00 до 24:00 часов (МСК)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  <w:p>
            <w:pPr>
              <w:pStyle w:val="1288"/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sz w:val="26"/>
                <w:highlight w:val="white"/>
              </w:rPr>
              <w:t xml:space="preserve">В нерабочие дни: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eastAsia="en-US"/>
              </w:rPr>
              <w:t xml:space="preserve">00:00 до 24:00 часов (МСК)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</w:tbl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1275"/>
        <w:numPr>
          <w:ilvl w:val="0"/>
          <w:numId w:val="0"/>
        </w:numPr>
        <w:ind w:left="709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3.4.3. Порядок разрешения инцидентов</w:t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Исполнитель принимает обращения от Инициаторов и сообщает им о регистрации, статусе и результатах исполнения обращения по каналам приема сообщений, приведенным в Таблице 4.2.</w:t>
      </w:r>
      <w:r>
        <w:rPr>
          <w:highlight w:val="white"/>
        </w:rPr>
      </w:r>
      <w:r>
        <w:rPr>
          <w:highlight w:val="white"/>
        </w:rPr>
      </w:r>
    </w:p>
    <w:p>
      <w:pPr>
        <w:pStyle w:val="1284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Таблица 4.2 – Перечень каналов приема сообщений</w:t>
      </w:r>
      <w:r>
        <w:rPr>
          <w:highlight w:val="white"/>
        </w:rPr>
      </w:r>
      <w:r>
        <w:rPr>
          <w:highlight w:val="white"/>
        </w:rPr>
      </w:r>
    </w:p>
    <w:tbl>
      <w:tblPr>
        <w:tblW w:w="10313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2126"/>
        <w:gridCol w:w="7483"/>
      </w:tblGrid>
      <w:tr>
        <w:tblPrEx/>
        <w:trPr>
          <w:jc w:val="center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1288"/>
              <w:jc w:val="center"/>
              <w:shd w:val="clear" w:color="ffffff" w:themeColor="background1" w:fill="ffffff" w:themeFill="background1"/>
              <w:rPr>
                <w:b/>
                <w:bCs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№</w:t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pStyle w:val="1288"/>
              <w:jc w:val="center"/>
              <w:shd w:val="clear" w:color="ffffff" w:themeColor="background1" w:fill="ffffff" w:themeFill="background1"/>
              <w:rPr>
                <w:b/>
                <w:bCs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Канал</w:t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83" w:type="dxa"/>
            <w:vAlign w:val="center"/>
            <w:textDirection w:val="lrTb"/>
            <w:noWrap w:val="false"/>
          </w:tcPr>
          <w:p>
            <w:pPr>
              <w:pStyle w:val="1288"/>
              <w:jc w:val="center"/>
              <w:shd w:val="clear" w:color="ffffff" w:themeColor="background1" w:fill="ffffff" w:themeFill="background1"/>
              <w:rPr>
                <w:b/>
                <w:bCs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Описание формы обращения</w:t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" w:type="dxa"/>
            <w:textDirection w:val="lrTb"/>
            <w:noWrap w:val="false"/>
          </w:tcPr>
          <w:p>
            <w:pPr>
              <w:pStyle w:val="1293"/>
              <w:numPr>
                <w:ilvl w:val="0"/>
                <w:numId w:val="23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Телефон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83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Телефонный звонок на телефоны СТП Исполнителя, указанные при заключении государственного контракта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" w:type="dxa"/>
            <w:textDirection w:val="lrTb"/>
            <w:noWrap w:val="false"/>
          </w:tcPr>
          <w:p>
            <w:pPr>
              <w:pStyle w:val="1293"/>
              <w:numPr>
                <w:ilvl w:val="0"/>
                <w:numId w:val="23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Электронная почта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83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Электронное письмо на адреса электронной почты СТП Исполнителя, указанные при заключении государственного контракта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" w:type="dxa"/>
            <w:textDirection w:val="lrTb"/>
            <w:noWrap w:val="false"/>
          </w:tcPr>
          <w:p>
            <w:pPr>
              <w:pStyle w:val="1293"/>
              <w:numPr>
                <w:ilvl w:val="0"/>
                <w:numId w:val="23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СТПП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83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Заведение обращения в специализированной системе технической поддержки пользователей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</w:tbl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Инициатор, при подаче обращения обязан указывать:</w:t>
      </w:r>
      <w:r>
        <w:rPr>
          <w:highlight w:val="white"/>
        </w:rPr>
      </w:r>
      <w:r>
        <w:rPr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наименование своей организации/подразделения;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ФИО;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highlight w:val="white"/>
        </w:rPr>
      </w:pPr>
      <w:r>
        <w:rPr>
          <w:szCs w:val="26"/>
          <w:highlight w:val="white"/>
        </w:rPr>
        <w:t xml:space="preserve">Теле</w:t>
      </w:r>
      <w:r>
        <w:rPr>
          <w:highlight w:val="white"/>
        </w:rPr>
        <w:t xml:space="preserve">фон для обратной связи.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Номера телефонов и электронная почта согласовываются в течение 5 (пяти) рабочих дней с даты заключения государственного контракта. Для регистрации и обработки обращений Исполнителем должна использоваться СТПП, принадлежащая Исполн</w:t>
      </w:r>
      <w:r>
        <w:rPr>
          <w:highlight w:val="white"/>
        </w:rPr>
        <w:t xml:space="preserve">ителю, к которой, в течение 5 (пяти) рабочих дней с момента заключения государственного контракта, предоставляется доступ Заказчику. Логин и пароль для доступа в СТПП Исполнитель передает Заказчику. Доступ к СТПП представляется на весь срок оказания услуг.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По умолчанию Исполнитель</w:t>
      </w:r>
      <w:r>
        <w:rPr>
          <w:highlight w:val="white"/>
        </w:rPr>
        <w:t xml:space="preserve"> взаимодействует с Инициатором по каналу, по которому пришло обращение. По взаимной договоренности между Исполнителем и Инициатором допустимо перейти на взаимодействие по любому каналу, при условии фиксации в СТПП всех событий, изменяющих статус обращения.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Исполнитель принимает обращения от Инициаторов, руководствуясь возможностью Инициаторов получать запрашиваемую услугу в соответствии с Таблицей 4.3.</w:t>
      </w:r>
      <w:r>
        <w:rPr>
          <w:highlight w:val="white"/>
        </w:rPr>
      </w:r>
      <w:r>
        <w:rPr>
          <w:highlight w:val="white"/>
        </w:rPr>
      </w:r>
    </w:p>
    <w:p>
      <w:pPr>
        <w:pStyle w:val="1284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Таблица 4.3 – Доступ инициаторов к услугам</w:t>
      </w:r>
      <w:r>
        <w:rPr>
          <w:highlight w:val="white"/>
        </w:rPr>
      </w:r>
      <w:r>
        <w:rPr>
          <w:highlight w:val="white"/>
        </w:rPr>
      </w:r>
    </w:p>
    <w:tbl>
      <w:tblPr>
        <w:tblW w:w="10201" w:type="dxa"/>
        <w:jc w:val="center"/>
        <w:tblLayout w:type="fixed"/>
        <w:tblLook w:val="04A0" w:firstRow="1" w:lastRow="0" w:firstColumn="1" w:lastColumn="0" w:noHBand="0" w:noVBand="1"/>
      </w:tblPr>
      <w:tblGrid>
        <w:gridCol w:w="913"/>
        <w:gridCol w:w="4752"/>
        <w:gridCol w:w="1985"/>
        <w:gridCol w:w="2551"/>
      </w:tblGrid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13" w:type="dxa"/>
            <w:vAlign w:val="center"/>
            <w:vMerge w:val="restart"/>
            <w:textDirection w:val="lrTb"/>
            <w:noWrap w:val="false"/>
          </w:tcPr>
          <w:p>
            <w:pPr>
              <w:pStyle w:val="1288"/>
              <w:jc w:val="center"/>
              <w:shd w:val="clear" w:color="ffffff" w:themeColor="background1" w:fill="ffffff" w:themeFill="background1"/>
              <w:rPr>
                <w:b/>
                <w:bCs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№</w:t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52" w:type="dxa"/>
            <w:vAlign w:val="center"/>
            <w:vMerge w:val="restart"/>
            <w:textDirection w:val="lrTb"/>
            <w:noWrap w:val="false"/>
          </w:tcPr>
          <w:p>
            <w:pPr>
              <w:pStyle w:val="1288"/>
              <w:jc w:val="center"/>
              <w:shd w:val="clear" w:color="ffffff" w:themeColor="background1" w:fill="ffffff" w:themeFill="background1"/>
              <w:rPr>
                <w:b/>
                <w:bCs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Наименование услуги (группы услуг)</w:t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vAlign w:val="center"/>
            <w:textDirection w:val="lrTb"/>
            <w:noWrap w:val="false"/>
          </w:tcPr>
          <w:p>
            <w:pPr>
              <w:pStyle w:val="1288"/>
              <w:jc w:val="center"/>
              <w:shd w:val="clear" w:color="ffffff" w:themeColor="background1" w:fill="ffffff" w:themeFill="background1"/>
              <w:rPr>
                <w:b/>
                <w:bCs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Тип инициатора</w:t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13" w:type="dxa"/>
            <w:vAlign w:val="center"/>
            <w:vMerge w:val="continue"/>
            <w:textDirection w:val="lrTb"/>
            <w:noWrap w:val="false"/>
          </w:tcPr>
          <w:p>
            <w:pPr>
              <w:pStyle w:val="1288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52" w:type="dxa"/>
            <w:vAlign w:val="center"/>
            <w:vMerge w:val="continue"/>
            <w:textDirection w:val="lrTb"/>
            <w:noWrap w:val="false"/>
          </w:tcPr>
          <w:p>
            <w:pPr>
              <w:pStyle w:val="1288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pStyle w:val="1288"/>
              <w:jc w:val="center"/>
              <w:shd w:val="clear" w:color="ffffff" w:themeColor="background1" w:fill="ffffff" w:themeFill="background1"/>
              <w:rPr>
                <w:b/>
                <w:bCs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Пользователь</w:t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Align w:val="center"/>
            <w:textDirection w:val="lrTb"/>
            <w:noWrap w:val="false"/>
          </w:tcPr>
          <w:p>
            <w:pPr>
              <w:pStyle w:val="1288"/>
              <w:jc w:val="center"/>
              <w:shd w:val="clear" w:color="ffffff" w:themeColor="background1" w:fill="ffffff" w:themeFill="background1"/>
              <w:rPr>
                <w:b/>
                <w:bCs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Уполномоченный представитель Заказчика</w:t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13" w:type="dxa"/>
            <w:textDirection w:val="lrTb"/>
            <w:noWrap w:val="false"/>
          </w:tcPr>
          <w:p>
            <w:pPr>
              <w:pStyle w:val="1305"/>
              <w:numPr>
                <w:ilvl w:val="0"/>
                <w:numId w:val="24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88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b/>
                <w:sz w:val="26"/>
                <w:highlight w:val="white"/>
                <w:lang w:eastAsia="en-US"/>
              </w:rPr>
              <w:t xml:space="preserve">Разрешение инцидентов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13" w:type="dxa"/>
            <w:textDirection w:val="lrTb"/>
            <w:noWrap w:val="false"/>
          </w:tcPr>
          <w:p>
            <w:pPr>
              <w:pStyle w:val="1305"/>
              <w:numPr>
                <w:ilvl w:val="0"/>
                <w:numId w:val="0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1.1</w:t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52" w:type="dxa"/>
            <w:textDirection w:val="lrTb"/>
            <w:noWrap w:val="false"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eastAsia="en-US"/>
              </w:rPr>
              <w:t xml:space="preserve">Устранение сбоев и отказов АИС ОГУ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eastAsia="en-US"/>
              </w:rPr>
              <w:t xml:space="preserve">Х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eastAsia="en-US"/>
              </w:rPr>
              <w:t xml:space="preserve">Х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13" w:type="dxa"/>
            <w:textDirection w:val="lrTb"/>
            <w:noWrap w:val="false"/>
          </w:tcPr>
          <w:p>
            <w:pPr>
              <w:pStyle w:val="1305"/>
              <w:numPr>
                <w:ilvl w:val="0"/>
                <w:numId w:val="22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88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b/>
                <w:sz w:val="26"/>
                <w:highlight w:val="white"/>
                <w:lang w:eastAsia="en-US"/>
              </w:rPr>
              <w:t xml:space="preserve">Обработка запросов на обслуживание и консультации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13" w:type="dxa"/>
            <w:textDirection w:val="lrTb"/>
            <w:noWrap w:val="false"/>
          </w:tcPr>
          <w:p>
            <w:pPr>
              <w:pStyle w:val="1305"/>
              <w:numPr>
                <w:ilvl w:val="0"/>
                <w:numId w:val="0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2.1</w:t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52" w:type="dxa"/>
            <w:textDirection w:val="lrTb"/>
            <w:noWrap w:val="false"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eastAsia="en-US"/>
              </w:rPr>
              <w:t xml:space="preserve">Замена ключей ЭП-ОВ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eastAsia="en-US"/>
              </w:rPr>
              <w:t xml:space="preserve">Х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13" w:type="dxa"/>
            <w:textDirection w:val="lrTb"/>
            <w:noWrap w:val="false"/>
          </w:tcPr>
          <w:p>
            <w:pPr>
              <w:pStyle w:val="1305"/>
              <w:numPr>
                <w:ilvl w:val="0"/>
                <w:numId w:val="0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2.2</w:t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5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eastAsia="en-US"/>
              </w:rPr>
              <w:t xml:space="preserve">Администрирование пользователей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eastAsia="en-US"/>
              </w:rPr>
              <w:t xml:space="preserve">Х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eastAsia="en-US"/>
              </w:rPr>
              <w:t xml:space="preserve">Х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13" w:type="dxa"/>
            <w:textDirection w:val="lrTb"/>
            <w:noWrap w:val="false"/>
          </w:tcPr>
          <w:p>
            <w:pPr>
              <w:pStyle w:val="1305"/>
              <w:numPr>
                <w:ilvl w:val="0"/>
                <w:numId w:val="0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2.3</w:t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5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eastAsia="en-US"/>
              </w:rPr>
              <w:t xml:space="preserve">Актуализация справочников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eastAsia="en-US"/>
              </w:rPr>
              <w:t xml:space="preserve">Х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eastAsia="en-US"/>
              </w:rPr>
              <w:t xml:space="preserve">Х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13" w:type="dxa"/>
            <w:textDirection w:val="lrTb"/>
            <w:noWrap w:val="false"/>
          </w:tcPr>
          <w:p>
            <w:pPr>
              <w:pStyle w:val="1305"/>
              <w:numPr>
                <w:ilvl w:val="0"/>
                <w:numId w:val="0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2.4</w:t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5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eastAsia="en-US"/>
              </w:rPr>
              <w:t xml:space="preserve">Формирование нерегламентированных отчетов и выгрузок из АИС ОГУ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eastAsia="en-US"/>
              </w:rPr>
              <w:t xml:space="preserve">Х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13" w:type="dxa"/>
            <w:textDirection w:val="lrTb"/>
            <w:noWrap w:val="false"/>
          </w:tcPr>
          <w:p>
            <w:pPr>
              <w:pStyle w:val="1305"/>
              <w:numPr>
                <w:ilvl w:val="0"/>
                <w:numId w:val="0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2.5</w:t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5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sz w:val="26"/>
                <w:highlight w:val="white"/>
                <w:lang w:eastAsia="en-US"/>
              </w:rPr>
              <w:t xml:space="preserve">Консультации по вопросам эксплуатации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Х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sz w:val="26"/>
                <w:highlight w:val="white"/>
                <w:lang w:eastAsia="en-US"/>
              </w:rPr>
              <w:t xml:space="preserve">Х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</w:tbl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В случае если Инициатор запрашивает недоступную ему</w:t>
      </w:r>
      <w:r>
        <w:rPr>
          <w:highlight w:val="white"/>
        </w:rPr>
        <w:t xml:space="preserve"> услугу, услугу, не предусмотренную перечнем услуг, или обращение касается компонентов АИС ОГУ, не находящихся в зоне ответственности Исполнителя, обращение не принимается к исполнению, а переводится на рассмотрение уполномоченным представителем Заказчика.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После приема и регистрации обращения Исполнитель устанавливает полноту описания проблемы и проводит классификацию обращения.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В случае если предоставленной Инициатором информации недостаточно для решения проблемы, Исполнитель запрашивает у Инициатора дополнительную информацию. Информация может запрашиваться несколько раз до полного описания проблемы.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Классификация обращения проводится по содержанию, по степени срочности исполнения и по степени сложности исполнения.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Обращения направляются от всех должностных лиц Заказчика, такие обращения не являются юридически значимым сообщениями.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По содержанию обращения классифицируются на типы, приведенные в Таблице 4.4.</w:t>
      </w:r>
      <w:r>
        <w:rPr>
          <w:highlight w:val="white"/>
        </w:rPr>
      </w:r>
      <w:r>
        <w:rPr>
          <w:highlight w:val="white"/>
        </w:rPr>
      </w:r>
    </w:p>
    <w:p>
      <w:pPr>
        <w:pStyle w:val="1284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Таблица 4.4 – Типы обращений</w:t>
      </w:r>
      <w:r>
        <w:rPr>
          <w:highlight w:val="white"/>
        </w:rPr>
      </w:r>
      <w:r>
        <w:rPr>
          <w:highlight w:val="white"/>
        </w:rPr>
      </w:r>
    </w:p>
    <w:tbl>
      <w:tblPr>
        <w:tblW w:w="10168" w:type="dxa"/>
        <w:jc w:val="center"/>
        <w:tblLayout w:type="fixed"/>
        <w:tblLook w:val="04A0" w:firstRow="1" w:lastRow="0" w:firstColumn="1" w:lastColumn="0" w:noHBand="0" w:noVBand="1"/>
      </w:tblPr>
      <w:tblGrid>
        <w:gridCol w:w="714"/>
        <w:gridCol w:w="2116"/>
        <w:gridCol w:w="7338"/>
      </w:tblGrid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4" w:type="dxa"/>
            <w:vAlign w:val="center"/>
            <w:textDirection w:val="lrTb"/>
            <w:noWrap w:val="false"/>
          </w:tcPr>
          <w:p>
            <w:pPr>
              <w:pStyle w:val="1288"/>
              <w:jc w:val="center"/>
              <w:shd w:val="clear" w:color="ffffff" w:themeColor="background1" w:fill="ffffff" w:themeFill="background1"/>
              <w:rPr>
                <w:b/>
                <w:bCs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№</w:t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6" w:type="dxa"/>
            <w:vAlign w:val="center"/>
            <w:textDirection w:val="lrTb"/>
            <w:noWrap w:val="false"/>
          </w:tcPr>
          <w:p>
            <w:pPr>
              <w:pStyle w:val="1288"/>
              <w:jc w:val="center"/>
              <w:shd w:val="clear" w:color="ffffff" w:themeColor="background1" w:fill="ffffff" w:themeFill="background1"/>
              <w:rPr>
                <w:b/>
                <w:bCs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Тип обращения</w:t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8" w:type="dxa"/>
            <w:vAlign w:val="center"/>
            <w:textDirection w:val="lrTb"/>
            <w:noWrap w:val="false"/>
          </w:tcPr>
          <w:p>
            <w:pPr>
              <w:pStyle w:val="1288"/>
              <w:jc w:val="center"/>
              <w:shd w:val="clear" w:color="ffffff" w:themeColor="background1" w:fill="ffffff" w:themeFill="background1"/>
              <w:rPr>
                <w:b/>
                <w:bCs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Описание типа обращения</w:t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4" w:type="dxa"/>
            <w:textDirection w:val="lrTb"/>
            <w:noWrap w:val="false"/>
          </w:tcPr>
          <w:p>
            <w:pPr>
              <w:pStyle w:val="1305"/>
              <w:numPr>
                <w:ilvl w:val="0"/>
                <w:numId w:val="25"/>
              </w:numPr>
              <w:shd w:val="clear" w:color="ffffff" w:themeColor="background1" w:fill="ffffff" w:themeFill="background1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6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Инцидент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8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Обращение, связанное с незапланированным прерыванием доступности АИС ОГУ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4" w:type="dxa"/>
            <w:textDirection w:val="lrTb"/>
            <w:noWrap w:val="false"/>
          </w:tcPr>
          <w:p>
            <w:pPr>
              <w:pStyle w:val="1305"/>
              <w:numPr>
                <w:ilvl w:val="0"/>
                <w:numId w:val="24"/>
              </w:numPr>
              <w:shd w:val="clear" w:color="ffffff" w:themeColor="background1" w:fill="ffffff" w:themeFill="background1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6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Запрос на обслуживание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8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Обращение, связанное с запросом услуг, приведенных в подпунктах 6.1–6.4 Таблицы 3.1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4" w:type="dxa"/>
            <w:textDirection w:val="lrTb"/>
            <w:noWrap w:val="false"/>
          </w:tcPr>
          <w:p>
            <w:pPr>
              <w:pStyle w:val="1305"/>
              <w:numPr>
                <w:ilvl w:val="0"/>
                <w:numId w:val="24"/>
              </w:numPr>
              <w:shd w:val="clear" w:color="ffffff" w:themeColor="background1" w:fill="ffffff" w:themeFill="background1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6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Инцидент ИБ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8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Обращение, связанное с информационной безопасностью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</w:tbl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В случае если в проце</w:t>
      </w:r>
      <w:r>
        <w:rPr>
          <w:highlight w:val="white"/>
        </w:rPr>
        <w:t xml:space="preserve">ссе исполнения обращения типа инцидент окажется, что причиной возникновения инцидента являются компоненты, системы или сервисы, не находящиеся в зоне ответственности Исполнителя, производится повторная классификация обращения в соответствии с Таблицей 4.3.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В случае если в процессе исполнени</w:t>
      </w:r>
      <w:r>
        <w:rPr>
          <w:highlight w:val="white"/>
        </w:rPr>
        <w:t xml:space="preserve">я обращения типа запрос на обслуживание окажется, что исполнение обращения требует оказания услуг, не предусмотренных группой услуг, приведенных в подпунктах 6.1–6.4 Таблицы 3.1, производится повторная классификация обращения в соответствии с Таблицей 4.4.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По степени срочности исполнения обращения классифицируются по приоритетам в соответствии с Таблицей 4.5. 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Заказчик может повысить приоритет обращения, руководствуясь Таблицей 4.5, в этом случае Исполнитель не может снижать приоритет данного обращения.</w:t>
      </w:r>
      <w:r>
        <w:rPr>
          <w:highlight w:val="white"/>
        </w:rPr>
      </w:r>
      <w:r>
        <w:rPr>
          <w:highlight w:val="white"/>
        </w:rPr>
      </w:r>
    </w:p>
    <w:p>
      <w:pPr>
        <w:pStyle w:val="1284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Таблица 4.5 – Приоритеты обращений</w:t>
      </w:r>
      <w:r>
        <w:rPr>
          <w:highlight w:val="white"/>
        </w:rPr>
      </w:r>
      <w:r>
        <w:rPr>
          <w:highlight w:val="white"/>
        </w:rPr>
      </w:r>
    </w:p>
    <w:tbl>
      <w:tblPr>
        <w:tblW w:w="10171" w:type="dxa"/>
        <w:jc w:val="center"/>
        <w:tblLayout w:type="fixed"/>
        <w:tblLook w:val="04A0" w:firstRow="1" w:lastRow="0" w:firstColumn="1" w:lastColumn="0" w:noHBand="0" w:noVBand="1"/>
      </w:tblPr>
      <w:tblGrid>
        <w:gridCol w:w="1684"/>
        <w:gridCol w:w="1855"/>
        <w:gridCol w:w="6632"/>
      </w:tblGrid>
      <w:tr>
        <w:tblPrEx/>
        <w:trPr>
          <w:jc w:val="center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84" w:type="dxa"/>
            <w:vAlign w:val="center"/>
            <w:textDirection w:val="lrTb"/>
            <w:noWrap w:val="false"/>
          </w:tcPr>
          <w:p>
            <w:pPr>
              <w:pStyle w:val="1288"/>
              <w:jc w:val="center"/>
              <w:shd w:val="clear" w:color="ffffff" w:themeColor="background1" w:fill="ffffff" w:themeFill="background1"/>
              <w:rPr>
                <w:b/>
                <w:bCs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Приоритет</w:t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55" w:type="dxa"/>
            <w:vAlign w:val="center"/>
            <w:textDirection w:val="lrTb"/>
            <w:noWrap w:val="false"/>
          </w:tcPr>
          <w:p>
            <w:pPr>
              <w:pStyle w:val="1288"/>
              <w:jc w:val="center"/>
              <w:shd w:val="clear" w:color="ffffff" w:themeColor="background1" w:fill="ffffff" w:themeFill="background1"/>
              <w:rPr>
                <w:b/>
                <w:bCs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Название</w:t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32" w:type="dxa"/>
            <w:vAlign w:val="center"/>
            <w:textDirection w:val="lrTb"/>
            <w:noWrap w:val="false"/>
          </w:tcPr>
          <w:p>
            <w:pPr>
              <w:pStyle w:val="1288"/>
              <w:jc w:val="center"/>
              <w:shd w:val="clear" w:color="ffffff" w:themeColor="background1" w:fill="ffffff" w:themeFill="background1"/>
              <w:rPr>
                <w:b/>
                <w:bCs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Описание проблемы</w:t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84" w:type="dxa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26"/>
              </w:numPr>
              <w:shd w:val="clear" w:color="ffffff" w:themeColor="background1" w:fill="ffffff" w:themeFill="background1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55" w:type="dxa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Высший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3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Проблема блокирует выполнение одной или нескольких критичных функций АИС ОГУ, альтернативные пути выполнения функций отсутствуют или требуют существенных трудозатрат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84" w:type="dxa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25"/>
              </w:numPr>
              <w:shd w:val="clear" w:color="ffffff" w:themeColor="background1" w:fill="ffffff" w:themeFill="background1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55" w:type="dxa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Высокий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3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Проблема блокирует выполнение одной или нескольких некритичных функций АИС ОГУ для группы пользователей более трех человек, альтернативные пути выполнения функций отсутствуют или требуют существенных трудозатрат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84" w:type="dxa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25"/>
              </w:numPr>
              <w:shd w:val="clear" w:color="ffffff" w:themeColor="background1" w:fill="ffffff" w:themeFill="background1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55" w:type="dxa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Средний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3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Проблема блокирует выполнение одной или нескольких некритичных функций АИС ОГУ для группы пользователей не более трех человек, альтернативные пути выполнения функций отсутствуют или требуют существенных трудозатрат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84" w:type="dxa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25"/>
              </w:numPr>
              <w:shd w:val="clear" w:color="ffffff" w:themeColor="background1" w:fill="ffffff" w:themeFill="background1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55" w:type="dxa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Низкий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3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Проблема не блокирует выполнение функций АИС ОГУ, но приводит к некоторым неудобствам в работе пользователей или незначительному увеличению трудозатрат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</w:tbl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Алгоритм определения приоритета обращения представлен на схеме ниже.</w:t>
      </w:r>
      <w:r>
        <w:rPr>
          <w:highlight w:val="white"/>
        </w:rPr>
      </w:r>
      <w:r>
        <w:rPr>
          <w:highlight w:val="white"/>
        </w:rPr>
      </w:r>
    </w:p>
    <w:p>
      <w:pPr>
        <w:pStyle w:val="1282"/>
        <w:contextualSpacing/>
        <w:ind w:firstLine="0"/>
        <w:jc w:val="center"/>
        <w:keepNext/>
        <w:spacing w:before="120" w:line="240" w:lineRule="auto"/>
        <w:shd w:val="clear" w:color="ffffff" w:themeColor="background1" w:fill="ffffff" w:themeFill="background1"/>
        <w:rPr>
          <w:szCs w:val="24"/>
          <w:highlight w:val="white"/>
        </w:rPr>
      </w:pPr>
      <w:r>
        <w:rPr>
          <w:rFonts w:ascii="Times New Roman" w:hAnsi="Times New Roman"/>
          <w:szCs w:val="24"/>
          <w:highlight w:val="whit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546600" cy="2717800"/>
                <wp:effectExtent l="0" t="0" r="0" b="0"/>
                <wp:docPr id="1" name="_x0000_i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0000_i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4546600" cy="271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358.00pt;height:214.00pt;mso-wrap-distance-left:0.00pt;mso-wrap-distance-top:0.00pt;mso-wrap-distance-right:0.00pt;mso-wrap-distance-bottom:0.00pt;" stroked="f">
                <v:path textboxrect="0,0,0,0"/>
                <v:imagedata r:id="rId17" o:title=""/>
              </v:shape>
            </w:pict>
          </mc:Fallback>
        </mc:AlternateContent>
      </w:r>
      <w:r>
        <w:rPr>
          <w:szCs w:val="24"/>
          <w:highlight w:val="white"/>
        </w:rPr>
      </w:r>
      <w:r>
        <w:rPr>
          <w:szCs w:val="24"/>
          <w:highlight w:val="white"/>
        </w:rPr>
      </w:r>
    </w:p>
    <w:p>
      <w:pPr>
        <w:contextualSpacing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По степени сложности исполнения обращения классифицируются в зависимости от линии технической поддержки, на которой происходит решение, в соответствии с Таблицей 4.6.</w:t>
      </w:r>
      <w:r>
        <w:rPr>
          <w:highlight w:val="white"/>
        </w:rPr>
      </w:r>
      <w:r>
        <w:rPr>
          <w:highlight w:val="white"/>
        </w:rPr>
      </w:r>
    </w:p>
    <w:p>
      <w:pPr>
        <w:pStyle w:val="1284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Таблица 4.6 – Сложность исполнения обращений</w:t>
      </w:r>
      <w:r>
        <w:rPr>
          <w:highlight w:val="white"/>
        </w:rPr>
      </w:r>
      <w:r>
        <w:rPr>
          <w:highlight w:val="white"/>
        </w:rPr>
      </w:r>
    </w:p>
    <w:tbl>
      <w:tblPr>
        <w:tblW w:w="10154" w:type="dxa"/>
        <w:jc w:val="center"/>
        <w:tblLayout w:type="fixed"/>
        <w:tblLook w:val="04A0" w:firstRow="1" w:lastRow="0" w:firstColumn="1" w:lastColumn="0" w:noHBand="0" w:noVBand="1"/>
      </w:tblPr>
      <w:tblGrid>
        <w:gridCol w:w="1555"/>
        <w:gridCol w:w="2126"/>
        <w:gridCol w:w="6473"/>
      </w:tblGrid>
      <w:tr>
        <w:tblPrEx/>
        <w:trPr>
          <w:jc w:val="center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5" w:type="dxa"/>
            <w:vAlign w:val="center"/>
            <w:textDirection w:val="lrTb"/>
            <w:noWrap w:val="false"/>
          </w:tcPr>
          <w:p>
            <w:pPr>
              <w:pStyle w:val="1288"/>
              <w:jc w:val="center"/>
              <w:shd w:val="clear" w:color="ffffff" w:themeColor="background1" w:fill="ffffff" w:themeFill="background1"/>
              <w:rPr>
                <w:b/>
                <w:bCs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Номер линии СТП</w:t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pStyle w:val="1288"/>
              <w:jc w:val="center"/>
              <w:shd w:val="clear" w:color="ffffff" w:themeColor="background1" w:fill="ffffff" w:themeFill="background1"/>
              <w:rPr>
                <w:b/>
                <w:bCs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Сложность</w:t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73" w:type="dxa"/>
            <w:vAlign w:val="center"/>
            <w:textDirection w:val="lrTb"/>
            <w:noWrap w:val="false"/>
          </w:tcPr>
          <w:p>
            <w:pPr>
              <w:pStyle w:val="1288"/>
              <w:jc w:val="center"/>
              <w:shd w:val="clear" w:color="ffffff" w:themeColor="background1" w:fill="ffffff" w:themeFill="background1"/>
              <w:rPr>
                <w:b/>
                <w:bCs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Описание решения</w:t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5" w:type="dxa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Первая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Низкая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73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Решение требует консультирования, информационной поддержки или несложной настройки ПО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5" w:type="dxa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Вторая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Средняя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73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Решение требует администрирования или конфигурирования ПО стандартными средствами без программирования и без выпуска обновления или отдельных пакетов изменений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22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5" w:type="dxa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Третья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Высокая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73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Решение требует администрирования или конфигурирования ПО нестандартными средствами, программирования, выпуска, тестирования и установки обновления или отдельных пакетов изменений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</w:tbl>
    <w:p>
      <w:pPr>
        <w:pStyle w:val="1282"/>
        <w:contextualSpacing/>
        <w:ind w:firstLine="709"/>
        <w:spacing w:before="240" w:line="240" w:lineRule="auto"/>
        <w:shd w:val="clear" w:color="ffffff" w:themeColor="background1" w:fill="ffffff" w:themeFill="background1"/>
        <w:rPr>
          <w:rFonts w:ascii="Times New Roman" w:hAnsi="Times New Roman"/>
          <w:szCs w:val="24"/>
          <w:highlight w:val="white"/>
        </w:rPr>
      </w:pPr>
      <w:r>
        <w:rPr>
          <w:rFonts w:ascii="Times New Roman" w:hAnsi="Times New Roman"/>
          <w:szCs w:val="24"/>
          <w:highlight w:val="white"/>
        </w:rPr>
        <w:t xml:space="preserve">В соответствии с классификацией обращения определяется плановый срок исполнения обращения. Максимальные сроки исполнения обращения приведены в Таблице 4.7. </w:t>
      </w:r>
      <w:r>
        <w:rPr>
          <w:rFonts w:ascii="Times New Roman" w:hAnsi="Times New Roman"/>
          <w:szCs w:val="24"/>
          <w:highlight w:val="white"/>
        </w:rPr>
      </w:r>
      <w:r>
        <w:rPr>
          <w:rFonts w:ascii="Times New Roman" w:hAnsi="Times New Roman"/>
          <w:szCs w:val="24"/>
          <w:highlight w:val="white"/>
        </w:rPr>
      </w:r>
    </w:p>
    <w:p>
      <w:pPr>
        <w:pStyle w:val="1282"/>
        <w:contextualSpacing/>
        <w:ind w:firstLine="709"/>
        <w:spacing w:before="0" w:line="240" w:lineRule="auto"/>
        <w:shd w:val="clear" w:color="ffffff" w:themeColor="background1" w:fill="ffffff" w:themeFill="background1"/>
        <w:rPr>
          <w:rFonts w:ascii="Times New Roman" w:hAnsi="Times New Roman"/>
          <w:szCs w:val="24"/>
          <w:highlight w:val="white"/>
        </w:rPr>
      </w:pPr>
      <w:r>
        <w:rPr>
          <w:rFonts w:ascii="Times New Roman" w:hAnsi="Times New Roman"/>
          <w:szCs w:val="24"/>
          <w:highlight w:val="white"/>
        </w:rPr>
        <w:t xml:space="preserve">В случае обращений типа запрос на обслуживание допустимо использовать только приоритеты 3 и 4.</w:t>
      </w:r>
      <w:r>
        <w:rPr>
          <w:rFonts w:ascii="Times New Roman" w:hAnsi="Times New Roman"/>
          <w:szCs w:val="24"/>
          <w:highlight w:val="white"/>
        </w:rPr>
      </w:r>
      <w:r>
        <w:rPr>
          <w:rFonts w:ascii="Times New Roman" w:hAnsi="Times New Roman"/>
          <w:szCs w:val="24"/>
          <w:highlight w:val="white"/>
        </w:rPr>
      </w:r>
    </w:p>
    <w:p>
      <w:pPr>
        <w:pStyle w:val="1284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Таблица 4.7 – Сроки исполнения обращений</w:t>
      </w:r>
      <w:r>
        <w:rPr>
          <w:highlight w:val="white"/>
        </w:rPr>
      </w:r>
      <w:r>
        <w:rPr>
          <w:highlight w:val="white"/>
        </w:rPr>
      </w:r>
    </w:p>
    <w:tbl>
      <w:tblPr>
        <w:tblW w:w="10181" w:type="dxa"/>
        <w:jc w:val="center"/>
        <w:tblLayout w:type="fixed"/>
        <w:tblLook w:val="04A0" w:firstRow="1" w:lastRow="0" w:firstColumn="1" w:lastColumn="0" w:noHBand="0" w:noVBand="1"/>
      </w:tblPr>
      <w:tblGrid>
        <w:gridCol w:w="2393"/>
        <w:gridCol w:w="1879"/>
        <w:gridCol w:w="1879"/>
        <w:gridCol w:w="1879"/>
        <w:gridCol w:w="2151"/>
      </w:tblGrid>
      <w:tr>
        <w:tblPrEx/>
        <w:trPr>
          <w:jc w:val="center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93" w:type="dxa"/>
            <w:vAlign w:val="center"/>
            <w:vMerge w:val="restart"/>
            <w:textDirection w:val="lrTb"/>
            <w:noWrap w:val="false"/>
          </w:tcPr>
          <w:p>
            <w:pPr>
              <w:pStyle w:val="1288"/>
              <w:jc w:val="center"/>
              <w:shd w:val="clear" w:color="ffffff" w:themeColor="background1" w:fill="ffffff" w:themeFill="background1"/>
              <w:rPr>
                <w:b/>
                <w:bCs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Сложность исполнения обращения</w:t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788" w:type="dxa"/>
            <w:vAlign w:val="center"/>
            <w:textDirection w:val="lrTb"/>
            <w:noWrap w:val="false"/>
          </w:tcPr>
          <w:p>
            <w:pPr>
              <w:pStyle w:val="1288"/>
              <w:jc w:val="center"/>
              <w:shd w:val="clear" w:color="ffffff" w:themeColor="background1" w:fill="ffffff" w:themeFill="background1"/>
              <w:rPr>
                <w:b/>
                <w:bCs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Максимальный срок исполнения обращения в зависимости от приоритета</w:t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93" w:type="dxa"/>
            <w:vAlign w:val="center"/>
            <w:vMerge w:val="continue"/>
            <w:textDirection w:val="lrTb"/>
            <w:noWrap w:val="false"/>
          </w:tcPr>
          <w:p>
            <w:pPr>
              <w:pStyle w:val="1288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9" w:type="dxa"/>
            <w:vAlign w:val="center"/>
            <w:textDirection w:val="lrTb"/>
            <w:noWrap w:val="false"/>
          </w:tcPr>
          <w:p>
            <w:pPr>
              <w:pStyle w:val="1288"/>
              <w:jc w:val="center"/>
              <w:shd w:val="clear" w:color="ffffff" w:themeColor="background1" w:fill="ffffff" w:themeFill="background1"/>
              <w:rPr>
                <w:b/>
                <w:bCs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Высший</w:t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9" w:type="dxa"/>
            <w:vAlign w:val="center"/>
            <w:textDirection w:val="lrTb"/>
            <w:noWrap w:val="false"/>
          </w:tcPr>
          <w:p>
            <w:pPr>
              <w:pStyle w:val="1288"/>
              <w:jc w:val="center"/>
              <w:shd w:val="clear" w:color="ffffff" w:themeColor="background1" w:fill="ffffff" w:themeFill="background1"/>
              <w:rPr>
                <w:b/>
                <w:bCs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Высокий</w:t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9" w:type="dxa"/>
            <w:vAlign w:val="center"/>
            <w:textDirection w:val="lrTb"/>
            <w:noWrap w:val="false"/>
          </w:tcPr>
          <w:p>
            <w:pPr>
              <w:pStyle w:val="1288"/>
              <w:jc w:val="center"/>
              <w:shd w:val="clear" w:color="ffffff" w:themeColor="background1" w:fill="ffffff" w:themeFill="background1"/>
              <w:rPr>
                <w:b/>
                <w:bCs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Средний</w:t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51" w:type="dxa"/>
            <w:vAlign w:val="center"/>
            <w:textDirection w:val="lrTb"/>
            <w:noWrap w:val="false"/>
          </w:tcPr>
          <w:p>
            <w:pPr>
              <w:pStyle w:val="1288"/>
              <w:jc w:val="center"/>
              <w:shd w:val="clear" w:color="ffffff" w:themeColor="background1" w:fill="ffffff" w:themeFill="background1"/>
              <w:rPr>
                <w:b/>
                <w:bCs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Низкий</w:t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93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Высокая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9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1 день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9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2 дня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9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12 дней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51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20 дней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93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Средняя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9" w:type="dxa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6 часов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9" w:type="dxa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1 день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9" w:type="dxa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6 дней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51" w:type="dxa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10 дней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93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Низкая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9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4 часа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9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8 часов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9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3 дня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51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5 дней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</w:tbl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Сроки исполнения обращений, приведенные в Таблице 4.7, указаны в рабочих днях и часах.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Плановый с</w:t>
      </w:r>
      <w:r>
        <w:rPr>
          <w:highlight w:val="white"/>
        </w:rPr>
        <w:t xml:space="preserve">рок исполнения обращения может корректироваться по согласованию с Инициатором обращения, в случае если он не превышает максимальный срок исполнения обращения. Основание для изменения срока и информация о согласовании изменения вносятся Исполнителем в СТПП.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Максимальный срок исполнения общения может быть продлен в следующих случаях:</w:t>
      </w:r>
      <w:r>
        <w:rPr>
          <w:highlight w:val="white"/>
        </w:rPr>
      </w:r>
      <w:r>
        <w:rPr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для исполнения обращения требуется выполнение действий, не находящихся зоне ответственности Исполнителя;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для исполнения обращения требуется дополнительная информация от Инициатора;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highlight w:val="white"/>
        </w:rPr>
      </w:pPr>
      <w:r>
        <w:rPr>
          <w:szCs w:val="26"/>
          <w:highlight w:val="white"/>
        </w:rPr>
        <w:t xml:space="preserve">для исполнения обращения требуется решение Заказчика по эскалации от Исполнителя</w:t>
      </w:r>
      <w:r>
        <w:rPr>
          <w:highlight w:val="white"/>
        </w:rPr>
        <w:t xml:space="preserve">.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После определения планового срока исполнения обращения Исполнитель уведомляет Инициатора о регистрации обращения и сообщает ему следующую информацию:</w:t>
      </w:r>
      <w:r>
        <w:rPr>
          <w:highlight w:val="white"/>
        </w:rPr>
      </w:r>
      <w:r>
        <w:rPr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идентификатор обращения;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дату и время регистрации обращения;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краткое описание обращения;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highlight w:val="white"/>
        </w:rPr>
      </w:pPr>
      <w:r>
        <w:rPr>
          <w:szCs w:val="26"/>
          <w:highlight w:val="white"/>
        </w:rPr>
        <w:t xml:space="preserve">плановый</w:t>
      </w:r>
      <w:r>
        <w:rPr>
          <w:highlight w:val="white"/>
        </w:rPr>
        <w:t xml:space="preserve"> срок исполнения (классификации или оценки) обращения.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В случае сложных обращений, требующих значительного времени на анализ п</w:t>
      </w:r>
      <w:r>
        <w:rPr>
          <w:highlight w:val="white"/>
        </w:rPr>
        <w:t xml:space="preserve">редоставленной информации для классификации вместо планового срока исполнения в уведомлении, указывается плановый срок классификации или оценки. Впоследствии в плановый срок классификации или оценки Инициатору сообщается плановый срок исполнения обращения.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В случае если обращение содержит в себе несколько запросов разных типов, степеней срочности и степеней сложности или данные запросы </w:t>
      </w:r>
      <w:r>
        <w:rPr>
          <w:highlight w:val="white"/>
        </w:rPr>
        <w:t xml:space="preserve">могут быть выполнены независимо друг от друга, Исполнитель для повышения эффективности разбивает данное обращение на несколько обращений, которым присваиваются отдельные идентификаторы и которые дальше обрабатываются и учитываются независимо друг от друга.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В процессе исполнения обращения Инициатор или уполномоченный представитель Заказчика могут запрашивать статус исполнения обращения по его идентификатору, в этом случае Исполнитель предоставляет следующую информацию:</w:t>
      </w:r>
      <w:r>
        <w:rPr>
          <w:highlight w:val="white"/>
        </w:rPr>
      </w:r>
      <w:r>
        <w:rPr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статус исполнения обращения;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краткое описание хода исполнения обращения;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highlight w:val="white"/>
        </w:rPr>
      </w:pPr>
      <w:r>
        <w:rPr>
          <w:szCs w:val="26"/>
          <w:highlight w:val="white"/>
        </w:rPr>
        <w:t xml:space="preserve">плановый</w:t>
      </w:r>
      <w:r>
        <w:rPr>
          <w:highlight w:val="white"/>
        </w:rPr>
        <w:t xml:space="preserve"> срок исполнения (классификации или оценки) обращения.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В результате исполнения обращения Исполнитель уведомляет Инициатора и предоставляет следующую информацию:</w:t>
      </w:r>
      <w:r>
        <w:rPr>
          <w:highlight w:val="white"/>
        </w:rPr>
      </w:r>
      <w:r>
        <w:rPr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идентификатор обращения;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краткое описание обращения;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highlight w:val="white"/>
        </w:rPr>
      </w:pPr>
      <w:r>
        <w:rPr>
          <w:szCs w:val="26"/>
          <w:highlight w:val="white"/>
        </w:rPr>
        <w:t xml:space="preserve">результат исполнения</w:t>
      </w:r>
      <w:r>
        <w:rPr>
          <w:highlight w:val="white"/>
        </w:rPr>
        <w:t xml:space="preserve"> обращения (ответ на обращение).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При подготовке ответов на обращения Исполнитель может включать в ответы ссылки на документацию, имеющуюся у Заказчика.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В случае несогласия Инициатора с результатами обработки его обращения или качеством результата, Инициатор должен сообщить об эт</w:t>
      </w:r>
      <w:r>
        <w:rPr>
          <w:highlight w:val="white"/>
        </w:rPr>
        <w:t xml:space="preserve">ом срок рассмотрения претензий, после чего существующее обращение открывается заново, и его обработка продолжается. В случае отсутствия ответа Инициатора обращения о претензии по указанного срока, обращение считается закрытым и открытию заново не подлежит.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В процессе исполнения обращений используется статусная модель, приведенная в Таблице 4.8.</w:t>
      </w:r>
      <w:r>
        <w:rPr>
          <w:highlight w:val="white"/>
        </w:rPr>
      </w:r>
      <w:r>
        <w:rPr>
          <w:highlight w:val="white"/>
        </w:rPr>
      </w:r>
    </w:p>
    <w:p>
      <w:pPr>
        <w:pStyle w:val="1284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Таблица 4.8 – Статусная модель обращений</w:t>
      </w:r>
      <w:r>
        <w:rPr>
          <w:highlight w:val="white"/>
        </w:rPr>
      </w:r>
      <w:r>
        <w:rPr>
          <w:highlight w:val="white"/>
        </w:rPr>
      </w:r>
    </w:p>
    <w:tbl>
      <w:tblPr>
        <w:tblW w:w="10100" w:type="dxa"/>
        <w:jc w:val="center"/>
        <w:tblLayout w:type="fixed"/>
        <w:tblLook w:val="04A0" w:firstRow="1" w:lastRow="0" w:firstColumn="1" w:lastColumn="0" w:noHBand="0" w:noVBand="1"/>
      </w:tblPr>
      <w:tblGrid>
        <w:gridCol w:w="2122"/>
        <w:gridCol w:w="5225"/>
        <w:gridCol w:w="2753"/>
      </w:tblGrid>
      <w:tr>
        <w:tblPrEx/>
        <w:trPr>
          <w:jc w:val="center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2" w:type="dxa"/>
            <w:vAlign w:val="center"/>
            <w:textDirection w:val="lrTb"/>
            <w:noWrap w:val="false"/>
          </w:tcPr>
          <w:p>
            <w:pPr>
              <w:pStyle w:val="1288"/>
              <w:jc w:val="center"/>
              <w:shd w:val="clear" w:color="ffffff" w:themeColor="background1" w:fill="ffffff" w:themeFill="background1"/>
              <w:rPr>
                <w:b/>
                <w:bCs/>
                <w:sz w:val="26"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Статус обращения</w:t>
            </w:r>
            <w:r>
              <w:rPr>
                <w:b/>
                <w:bCs/>
                <w:sz w:val="26"/>
                <w:highlight w:val="white"/>
              </w:rPr>
            </w:r>
            <w:r>
              <w:rPr>
                <w:b/>
                <w:bCs/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25" w:type="dxa"/>
            <w:vAlign w:val="center"/>
            <w:textDirection w:val="lrTb"/>
            <w:noWrap w:val="false"/>
          </w:tcPr>
          <w:p>
            <w:pPr>
              <w:pStyle w:val="1288"/>
              <w:jc w:val="center"/>
              <w:shd w:val="clear" w:color="ffffff" w:themeColor="background1" w:fill="ffffff" w:themeFill="background1"/>
              <w:rPr>
                <w:b/>
                <w:bCs/>
                <w:sz w:val="26"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Описание статуса</w:t>
            </w:r>
            <w:r>
              <w:rPr>
                <w:b/>
                <w:bCs/>
                <w:sz w:val="26"/>
                <w:highlight w:val="white"/>
              </w:rPr>
            </w:r>
            <w:r>
              <w:rPr>
                <w:b/>
                <w:bCs/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53" w:type="dxa"/>
            <w:vAlign w:val="center"/>
            <w:textDirection w:val="lrTb"/>
            <w:noWrap w:val="false"/>
          </w:tcPr>
          <w:p>
            <w:pPr>
              <w:pStyle w:val="1288"/>
              <w:jc w:val="center"/>
              <w:shd w:val="clear" w:color="ffffff" w:themeColor="background1" w:fill="ffffff" w:themeFill="background1"/>
              <w:rPr>
                <w:b/>
                <w:bCs/>
                <w:sz w:val="26"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Ответственный</w:t>
            </w:r>
            <w:r>
              <w:rPr>
                <w:b/>
                <w:bCs/>
                <w:sz w:val="26"/>
                <w:highlight w:val="white"/>
              </w:rPr>
            </w:r>
            <w:r>
              <w:rPr>
                <w:b/>
                <w:bCs/>
                <w:sz w:val="26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Зарегистрировано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25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 принял обращение, зарегистрировал его в СТПП и проводит его классификацию и анализ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53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Уточнение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25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 ожидает дополнительную информацию от Инициатора, необходимую для исполнения обращения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53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Инициатор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Ожидание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25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 ожидает выполнения действий, необходимых для исполнения обращения и не находящихся в его зоне ответственности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53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Заказчик,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третьи лица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Исполнение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25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 находится в процессе исполнения обращения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53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Завершено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25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 завершил исполнение обращения, предоставил результаты Инициатору и ожидает подтверждения исполнения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53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Инициатор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Отклонено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25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 отклонил обращение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53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-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Закрыто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25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Исполнитель исполнил и закрыл обращение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53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-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</w:tbl>
    <w:p>
      <w:pPr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shd w:val="clear" w:color="ffffff" w:themeColor="background1" w:fill="ffffff" w:themeFill="background1"/>
        <w:rPr>
          <w:b/>
          <w:bCs/>
          <w:highlight w:val="white"/>
        </w:rPr>
      </w:pPr>
      <w:r>
        <w:rPr>
          <w:b/>
          <w:bCs/>
          <w:highlight w:val="white"/>
        </w:rPr>
        <w:t xml:space="preserve">3.5. ОТЧЕТНОСТЬ ОБ ОКАЗАНИИ УСЛУГ </w:t>
      </w:r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shd w:val="clear" w:color="ffffff" w:themeColor="background1" w:fill="ffffff" w:themeFill="background1"/>
        <w:rPr>
          <w:b/>
          <w:bCs/>
          <w:highlight w:val="white"/>
        </w:rPr>
      </w:pPr>
      <w:r>
        <w:rPr>
          <w:b/>
          <w:bCs/>
          <w:highlight w:val="white"/>
        </w:rPr>
      </w:r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pStyle w:val="1275"/>
        <w:numPr>
          <w:ilvl w:val="0"/>
          <w:numId w:val="0"/>
        </w:numPr>
        <w:ind w:left="709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3.5.1. Отчет о техническом обслуживании, ремонте и обновлениях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Отчет о техническом обслуживании, ремонте и обновлениях должен содержать таблицу с колонками, приведенными в Таблице 5.1.</w:t>
      </w:r>
      <w:r>
        <w:rPr>
          <w:highlight w:val="white"/>
        </w:rPr>
      </w:r>
      <w:r>
        <w:rPr>
          <w:highlight w:val="white"/>
        </w:rPr>
      </w:r>
    </w:p>
    <w:p>
      <w:pPr>
        <w:pStyle w:val="1284"/>
        <w:shd w:val="clear" w:color="ffffff" w:themeColor="background1" w:fill="ffffff" w:themeFill="background1"/>
        <w:rPr>
          <w:highlight w:val="white"/>
        </w:rPr>
      </w:pPr>
      <w:r>
        <w:rPr>
          <w:rStyle w:val="1272"/>
          <w:highlight w:val="white"/>
        </w:rPr>
        <w:t xml:space="preserve">Таблица 5.1 – Форма отчета о техническом обслуживании, ремонте и обновлениях</w:t>
      </w:r>
      <w:r>
        <w:rPr>
          <w:highlight w:val="white"/>
        </w:rPr>
      </w:r>
      <w:r>
        <w:rPr>
          <w:highlight w:val="white"/>
        </w:rPr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30"/>
        <w:gridCol w:w="5585"/>
        <w:gridCol w:w="3980"/>
      </w:tblGrid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b/>
                <w:bCs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№</w:t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39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b/>
                <w:bCs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Наименование колонки</w:t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2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b/>
                <w:bCs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Тип значения</w:t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" w:type="pct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27"/>
              </w:numPr>
              <w:shd w:val="clear" w:color="ffffff" w:themeColor="background1" w:fill="ffffff" w:themeFill="background1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39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№ п/п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2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Число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" w:type="pct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27"/>
              </w:numPr>
              <w:shd w:val="clear" w:color="ffffff" w:themeColor="background1" w:fill="ffffff" w:themeFill="background1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39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Номер регистрационной карточки в СТПП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2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Число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" w:type="pct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27"/>
              </w:numPr>
              <w:shd w:val="clear" w:color="ffffff" w:themeColor="background1" w:fill="ffffff" w:themeFill="background1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39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Начало мероприятия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2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Дата и время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" w:type="pct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27"/>
              </w:numPr>
              <w:shd w:val="clear" w:color="ffffff" w:themeColor="background1" w:fill="ffffff" w:themeFill="background1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39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Окончание мероприятия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2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Дата и время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" w:type="pct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27"/>
              </w:numPr>
              <w:shd w:val="clear" w:color="ffffff" w:themeColor="background1" w:fill="ffffff" w:themeFill="background1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39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Наименование услуги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2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Наименование услуги из Таблицы 3.1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" w:type="pct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27"/>
              </w:numPr>
              <w:shd w:val="clear" w:color="ffffff" w:themeColor="background1" w:fill="ffffff" w:themeFill="background1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39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Результаты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2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Текст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</w:tbl>
    <w:p>
      <w:pPr>
        <w:pStyle w:val="1275"/>
        <w:numPr>
          <w:ilvl w:val="0"/>
          <w:numId w:val="0"/>
        </w:numPr>
        <w:ind w:left="709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3.5.2. Отчет об обработке обращений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Отчет об обработке обращений должен содержать таблицу с колонками, приведенными в Таблице 5.2.</w:t>
      </w:r>
      <w:r>
        <w:rPr>
          <w:highlight w:val="white"/>
        </w:rPr>
      </w:r>
      <w:r>
        <w:rPr>
          <w:highlight w:val="white"/>
        </w:rPr>
      </w:r>
    </w:p>
    <w:p>
      <w:pPr>
        <w:pStyle w:val="1284"/>
        <w:shd w:val="clear" w:color="ffffff" w:themeColor="background1" w:fill="ffffff" w:themeFill="background1"/>
        <w:rPr>
          <w:rStyle w:val="1272"/>
          <w:highlight w:val="white"/>
        </w:rPr>
      </w:pPr>
      <w:r>
        <w:rPr>
          <w:rStyle w:val="1272"/>
          <w:highlight w:val="white"/>
        </w:rPr>
        <w:t xml:space="preserve">Таблица 5.2 – Форма отчета </w:t>
      </w:r>
      <w:r>
        <w:rPr>
          <w:highlight w:val="white"/>
        </w:rPr>
        <w:t xml:space="preserve">об обработке обращений</w:t>
      </w:r>
      <w:r>
        <w:rPr>
          <w:rStyle w:val="1272"/>
          <w:highlight w:val="white"/>
        </w:rPr>
      </w:r>
      <w:r>
        <w:rPr>
          <w:rStyle w:val="1272"/>
          <w:highlight w:val="white"/>
        </w:rPr>
      </w:r>
    </w:p>
    <w:tbl>
      <w:tblPr>
        <w:tblW w:w="10315" w:type="dxa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4815"/>
        <w:gridCol w:w="4791"/>
      </w:tblGrid>
      <w:tr>
        <w:tblPrEx/>
        <w:trPr>
          <w:jc w:val="center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pStyle w:val="1288"/>
              <w:jc w:val="center"/>
              <w:shd w:val="clear" w:color="ffffff" w:themeColor="background1" w:fill="ffffff" w:themeFill="background1"/>
              <w:rPr>
                <w:b/>
                <w:bCs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№</w:t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5" w:type="dxa"/>
            <w:vAlign w:val="center"/>
            <w:textDirection w:val="lrTb"/>
            <w:noWrap w:val="false"/>
          </w:tcPr>
          <w:p>
            <w:pPr>
              <w:pStyle w:val="1288"/>
              <w:jc w:val="center"/>
              <w:shd w:val="clear" w:color="ffffff" w:themeColor="background1" w:fill="ffffff" w:themeFill="background1"/>
              <w:rPr>
                <w:b/>
                <w:bCs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Наименование колонки</w:t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91" w:type="dxa"/>
            <w:vAlign w:val="center"/>
            <w:textDirection w:val="lrTb"/>
            <w:noWrap w:val="false"/>
          </w:tcPr>
          <w:p>
            <w:pPr>
              <w:pStyle w:val="1288"/>
              <w:jc w:val="center"/>
              <w:shd w:val="clear" w:color="ffffff" w:themeColor="background1" w:fill="ffffff" w:themeFill="background1"/>
              <w:rPr>
                <w:b/>
                <w:bCs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Тип значения</w:t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28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5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№ п/п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91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Число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28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5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Номер регистрационной карточки в СТПП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91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Число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28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5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Зарегистрировано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91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Дата и время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28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5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Подразделение инициатора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91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Строка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28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5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ФИО инициатора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91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Строка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28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5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Канал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91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Вид канала из Таблицы 4.2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28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5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Номер линии СТП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91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Номер линии СТП из Таблицы 4.6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28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5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Приоритет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91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Вид приоритета из Таблицы 4.5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28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5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Тип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91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Тип обращения из Таблицы 4.4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28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5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Содержание обращения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91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Текст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28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5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Плановый срок исполнения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91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Дата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28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5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Фактический срок исполнения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91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Дата и время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28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5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Статус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91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Статус из Таблицы 4.8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</w:tbl>
    <w:p>
      <w:pPr>
        <w:pStyle w:val="1275"/>
        <w:numPr>
          <w:ilvl w:val="0"/>
          <w:numId w:val="0"/>
        </w:numPr>
        <w:ind w:left="709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3.5.3. Отчет об обработке инцидентов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Отчет об обработке инцидентов</w:t>
      </w:r>
      <w:r>
        <w:rPr>
          <w:rStyle w:val="1272"/>
          <w:highlight w:val="white"/>
        </w:rPr>
        <w:t xml:space="preserve"> </w:t>
      </w:r>
      <w:r>
        <w:rPr>
          <w:highlight w:val="white"/>
        </w:rPr>
        <w:t xml:space="preserve">должен содержать таблицу с колонками, приведенными в Таблице 5.</w:t>
      </w:r>
      <w:r>
        <w:rPr>
          <w:rStyle w:val="1272"/>
          <w:highlight w:val="white"/>
        </w:rPr>
        <w:t xml:space="preserve">3</w:t>
      </w:r>
      <w:r>
        <w:rPr>
          <w:highlight w:val="white"/>
        </w:rPr>
        <w:t xml:space="preserve">.</w:t>
      </w:r>
      <w:r>
        <w:rPr>
          <w:highlight w:val="white"/>
        </w:rPr>
      </w:r>
      <w:r>
        <w:rPr>
          <w:highlight w:val="white"/>
        </w:rPr>
      </w:r>
    </w:p>
    <w:p>
      <w:pPr>
        <w:pStyle w:val="1284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Таблица 5.3 – Форма отчета об обработке инцидентов</w:t>
      </w:r>
      <w:r>
        <w:rPr>
          <w:highlight w:val="white"/>
        </w:rPr>
      </w:r>
      <w:r>
        <w:rPr>
          <w:highlight w:val="white"/>
        </w:rPr>
      </w:r>
    </w:p>
    <w:tbl>
      <w:tblPr>
        <w:tblW w:w="10207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4820"/>
        <w:gridCol w:w="4683"/>
      </w:tblGrid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b/>
                <w:bCs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№</w:t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20" w:type="dxa"/>
            <w:vAlign w:val="center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b/>
                <w:bCs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Наименование колонки</w:t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83" w:type="dxa"/>
            <w:vAlign w:val="center"/>
            <w:textDirection w:val="lrTb"/>
            <w:noWrap w:val="false"/>
          </w:tcPr>
          <w:p>
            <w:pPr>
              <w:pStyle w:val="1288"/>
              <w:jc w:val="left"/>
              <w:shd w:val="clear" w:color="ffffff" w:themeColor="background1" w:fill="ffffff" w:themeFill="background1"/>
              <w:rPr>
                <w:b/>
                <w:bCs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Тип значения</w:t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29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20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№ п/п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83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Число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29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20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Номер регистрационной карточки в СТПП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83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Число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29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20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Зарегистрировано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83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Дата и время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29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20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ФИО инициатора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83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Строка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29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20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Номер линии СТП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83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Номер линии СТП из Таблицы 4.6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29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20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Приоритет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83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Вид приоритета из Таблицы 4.5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29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20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Наименование услуги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83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Наименование услуги из Таблицы 3.1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29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20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Содержание инцидента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83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Текст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29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20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Плановый срок исполнения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83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Дата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29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20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Фактический срок исполнения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83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Дата и время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29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20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Статус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83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Статус из Таблицы 4.8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</w:tbl>
    <w:p>
      <w:pPr>
        <w:pStyle w:val="1275"/>
        <w:numPr>
          <w:ilvl w:val="0"/>
          <w:numId w:val="0"/>
        </w:numPr>
        <w:ind w:left="709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3.5.4. Отчет об обработке запросов на обслуживание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Отчет об обработке запросов на обслуживание должен содержать таблицу с колонками, приведенными в Таблице 5.4.</w:t>
      </w:r>
      <w:r>
        <w:rPr>
          <w:highlight w:val="white"/>
        </w:rPr>
      </w:r>
      <w:r>
        <w:rPr>
          <w:highlight w:val="white"/>
        </w:rPr>
      </w:r>
    </w:p>
    <w:p>
      <w:pPr>
        <w:pStyle w:val="1284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Таблица 5.4 – Форма отчета об обработке запросов на обслуживание</w:t>
      </w:r>
      <w:r>
        <w:rPr>
          <w:highlight w:val="white"/>
        </w:rPr>
      </w:r>
      <w:r>
        <w:rPr>
          <w:highlight w:val="white"/>
        </w:rPr>
      </w:r>
    </w:p>
    <w:tbl>
      <w:tblPr>
        <w:tblW w:w="10136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4962"/>
        <w:gridCol w:w="4612"/>
      </w:tblGrid>
      <w:tr>
        <w:tblPrEx/>
        <w:trPr>
          <w:jc w:val="center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textDirection w:val="lrTb"/>
            <w:noWrap w:val="false"/>
          </w:tcPr>
          <w:p>
            <w:pPr>
              <w:pStyle w:val="1288"/>
              <w:jc w:val="center"/>
              <w:shd w:val="clear" w:color="ffffff" w:themeColor="background1" w:fill="ffffff" w:themeFill="background1"/>
              <w:rPr>
                <w:b/>
                <w:bCs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№</w:t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62" w:type="dxa"/>
            <w:vAlign w:val="center"/>
            <w:textDirection w:val="lrTb"/>
            <w:noWrap w:val="false"/>
          </w:tcPr>
          <w:p>
            <w:pPr>
              <w:pStyle w:val="1288"/>
              <w:jc w:val="center"/>
              <w:shd w:val="clear" w:color="ffffff" w:themeColor="background1" w:fill="ffffff" w:themeFill="background1"/>
              <w:rPr>
                <w:b/>
                <w:bCs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Наименование колонки</w:t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12" w:type="dxa"/>
            <w:vAlign w:val="center"/>
            <w:textDirection w:val="lrTb"/>
            <w:noWrap w:val="false"/>
          </w:tcPr>
          <w:p>
            <w:pPr>
              <w:pStyle w:val="1288"/>
              <w:jc w:val="center"/>
              <w:shd w:val="clear" w:color="ffffff" w:themeColor="background1" w:fill="ffffff" w:themeFill="background1"/>
              <w:rPr>
                <w:b/>
                <w:bCs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Тип значения</w:t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30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6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№ п/п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1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Число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30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6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Номер регистрационной карточки в СТПП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1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Число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30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6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Зарегистрировано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1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Дата и время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30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6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ФИО инициатора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1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Строка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30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6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Номер линии СТП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1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Номер линии СТП из Таблицы 4.6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30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6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Приоритет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1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Вид приоритета из Таблицы 4.5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30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6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Наименование услуги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1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Наименование услуги из Таблицы 3.1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30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6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Содержание запроса на обслуживание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1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Текст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30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6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Плановый срок исполнения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1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Дата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30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6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Фактический срок исполнения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1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Дата и время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30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6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Статус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12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Статус из Таблицы 4.8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</w:tbl>
    <w:p>
      <w:pPr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ab/>
      </w:r>
      <w:r>
        <w:rPr>
          <w:highlight w:val="white"/>
        </w:rPr>
        <w:tab/>
      </w:r>
      <w:r>
        <w:rPr>
          <w:highlight w:val="white"/>
        </w:rPr>
      </w:r>
      <w:r>
        <w:rPr>
          <w:highlight w:val="white"/>
        </w:rPr>
      </w:r>
    </w:p>
    <w:p>
      <w:pPr>
        <w:shd w:val="clear" w:color="ffffff" w:themeColor="background1" w:fill="ffffff" w:themeFill="background1"/>
        <w:rPr>
          <w:highlight w:val="white"/>
        </w:rPr>
      </w:pPr>
      <w:r>
        <w:rPr>
          <w:b/>
          <w:bCs/>
          <w:highlight w:val="white"/>
        </w:rPr>
        <w:t xml:space="preserve">3.6. ГРАНИЦЫ ОКАЗАНИЯ УСЛУГ</w:t>
      </w:r>
      <w:r>
        <w:rPr>
          <w:highlight w:val="white"/>
        </w:rPr>
      </w:r>
      <w:r>
        <w:rPr>
          <w:highlight w:val="white"/>
        </w:rPr>
      </w:r>
    </w:p>
    <w:p>
      <w:pPr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ab/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Работоспособность или доступность следующих компонентов, систем и сервисов влияет на сроки и качество оказания услуг и не находится в зоне ответственности Исполнителя:</w:t>
      </w:r>
      <w:r>
        <w:rPr>
          <w:highlight w:val="white"/>
        </w:rPr>
      </w:r>
      <w:r>
        <w:rPr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компоненты АИС ОГУ находящиеся в зоне ответственности Заказчика в соответствии с Таблицей 2.1;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highlight w:val="white"/>
        </w:rPr>
      </w:pPr>
      <w:r>
        <w:rPr>
          <w:szCs w:val="26"/>
          <w:highlight w:val="white"/>
        </w:rPr>
        <w:t xml:space="preserve">Систем (сервисы) третьих лиц и смежных систем Заказчика в соответствии с Таблицей</w:t>
      </w:r>
      <w:r>
        <w:rPr>
          <w:highlight w:val="white"/>
        </w:rPr>
        <w:t xml:space="preserve"> 6.1.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В случаях, когда задержка в оказании или качество оказания услуг связаны</w:t>
      </w:r>
      <w:r>
        <w:rPr>
          <w:highlight w:val="white"/>
        </w:rPr>
        <w:t xml:space="preserve"> с недоступностью или неработоспособностью указанных ниже компонентов, систем и сервисов, Заказчик обязан содействовать устранению неисправности. В таких случаях Заказчик не может предъявить Исполнителю претензии за срыв сроков или качество оказания Услуг.</w:t>
      </w:r>
      <w:r>
        <w:rPr>
          <w:highlight w:val="white"/>
        </w:rPr>
      </w:r>
      <w:r>
        <w:rPr>
          <w:highlight w:val="white"/>
        </w:rPr>
      </w:r>
    </w:p>
    <w:p>
      <w:pPr>
        <w:pStyle w:val="1284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Таблица 6.1 – Систем (сервисы) третьих лиц и смежных систем Заказчика</w:t>
      </w:r>
      <w:r>
        <w:rPr>
          <w:highlight w:val="white"/>
        </w:rPr>
      </w:r>
      <w:r>
        <w:rPr>
          <w:highlight w:val="white"/>
        </w:rPr>
      </w:r>
    </w:p>
    <w:tbl>
      <w:tblPr>
        <w:tblW w:w="10299" w:type="dxa"/>
        <w:tblLayout w:type="fixed"/>
        <w:tblCellMar>
          <w:left w:w="93" w:type="dxa"/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846"/>
        <w:gridCol w:w="2508"/>
        <w:gridCol w:w="4677"/>
        <w:gridCol w:w="2268"/>
      </w:tblGrid>
      <w:tr>
        <w:tblPrEx/>
        <w:trPr>
          <w:trHeight w:val="172"/>
          <w:tblHeader/>
        </w:trPr>
        <w:tc>
          <w:tcPr>
            <w:tcBorders>
              <w:top w:val="single" w:color="00000A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846" w:type="dxa"/>
            <w:vAlign w:val="center"/>
            <w:textDirection w:val="lrTb"/>
            <w:noWrap w:val="false"/>
          </w:tcPr>
          <w:p>
            <w:pPr>
              <w:pStyle w:val="1288"/>
              <w:jc w:val="center"/>
              <w:shd w:val="clear" w:color="ffffff" w:themeColor="background1" w:fill="ffffff" w:themeFill="background1"/>
              <w:rPr>
                <w:b/>
                <w:bCs/>
                <w:sz w:val="26"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№</w:t>
            </w:r>
            <w:r>
              <w:rPr>
                <w:b/>
                <w:bCs/>
                <w:sz w:val="26"/>
                <w:highlight w:val="white"/>
              </w:rPr>
            </w:r>
            <w:r>
              <w:rPr>
                <w:b/>
                <w:bCs/>
                <w:sz w:val="26"/>
                <w:highlight w:val="white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Mar>
              <w:left w:w="93" w:type="dxa"/>
              <w:top w:w="57" w:type="dxa"/>
              <w:right w:w="0" w:type="auto"/>
              <w:bottom w:w="57" w:type="dxa"/>
            </w:tcMar>
            <w:tcW w:w="2508" w:type="dxa"/>
            <w:vAlign w:val="center"/>
            <w:textDirection w:val="lrTb"/>
            <w:noWrap w:val="false"/>
          </w:tcPr>
          <w:p>
            <w:pPr>
              <w:pStyle w:val="1288"/>
              <w:jc w:val="center"/>
              <w:shd w:val="clear" w:color="ffffff" w:themeColor="background1" w:fill="ffffff" w:themeFill="background1"/>
              <w:rPr>
                <w:b/>
                <w:bCs/>
                <w:sz w:val="26"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Системы (сервисы) третьих лиц и смежные системы Заказчика</w:t>
            </w:r>
            <w:r>
              <w:rPr>
                <w:b/>
                <w:bCs/>
                <w:sz w:val="26"/>
                <w:highlight w:val="white"/>
              </w:rPr>
            </w:r>
            <w:r>
              <w:rPr>
                <w:b/>
                <w:bCs/>
                <w:sz w:val="26"/>
                <w:highlight w:val="white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Mar>
              <w:left w:w="93" w:type="dxa"/>
              <w:top w:w="57" w:type="dxa"/>
              <w:right w:w="0" w:type="auto"/>
              <w:bottom w:w="57" w:type="dxa"/>
            </w:tcMar>
            <w:tcW w:w="4677" w:type="dxa"/>
            <w:vAlign w:val="center"/>
            <w:textDirection w:val="lrTb"/>
            <w:noWrap w:val="false"/>
          </w:tcPr>
          <w:p>
            <w:pPr>
              <w:pStyle w:val="1288"/>
              <w:jc w:val="center"/>
              <w:shd w:val="clear" w:color="ffffff" w:themeColor="background1" w:fill="ffffff" w:themeFill="background1"/>
              <w:rPr>
                <w:b/>
                <w:bCs/>
                <w:sz w:val="26"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Полное наименование систем (сервисов) третьих лиц и смежных систем Заказчика/наименование связанных сервисов</w:t>
            </w:r>
            <w:r>
              <w:rPr>
                <w:b/>
                <w:bCs/>
                <w:sz w:val="26"/>
                <w:highlight w:val="white"/>
              </w:rPr>
            </w:r>
            <w:r>
              <w:rPr>
                <w:b/>
                <w:bCs/>
                <w:sz w:val="26"/>
                <w:highlight w:val="white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Mar>
              <w:left w:w="93" w:type="dxa"/>
              <w:top w:w="57" w:type="dxa"/>
              <w:right w:w="0" w:type="auto"/>
              <w:bottom w:w="57" w:type="dxa"/>
            </w:tcMar>
            <w:tcW w:w="2268" w:type="dxa"/>
            <w:vAlign w:val="center"/>
            <w:textDirection w:val="lrTb"/>
            <w:noWrap w:val="false"/>
          </w:tcPr>
          <w:p>
            <w:pPr>
              <w:pStyle w:val="1288"/>
              <w:jc w:val="center"/>
              <w:shd w:val="clear" w:color="ffffff" w:themeColor="background1" w:fill="ffffff" w:themeFill="background1"/>
              <w:rPr>
                <w:b/>
                <w:bCs/>
                <w:sz w:val="26"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Ответственный</w:t>
            </w:r>
            <w:r>
              <w:rPr>
                <w:b/>
                <w:bCs/>
                <w:sz w:val="26"/>
                <w:highlight w:val="white"/>
              </w:rPr>
            </w:r>
            <w:r>
              <w:rPr>
                <w:b/>
                <w:bCs/>
                <w:sz w:val="26"/>
                <w:highlight w:val="white"/>
              </w:rPr>
            </w:r>
          </w:p>
        </w:tc>
      </w:tr>
      <w:tr>
        <w:tblPrEx/>
        <w:trPr>
          <w:trHeight w:val="24"/>
        </w:trPr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846" w:type="dxa"/>
            <w:vAlign w:val="center"/>
            <w:textDirection w:val="lrTb"/>
            <w:noWrap w:val="false"/>
          </w:tcPr>
          <w:p>
            <w:pPr>
              <w:pStyle w:val="1293"/>
              <w:numPr>
                <w:ilvl w:val="0"/>
                <w:numId w:val="31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3" w:type="dxa"/>
              <w:top w:w="57" w:type="dxa"/>
              <w:right w:w="0" w:type="auto"/>
              <w:bottom w:w="57" w:type="dxa"/>
            </w:tcMar>
            <w:tcW w:w="2508" w:type="dxa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ЕСИА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3" w:type="dxa"/>
              <w:top w:w="57" w:type="dxa"/>
              <w:right w:w="0" w:type="auto"/>
              <w:bottom w:w="57" w:type="dxa"/>
            </w:tcMar>
            <w:tcW w:w="4677" w:type="dxa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Федеральная государственная инфор</w:t>
            </w:r>
            <w:r>
              <w:rPr>
                <w:sz w:val="26"/>
                <w:highlight w:val="white"/>
              </w:rPr>
              <w:t xml:space="preserve">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3" w:type="dxa"/>
              <w:top w:w="57" w:type="dxa"/>
              <w:right w:w="0" w:type="auto"/>
              <w:bottom w:w="57" w:type="dxa"/>
            </w:tcMar>
            <w:tcW w:w="2268" w:type="dxa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Минцифры</w:t>
            </w:r>
            <w:r>
              <w:rPr>
                <w:sz w:val="26"/>
                <w:highlight w:val="white"/>
              </w:rPr>
              <w:t xml:space="preserve"> России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4"/>
        </w:trPr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846" w:type="dxa"/>
            <w:vAlign w:val="center"/>
            <w:textDirection w:val="lrTb"/>
            <w:noWrap w:val="false"/>
          </w:tcPr>
          <w:p>
            <w:pPr>
              <w:pStyle w:val="1293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3" w:type="dxa"/>
              <w:top w:w="57" w:type="dxa"/>
              <w:right w:w="0" w:type="auto"/>
              <w:bottom w:w="57" w:type="dxa"/>
            </w:tcMar>
            <w:tcW w:w="2508" w:type="dxa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ГосСОПКА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3" w:type="dxa"/>
              <w:top w:w="57" w:type="dxa"/>
              <w:right w:w="0" w:type="auto"/>
              <w:bottom w:w="57" w:type="dxa"/>
            </w:tcMar>
            <w:tcW w:w="4677" w:type="dxa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Государственная система обнаружения, предупреждения и ликвидации последствий компьютерных атак на информационные ресурсы Российской Федерации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3" w:type="dxa"/>
              <w:top w:w="57" w:type="dxa"/>
              <w:right w:w="0" w:type="auto"/>
              <w:bottom w:w="57" w:type="dxa"/>
            </w:tcMar>
            <w:tcW w:w="2268" w:type="dxa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ФСБ России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13"/>
        </w:trPr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846" w:type="dxa"/>
            <w:vAlign w:val="center"/>
            <w:textDirection w:val="lrTb"/>
            <w:noWrap w:val="false"/>
          </w:tcPr>
          <w:p>
            <w:pPr>
              <w:pStyle w:val="1293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3" w:type="dxa"/>
              <w:top w:w="57" w:type="dxa"/>
              <w:right w:w="0" w:type="auto"/>
              <w:bottom w:w="57" w:type="dxa"/>
            </w:tcMar>
            <w:tcW w:w="2508" w:type="dxa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ЕПГУ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3" w:type="dxa"/>
              <w:top w:w="57" w:type="dxa"/>
              <w:right w:w="0" w:type="auto"/>
              <w:bottom w:w="57" w:type="dxa"/>
            </w:tcMar>
            <w:tcW w:w="4677" w:type="dxa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Федеральная государственная информационная система «Единый портал государственных и муниципальных услуг (функций)»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3" w:type="dxa"/>
              <w:top w:w="57" w:type="dxa"/>
              <w:right w:w="0" w:type="auto"/>
              <w:bottom w:w="57" w:type="dxa"/>
            </w:tcMar>
            <w:tcW w:w="2268" w:type="dxa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Минцифры</w:t>
            </w:r>
            <w:r>
              <w:rPr>
                <w:sz w:val="26"/>
                <w:highlight w:val="white"/>
              </w:rPr>
              <w:t xml:space="preserve"> России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13"/>
        </w:trPr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846" w:type="dxa"/>
            <w:vAlign w:val="center"/>
            <w:textDirection w:val="lrTb"/>
            <w:noWrap w:val="false"/>
          </w:tcPr>
          <w:p>
            <w:pPr>
              <w:pStyle w:val="1293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3" w:type="dxa"/>
              <w:top w:w="57" w:type="dxa"/>
              <w:right w:w="0" w:type="auto"/>
              <w:bottom w:w="57" w:type="dxa"/>
            </w:tcMar>
            <w:tcW w:w="2508" w:type="dxa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caps/>
                <w:highlight w:val="white"/>
              </w:rPr>
            </w:pPr>
            <w:r>
              <w:rPr>
                <w:sz w:val="26"/>
                <w:highlight w:val="white"/>
              </w:rPr>
              <w:t xml:space="preserve">СМЭВ</w:t>
            </w:r>
            <w:r>
              <w:rPr>
                <w:caps/>
                <w:highlight w:val="white"/>
              </w:rPr>
            </w:r>
            <w:r>
              <w:rPr>
                <w:caps/>
                <w:highlight w:val="white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3" w:type="dxa"/>
              <w:top w:w="57" w:type="dxa"/>
              <w:right w:w="0" w:type="auto"/>
              <w:bottom w:w="57" w:type="dxa"/>
            </w:tcMar>
            <w:tcW w:w="4677" w:type="dxa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Федеральная государственная информационная система «Единая система межведомственного электронного взаимодействия»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3" w:type="dxa"/>
              <w:top w:w="57" w:type="dxa"/>
              <w:right w:w="0" w:type="auto"/>
              <w:bottom w:w="57" w:type="dxa"/>
            </w:tcMar>
            <w:tcW w:w="2268" w:type="dxa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Минцифры</w:t>
            </w:r>
            <w:r>
              <w:rPr>
                <w:sz w:val="26"/>
                <w:highlight w:val="white"/>
              </w:rPr>
              <w:t xml:space="preserve"> России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57"/>
        </w:trPr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846" w:type="dxa"/>
            <w:vAlign w:val="center"/>
            <w:textDirection w:val="lrTb"/>
            <w:noWrap w:val="false"/>
          </w:tcPr>
          <w:p>
            <w:pPr>
              <w:pStyle w:val="1293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3" w:type="dxa"/>
              <w:top w:w="57" w:type="dxa"/>
              <w:right w:w="0" w:type="auto"/>
              <w:bottom w:w="57" w:type="dxa"/>
            </w:tcMar>
            <w:tcW w:w="2508" w:type="dxa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СЭД Заказчика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3" w:type="dxa"/>
              <w:top w:w="57" w:type="dxa"/>
              <w:right w:w="0" w:type="auto"/>
              <w:bottom w:w="57" w:type="dxa"/>
            </w:tcMar>
            <w:tcW w:w="4677" w:type="dxa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Система электронного документооборота Заказчика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3" w:type="dxa"/>
              <w:top w:w="57" w:type="dxa"/>
              <w:right w:w="0" w:type="auto"/>
              <w:bottom w:w="57" w:type="dxa"/>
            </w:tcMar>
            <w:tcW w:w="2268" w:type="dxa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Заказчик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57"/>
        </w:trPr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846" w:type="dxa"/>
            <w:vAlign w:val="center"/>
            <w:textDirection w:val="lrTb"/>
            <w:noWrap w:val="false"/>
          </w:tcPr>
          <w:p>
            <w:pPr>
              <w:pStyle w:val="1293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3" w:type="dxa"/>
              <w:top w:w="57" w:type="dxa"/>
              <w:right w:w="0" w:type="auto"/>
              <w:bottom w:w="57" w:type="dxa"/>
            </w:tcMar>
            <w:tcW w:w="2508" w:type="dxa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Электронный сервис (виды сведений) СМЭВ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3" w:type="dxa"/>
              <w:top w:w="57" w:type="dxa"/>
              <w:right w:w="0" w:type="auto"/>
              <w:bottom w:w="57" w:type="dxa"/>
            </w:tcMar>
            <w:tcW w:w="4677" w:type="dxa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Сервис предоставления сведений (виды сведений), необходимые </w:t>
            </w:r>
            <w:r>
              <w:rPr>
                <w:sz w:val="26"/>
                <w:highlight w:val="white"/>
              </w:rPr>
              <w:t xml:space="preserve">Росавиации</w:t>
            </w:r>
            <w:r>
              <w:rPr>
                <w:sz w:val="26"/>
                <w:highlight w:val="white"/>
              </w:rPr>
              <w:t xml:space="preserve"> от другого ведомства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3" w:type="dxa"/>
              <w:top w:w="57" w:type="dxa"/>
              <w:right w:w="0" w:type="auto"/>
              <w:bottom w:w="57" w:type="dxa"/>
            </w:tcMar>
            <w:tcW w:w="2268" w:type="dxa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Ведомство – поставщик информации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57"/>
        </w:trPr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846" w:type="dxa"/>
            <w:vAlign w:val="center"/>
            <w:textDirection w:val="lrTb"/>
            <w:noWrap w:val="false"/>
          </w:tcPr>
          <w:p>
            <w:pPr>
              <w:pStyle w:val="1293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3" w:type="dxa"/>
              <w:top w:w="57" w:type="dxa"/>
              <w:right w:w="0" w:type="auto"/>
              <w:bottom w:w="57" w:type="dxa"/>
            </w:tcMar>
            <w:tcW w:w="2508" w:type="dxa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СГУ ВС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3" w:type="dxa"/>
              <w:top w:w="57" w:type="dxa"/>
              <w:right w:w="0" w:type="auto"/>
              <w:bottom w:w="57" w:type="dxa"/>
            </w:tcMar>
            <w:tcW w:w="4677" w:type="dxa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Информационная автоматизированная система «Система государственного учета данных о воздушных судах»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3" w:type="dxa"/>
              <w:top w:w="57" w:type="dxa"/>
              <w:right w:w="0" w:type="auto"/>
              <w:bottom w:w="57" w:type="dxa"/>
            </w:tcMar>
            <w:tcW w:w="2268" w:type="dxa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ФГУП «Государственная корпорация по организации воздушного движения в Российской Федерации»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57"/>
        </w:trPr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846" w:type="dxa"/>
            <w:vAlign w:val="center"/>
            <w:textDirection w:val="lrTb"/>
            <w:noWrap w:val="false"/>
          </w:tcPr>
          <w:p>
            <w:pPr>
              <w:pStyle w:val="1293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3" w:type="dxa"/>
              <w:top w:w="57" w:type="dxa"/>
              <w:right w:w="0" w:type="auto"/>
              <w:bottom w:w="57" w:type="dxa"/>
            </w:tcMar>
            <w:tcW w:w="2508" w:type="dxa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ИТ-инфраструктура Заказчика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3" w:type="dxa"/>
              <w:top w:w="57" w:type="dxa"/>
              <w:right w:w="0" w:type="auto"/>
              <w:bottom w:w="57" w:type="dxa"/>
            </w:tcMar>
            <w:tcW w:w="4677" w:type="dxa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Защищенная сеть передачи данных, смежные ведомственные информационные системы,  аппаратное и п</w:t>
            </w:r>
            <w:r>
              <w:rPr>
                <w:sz w:val="26"/>
                <w:highlight w:val="white"/>
              </w:rPr>
              <w:t xml:space="preserve">рограммное обеспечение Заказчика (в том числе автоматизированное рабочее место, веб-обозреватель, антивирусное ПО, средства виртуализации, межсетевые экраны, сканеры информационной безопасности, средства мониторинга инцидентов информационной безопасности).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3" w:type="dxa"/>
              <w:top w:w="57" w:type="dxa"/>
              <w:right w:w="0" w:type="auto"/>
              <w:bottom w:w="57" w:type="dxa"/>
            </w:tcMar>
            <w:tcW w:w="2268" w:type="dxa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Заказчик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57"/>
        </w:trPr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846" w:type="dxa"/>
            <w:vAlign w:val="center"/>
            <w:textDirection w:val="lrTb"/>
            <w:noWrap w:val="false"/>
          </w:tcPr>
          <w:p>
            <w:pPr>
              <w:pStyle w:val="1293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3" w:type="dxa"/>
              <w:top w:w="57" w:type="dxa"/>
              <w:right w:w="0" w:type="auto"/>
              <w:bottom w:w="57" w:type="dxa"/>
            </w:tcMar>
            <w:tcW w:w="2508" w:type="dxa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Ведомственный портал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3" w:type="dxa"/>
              <w:top w:w="57" w:type="dxa"/>
              <w:right w:w="0" w:type="auto"/>
              <w:bottom w:w="57" w:type="dxa"/>
            </w:tcMar>
            <w:tcW w:w="4677" w:type="dxa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Официальный сайт Заказчика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3" w:type="dxa"/>
              <w:top w:w="57" w:type="dxa"/>
              <w:right w:w="0" w:type="auto"/>
              <w:bottom w:w="57" w:type="dxa"/>
            </w:tcMar>
            <w:tcW w:w="2268" w:type="dxa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Заказчик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908"/>
        </w:trPr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846" w:type="dxa"/>
            <w:vAlign w:val="center"/>
            <w:textDirection w:val="lrTb"/>
            <w:noWrap w:val="false"/>
          </w:tcPr>
          <w:p>
            <w:pPr>
              <w:pStyle w:val="1293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3" w:type="dxa"/>
              <w:top w:w="57" w:type="dxa"/>
              <w:right w:w="0" w:type="auto"/>
              <w:bottom w:w="57" w:type="dxa"/>
            </w:tcMar>
            <w:tcW w:w="2508" w:type="dxa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СППИ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3" w:type="dxa"/>
              <w:top w:w="57" w:type="dxa"/>
              <w:right w:w="0" w:type="auto"/>
              <w:bottom w:w="57" w:type="dxa"/>
            </w:tcMar>
            <w:tcW w:w="4677" w:type="dxa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Система представления планов полетов по сети Интернет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3" w:type="dxa"/>
              <w:top w:w="57" w:type="dxa"/>
              <w:right w:w="0" w:type="auto"/>
              <w:bottom w:w="57" w:type="dxa"/>
            </w:tcMar>
            <w:tcW w:w="2268" w:type="dxa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ФГУП «Государственная корпорация по организации воздушного движения в Российской Федерации»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57"/>
        </w:trPr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846" w:type="dxa"/>
            <w:vAlign w:val="center"/>
            <w:textDirection w:val="lrTb"/>
            <w:noWrap w:val="false"/>
          </w:tcPr>
          <w:p>
            <w:pPr>
              <w:pStyle w:val="1293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3" w:type="dxa"/>
              <w:top w:w="57" w:type="dxa"/>
              <w:right w:w="0" w:type="auto"/>
              <w:bottom w:w="57" w:type="dxa"/>
            </w:tcMar>
            <w:tcW w:w="2508" w:type="dxa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АСУ ТК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3" w:type="dxa"/>
              <w:top w:w="57" w:type="dxa"/>
              <w:right w:w="0" w:type="auto"/>
              <w:bottom w:w="57" w:type="dxa"/>
            </w:tcMar>
            <w:tcW w:w="4677" w:type="dxa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Федеральная государственная информационно-аналитическая система регулирования на транспорте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3" w:type="dxa"/>
              <w:top w:w="57" w:type="dxa"/>
              <w:right w:w="0" w:type="auto"/>
              <w:bottom w:w="57" w:type="dxa"/>
            </w:tcMar>
            <w:tcW w:w="2268" w:type="dxa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Минтранс России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57"/>
        </w:trPr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846" w:type="dxa"/>
            <w:vAlign w:val="center"/>
            <w:textDirection w:val="lrTb"/>
            <w:noWrap w:val="false"/>
          </w:tcPr>
          <w:p>
            <w:pPr>
              <w:pStyle w:val="1293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3" w:type="dxa"/>
              <w:top w:w="57" w:type="dxa"/>
              <w:right w:w="0" w:type="auto"/>
              <w:bottom w:w="57" w:type="dxa"/>
            </w:tcMar>
            <w:tcW w:w="2508" w:type="dxa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ФГИС «</w:t>
            </w:r>
            <w:r>
              <w:rPr>
                <w:sz w:val="26"/>
                <w:highlight w:val="white"/>
              </w:rPr>
              <w:t xml:space="preserve">Авиасерт</w:t>
            </w:r>
            <w:r>
              <w:rPr>
                <w:sz w:val="26"/>
                <w:highlight w:val="white"/>
              </w:rPr>
              <w:t xml:space="preserve">»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3" w:type="dxa"/>
              <w:top w:w="57" w:type="dxa"/>
              <w:right w:w="0" w:type="auto"/>
              <w:bottom w:w="57" w:type="dxa"/>
            </w:tcMar>
            <w:tcW w:w="4677" w:type="dxa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Федеральная государственная информационная система обязательной сертификации типовой конструкции авиационной техники, деятельности юридических лиц, осуществляющих разработку и изготовление подлежащей обязательной сертификации авиационной техники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93" w:type="dxa"/>
              <w:top w:w="57" w:type="dxa"/>
              <w:right w:w="0" w:type="auto"/>
              <w:bottom w:w="57" w:type="dxa"/>
            </w:tcMar>
            <w:tcW w:w="2268" w:type="dxa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Заказчик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2858"/>
        </w:trPr>
        <w:tc>
          <w:tcPr>
            <w:tcBorders>
              <w:top w:val="single" w:color="00000A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846" w:type="dxa"/>
            <w:vAlign w:val="center"/>
            <w:textDirection w:val="lrTb"/>
            <w:noWrap w:val="false"/>
          </w:tcPr>
          <w:p>
            <w:pPr>
              <w:pStyle w:val="1293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Mar>
              <w:left w:w="93" w:type="dxa"/>
              <w:top w:w="57" w:type="dxa"/>
              <w:right w:w="0" w:type="auto"/>
              <w:bottom w:w="57" w:type="dxa"/>
            </w:tcMar>
            <w:tcW w:w="2508" w:type="dxa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ИС ведомств поставщиков/потребителей сведений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Mar>
              <w:left w:w="93" w:type="dxa"/>
              <w:top w:w="57" w:type="dxa"/>
              <w:right w:w="0" w:type="auto"/>
              <w:bottom w:w="57" w:type="dxa"/>
            </w:tcMar>
            <w:tcW w:w="4677" w:type="dxa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Информационные системы ведомств поставщиков и потребителей сведений / Федеральная государственная информационная система «</w:t>
            </w:r>
            <w:hyperlink r:id="rId18" w:tooltip="https://nsud.info.gov.ru/" w:history="1">
              <w:r>
                <w:rPr>
                  <w:sz w:val="26"/>
                  <w:highlight w:val="white"/>
                </w:rPr>
                <w:t xml:space="preserve">Национальная система управления данными</w:t>
              </w:r>
            </w:hyperlink>
            <w:r>
              <w:rPr>
                <w:sz w:val="26"/>
                <w:highlight w:val="white"/>
              </w:rPr>
              <w:t xml:space="preserve">»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Mar>
              <w:left w:w="93" w:type="dxa"/>
              <w:top w:w="57" w:type="dxa"/>
              <w:right w:w="0" w:type="auto"/>
              <w:bottom w:w="57" w:type="dxa"/>
            </w:tcMar>
            <w:tcW w:w="2268" w:type="dxa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МВД России,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Росреестр</w:t>
            </w:r>
            <w:r>
              <w:rPr>
                <w:sz w:val="26"/>
                <w:highlight w:val="white"/>
              </w:rPr>
              <w:t xml:space="preserve">,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СФР,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Центральный банк Российской Федерации, </w:t>
            </w:r>
            <w:r>
              <w:rPr>
                <w:sz w:val="26"/>
                <w:highlight w:val="white"/>
              </w:rPr>
              <w:t xml:space="preserve">Росприроднадзор</w:t>
            </w:r>
            <w:r>
              <w:rPr>
                <w:sz w:val="26"/>
                <w:highlight w:val="white"/>
              </w:rPr>
              <w:t xml:space="preserve">, Генеральная прокуратура Российской Федерации, Центральная избирательная комиссия Российской Федерации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</w:tbl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В рамках оказания Услуг Исполнитель обеспечивает резервное копирование БД АИС ОГУ. Резервное копирование осуществляется согласно Регламенту обеспечения доступности и резервного копирования (далее – Регламент резе</w:t>
      </w:r>
      <w:r>
        <w:rPr>
          <w:highlight w:val="white"/>
        </w:rPr>
        <w:t xml:space="preserve">рвного копирования). Заказчик предоставляет Регламент резервного копирования Исполнителю в течение 3 (трёх) рабочих дней после заключения Государственного контракта. Исполнитель при необходимости в течении 3 (трёх) рабочих дней после получения Регламента р</w:t>
      </w:r>
      <w:r>
        <w:rPr>
          <w:highlight w:val="white"/>
        </w:rPr>
        <w:t xml:space="preserve">езервного копирования даёт рекомендации по внесению изменений в Приложение А «План резервного копирования» Регламента резервного копирования для обеспечения включения в него БД АИС ОГУ и процедуры тестового восстановления резервной копии, а Заказчик, в слу</w:t>
      </w:r>
      <w:r>
        <w:rPr>
          <w:highlight w:val="white"/>
        </w:rPr>
        <w:t xml:space="preserve">чае согласования изменений, в течении 3 (трёх) рабочих дней после получения рекомендаций от Исполнителя, утверждает обновлённый Регламента резервного копирования и предоставляет его Исполнителю. В случае отсутствия мотивированного отказа от согласования За</w:t>
      </w:r>
      <w:r>
        <w:rPr>
          <w:highlight w:val="white"/>
        </w:rPr>
        <w:t xml:space="preserve">казчиком Регламент резервного копирования в указанные сроки, Регламент резервного копирования считается согласованным. При формировании резервной копии Исполнитель, используя функциональные возможности АИС ОГУ, должен обеспечить выполнение тестового восста</w:t>
      </w:r>
      <w:r>
        <w:rPr>
          <w:highlight w:val="white"/>
        </w:rPr>
        <w:t xml:space="preserve">новления и сохранение копии тестового восстановления в каталоге. Исполнитель обеспечивает размещение (в ручном или автоматическом режиме) работоспособных резервных копий и их контрольных сумм на ресурсы (программное и аппаратное обеспечение), предоставляем</w:t>
      </w:r>
      <w:r>
        <w:rPr>
          <w:highlight w:val="white"/>
        </w:rPr>
        <w:t xml:space="preserve">ые Исполнителю Заказчиком в соответствии с поданной Исполнителем заявкой на предоставление таких ресурсов, содержащей технические параметры ресурсов для резервного копирования (тип устройства, интерфейсы подключения, необходимый объем, доступность и т.д.).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В рамках оказания Услуг Исполнитель не об</w:t>
      </w:r>
      <w:r>
        <w:rPr>
          <w:highlight w:val="white"/>
        </w:rPr>
        <w:t xml:space="preserve">еспечивает модернизацию компонентов взаимодействия с видами сведений по каналу СМЭВ. Обеспечение работоспособности обмена по видам сведений, в рамках функционирования АИС ОГУ, выполняется по видам сведений, версии которых приведены в Приложениях А, Б к ТЗ.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Изменения нормативно-правовых актов, являющихся основанием оказания Услуг, не влечёт за собой изменения условий оказания Услуг.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  <w:sectPr>
          <w:footnotePr/>
          <w:endnotePr/>
          <w:type w:val="nextPage"/>
          <w:pgSz w:w="11906" w:h="16838" w:orient="portrait"/>
          <w:pgMar w:top="1134" w:right="567" w:bottom="1134" w:left="1134" w:header="709" w:footer="709" w:gutter="0"/>
          <w:cols w:num="1" w:sep="0" w:space="720" w:equalWidth="1"/>
          <w:docGrid w:linePitch="360"/>
          <w:titlePg/>
        </w:sect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1273"/>
        <w:numPr>
          <w:ilvl w:val="0"/>
          <w:numId w:val="0"/>
        </w:numPr>
        <w:ind w:left="709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4. Требования</w:t>
      </w:r>
      <w:r>
        <w:rPr>
          <w:highlight w:val="white"/>
        </w:rPr>
      </w:r>
      <w:r>
        <w:rPr>
          <w:highlight w:val="white"/>
        </w:rPr>
      </w:r>
    </w:p>
    <w:p>
      <w:pPr>
        <w:pStyle w:val="1275"/>
        <w:numPr>
          <w:ilvl w:val="0"/>
          <w:numId w:val="0"/>
        </w:numPr>
        <w:ind w:left="709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4.1. Требования к лицензируемой деятельности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Исполнитель (Соисполнители) до начала оказания Услуг должен (должны) иметь действующую лицензию (лицензии), приведенные в Таблице 3.2.</w:t>
      </w:r>
      <w:r>
        <w:rPr>
          <w:highlight w:val="white"/>
        </w:rPr>
      </w:r>
      <w:r>
        <w:rPr>
          <w:highlight w:val="white"/>
        </w:rPr>
      </w:r>
    </w:p>
    <w:p>
      <w:pPr>
        <w:pStyle w:val="1284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Таблица 3.2 – Действующие лицензии Исполнителя (Соисполнителей)</w:t>
      </w:r>
      <w:r>
        <w:rPr>
          <w:highlight w:val="white"/>
        </w:rPr>
      </w:r>
      <w:r>
        <w:rPr>
          <w:highlight w:val="white"/>
        </w:rPr>
      </w:r>
    </w:p>
    <w:tbl>
      <w:tblPr>
        <w:tblStyle w:val="1199"/>
        <w:tblW w:w="5000" w:type="pct"/>
        <w:tblLayout w:type="fixed"/>
        <w:tblLook w:val="04A0" w:firstRow="1" w:lastRow="0" w:firstColumn="1" w:lastColumn="0" w:noHBand="0" w:noVBand="1"/>
      </w:tblPr>
      <w:tblGrid>
        <w:gridCol w:w="870"/>
        <w:gridCol w:w="3451"/>
        <w:gridCol w:w="3797"/>
        <w:gridCol w:w="3719"/>
        <w:gridCol w:w="2723"/>
      </w:tblGrid>
      <w:tr>
        <w:tblPrEx/>
        <w:trPr/>
        <w:tc>
          <w:tcPr>
            <w:tcW w:w="299" w:type="pct"/>
            <w:vAlign w:val="center"/>
            <w:textDirection w:val="lrTb"/>
            <w:noWrap w:val="false"/>
          </w:tcPr>
          <w:p>
            <w:pPr>
              <w:pStyle w:val="1288"/>
              <w:jc w:val="center"/>
              <w:shd w:val="clear" w:color="ffffff" w:themeColor="background1" w:fill="ffffff" w:themeFill="background1"/>
              <w:rPr>
                <w:rFonts w:eastAsia="Liberation Serif"/>
                <w:b/>
                <w:bCs/>
                <w:sz w:val="26"/>
                <w:highlight w:val="white"/>
              </w:rPr>
            </w:pPr>
            <w:r>
              <w:rPr>
                <w:rFonts w:eastAsia="Liberation Serif"/>
                <w:b/>
                <w:bCs/>
                <w:sz w:val="26"/>
                <w:highlight w:val="white"/>
              </w:rPr>
              <w:t xml:space="preserve">№</w:t>
            </w:r>
            <w:r>
              <w:rPr>
                <w:rFonts w:eastAsia="Liberation Serif"/>
                <w:b/>
                <w:bCs/>
                <w:sz w:val="26"/>
                <w:highlight w:val="white"/>
              </w:rPr>
            </w:r>
            <w:r>
              <w:rPr>
                <w:rFonts w:eastAsia="Liberation Serif"/>
                <w:b/>
                <w:bCs/>
                <w:sz w:val="26"/>
                <w:highlight w:val="white"/>
              </w:rPr>
            </w:r>
          </w:p>
        </w:tc>
        <w:tc>
          <w:tcPr>
            <w:tcW w:w="1185" w:type="pct"/>
            <w:vAlign w:val="center"/>
            <w:textDirection w:val="lrTb"/>
            <w:noWrap w:val="false"/>
          </w:tcPr>
          <w:p>
            <w:pPr>
              <w:pStyle w:val="1288"/>
              <w:jc w:val="center"/>
              <w:shd w:val="clear" w:color="ffffff" w:themeColor="background1" w:fill="ffffff" w:themeFill="background1"/>
              <w:rPr>
                <w:rFonts w:eastAsia="Liberation Serif"/>
                <w:b/>
                <w:bCs/>
                <w:sz w:val="26"/>
                <w:highlight w:val="white"/>
              </w:rPr>
            </w:pPr>
            <w:r>
              <w:rPr>
                <w:rFonts w:eastAsia="Liberation Serif"/>
                <w:b/>
                <w:bCs/>
                <w:sz w:val="26"/>
                <w:highlight w:val="white"/>
              </w:rPr>
              <w:t xml:space="preserve">Лицензирующий орган</w:t>
            </w:r>
            <w:r>
              <w:rPr>
                <w:rFonts w:eastAsia="Liberation Serif"/>
                <w:b/>
                <w:bCs/>
                <w:sz w:val="26"/>
                <w:highlight w:val="white"/>
              </w:rPr>
            </w:r>
            <w:r>
              <w:rPr>
                <w:rFonts w:eastAsia="Liberation Serif"/>
                <w:b/>
                <w:bCs/>
                <w:sz w:val="26"/>
                <w:highlight w:val="white"/>
              </w:rPr>
            </w:r>
          </w:p>
        </w:tc>
        <w:tc>
          <w:tcPr>
            <w:tcW w:w="1304" w:type="pct"/>
            <w:vAlign w:val="center"/>
            <w:textDirection w:val="lrTb"/>
            <w:noWrap w:val="false"/>
          </w:tcPr>
          <w:p>
            <w:pPr>
              <w:pStyle w:val="1288"/>
              <w:jc w:val="center"/>
              <w:shd w:val="clear" w:color="ffffff" w:themeColor="background1" w:fill="ffffff" w:themeFill="background1"/>
              <w:rPr>
                <w:rFonts w:eastAsia="Liberation Serif"/>
                <w:b/>
                <w:bCs/>
                <w:sz w:val="26"/>
                <w:highlight w:val="white"/>
              </w:rPr>
            </w:pPr>
            <w:r>
              <w:rPr>
                <w:rFonts w:eastAsia="Liberation Serif"/>
                <w:b/>
                <w:bCs/>
                <w:sz w:val="26"/>
                <w:highlight w:val="white"/>
              </w:rPr>
              <w:t xml:space="preserve">Вид деятельности</w:t>
            </w:r>
            <w:r>
              <w:rPr>
                <w:rFonts w:eastAsia="Liberation Serif"/>
                <w:b/>
                <w:bCs/>
                <w:sz w:val="26"/>
                <w:highlight w:val="white"/>
              </w:rPr>
            </w:r>
            <w:r>
              <w:rPr>
                <w:rFonts w:eastAsia="Liberation Serif"/>
                <w:b/>
                <w:bCs/>
                <w:sz w:val="26"/>
                <w:highlight w:val="white"/>
              </w:rPr>
            </w:r>
          </w:p>
        </w:tc>
        <w:tc>
          <w:tcPr>
            <w:tcW w:w="1277" w:type="pct"/>
            <w:vAlign w:val="center"/>
            <w:textDirection w:val="lrTb"/>
            <w:noWrap w:val="false"/>
          </w:tcPr>
          <w:p>
            <w:pPr>
              <w:pStyle w:val="1288"/>
              <w:jc w:val="center"/>
              <w:shd w:val="clear" w:color="ffffff" w:themeColor="background1" w:fill="ffffff" w:themeFill="background1"/>
              <w:rPr>
                <w:rFonts w:eastAsia="Liberation Serif"/>
                <w:b/>
                <w:bCs/>
                <w:sz w:val="26"/>
                <w:highlight w:val="white"/>
              </w:rPr>
            </w:pPr>
            <w:r>
              <w:rPr>
                <w:rFonts w:eastAsia="Liberation Serif"/>
                <w:b/>
                <w:bCs/>
                <w:sz w:val="26"/>
                <w:highlight w:val="white"/>
              </w:rPr>
              <w:t xml:space="preserve">Виды услуг по лицензируемому виду деятельности</w:t>
            </w:r>
            <w:r>
              <w:rPr>
                <w:rFonts w:eastAsia="Liberation Serif"/>
                <w:b/>
                <w:bCs/>
                <w:sz w:val="26"/>
                <w:highlight w:val="white"/>
              </w:rPr>
            </w:r>
            <w:r>
              <w:rPr>
                <w:rFonts w:eastAsia="Liberation Serif"/>
                <w:b/>
                <w:bCs/>
                <w:sz w:val="26"/>
                <w:highlight w:val="white"/>
              </w:rPr>
            </w:r>
          </w:p>
        </w:tc>
        <w:tc>
          <w:tcPr>
            <w:tcW w:w="935" w:type="pct"/>
            <w:textDirection w:val="lrTb"/>
            <w:noWrap w:val="false"/>
          </w:tcPr>
          <w:p>
            <w:pPr>
              <w:pStyle w:val="1288"/>
              <w:jc w:val="center"/>
              <w:shd w:val="clear" w:color="ffffff" w:themeColor="background1" w:fill="ffffff" w:themeFill="background1"/>
              <w:rPr>
                <w:rFonts w:eastAsia="Liberation Serif"/>
                <w:b/>
                <w:bCs/>
                <w:sz w:val="26"/>
                <w:highlight w:val="white"/>
              </w:rPr>
            </w:pPr>
            <w:r>
              <w:rPr>
                <w:rFonts w:eastAsia="Liberation Serif"/>
                <w:b/>
                <w:bCs/>
                <w:sz w:val="26"/>
                <w:highlight w:val="white"/>
              </w:rPr>
              <w:t xml:space="preserve">Основание наличия лицензии</w:t>
            </w:r>
            <w:r>
              <w:rPr>
                <w:rFonts w:eastAsia="Liberation Serif"/>
                <w:b/>
                <w:bCs/>
                <w:sz w:val="26"/>
                <w:highlight w:val="white"/>
              </w:rPr>
            </w:r>
            <w:r>
              <w:rPr>
                <w:rFonts w:eastAsia="Liberation Serif"/>
                <w:b/>
                <w:bCs/>
                <w:sz w:val="26"/>
                <w:highlight w:val="white"/>
              </w:rPr>
            </w:r>
          </w:p>
        </w:tc>
      </w:tr>
      <w:tr>
        <w:tblPrEx/>
        <w:trPr/>
        <w:tc>
          <w:tcPr>
            <w:tcW w:w="299" w:type="pct"/>
            <w:textDirection w:val="lrTb"/>
            <w:noWrap w:val="false"/>
          </w:tcPr>
          <w:p>
            <w:pPr>
              <w:pStyle w:val="1293"/>
              <w:numPr>
                <w:ilvl w:val="0"/>
                <w:numId w:val="18"/>
              </w:numPr>
              <w:ind w:hanging="693"/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W w:w="1185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ФСБ России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1304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Деятельность по разработке, прои</w:t>
            </w:r>
            <w:r>
              <w:rPr>
                <w:sz w:val="26"/>
                <w:highlight w:val="white"/>
              </w:rPr>
              <w:t xml:space="preserve">зводству, распространению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выполнению работ, оказанию услуг в области шифрования информации,</w:t>
            </w:r>
            <w:r>
              <w:rPr>
                <w:sz w:val="26"/>
                <w:highlight w:val="white"/>
              </w:rPr>
              <w:t xml:space="preserve"> техническому обслуживанию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 (за исключением случая, если техническое обслуживание шифровальны</w:t>
            </w:r>
            <w:r>
              <w:rPr>
                <w:sz w:val="26"/>
                <w:highlight w:val="white"/>
              </w:rPr>
              <w:t xml:space="preserve">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осуществляется для обеспечения собственных нужд юридического лица или индивидуального предпринимателя)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1277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Услуги (работы), предусмотренные п. 20 «Работы по обслуживанию шифровальных (криптографических) средств, предусмотренн</w:t>
            </w:r>
            <w:r>
              <w:rPr>
                <w:sz w:val="26"/>
                <w:highlight w:val="white"/>
              </w:rPr>
              <w:t xml:space="preserve">ые технической и эксплуатационной документацией на эти средства (за исключением случая, если указанные работы проводятся для обеспечения собственных нужд юридического лица или индивидуального предпринимателя)» Перечня выполняемых работ и оказываемых услуг,</w:t>
            </w:r>
            <w:r>
              <w:rPr>
                <w:sz w:val="26"/>
                <w:highlight w:val="white"/>
              </w:rPr>
              <w:t xml:space="preserve"> составляющих лицензируемую деятельность, в отношении шифровальных (криптографических) средств, утвержденного постановлением Правительства Российской Федерации от 16.04.2012 № 313 «Об утверждении Положения о лицензировании деятельности по разработке, произ</w:t>
            </w:r>
            <w:r>
              <w:rPr>
                <w:sz w:val="26"/>
                <w:highlight w:val="white"/>
              </w:rPr>
              <w:t xml:space="preserve">водству, распространению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выполнению работ, оказанию услуг в области шифрования информации, </w:t>
            </w:r>
            <w:r>
              <w:rPr>
                <w:sz w:val="26"/>
                <w:highlight w:val="white"/>
              </w:rPr>
              <w:t xml:space="preserve">техническому обслуживанию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 (за исключением случая, если техническое обслуживание шифровальных</w:t>
            </w:r>
            <w:r>
              <w:rPr>
                <w:sz w:val="26"/>
                <w:highlight w:val="white"/>
              </w:rPr>
              <w:t xml:space="preserve">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осуществляется для обеспечения собственных нужд юридического лица или индивидуального предпринимателя)»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935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Выполнение работ по п. 6.1 Таблицы 3.1 ТЗ по замене ключей ЭП-ОВ для работы АИС ОГУ в СМЭВ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</w:tbl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Пр</w:t>
      </w:r>
      <w:r>
        <w:rPr>
          <w:highlight w:val="white"/>
        </w:rPr>
        <w:t xml:space="preserve">и отсутствии у Исполнителя вышеуказанных лицензий полностью или частично (т. е. отсутствие в лицензиях части вышеуказанных видов деятельности) Исполнитель вправе привлекать для указания работ по настоящему Техническому заданию третьих лиц, обладающих необх</w:t>
      </w:r>
      <w:r>
        <w:rPr>
          <w:highlight w:val="white"/>
        </w:rPr>
        <w:t xml:space="preserve">одимыми лицензиями, в соответствии с положениями государственного контракта. При этом Исполнитель несёт перед Заказчиком ответственность за выполнение соисполнителями требований настоящего Технического задания и контракта, как за свои собственные действия.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  <w:sectPr>
          <w:headerReference w:type="default" r:id="rId12"/>
          <w:headerReference w:type="even" r:id="rId13"/>
          <w:footerReference w:type="even" r:id="rId15"/>
          <w:footnotePr/>
          <w:endnotePr/>
          <w:type w:val="nextPage"/>
          <w:pgSz w:w="16838" w:h="11906" w:orient="landscape"/>
          <w:pgMar w:top="1134" w:right="1134" w:bottom="567" w:left="1134" w:header="709" w:footer="709" w:gutter="0"/>
          <w:cols w:num="1" w:sep="0" w:space="720" w:equalWidth="1"/>
          <w:docGrid w:linePitch="360"/>
          <w:titlePg/>
        </w:sect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1275"/>
        <w:numPr>
          <w:ilvl w:val="0"/>
          <w:numId w:val="0"/>
        </w:numPr>
        <w:ind w:left="709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4.2. Требования к информационной безопасности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</w:r>
      <w:bookmarkStart w:id="10" w:name="_Hlk192519435"/>
      <w:r>
        <w:rPr>
          <w:highlight w:val="white"/>
        </w:rPr>
        <w:t xml:space="preserve">В рамках оказания Услуг Исполнитель обязуется предоставить Заказчику копии следующих организационных и распорядительных документов:</w:t>
      </w:r>
      <w:r>
        <w:rPr>
          <w:highlight w:val="white"/>
        </w:rPr>
      </w:r>
      <w:r>
        <w:rPr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приказ о назначении работника, ответственного за защиту информации (информационную безопасность) Исполнителя;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1279"/>
        <w:numPr>
          <w:ilvl w:val="0"/>
          <w:numId w:val="33"/>
        </w:numPr>
        <w:ind w:left="0" w:firstLine="851"/>
        <w:shd w:val="clear" w:color="ffffff" w:themeColor="background1" w:fill="ffffff" w:themeFill="background1"/>
        <w:tabs>
          <w:tab w:val="left" w:pos="1134" w:leader="none"/>
        </w:tabs>
        <w:rPr>
          <w:highlight w:val="white"/>
        </w:rPr>
      </w:pPr>
      <w:r>
        <w:rPr>
          <w:szCs w:val="26"/>
          <w:highlight w:val="white"/>
        </w:rPr>
        <w:t xml:space="preserve">акты установки и настройки средств технической и криптографической защиты информации для подключаемых к АИС ОГУ рабочих станции Исполнителя</w:t>
      </w:r>
      <w:r>
        <w:rPr>
          <w:highlight w:val="white"/>
        </w:rPr>
        <w:t xml:space="preserve">.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Исполнитель должен обеспечить безопасное хранение данных учётных записей и паролей, представленных Заказчиком в целях оказания Услуг в соответствии с ТЗ.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Данные о доступе к АИС ОГУ должны храниться с привязкой ко времени и IP адресу не менее трёх месяцев и должны быть предоставлены Заказчику по требованию.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Исполнитель, </w:t>
      </w:r>
      <w:r>
        <w:rPr>
          <w:highlight w:val="white"/>
        </w:rPr>
        <w:t xml:space="preserve">при оказании Услуг, обязан принимать организационные и технические меры по обеспечению безопасности информации, обрабатываемой в АИС ОГУ, предусмотренные законодательством Российской Федерации, Регламентом подключения к защищенной сети передачи данных для </w:t>
      </w:r>
      <w:r>
        <w:rPr>
          <w:highlight w:val="white"/>
        </w:rPr>
        <w:t xml:space="preserve">информационного взаимодействия </w:t>
      </w:r>
      <w:r>
        <w:rPr>
          <w:highlight w:val="white"/>
        </w:rPr>
        <w:t xml:space="preserve">ФГИС «АИС ОГУ» утвержденный 01.04.2025 заместителем руководителя Федерального агентства воздушного транспорта.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Исполнитель совместно с Заказчиком обеспечивает организацию удаленного доступа к защищенной сети передачи данных Заказчика с рабочих станции Исполнителя с </w:t>
      </w:r>
      <w:r>
        <w:rPr>
          <w:highlight w:val="white"/>
        </w:rPr>
        <w:t xml:space="preserve">использованием средств технической и криптографической защиты информации. Исполнитель обязуется самостоятельно приобрести необходимый перечень средств технической (далее СЗИ) и криптографической защиты информации для организации защищенного взаимодействия </w:t>
      </w:r>
      <w:r>
        <w:rPr>
          <w:highlight w:val="white"/>
        </w:rPr>
        <w:t xml:space="preserve">ViPNet</w:t>
      </w:r>
      <w:r>
        <w:rPr>
          <w:highlight w:val="white"/>
        </w:rPr>
        <w:t xml:space="preserve"> </w:t>
      </w:r>
      <w:r>
        <w:rPr>
          <w:highlight w:val="white"/>
        </w:rPr>
        <w:t xml:space="preserve">Client</w:t>
      </w:r>
      <w:r>
        <w:rPr>
          <w:highlight w:val="white"/>
        </w:rPr>
        <w:t xml:space="preserve"> КС3 версии не ниже 4 после согласования данного мероприятия с Заказчиком. Использование эквивалента не допустимо в связи с имеющейся сетью криптографической защиты информации </w:t>
      </w:r>
      <w:r>
        <w:rPr>
          <w:highlight w:val="white"/>
        </w:rPr>
        <w:t xml:space="preserve">ViPNet</w:t>
      </w:r>
      <w:r>
        <w:rPr>
          <w:highlight w:val="white"/>
        </w:rPr>
        <w:t xml:space="preserve"> КС3 № 10772.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В течение 5 (пяти) рабочих дней после заключения контракта Исполнитель предоставляет Заказчику информацию об установленных СЗИ и СКЗИ с копией формуляров.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Исполнитель обязан соблюдать конфиденциальность информации, ставшей ему известной в ходе оказания Услуг в соответствии с ТЗ, а также соблюдать требования к защите информации, предусмотренные действующим законодательством.</w:t>
      </w:r>
      <w:bookmarkEnd w:id="10"/>
      <w:r>
        <w:rPr>
          <w:highlight w:val="white"/>
        </w:rPr>
      </w:r>
      <w:r>
        <w:rPr>
          <w:highlight w:val="white"/>
        </w:rPr>
      </w:r>
    </w:p>
    <w:p>
      <w:pPr>
        <w:pStyle w:val="1277"/>
        <w:numPr>
          <w:ilvl w:val="0"/>
          <w:numId w:val="0"/>
        </w:numPr>
        <w:ind w:left="71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4.2.1. Требования к составу и содержанию мероприятий по обеспечению защиты </w:t>
      </w:r>
      <w:r>
        <w:rPr>
          <w:highlight w:val="white"/>
        </w:rPr>
        <w:t xml:space="preserve">информации,</w:t>
      </w:r>
      <w:r>
        <w:rPr>
          <w:highlight w:val="white"/>
        </w:rPr>
        <w:t xml:space="preserve"> обрабатываемой в значимом объекте критической информационной инфраструктуры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В соответствии с приказами </w:t>
      </w:r>
      <w:r>
        <w:rPr>
          <w:highlight w:val="white"/>
        </w:rPr>
        <w:t xml:space="preserve">ФСБ России от 25.12.2025 № 547 «Об утверждении Порядка информирования ФСБ России о компьютерных атаках и компьютерных инцидентах, реагирования на них, принятия мер по ликвидации последствий компьютерных атак, проведенных в отношении значимых объектов</w:t>
      </w:r>
      <w:r>
        <w:rPr>
          <w:highlight w:val="white"/>
        </w:rPr>
        <w:t xml:space="preserve"> </w:t>
      </w:r>
      <w:r>
        <w:rPr>
          <w:highlight w:val="white"/>
        </w:rPr>
        <w:t xml:space="preserve">критической информационной инфраструктуры Российской Федерации и иных информационных ресурсов Российской Федерации, принадлежащих органам и организациям, на которые возложены обязанности, предусмотренные частью 4 статьи 9 Федерального закона от 26 июля 201</w:t>
      </w:r>
      <w:r>
        <w:rPr>
          <w:highlight w:val="white"/>
        </w:rPr>
        <w:t xml:space="preserve">7 г. № 187-ФЗ «О безопасности критической информационной инфраструктуры Российской Федерации»</w:t>
      </w:r>
      <w:r>
        <w:rPr>
          <w:highlight w:val="white"/>
        </w:rPr>
        <w:t xml:space="preserve">, от 13.02.2023 № 77 «Об утверждении порядка взаимодействия операторов с государственной системой обнаружения, предупреждения и ликвидации последствий компьютерных атак на информационные ресурсы Российской Федерации, включая информирование ФСБ России </w:t>
      </w:r>
      <w:r>
        <w:rPr>
          <w:highlight w:val="white"/>
        </w:rPr>
        <w:t xml:space="preserve">о компьютерных инцидентах, повлекших неправомерную передачу (предоставление, распространение, доступ) персональных данных», от 24.07.2018 № 366 «О Национальном координационном центре по компьютерным инцидентам» в ходе эксплуатации АИС ОГУ Заказчик должен о</w:t>
      </w:r>
      <w:r>
        <w:rPr>
          <w:highlight w:val="white"/>
        </w:rPr>
        <w:t xml:space="preserve">беспечить направление информации о компьютерных инцидентах, повлекших неправомерную передачу (предоставление, распространение, доступ) персональных данных, в соответствии с определенными НКЦКИ форматами представления информации о компьютерных инцидентах в </w:t>
      </w:r>
      <w:r>
        <w:rPr>
          <w:highlight w:val="white"/>
        </w:rPr>
        <w:t xml:space="preserve">ГосСОПКА</w:t>
      </w:r>
      <w:r>
        <w:rPr>
          <w:highlight w:val="white"/>
        </w:rPr>
        <w:t xml:space="preserve"> с использованием каналов информационного взаимодействия, в том числе посредством электронной почтовой связи и технической инфрас</w:t>
      </w:r>
      <w:r>
        <w:rPr>
          <w:highlight w:val="white"/>
        </w:rPr>
        <w:t xml:space="preserve">труктуры НКЦКИ, предназначенных для отправки, получения, обработки и хранения уведомлений и запросов в рамках информационного взаимодействия с субъектами критической информационной инфраструктуры, а также с иными не являющимися субъектами критической инфор</w:t>
      </w:r>
      <w:r>
        <w:rPr>
          <w:highlight w:val="white"/>
        </w:rPr>
        <w:t xml:space="preserve">мационной инфраструктуры органами и организациями, в том числе иностранными и международными, в течение 24 часов с момента обнаружения компьютерного инцидента, повлекшего неправомерную передачу (предоставление, распространение, доступ) персональных данных.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Обеспечение взаимодействия с </w:t>
      </w:r>
      <w:r>
        <w:rPr>
          <w:highlight w:val="white"/>
        </w:rPr>
        <w:t xml:space="preserve">ГосСОПКА</w:t>
      </w:r>
      <w:r>
        <w:rPr>
          <w:highlight w:val="white"/>
        </w:rPr>
        <w:t xml:space="preserve"> осуществляется Заказчиком в рамках иного государственного контракта.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В соответствии с приказом ФСТЭК Росс</w:t>
      </w:r>
      <w:r>
        <w:rPr>
          <w:highlight w:val="white"/>
        </w:rPr>
        <w:t xml:space="preserve">ии от 25.12.2017 № 239 «Об утверждении Требований по обеспечению безопасности значимых объектов критической информационной инфраструктуры Российской Федерации» Заказчик должен обеспечить безопасность информации в ходе эксплуатации АИС ОГУ путем заключения </w:t>
      </w:r>
      <w:r>
        <w:rPr>
          <w:highlight w:val="white"/>
          <w:lang w:val="en-US"/>
        </w:rPr>
        <w:t xml:space="preserve">NDA</w:t>
      </w:r>
      <w:r>
        <w:rPr>
          <w:highlight w:val="white"/>
        </w:rPr>
        <w:t xml:space="preserve"> (</w:t>
      </w:r>
      <w:r>
        <w:rPr>
          <w:highlight w:val="white"/>
        </w:rPr>
        <w:t xml:space="preserve">Non-Disclosure</w:t>
      </w:r>
      <w:r>
        <w:rPr>
          <w:highlight w:val="white"/>
        </w:rPr>
        <w:t xml:space="preserve"> </w:t>
      </w:r>
      <w:r>
        <w:rPr>
          <w:highlight w:val="white"/>
        </w:rPr>
        <w:t xml:space="preserve">Agreement</w:t>
      </w:r>
      <w:r>
        <w:rPr>
          <w:highlight w:val="white"/>
        </w:rPr>
        <w:t xml:space="preserve">) о конфиденциальности информации, обрабатываемой в АИС ОГУ, и подписать соглашение о межведомственном электронном взаимодействии с внешними контрагентами.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В соответствии с Указом Президента Российской Федерации от 01.05.2022 № 250 «О дополнительных мерах по обеспечению информационной безопасности Российской Федерации» в АИС ОГУ не должны применяться </w:t>
      </w:r>
      <w:r>
        <w:rPr>
          <w:highlight w:val="white"/>
        </w:rPr>
        <w:t xml:space="preserve">СЗИ</w:t>
      </w:r>
      <w:r>
        <w:rPr>
          <w:highlight w:val="white"/>
        </w:rPr>
        <w:t xml:space="preserve"> странами происхождения которых являются иностранные государства, совершающие в отношении Российско</w:t>
      </w:r>
      <w:r>
        <w:rPr>
          <w:highlight w:val="white"/>
        </w:rPr>
        <w:t xml:space="preserve">й Федерации, российских юридических лиц и физических лиц недружественные действия, либо производителями которых являются организации, находящиеся под юрисдикцией таких иностранных государств, прямо или косвенно подконтрольные им либо аффилированные с ними.</w:t>
      </w:r>
      <w:r>
        <w:rPr>
          <w:highlight w:val="white"/>
        </w:rPr>
      </w:r>
      <w:r>
        <w:rPr>
          <w:highlight w:val="white"/>
        </w:rPr>
      </w:r>
    </w:p>
    <w:p>
      <w:pPr>
        <w:pStyle w:val="1277"/>
        <w:numPr>
          <w:ilvl w:val="0"/>
          <w:numId w:val="0"/>
        </w:numPr>
        <w:ind w:left="71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4.2.2. Требования к составу и содержанию мероприятий по обеспечению защиты информации</w:t>
      </w:r>
      <w:r>
        <w:rPr>
          <w:highlight w:val="white"/>
        </w:rPr>
        <w:t xml:space="preserve">,</w:t>
      </w:r>
      <w:r>
        <w:rPr>
          <w:highlight w:val="white"/>
        </w:rPr>
        <w:t xml:space="preserve"> обрабатываемой в государственной информационной системе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</w:r>
      <w:r>
        <w:rPr>
          <w:highlight w:val="white"/>
        </w:rPr>
        <w:t xml:space="preserve">В рамках реализации мер по защите АИС ОГУ Заказчик должен обеспечить реализацию требований по проведению мероприятий и принятию мер по защите информации в соответствии с требованиями пп. 34 Требований о защите информации, содержащейся в государственных инф</w:t>
      </w:r>
      <w:r>
        <w:rPr>
          <w:highlight w:val="white"/>
        </w:rPr>
        <w:t xml:space="preserve">ормационных системах, иных информационных системах государственных органов, государственных унитарных предприятий, государственных учреждений, утвержденных приказом ФСТЭК России от 11.04.2025 № 117 «Об утверждении Требований о защите информации, содержащей</w:t>
      </w:r>
      <w:r>
        <w:rPr>
          <w:highlight w:val="white"/>
        </w:rPr>
        <w:t xml:space="preserve">ся в государственных информационных системах, иных информационных системах государственных органов, государственных унитарных предприятий, государственных учреждений». Обеспечение защиты информации в ходе эксплуатации АИС ОГУ осуществляется Заказчиком и вк</w:t>
      </w:r>
      <w:r>
        <w:rPr>
          <w:highlight w:val="white"/>
        </w:rPr>
        <w:t xml:space="preserve">лючает следующие мероприятия: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антивирусная защита с использованием отечественного сертифицированного ФСТЭК России антивирусного программного обеспечения (Dr.Web, антивирус Kaspersky);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 защита от несанкционированного доступа (далее НСД) путем использования</w:t>
      </w:r>
      <w:r>
        <w:rPr>
          <w:highlight w:val="white"/>
        </w:rPr>
        <w:t xml:space="preserve"> отечественной операционной системы с действующим сертификатом соответствия и/или с использованием наложенных СЗИ от НСД с действующим сертификатом соответствия (ViPNet EndPoint Protection, ViPNet SafePoint и иные соответствующие требованиям СЗИ от НСД); 7</w:t>
      </w:r>
      <w:r>
        <w:rPr>
          <w:highlight w:val="white"/>
        </w:rPr>
        <w:t xml:space="preserve">2 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межсетевое экранирование путем использования сертифицированных межсетевых экранов типа В;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система обнаружения вторжения путем использования сертифицированных систем обнаружения вторжений; 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доверенная загрузка путем использования сертифицированного аппа</w:t>
      </w:r>
      <w:r>
        <w:rPr>
          <w:highlight w:val="white"/>
        </w:rPr>
        <w:t xml:space="preserve">р</w:t>
      </w:r>
      <w:r>
        <w:rPr>
          <w:highlight w:val="white"/>
        </w:rPr>
        <w:t xml:space="preserve">атно-программного модуля доверенной загрузки ПАК Соболь (сертификат ФСБ России, ФСТЭК России), установленного в PCI Express или PCI Express M.2, либо аналог, реализующий механизмы доверенной загрузки, и имеющий действующий сертификат ФСБ России, ФСТЭК Росс</w:t>
      </w:r>
      <w:r>
        <w:rPr>
          <w:highlight w:val="white"/>
        </w:rPr>
        <w:t xml:space="preserve">ии. 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В АИС ОГУ применяется сертифицированная ФСТЭК России операционная система РЕД ОС, которая имеет свидетельство о государственной регистрации программы для ЭВМ (Роспатент) от 09.01.2018, номер 2018610234 и зарегистрирована в Едином реестре российских про</w:t>
      </w:r>
      <w:r>
        <w:rPr>
          <w:highlight w:val="white"/>
        </w:rPr>
        <w:t xml:space="preserve">грамм для электронных вычислительных машин и баз данных (Минцифры России) от 23.07.2017, номер 3751.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</w:r>
      <w:r>
        <w:rPr>
          <w:highlight w:val="white"/>
          <w:lang w:val="ru-RU"/>
        </w:rPr>
        <w:t xml:space="preserve">Согласно части 3 статьи 33 </w:t>
      </w:r>
      <w:r>
        <w:rPr>
          <w:highlight w:val="white"/>
        </w:rPr>
        <w:t xml:space="preserve">Федеральног</w:t>
      </w:r>
      <w:r>
        <w:rPr>
          <w:highlight w:val="white"/>
        </w:rPr>
        <w:t xml:space="preserve">о закона от 5 апреля 2013 г. № 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highlight w:val="white"/>
          <w:lang w:val="ru-RU"/>
        </w:rPr>
        <w:t xml:space="preserve"> использование ПО других производителей, отличного от указанного программного обеспечение «</w:t>
      </w:r>
      <w:r>
        <w:rPr>
          <w:highlight w:val="white"/>
          <w:lang w:val="ru-RU"/>
        </w:rPr>
        <w:t xml:space="preserve">D</w:t>
      </w:r>
      <w:r>
        <w:rPr>
          <w:highlight w:val="white"/>
          <w:lang w:val="ru-RU"/>
        </w:rPr>
        <w:t xml:space="preserve">r</w:t>
      </w:r>
      <w:r>
        <w:rPr>
          <w:highlight w:val="white"/>
          <w:lang w:val="ru-RU"/>
        </w:rPr>
        <w:t xml:space="preserve">.</w:t>
      </w:r>
      <w:r>
        <w:rPr>
          <w:highlight w:val="white"/>
          <w:lang w:val="ru-RU"/>
        </w:rPr>
        <w:t xml:space="preserve">W</w:t>
      </w:r>
      <w:r>
        <w:rPr>
          <w:highlight w:val="white"/>
          <w:lang w:val="ru-RU"/>
        </w:rPr>
        <w:t xml:space="preserve">e</w:t>
      </w:r>
      <w:r>
        <w:rPr>
          <w:highlight w:val="white"/>
          <w:lang w:val="ru-RU"/>
        </w:rPr>
        <w:t xml:space="preserve">b, антивирус</w:t>
      </w:r>
      <w:r>
        <w:rPr>
          <w:highlight w:val="white"/>
          <w:lang w:val="ru-RU"/>
        </w:rPr>
        <w:t xml:space="preserve"> </w:t>
      </w:r>
      <w:r>
        <w:rPr>
          <w:highlight w:val="white"/>
          <w:lang w:val="ru-RU"/>
        </w:rPr>
        <w:t xml:space="preserve">K</w:t>
      </w:r>
      <w:r>
        <w:rPr>
          <w:highlight w:val="white"/>
          <w:lang w:val="ru-RU"/>
        </w:rPr>
        <w:t xml:space="preserve">a</w:t>
      </w:r>
      <w:r>
        <w:rPr>
          <w:highlight w:val="white"/>
          <w:lang w:val="ru-RU"/>
        </w:rPr>
        <w:t xml:space="preserve">s</w:t>
      </w:r>
      <w:r>
        <w:rPr>
          <w:highlight w:val="white"/>
          <w:lang w:val="ru-RU"/>
        </w:rPr>
        <w:t xml:space="preserve">p</w:t>
      </w:r>
      <w:r>
        <w:rPr>
          <w:highlight w:val="white"/>
          <w:lang w:val="ru-RU"/>
        </w:rPr>
        <w:t xml:space="preserve">e</w:t>
      </w:r>
      <w:r>
        <w:rPr>
          <w:highlight w:val="white"/>
          <w:lang w:val="ru-RU"/>
        </w:rPr>
        <w:t xml:space="preserve">r</w:t>
      </w:r>
      <w:r>
        <w:rPr>
          <w:highlight w:val="white"/>
          <w:lang w:val="ru-RU"/>
        </w:rPr>
        <w:t xml:space="preserve">s</w:t>
      </w:r>
      <w:r>
        <w:rPr>
          <w:highlight w:val="white"/>
          <w:lang w:val="ru-RU"/>
        </w:rPr>
        <w:t xml:space="preserve">k</w:t>
      </w:r>
      <w:r>
        <w:rPr>
          <w:highlight w:val="white"/>
          <w:lang w:val="ru-RU"/>
        </w:rPr>
        <w:t xml:space="preserve">y» и указанных конкретных действующих сертификатов соответствия «</w:t>
      </w:r>
      <w:r>
        <w:rPr>
          <w:highlight w:val="white"/>
          <w:lang w:val="ru-RU"/>
        </w:rPr>
        <w:t xml:space="preserve">V</w:t>
      </w:r>
      <w:r>
        <w:rPr>
          <w:highlight w:val="white"/>
          <w:lang w:val="ru-RU"/>
        </w:rPr>
        <w:t xml:space="preserve">i</w:t>
      </w:r>
      <w:r>
        <w:rPr>
          <w:highlight w:val="white"/>
          <w:lang w:val="ru-RU"/>
        </w:rPr>
        <w:t xml:space="preserve">P</w:t>
      </w:r>
      <w:r>
        <w:rPr>
          <w:highlight w:val="white"/>
          <w:lang w:val="ru-RU"/>
        </w:rPr>
        <w:t xml:space="preserve">N</w:t>
      </w:r>
      <w:r>
        <w:rPr>
          <w:highlight w:val="white"/>
          <w:lang w:val="ru-RU"/>
        </w:rPr>
        <w:t xml:space="preserve">e</w:t>
      </w:r>
      <w:r>
        <w:rPr>
          <w:highlight w:val="white"/>
          <w:lang w:val="ru-RU"/>
        </w:rPr>
        <w:t xml:space="preserve">t</w:t>
      </w:r>
      <w:r>
        <w:rPr>
          <w:highlight w:val="white"/>
          <w:lang w:val="ru-RU"/>
        </w:rPr>
        <w:t xml:space="preserve"> </w:t>
      </w:r>
      <w:r>
        <w:rPr>
          <w:highlight w:val="white"/>
          <w:lang w:val="ru-RU"/>
        </w:rPr>
        <w:t xml:space="preserve">E</w:t>
      </w:r>
      <w:r>
        <w:rPr>
          <w:highlight w:val="white"/>
          <w:lang w:val="ru-RU"/>
        </w:rPr>
        <w:t xml:space="preserve">n</w:t>
      </w:r>
      <w:r>
        <w:rPr>
          <w:highlight w:val="white"/>
          <w:lang w:val="ru-RU"/>
        </w:rPr>
        <w:t xml:space="preserve">d</w:t>
      </w:r>
      <w:r>
        <w:rPr>
          <w:highlight w:val="white"/>
          <w:lang w:val="ru-RU"/>
        </w:rPr>
        <w:t xml:space="preserve">P</w:t>
      </w:r>
      <w:r>
        <w:rPr>
          <w:highlight w:val="white"/>
          <w:lang w:val="ru-RU"/>
        </w:rPr>
        <w:t xml:space="preserve">o</w:t>
      </w:r>
      <w:r>
        <w:rPr>
          <w:highlight w:val="white"/>
          <w:lang w:val="ru-RU"/>
        </w:rPr>
        <w:t xml:space="preserve">i</w:t>
      </w:r>
      <w:r>
        <w:rPr>
          <w:highlight w:val="white"/>
          <w:lang w:val="ru-RU"/>
        </w:rPr>
        <w:t xml:space="preserve">n</w:t>
      </w:r>
      <w:r>
        <w:rPr>
          <w:highlight w:val="white"/>
          <w:lang w:val="ru-RU"/>
        </w:rPr>
        <w:t xml:space="preserve">t</w:t>
      </w:r>
      <w:r>
        <w:rPr>
          <w:highlight w:val="white"/>
          <w:lang w:val="ru-RU"/>
        </w:rPr>
        <w:t xml:space="preserve"> </w:t>
      </w:r>
      <w:r>
        <w:rPr>
          <w:highlight w:val="white"/>
          <w:lang w:val="ru-RU"/>
        </w:rPr>
        <w:t xml:space="preserve">P</w:t>
      </w:r>
      <w:r>
        <w:rPr>
          <w:highlight w:val="white"/>
          <w:lang w:val="ru-RU"/>
        </w:rPr>
        <w:t xml:space="preserve">r</w:t>
      </w:r>
      <w:r>
        <w:rPr>
          <w:highlight w:val="white"/>
          <w:lang w:val="ru-RU"/>
        </w:rPr>
        <w:t xml:space="preserve">o</w:t>
      </w:r>
      <w:r>
        <w:rPr>
          <w:highlight w:val="white"/>
          <w:lang w:val="ru-RU"/>
        </w:rPr>
        <w:t xml:space="preserve">t</w:t>
      </w:r>
      <w:r>
        <w:rPr>
          <w:highlight w:val="white"/>
          <w:lang w:val="ru-RU"/>
        </w:rPr>
        <w:t xml:space="preserve">e</w:t>
      </w:r>
      <w:r>
        <w:rPr>
          <w:highlight w:val="white"/>
          <w:lang w:val="ru-RU"/>
        </w:rPr>
        <w:t xml:space="preserve">c</w:t>
      </w:r>
      <w:r>
        <w:rPr>
          <w:highlight w:val="white"/>
          <w:lang w:val="ru-RU"/>
        </w:rPr>
        <w:t xml:space="preserve">t</w:t>
      </w:r>
      <w:r>
        <w:rPr>
          <w:highlight w:val="white"/>
          <w:lang w:val="ru-RU"/>
        </w:rPr>
        <w:t xml:space="preserve">i</w:t>
      </w:r>
      <w:r>
        <w:rPr>
          <w:highlight w:val="white"/>
          <w:lang w:val="ru-RU"/>
        </w:rPr>
        <w:t xml:space="preserve">o</w:t>
      </w:r>
      <w:r>
        <w:rPr>
          <w:highlight w:val="white"/>
          <w:lang w:val="ru-RU"/>
        </w:rPr>
        <w:t xml:space="preserve">n</w:t>
      </w:r>
      <w:r>
        <w:rPr>
          <w:highlight w:val="white"/>
          <w:lang w:val="ru-RU"/>
        </w:rPr>
        <w:t xml:space="preserve"> </w:t>
      </w:r>
      <w:r>
        <w:rPr>
          <w:highlight w:val="white"/>
          <w:lang w:val="ru-RU"/>
        </w:rPr>
        <w:t xml:space="preserve">V</w:t>
      </w:r>
      <w:r>
        <w:rPr>
          <w:highlight w:val="white"/>
          <w:lang w:val="ru-RU"/>
        </w:rPr>
        <w:t xml:space="preserve">i</w:t>
      </w:r>
      <w:r>
        <w:rPr>
          <w:highlight w:val="white"/>
          <w:lang w:val="ru-RU"/>
        </w:rPr>
        <w:t xml:space="preserve">P</w:t>
      </w:r>
      <w:r>
        <w:rPr>
          <w:highlight w:val="white"/>
          <w:lang w:val="ru-RU"/>
        </w:rPr>
        <w:t xml:space="preserve">N</w:t>
      </w:r>
      <w:r>
        <w:rPr>
          <w:highlight w:val="white"/>
          <w:lang w:val="ru-RU"/>
        </w:rPr>
        <w:t xml:space="preserve">e</w:t>
      </w:r>
      <w:r>
        <w:rPr>
          <w:highlight w:val="white"/>
          <w:lang w:val="ru-RU"/>
        </w:rPr>
        <w:t xml:space="preserve">t</w:t>
      </w:r>
      <w:r>
        <w:rPr>
          <w:highlight w:val="white"/>
          <w:lang w:val="ru-RU"/>
        </w:rPr>
        <w:t xml:space="preserve"> </w:t>
      </w:r>
      <w:r>
        <w:rPr>
          <w:highlight w:val="white"/>
          <w:lang w:val="ru-RU"/>
        </w:rPr>
        <w:t xml:space="preserve">S</w:t>
      </w:r>
      <w:r>
        <w:rPr>
          <w:highlight w:val="white"/>
          <w:lang w:val="ru-RU"/>
        </w:rPr>
        <w:t xml:space="preserve">a</w:t>
      </w:r>
      <w:r>
        <w:rPr>
          <w:highlight w:val="white"/>
          <w:lang w:val="ru-RU"/>
        </w:rPr>
        <w:t xml:space="preserve">f</w:t>
      </w:r>
      <w:r>
        <w:rPr>
          <w:highlight w:val="white"/>
          <w:lang w:val="ru-RU"/>
        </w:rPr>
        <w:t xml:space="preserve">e</w:t>
      </w:r>
      <w:r>
        <w:rPr>
          <w:highlight w:val="white"/>
          <w:lang w:val="ru-RU"/>
        </w:rPr>
        <w:t xml:space="preserve">P</w:t>
      </w:r>
      <w:r>
        <w:rPr>
          <w:highlight w:val="white"/>
          <w:lang w:val="ru-RU"/>
        </w:rPr>
        <w:t xml:space="preserve">o</w:t>
      </w:r>
      <w:r>
        <w:rPr>
          <w:highlight w:val="white"/>
          <w:lang w:val="ru-RU"/>
        </w:rPr>
        <w:t xml:space="preserve">i</w:t>
      </w:r>
      <w:r>
        <w:rPr>
          <w:highlight w:val="white"/>
          <w:lang w:val="ru-RU"/>
        </w:rPr>
        <w:t xml:space="preserve">n</w:t>
      </w:r>
      <w:r>
        <w:rPr>
          <w:highlight w:val="white"/>
          <w:lang w:val="ru-RU"/>
        </w:rPr>
        <w:t xml:space="preserve">», ПО ПАК Соболь, установленных в </w:t>
      </w:r>
      <w:r>
        <w:rPr>
          <w:highlight w:val="white"/>
          <w:lang w:val="ru-RU"/>
        </w:rPr>
        <w:t xml:space="preserve">P</w:t>
      </w:r>
      <w:r>
        <w:rPr>
          <w:highlight w:val="white"/>
          <w:lang w:val="ru-RU"/>
        </w:rPr>
        <w:t xml:space="preserve">C</w:t>
      </w:r>
      <w:r>
        <w:rPr>
          <w:highlight w:val="white"/>
          <w:lang w:val="ru-RU"/>
        </w:rPr>
        <w:t xml:space="preserve">I</w:t>
      </w:r>
      <w:r>
        <w:rPr>
          <w:highlight w:val="white"/>
          <w:lang w:val="ru-RU"/>
        </w:rPr>
        <w:t xml:space="preserve"> </w:t>
      </w:r>
      <w:r>
        <w:rPr>
          <w:highlight w:val="white"/>
          <w:lang w:val="ru-RU"/>
        </w:rPr>
        <w:t xml:space="preserve">E</w:t>
      </w:r>
      <w:r>
        <w:rPr>
          <w:highlight w:val="white"/>
          <w:lang w:val="ru-RU"/>
        </w:rPr>
        <w:t xml:space="preserve">x</w:t>
      </w:r>
      <w:r>
        <w:rPr>
          <w:highlight w:val="white"/>
          <w:lang w:val="ru-RU"/>
        </w:rPr>
        <w:t xml:space="preserve">p</w:t>
      </w:r>
      <w:r>
        <w:rPr>
          <w:highlight w:val="white"/>
          <w:lang w:val="ru-RU"/>
        </w:rPr>
        <w:t xml:space="preserve">r</w:t>
      </w:r>
      <w:r>
        <w:rPr>
          <w:highlight w:val="white"/>
          <w:lang w:val="ru-RU"/>
        </w:rPr>
        <w:t xml:space="preserve">e</w:t>
      </w:r>
      <w:r>
        <w:rPr>
          <w:highlight w:val="white"/>
          <w:lang w:val="ru-RU"/>
        </w:rPr>
        <w:t xml:space="preserve">s</w:t>
      </w:r>
      <w:r>
        <w:rPr>
          <w:highlight w:val="white"/>
          <w:lang w:val="ru-RU"/>
        </w:rPr>
        <w:t xml:space="preserve">s</w:t>
      </w:r>
      <w:r>
        <w:rPr>
          <w:highlight w:val="white"/>
          <w:lang w:val="ru-RU"/>
        </w:rPr>
        <w:t xml:space="preserve"> или </w:t>
      </w:r>
      <w:r>
        <w:rPr>
          <w:highlight w:val="white"/>
          <w:lang w:val="ru-RU"/>
        </w:rPr>
        <w:t xml:space="preserve">P</w:t>
      </w:r>
      <w:r>
        <w:rPr>
          <w:highlight w:val="white"/>
          <w:lang w:val="ru-RU"/>
        </w:rPr>
        <w:t xml:space="preserve">C</w:t>
      </w:r>
      <w:r>
        <w:rPr>
          <w:highlight w:val="white"/>
          <w:lang w:val="ru-RU"/>
        </w:rPr>
        <w:t xml:space="preserve">I</w:t>
      </w:r>
      <w:r>
        <w:rPr>
          <w:highlight w:val="white"/>
          <w:lang w:val="ru-RU"/>
        </w:rPr>
        <w:t xml:space="preserve"> </w:t>
      </w:r>
      <w:r>
        <w:rPr>
          <w:highlight w:val="white"/>
          <w:lang w:val="ru-RU"/>
        </w:rPr>
        <w:t xml:space="preserve">E</w:t>
      </w:r>
      <w:r>
        <w:rPr>
          <w:highlight w:val="white"/>
          <w:lang w:val="ru-RU"/>
        </w:rPr>
        <w:t xml:space="preserve">x</w:t>
      </w:r>
      <w:r>
        <w:rPr>
          <w:highlight w:val="white"/>
          <w:lang w:val="ru-RU"/>
        </w:rPr>
        <w:t xml:space="preserve">p</w:t>
      </w:r>
      <w:r>
        <w:rPr>
          <w:highlight w:val="white"/>
          <w:lang w:val="ru-RU"/>
        </w:rPr>
        <w:t xml:space="preserve">r</w:t>
      </w:r>
      <w:r>
        <w:rPr>
          <w:highlight w:val="white"/>
          <w:lang w:val="ru-RU"/>
        </w:rPr>
        <w:t xml:space="preserve">e</w:t>
      </w:r>
      <w:r>
        <w:rPr>
          <w:highlight w:val="white"/>
          <w:lang w:val="ru-RU"/>
        </w:rPr>
        <w:t xml:space="preserve">s</w:t>
      </w:r>
      <w:r>
        <w:rPr>
          <w:highlight w:val="white"/>
          <w:lang w:val="ru-RU"/>
        </w:rPr>
        <w:t xml:space="preserve">s</w:t>
      </w:r>
      <w:r>
        <w:rPr>
          <w:highlight w:val="white"/>
          <w:lang w:val="ru-RU"/>
        </w:rPr>
        <w:t xml:space="preserve"> </w:t>
      </w:r>
      <w:r>
        <w:rPr>
          <w:highlight w:val="white"/>
          <w:lang w:val="ru-RU"/>
        </w:rPr>
        <w:t xml:space="preserve">M</w:t>
      </w:r>
      <w:r>
        <w:rPr>
          <w:highlight w:val="white"/>
          <w:lang w:val="ru-RU"/>
        </w:rPr>
        <w:t xml:space="preserve"> </w:t>
      </w:r>
      <w:r>
        <w:rPr>
          <w:highlight w:val="white"/>
          <w:lang w:val="ru-RU"/>
        </w:rPr>
        <w:t xml:space="preserve">2</w:t>
      </w:r>
      <w:r>
        <w:rPr>
          <w:highlight w:val="white"/>
          <w:lang w:val="ru-RU"/>
        </w:rPr>
        <w:t xml:space="preserve"> </w:t>
      </w:r>
      <w:r>
        <w:rPr>
          <w:highlight w:val="white"/>
          <w:lang w:val="ru-RU"/>
        </w:rPr>
        <w:t xml:space="preserve">несовместимо с используемым оборудованием или программами, используемыми Заказчиком, или обновления ПО, имеющегося у Заказчика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shd w:val="clear" w:color="ffffff" w:themeColor="background1" w:fill="ffffff" w:themeFill="background1"/>
        <w:rPr>
          <w:highlight w:val="white"/>
        </w:rPr>
        <w:sectPr>
          <w:footnotePr/>
          <w:endnotePr/>
          <w:type w:val="nextPage"/>
          <w:pgSz w:w="11906" w:h="16838" w:orient="portrait"/>
          <w:pgMar w:top="1134" w:right="567" w:bottom="1134" w:left="1134" w:header="709" w:footer="709" w:gutter="0"/>
          <w:cols w:num="1" w:sep="0" w:space="720" w:equalWidth="1"/>
          <w:docGrid w:linePitch="360"/>
          <w:titlePg/>
        </w:sect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1285"/>
        <w:jc w:val="right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</w:r>
      <w:bookmarkStart w:id="12" w:name="_Toc10"/>
      <w:r>
        <w:rPr>
          <w:highlight w:val="white"/>
          <w:lang w:val="ru-RU"/>
        </w:rPr>
        <w:t xml:space="preserve">ПРИЛОЖЕНИЕ А </w:t>
      </w:r>
      <w:bookmarkEnd w:id="12"/>
      <w:r>
        <w:rPr>
          <w:highlight w:val="white"/>
        </w:rPr>
      </w:r>
      <w:r>
        <w:rPr>
          <w:highlight w:val="white"/>
        </w:rPr>
      </w:r>
    </w:p>
    <w:p>
      <w:pPr>
        <w:pStyle w:val="1270"/>
        <w:ind w:firstLine="0"/>
        <w:jc w:val="center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Перечень сведений (видов сведений), 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ind w:firstLine="0"/>
        <w:jc w:val="center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по которым </w:t>
      </w:r>
      <w:r>
        <w:rPr>
          <w:highlight w:val="white"/>
        </w:rPr>
        <w:t xml:space="preserve">Росавиация</w:t>
      </w:r>
      <w:r>
        <w:rPr>
          <w:highlight w:val="white"/>
        </w:rPr>
        <w:t xml:space="preserve"> получает ответы от других органов власти на поступающие запросы посредством СМЭВ</w:t>
      </w:r>
      <w:r>
        <w:rPr>
          <w:highlight w:val="white"/>
        </w:rPr>
      </w:r>
      <w:r>
        <w:rPr>
          <w:highlight w:val="white"/>
        </w:rPr>
      </w:r>
    </w:p>
    <w:tbl>
      <w:tblPr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615"/>
        <w:gridCol w:w="2056"/>
        <w:gridCol w:w="6258"/>
        <w:gridCol w:w="4120"/>
        <w:gridCol w:w="1511"/>
      </w:tblGrid>
      <w:tr>
        <w:tblPrEx/>
        <w:trPr>
          <w:jc w:val="center"/>
          <w:trHeight w:val="20"/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1" w:type="pct"/>
            <w:vAlign w:val="center"/>
            <w:textDirection w:val="lrTb"/>
            <w:noWrap w:val="false"/>
          </w:tcPr>
          <w:p>
            <w:pPr>
              <w:pStyle w:val="1288"/>
              <w:jc w:val="center"/>
              <w:shd w:val="clear" w:color="ffffff" w:themeColor="background1" w:fill="ffffff" w:themeFill="background1"/>
              <w:rPr>
                <w:b/>
                <w:bCs/>
                <w:sz w:val="26"/>
                <w:highlight w:val="white"/>
              </w:rPr>
            </w:pPr>
            <w:r>
              <w:rPr>
                <w:rStyle w:val="1195"/>
                <w:bCs/>
                <w:sz w:val="26"/>
                <w:szCs w:val="26"/>
                <w:highlight w:val="white"/>
              </w:rPr>
              <w:br w:type="page" w:clear="all"/>
            </w:r>
            <w:r>
              <w:rPr>
                <w:b/>
                <w:bCs/>
                <w:sz w:val="26"/>
                <w:highlight w:val="white"/>
              </w:rPr>
              <w:t xml:space="preserve">№</w:t>
            </w:r>
            <w:r>
              <w:rPr>
                <w:b/>
                <w:bCs/>
                <w:sz w:val="26"/>
                <w:highlight w:val="white"/>
              </w:rPr>
            </w:r>
            <w:r>
              <w:rPr>
                <w:b/>
                <w:bCs/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6" w:type="pct"/>
            <w:vAlign w:val="center"/>
            <w:textDirection w:val="lrTb"/>
            <w:noWrap w:val="false"/>
          </w:tcPr>
          <w:p>
            <w:pPr>
              <w:pStyle w:val="1288"/>
              <w:jc w:val="center"/>
              <w:shd w:val="clear" w:color="ffffff" w:themeColor="background1" w:fill="ffffff" w:themeFill="background1"/>
              <w:rPr>
                <w:b/>
                <w:bCs/>
                <w:sz w:val="26"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Поставщик сведений</w:t>
            </w:r>
            <w:r>
              <w:rPr>
                <w:b/>
                <w:bCs/>
                <w:sz w:val="26"/>
                <w:highlight w:val="white"/>
              </w:rPr>
            </w:r>
            <w:r>
              <w:rPr>
                <w:b/>
                <w:bCs/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49" w:type="pct"/>
            <w:vAlign w:val="center"/>
            <w:textDirection w:val="lrTb"/>
            <w:noWrap w:val="false"/>
          </w:tcPr>
          <w:p>
            <w:pPr>
              <w:pStyle w:val="1288"/>
              <w:jc w:val="center"/>
              <w:shd w:val="clear" w:color="ffffff" w:themeColor="background1" w:fill="ffffff" w:themeFill="background1"/>
              <w:rPr>
                <w:b/>
                <w:bCs/>
                <w:sz w:val="26"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Наименование видов сведений</w:t>
            </w:r>
            <w:r>
              <w:rPr>
                <w:b/>
                <w:bCs/>
                <w:sz w:val="26"/>
                <w:highlight w:val="white"/>
              </w:rPr>
            </w:r>
            <w:r>
              <w:rPr>
                <w:b/>
                <w:bCs/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415" w:type="pct"/>
            <w:vAlign w:val="center"/>
            <w:textDirection w:val="lrTb"/>
            <w:noWrap w:val="false"/>
          </w:tcPr>
          <w:p>
            <w:pPr>
              <w:pStyle w:val="1288"/>
              <w:jc w:val="center"/>
              <w:shd w:val="clear" w:color="ffffff" w:themeColor="background1" w:fill="ffffff" w:themeFill="background1"/>
              <w:rPr>
                <w:b/>
                <w:bCs/>
                <w:sz w:val="26"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Унифицированный идентификатор ресурса</w:t>
            </w:r>
            <w:r>
              <w:rPr>
                <w:b/>
                <w:bCs/>
                <w:sz w:val="26"/>
                <w:highlight w:val="white"/>
              </w:rPr>
            </w:r>
            <w:r>
              <w:rPr>
                <w:b/>
                <w:bCs/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pct"/>
            <w:vAlign w:val="center"/>
            <w:textDirection w:val="lrTb"/>
            <w:noWrap w:val="false"/>
          </w:tcPr>
          <w:p>
            <w:pPr>
              <w:pStyle w:val="1288"/>
              <w:jc w:val="center"/>
              <w:shd w:val="clear" w:color="ffffff" w:themeColor="background1" w:fill="ffffff" w:themeFill="background1"/>
              <w:rPr>
                <w:b/>
                <w:bCs/>
                <w:sz w:val="26"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Версия вида сведений</w:t>
            </w:r>
            <w:r>
              <w:rPr>
                <w:b/>
                <w:bCs/>
                <w:sz w:val="26"/>
                <w:highlight w:val="white"/>
              </w:rPr>
            </w:r>
            <w:r>
              <w:rPr>
                <w:b/>
                <w:bCs/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1" w:type="pct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13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6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color w:val="ff0000"/>
                <w:sz w:val="26"/>
                <w:highlight w:val="white"/>
              </w:rPr>
            </w:pPr>
            <w:r>
              <w:rPr>
                <w:sz w:val="26"/>
                <w:highlight w:val="white"/>
                <w:lang w:eastAsia="en-US"/>
              </w:rPr>
              <w:t xml:space="preserve">Казначейство России</w:t>
            </w:r>
            <w:r>
              <w:rPr>
                <w:color w:val="ff0000"/>
                <w:sz w:val="26"/>
                <w:highlight w:val="white"/>
              </w:rPr>
            </w:r>
            <w:r>
              <w:rPr>
                <w:color w:val="ff0000"/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49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eastAsia="en-US"/>
              </w:rPr>
              <w:t xml:space="preserve">Прием информации о погашении начисления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415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val="en-US" w:eastAsia="en-US"/>
              </w:rPr>
              <w:t xml:space="preserve">urn://roskazna.ru/gisgmp/xsd/services/forced-ackmowledgement/2.6.0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val="en-US" w:eastAsia="en-US"/>
              </w:rPr>
              <w:t xml:space="preserve">2.6.0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1" w:type="pct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13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6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color w:val="ff0000"/>
                <w:sz w:val="26"/>
                <w:highlight w:val="white"/>
              </w:rPr>
            </w:pPr>
            <w:r>
              <w:rPr>
                <w:sz w:val="26"/>
                <w:highlight w:val="white"/>
                <w:lang w:eastAsia="en-US"/>
              </w:rPr>
              <w:t xml:space="preserve">Казначейство России</w:t>
            </w:r>
            <w:r>
              <w:rPr>
                <w:color w:val="ff0000"/>
                <w:sz w:val="26"/>
                <w:highlight w:val="white"/>
              </w:rPr>
            </w:r>
            <w:r>
              <w:rPr>
                <w:color w:val="ff0000"/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49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eastAsia="en-US"/>
              </w:rPr>
              <w:t xml:space="preserve">Прием информации об уплате (информации из распоряжения плательщика)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415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val="en-US" w:eastAsia="en-US"/>
              </w:rPr>
              <w:t xml:space="preserve">urn://roskazna.ru/gisgmp/xsd/services/import-payments/2.6.0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val="en-US" w:eastAsia="en-US"/>
              </w:rPr>
              <w:t xml:space="preserve">2.6.0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1" w:type="pct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13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6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eastAsia="en-US"/>
              </w:rPr>
              <w:t xml:space="preserve">ФНС России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49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eastAsia="en-US"/>
              </w:rPr>
              <w:t xml:space="preserve">Открытые сведения из ЕГРЮЛ по запросам органов государственной власти и организаций, зарегистрированных в СМЭВ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415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val="en-US" w:eastAsia="en-US"/>
              </w:rPr>
              <w:t xml:space="preserve">urn://x-artefacts-fns-otsvegrul/root/312-79/4.0.1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val="en-US" w:eastAsia="en-US"/>
              </w:rPr>
              <w:t xml:space="preserve">4.0.1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1" w:type="pct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13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6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eastAsia="en-US"/>
              </w:rPr>
              <w:t xml:space="preserve">Казначейство России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49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eastAsia="en-US"/>
              </w:rPr>
              <w:t xml:space="preserve">Предоставление информации о результатах квитирования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415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val="en-US" w:eastAsia="en-US"/>
              </w:rPr>
              <w:t xml:space="preserve">urn://roskazna.ru/gisgmp/xsd/services/export-quittances/2.6.0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val="en-US" w:eastAsia="en-US"/>
              </w:rPr>
              <w:t xml:space="preserve">2.6.0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1" w:type="pct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13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6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eastAsia="en-US"/>
              </w:rPr>
              <w:t xml:space="preserve">Казначейство России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49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eastAsia="en-US"/>
              </w:rPr>
              <w:t xml:space="preserve">Предоставление необходимой для уплаты информации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415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val="en-US" w:eastAsia="en-US"/>
              </w:rPr>
              <w:t xml:space="preserve">urn://roskazna.ru/gisgmp/xsd/services/export-charges/2.6.0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val="en-US" w:eastAsia="en-US"/>
              </w:rPr>
              <w:t xml:space="preserve">2.6.0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1" w:type="pct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13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6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eastAsia="en-US"/>
              </w:rPr>
              <w:t xml:space="preserve">ФНС России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49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eastAsia="en-US"/>
              </w:rPr>
              <w:t xml:space="preserve">Предоставление сведений о наличии (отсутствии) задолженности в размере отрицательного сальдо ЕНС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415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val="en-US" w:eastAsia="en-US"/>
              </w:rPr>
              <w:t xml:space="preserve">urn://x-artefacts-fns-zadorg/root/548-04/4.0.4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val="en-US" w:eastAsia="en-US"/>
              </w:rPr>
              <w:t xml:space="preserve">4.0.4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1" w:type="pct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13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6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eastAsia="en-US"/>
              </w:rPr>
              <w:t xml:space="preserve">Минобороны</w:t>
            </w:r>
            <w:r>
              <w:rPr>
                <w:sz w:val="26"/>
                <w:highlight w:val="white"/>
                <w:lang w:eastAsia="en-US"/>
              </w:rPr>
              <w:t xml:space="preserve"> </w:t>
            </w:r>
            <w:r>
              <w:rPr>
                <w:sz w:val="26"/>
                <w:highlight w:val="white"/>
                <w:lang w:eastAsia="en-US"/>
              </w:rPr>
              <w:t xml:space="preserve">России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49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Свидетельство об исключении государственного воздушного судна из государственного учета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415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val="en-US" w:eastAsia="en-US"/>
              </w:rPr>
              <w:t xml:space="preserve">urn://x-artefacts-mino/aircraftexclude/1.0.2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val="en-US" w:eastAsia="en-US"/>
              </w:rPr>
              <w:t xml:space="preserve">1.0.2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1" w:type="pct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13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6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eastAsia="en-US"/>
              </w:rPr>
              <w:t xml:space="preserve">Росреестр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49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Прием обращений в ФГИС ЕГРН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415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val="en-US" w:eastAsia="en-US"/>
              </w:rPr>
              <w:t xml:space="preserve">urn://x-artefacts-rosreestr-gov-ru/virtual-services/egrn-statement/1.1.2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val="en-US" w:eastAsia="en-US"/>
              </w:rPr>
              <w:t xml:space="preserve">1.1.2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1" w:type="pct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13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6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eastAsia="en-US"/>
              </w:rPr>
              <w:t xml:space="preserve">ФНС России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49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Сведения о лицензиях, выданных индивидуальным предпринимателям, передаваемые от лицензирующих органов в ФНС России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415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val="en-US" w:eastAsia="en-US"/>
              </w:rPr>
              <w:t xml:space="preserve">urn://x-artefacts-fns-licip-tofns-ru/301-07/4.0.1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val="en-US" w:eastAsia="en-US"/>
              </w:rPr>
              <w:t xml:space="preserve">4.0.1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1" w:type="pct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13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6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eastAsia="en-US"/>
              </w:rPr>
              <w:t xml:space="preserve">ФНС России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49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Сведения о лицензиях, выданных юридическим лицам, передаваемые от лицензирующих органов в ФНС России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415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val="en-US" w:eastAsia="en-US"/>
              </w:rPr>
              <w:t xml:space="preserve">urn://x-artefacts-fns-licul-tofns-ru/301-06/4.0.1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val="en-US" w:eastAsia="en-US"/>
              </w:rPr>
              <w:t xml:space="preserve">4.0.1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1" w:type="pct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13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6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eastAsia="en-US"/>
              </w:rPr>
              <w:t xml:space="preserve">МВД России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49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Сервисный концентратор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415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eastAsia="en-US"/>
              </w:rPr>
              <w:t xml:space="preserve">СМЭВ 2.х, </w:t>
            </w:r>
            <w:hyperlink w:tooltip="Current Document" w:anchor="!/F/2356SKFMS/1.00/p00smev/SID0003418" w:history="1">
              <w:r>
                <w:rPr>
                  <w:bCs/>
                  <w:sz w:val="26"/>
                  <w:highlight w:val="white"/>
                </w:rPr>
                <w:t xml:space="preserve">SID0003418</w:t>
              </w:r>
            </w:hyperlink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eastAsia="en-US"/>
              </w:rPr>
              <w:t xml:space="preserve">СМЭВ 2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1" w:type="pct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13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6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eastAsia="en-US"/>
              </w:rPr>
              <w:t xml:space="preserve">ФНС России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49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Сведения из ЕГРИП по запросам органов государственной власти (открытые сведения и сведения о рождении и адресе ИП)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415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val="en-US"/>
              </w:rPr>
              <w:t xml:space="preserve">urn://x-artefacts-fns-ogrsvegrip/root/312-88/4.0.1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val="en-US"/>
              </w:rPr>
              <w:t xml:space="preserve">4.0.1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1" w:type="pct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13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6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eastAsia="en-US"/>
              </w:rPr>
              <w:t xml:space="preserve">ФНС России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49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О соответствии фамильно-именной группы, даты рождения, пола и СНИЛС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415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http://kvs.pfr.com/snils-validation/1.0.3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1.0.3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1" w:type="pct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13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6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МВД России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49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Проверка действительности паспорта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415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val="en-US"/>
              </w:rPr>
              <w:t xml:space="preserve">urn://mvd/gismu/RFP_ACTUAL/1.0.0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val="en-US"/>
              </w:rPr>
              <w:t xml:space="preserve">1.0.0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1" w:type="pct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13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6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Минцифры</w:t>
            </w:r>
            <w:r>
              <w:rPr>
                <w:sz w:val="26"/>
                <w:highlight w:val="white"/>
              </w:rPr>
              <w:t xml:space="preserve"> России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49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Запрос номера лицензии в Едином реестре учета лицензий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415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val="en-US"/>
              </w:rPr>
              <w:t xml:space="preserve">urn://rostelekom.ru/LicenseNumber/1.0.5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val="en-US"/>
              </w:rPr>
              <w:t xml:space="preserve">1.0.5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1" w:type="pct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13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6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Минцифры</w:t>
            </w:r>
            <w:r>
              <w:rPr>
                <w:sz w:val="26"/>
                <w:highlight w:val="white"/>
              </w:rPr>
              <w:t xml:space="preserve"> России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49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Направление дополнительной информации о лицензии в Единый реестр учета лицензий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415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urn://rostelekom.ru/LicenseAdditional/1.0.2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1.0.2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1" w:type="pct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13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6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Минцифры</w:t>
            </w:r>
            <w:r>
              <w:rPr>
                <w:sz w:val="26"/>
                <w:highlight w:val="white"/>
              </w:rPr>
              <w:t xml:space="preserve"> России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49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Запрос списка лицензирующих органов и их лицензируемых видов деятельности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415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urn://rostelekom.ru/LicenseTypeList/1.0.3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1.0.3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1" w:type="pct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13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6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Минцифры</w:t>
            </w:r>
            <w:r>
              <w:rPr>
                <w:sz w:val="26"/>
                <w:highlight w:val="white"/>
              </w:rPr>
              <w:t xml:space="preserve"> России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49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Запрос карточки лицензируемого вида деятельности в Едином реестре учета лицензий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415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urn://rostelekom.ru/licenseActivity/1.0.4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1.0.4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1" w:type="pct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13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6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Минцифры</w:t>
            </w:r>
            <w:r>
              <w:rPr>
                <w:sz w:val="26"/>
                <w:highlight w:val="white"/>
              </w:rPr>
              <w:t xml:space="preserve"> России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49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Направление информации о внесении изменений в лицензию в Единый реестр учета лицензий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415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urn://rostelekom.ru/changeLicenseInfo/1.0.2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1.0.2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1" w:type="pct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13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6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Минцифры</w:t>
            </w:r>
            <w:r>
              <w:rPr>
                <w:sz w:val="26"/>
                <w:highlight w:val="white"/>
              </w:rPr>
              <w:t xml:space="preserve"> России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49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Предоставление в ЕРУЛ сведений об отказах на поданные заявления с выявленными нарушениями обязательных требований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415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urn://rostelekom.ru/declinePermission/1.0.1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1.0.1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1" w:type="pct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13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6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Минцифры</w:t>
            </w:r>
            <w:r>
              <w:rPr>
                <w:sz w:val="26"/>
                <w:highlight w:val="white"/>
              </w:rPr>
              <w:t xml:space="preserve"> России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49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Передача статусов и результатов предоставления государственных и муниципальных услуг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415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http://epgu.gosuslugi.ru/elk/status/1.0.2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1.0.2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1" w:type="pct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13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6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Минцифры</w:t>
            </w:r>
            <w:r>
              <w:rPr>
                <w:sz w:val="26"/>
                <w:highlight w:val="white"/>
              </w:rPr>
              <w:t xml:space="preserve"> России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49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Сведения об актах, структурных единицах и обязательных требованиях ФГИС РОТ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415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val="en-US"/>
              </w:rPr>
              <w:t xml:space="preserve">urn://ru.tot.rot/ROTRequestResponse/1.0.1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val="en-US"/>
              </w:rPr>
              <w:t xml:space="preserve">1.0.1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1" w:type="pct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13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6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Минцифры</w:t>
            </w:r>
            <w:r>
              <w:rPr>
                <w:sz w:val="26"/>
                <w:highlight w:val="white"/>
              </w:rPr>
              <w:t xml:space="preserve"> России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49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Отправка документов на подпись усиленной квалифицированной электронной подписью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415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val="en-US"/>
              </w:rPr>
              <w:t xml:space="preserve">urn://gosuslugi/sig-contract-ukep/1.0.0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val="en-US"/>
              </w:rPr>
              <w:t xml:space="preserve">1.0.0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1" w:type="pct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13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6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Минцифры</w:t>
            </w:r>
            <w:r>
              <w:rPr>
                <w:sz w:val="26"/>
                <w:highlight w:val="white"/>
              </w:rPr>
              <w:t xml:space="preserve"> России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49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Отправка документов на подпись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415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urn://gosuslugi/sig-contract/1.0.2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1.0.2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1" w:type="pct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13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6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Рособрнадзор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49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Запрос сведений о документах об образовании из ФРДО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415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val="en-US"/>
              </w:rPr>
              <w:t xml:space="preserve">urn://obrnadzor-gosuslugi-ru/frdo/1.0.2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val="en-US"/>
              </w:rPr>
              <w:t xml:space="preserve">1.0.2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1" w:type="pct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13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6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Рособрнадзор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49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Предоставление сведений из Федерального реестра сведений о документах об образовании и (или) о квалификации, документах об обучении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415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http://ron.gosuslugi.ru/frdo/2.0.1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2.0.1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1" w:type="pct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13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6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Минцифры</w:t>
            </w:r>
            <w:r>
              <w:rPr>
                <w:sz w:val="26"/>
                <w:highlight w:val="white"/>
              </w:rPr>
              <w:t xml:space="preserve"> России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49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Универсальный вид сведений для приема событий электронного заявления на портале государственных услуг (функций)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415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http://epgu.gosuslugi.ru/lk/order/event/3.1.1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3.1.1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1" w:type="pct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13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6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eastAsia="en-US"/>
              </w:rPr>
              <w:t xml:space="preserve">ФНС России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49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Предоставление из ЕГР ЗАГС по запросу сведений о рождении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415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val="en-US"/>
              </w:rPr>
              <w:t xml:space="preserve">urn://x-artefacts-zags-rogdinf/root/112-51/4.0.1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val="en-US"/>
              </w:rPr>
              <w:t xml:space="preserve">4.0.1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1" w:type="pct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13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6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eastAsia="en-US"/>
              </w:rPr>
              <w:t xml:space="preserve">ФНС России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49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Предоставление учредительных документов ЮЛ в форме электронного документа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415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val="en-US"/>
              </w:rPr>
              <w:t xml:space="preserve">urn://x-artefacts-fns-udgrul/root/750-05/4.0.4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val="en-US"/>
              </w:rPr>
              <w:t xml:space="preserve">4.0.4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1" w:type="pct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13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6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eastAsia="en-US"/>
              </w:rPr>
              <w:t xml:space="preserve">ФНС России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49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Представление выписки из Единого государственного реестра налогоплательщиков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415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val="en-US"/>
              </w:rPr>
              <w:t xml:space="preserve">urn://x-artefacts-fns-svegrnfl/root/311-30/4.0.2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val="en-US"/>
              </w:rPr>
              <w:t xml:space="preserve">4.0.2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1" w:type="pct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13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6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eastAsia="en-US"/>
              </w:rPr>
              <w:t xml:space="preserve">ФНС России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49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Представление электронных документов при аккредитации филиалов, представительств иностранных юридических лиц, внесении изменений в сведения РАФП, прекращении аккредитации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415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val="en-US"/>
              </w:rPr>
              <w:t xml:space="preserve">urn://x-artefacts-fns-docrafp/root/314-41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val="en-US"/>
              </w:rPr>
              <w:t xml:space="preserve">4.0.0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1" w:type="pct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13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6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eastAsia="en-US"/>
              </w:rPr>
              <w:t xml:space="preserve">ФНС России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49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Предоставление сведений о статусе обработки электронных документов, представленных при аккредитации филиалов, представительств иностранных юридических лиц, внесении изменений в сведения РАФП, прекращении аккредитации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415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val="en-US"/>
              </w:rPr>
              <w:t xml:space="preserve">urn://x-artefacts-fns-statrafp/root/314-42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val="en-US"/>
              </w:rPr>
              <w:t xml:space="preserve">4.0.0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1" w:type="pct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13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6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Минпромторг</w:t>
            </w:r>
            <w:r>
              <w:rPr>
                <w:sz w:val="26"/>
                <w:highlight w:val="white"/>
              </w:rPr>
              <w:t xml:space="preserve"> России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49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Сведения из лицензии на осуществление деятельности по разработке, производству, испытанию и ремонту авиационной техники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415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http://minpromtorg.smev.ru/aviation/licenseinfo/1.0.0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1.0.0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1" w:type="pct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13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6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eastAsia="en-US"/>
              </w:rPr>
              <w:t xml:space="preserve">Федеральная служба по аккредитации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49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Предоставление сведений из государственного реестра юридических лиц, аккредитованных на право проведения негосударственной экспертизы проектной документации и (или) инженерных изысканий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415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val="en-US"/>
              </w:rPr>
              <w:t xml:space="preserve">urn://x-artefact-rosaccreditation-ru/ren/1.0.0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val="en-US"/>
              </w:rPr>
              <w:t xml:space="preserve">1.0.0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1" w:type="pct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13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6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eastAsia="en-US"/>
              </w:rPr>
              <w:t xml:space="preserve">ФНС России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49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Предоставление из ЕГР ЗАГС по запросу сведений о перемене имени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415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val="en-US"/>
              </w:rPr>
              <w:t xml:space="preserve">urn://x-artefacts-zags-pernameinf/root/112-53/4.0.0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val="en-US"/>
              </w:rPr>
              <w:t xml:space="preserve">4.0.0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1" w:type="pct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13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6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eastAsia="en-US"/>
              </w:rPr>
              <w:t xml:space="preserve">МВД России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49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Проверка действительности паспорта для банков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415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val="en-US"/>
              </w:rPr>
              <w:t xml:space="preserve">urn://mvd/gismu/RFP_ACTUAL_BANK/1.0.0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val="en-US"/>
              </w:rPr>
              <w:t xml:space="preserve">1.0.0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1" w:type="pct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13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6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eastAsia="en-US"/>
              </w:rPr>
              <w:t xml:space="preserve">ФНС России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49" w:type="pct"/>
            <w:vAlign w:val="center"/>
            <w:textDirection w:val="lrTb"/>
            <w:noWrap w:val="false"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Получение списка учредительных документов юридического лица, представленных при государственной регистрации и имеющихся в регистрирующих (налоговых) органах в электронном виде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415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val="en-US"/>
              </w:rPr>
              <w:t xml:space="preserve">urn://x-artefacts-fns-spuchdgrul/root/750-20/4.0.0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val="en-US"/>
              </w:rPr>
              <w:t xml:space="preserve">4.0.0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1" w:type="pct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13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6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eastAsia="en-US"/>
              </w:rPr>
              <w:t xml:space="preserve">ФНС России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49" w:type="pct"/>
            <w:vAlign w:val="center"/>
            <w:textDirection w:val="lrTb"/>
            <w:noWrap w:val="false"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Предоставление имеющихся в регистрирующем (налоговом) органе учредительных документов юридического лица в электронной виде, выбранных пользователем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415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val="en-US"/>
              </w:rPr>
              <w:t xml:space="preserve">urn://x-artefacts-fns-vpuchdgrul/root/750-19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val="en-US"/>
              </w:rPr>
              <w:t xml:space="preserve">4.0.</w:t>
            </w:r>
            <w:r>
              <w:rPr>
                <w:sz w:val="26"/>
                <w:highlight w:val="white"/>
              </w:rPr>
              <w:t xml:space="preserve">1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1" w:type="pct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13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6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Минцифры</w:t>
            </w:r>
            <w:r>
              <w:rPr>
                <w:sz w:val="26"/>
                <w:highlight w:val="white"/>
              </w:rPr>
              <w:t xml:space="preserve"> России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49" w:type="pct"/>
            <w:textDirection w:val="lrTb"/>
            <w:noWrap w:val="false"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Получение сведений о лицензиях от лицензирующих органов в ЕСИА в целях обеспечения доступа к ним в личном кабинете лицензиата в ЕПГУ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415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urn://mincomsvyaz/esia/licenseinfo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1.0.0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1" w:type="pct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13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6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Минцифры</w:t>
            </w:r>
            <w:r>
              <w:rPr>
                <w:sz w:val="26"/>
                <w:highlight w:val="white"/>
              </w:rPr>
              <w:t xml:space="preserve"> России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149" w:type="pct"/>
            <w:textDirection w:val="lrTb"/>
            <w:noWrap w:val="false"/>
          </w:tcPr>
          <w:p>
            <w:pPr>
              <w:pStyle w:val="1288"/>
              <w:ind w:left="0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Универсальный сервис отправки сообщений пользователям ЕПГУ государственной почтовой систем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415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http://epgu.gosuslugi.ru/geps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2.0.3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</w:tbl>
    <w:p>
      <w:pPr>
        <w:pStyle w:val="1284"/>
        <w:jc w:val="center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  <w:lang w:val="en-US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1285"/>
        <w:jc w:val="right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</w:r>
      <w:bookmarkStart w:id="13" w:name="_Toc11"/>
      <w:r>
        <w:rPr>
          <w:highlight w:val="white"/>
          <w:lang w:val="ru-RU"/>
        </w:rPr>
        <w:t xml:space="preserve">ПРИЛОЖЕНИЕ </w:t>
      </w:r>
      <w:bookmarkEnd w:id="13"/>
      <w:r>
        <w:rPr>
          <w:highlight w:val="white"/>
          <w:lang w:val="ru-RU"/>
        </w:rPr>
        <w:t xml:space="preserve">Б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ind w:firstLine="0"/>
        <w:jc w:val="center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Перечень сведений (видов сведений), 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ind w:firstLine="0"/>
        <w:jc w:val="center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находящихся в распоряжении </w:t>
      </w:r>
      <w:r>
        <w:rPr>
          <w:highlight w:val="white"/>
        </w:rPr>
        <w:t xml:space="preserve">Росавиации</w:t>
      </w:r>
      <w:r>
        <w:rPr>
          <w:highlight w:val="white"/>
        </w:rPr>
        <w:t xml:space="preserve">, по которым предоставляются ответы на поступающие посредством СМЭВ запросы от органов власти, а также иных участников СМЭВ в рамках оказания ими государственных услуг</w:t>
      </w:r>
      <w:r>
        <w:rPr>
          <w:highlight w:val="white"/>
        </w:rPr>
      </w:r>
      <w:r>
        <w:rPr>
          <w:highlight w:val="white"/>
        </w:rPr>
      </w:r>
    </w:p>
    <w:tbl>
      <w:tblPr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592"/>
        <w:gridCol w:w="8496"/>
        <w:gridCol w:w="3580"/>
        <w:gridCol w:w="1892"/>
      </w:tblGrid>
      <w:tr>
        <w:tblPrEx/>
        <w:trPr>
          <w:jc w:val="center"/>
          <w:trHeight w:val="20"/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93" w:type="pct"/>
            <w:vAlign w:val="center"/>
            <w:textDirection w:val="lrTb"/>
            <w:noWrap w:val="false"/>
          </w:tcPr>
          <w:p>
            <w:pPr>
              <w:pStyle w:val="1288"/>
              <w:jc w:val="center"/>
              <w:shd w:val="clear" w:color="ffffff" w:themeColor="background1" w:fill="ffffff" w:themeFill="background1"/>
              <w:rPr>
                <w:b/>
                <w:bCs/>
                <w:sz w:val="26"/>
                <w:highlight w:val="white"/>
              </w:rPr>
            </w:pPr>
            <w:r>
              <w:rPr>
                <w:rStyle w:val="1195"/>
                <w:bCs/>
                <w:sz w:val="26"/>
                <w:szCs w:val="26"/>
                <w:highlight w:val="white"/>
              </w:rPr>
              <w:br w:type="page" w:clear="all"/>
            </w:r>
            <w:r>
              <w:rPr>
                <w:b/>
                <w:bCs/>
                <w:sz w:val="26"/>
                <w:highlight w:val="white"/>
              </w:rPr>
              <w:t xml:space="preserve">№</w:t>
            </w:r>
            <w:r>
              <w:rPr>
                <w:b/>
                <w:bCs/>
                <w:sz w:val="26"/>
                <w:highlight w:val="white"/>
              </w:rPr>
            </w:r>
            <w:r>
              <w:rPr>
                <w:b/>
                <w:bCs/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921" w:type="pct"/>
            <w:vAlign w:val="center"/>
            <w:textDirection w:val="lrTb"/>
            <w:noWrap w:val="false"/>
          </w:tcPr>
          <w:p>
            <w:pPr>
              <w:pStyle w:val="1288"/>
              <w:jc w:val="center"/>
              <w:shd w:val="clear" w:color="ffffff" w:themeColor="background1" w:fill="ffffff" w:themeFill="background1"/>
              <w:rPr>
                <w:b/>
                <w:bCs/>
                <w:sz w:val="26"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Наименование (видов сведений)</w:t>
            </w:r>
            <w:r>
              <w:rPr>
                <w:b/>
                <w:bCs/>
                <w:sz w:val="26"/>
                <w:highlight w:val="white"/>
              </w:rPr>
            </w:r>
            <w:r>
              <w:rPr>
                <w:b/>
                <w:bCs/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233" w:type="pct"/>
            <w:vAlign w:val="center"/>
            <w:textDirection w:val="lrTb"/>
            <w:noWrap w:val="false"/>
          </w:tcPr>
          <w:p>
            <w:pPr>
              <w:pStyle w:val="1288"/>
              <w:jc w:val="center"/>
              <w:shd w:val="clear" w:color="ffffff" w:themeColor="background1" w:fill="ffffff" w:themeFill="background1"/>
              <w:rPr>
                <w:b/>
                <w:bCs/>
                <w:sz w:val="26"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Унифицированный идентификатор ресурса</w:t>
            </w:r>
            <w:r>
              <w:rPr>
                <w:b/>
                <w:bCs/>
                <w:sz w:val="26"/>
                <w:highlight w:val="white"/>
              </w:rPr>
            </w:r>
            <w:r>
              <w:rPr>
                <w:b/>
                <w:bCs/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3" w:type="pct"/>
            <w:textDirection w:val="lrTb"/>
            <w:noWrap w:val="false"/>
          </w:tcPr>
          <w:p>
            <w:pPr>
              <w:pStyle w:val="1288"/>
              <w:jc w:val="center"/>
              <w:shd w:val="clear" w:color="ffffff" w:themeColor="background1" w:fill="ffffff" w:themeFill="background1"/>
              <w:rPr>
                <w:b/>
                <w:bCs/>
                <w:sz w:val="26"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Версия вида сведений</w:t>
            </w:r>
            <w:r>
              <w:rPr>
                <w:b/>
                <w:bCs/>
                <w:sz w:val="26"/>
                <w:highlight w:val="white"/>
              </w:rPr>
            </w:r>
            <w:r>
              <w:rPr>
                <w:b/>
                <w:bCs/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93" w:type="pct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14"/>
              </w:numPr>
              <w:shd w:val="clear" w:color="ffffff" w:themeColor="background1" w:fill="ffffff" w:themeFill="background1"/>
              <w:rPr>
                <w:color w:val="000000"/>
                <w:sz w:val="26"/>
                <w:szCs w:val="26"/>
                <w:highlight w:val="white"/>
              </w:rPr>
            </w:pPr>
            <w:r>
              <w:rPr>
                <w:color w:val="000000"/>
                <w:sz w:val="26"/>
                <w:szCs w:val="26"/>
                <w:highlight w:val="white"/>
              </w:rPr>
            </w:r>
            <w:r>
              <w:rPr>
                <w:color w:val="000000"/>
                <w:sz w:val="26"/>
                <w:szCs w:val="26"/>
                <w:highlight w:val="white"/>
              </w:rPr>
            </w:r>
            <w:r>
              <w:rPr>
                <w:color w:val="000000"/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921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eastAsia="en-US"/>
              </w:rPr>
              <w:t xml:space="preserve">Универсальный вид сведений приема заявлений с ЕПГУ в электронном виде на предоставление услуг Федерального агентства воздушного транспорта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233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val="en-US" w:eastAsia="en-US"/>
              </w:rPr>
              <w:t xml:space="preserve">urn://x-artefacts-rosavia/rosavia-epgu/1.0.0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3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eastAsia="en-US"/>
              </w:rPr>
              <w:t xml:space="preserve">1.0.0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93" w:type="pct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14"/>
              </w:numPr>
              <w:shd w:val="clear" w:color="ffffff" w:themeColor="background1" w:fill="ffffff" w:themeFill="background1"/>
              <w:rPr>
                <w:color w:val="000000"/>
                <w:sz w:val="26"/>
                <w:szCs w:val="26"/>
                <w:highlight w:val="white"/>
              </w:rPr>
            </w:pPr>
            <w:r>
              <w:rPr>
                <w:color w:val="000000"/>
                <w:sz w:val="26"/>
                <w:szCs w:val="26"/>
                <w:highlight w:val="white"/>
              </w:rPr>
            </w:r>
            <w:r>
              <w:rPr>
                <w:color w:val="000000"/>
                <w:sz w:val="26"/>
                <w:szCs w:val="26"/>
                <w:highlight w:val="white"/>
              </w:rPr>
            </w:r>
            <w:r>
              <w:rPr>
                <w:color w:val="000000"/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921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eastAsia="en-US"/>
              </w:rPr>
              <w:t xml:space="preserve">Копии сертификата, подтверждающего соответствие ЮЛ, ИП, осуществляющих техническое обслуживание гражданских воздушных судов, требованиям федеральных авиационных правил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233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val="en-US" w:eastAsia="en-US"/>
              </w:rPr>
              <w:t xml:space="preserve">urn://x-artefacts-rosavia/cert-copy/1.0.0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3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eastAsia="en-US"/>
              </w:rPr>
              <w:t xml:space="preserve">1.0.0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93" w:type="pct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14"/>
              </w:numPr>
              <w:shd w:val="clear" w:color="ffffff" w:themeColor="background1" w:fill="ffffff" w:themeFill="background1"/>
              <w:rPr>
                <w:color w:val="000000"/>
                <w:sz w:val="26"/>
                <w:szCs w:val="26"/>
                <w:highlight w:val="white"/>
              </w:rPr>
            </w:pPr>
            <w:r>
              <w:rPr>
                <w:color w:val="000000"/>
                <w:sz w:val="26"/>
                <w:szCs w:val="26"/>
                <w:highlight w:val="white"/>
              </w:rPr>
            </w:r>
            <w:r>
              <w:rPr>
                <w:color w:val="000000"/>
                <w:sz w:val="26"/>
                <w:szCs w:val="26"/>
                <w:highlight w:val="white"/>
              </w:rPr>
            </w:r>
            <w:r>
              <w:rPr>
                <w:color w:val="000000"/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921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eastAsia="en-US"/>
              </w:rPr>
              <w:t xml:space="preserve">Сведение «Данные из реестра сертификатов на обслуживание и ремонт авиационной техники, в том числе авиационной техники двойного назначения»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233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val="en-US" w:eastAsia="en-US"/>
              </w:rPr>
              <w:t xml:space="preserve">urn://x-artefacts-rosavia/certificate/1.0.2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3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eastAsia="en-US"/>
              </w:rPr>
              <w:t xml:space="preserve">1.0.2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93" w:type="pct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14"/>
              </w:numPr>
              <w:shd w:val="clear" w:color="ffffff" w:themeColor="background1" w:fill="ffffff" w:themeFill="background1"/>
              <w:rPr>
                <w:color w:val="000000"/>
                <w:sz w:val="26"/>
                <w:szCs w:val="26"/>
                <w:highlight w:val="white"/>
              </w:rPr>
            </w:pPr>
            <w:r>
              <w:rPr>
                <w:color w:val="000000"/>
                <w:sz w:val="26"/>
                <w:szCs w:val="26"/>
                <w:highlight w:val="white"/>
              </w:rPr>
            </w:r>
            <w:r>
              <w:rPr>
                <w:color w:val="000000"/>
                <w:sz w:val="26"/>
                <w:szCs w:val="26"/>
                <w:highlight w:val="white"/>
              </w:rPr>
            </w:r>
            <w:r>
              <w:rPr>
                <w:color w:val="000000"/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921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eastAsia="en-US"/>
              </w:rPr>
              <w:t xml:space="preserve">Сведение «О лицензиях на отдельные виды деятельности, отнесенные к компетенции </w:t>
            </w:r>
            <w:r>
              <w:rPr>
                <w:sz w:val="26"/>
                <w:highlight w:val="white"/>
                <w:lang w:eastAsia="en-US"/>
              </w:rPr>
              <w:t xml:space="preserve">Росавиации</w:t>
            </w:r>
            <w:r>
              <w:rPr>
                <w:sz w:val="26"/>
                <w:highlight w:val="white"/>
                <w:lang w:eastAsia="en-US"/>
              </w:rPr>
              <w:t xml:space="preserve">» 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233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val="en-US" w:eastAsia="en-US"/>
              </w:rPr>
              <w:t xml:space="preserve">urn://x-artefacts-rosavia/license/1.0.3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3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eastAsia="en-US"/>
              </w:rPr>
              <w:t xml:space="preserve">1.0.3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93" w:type="pct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14"/>
              </w:numPr>
              <w:shd w:val="clear" w:color="ffffff" w:themeColor="background1" w:fill="ffffff" w:themeFill="background1"/>
              <w:rPr>
                <w:color w:val="000000"/>
                <w:sz w:val="26"/>
                <w:szCs w:val="26"/>
                <w:highlight w:val="white"/>
              </w:rPr>
            </w:pPr>
            <w:r>
              <w:rPr>
                <w:color w:val="000000"/>
                <w:sz w:val="26"/>
                <w:szCs w:val="26"/>
                <w:highlight w:val="white"/>
              </w:rPr>
            </w:r>
            <w:r>
              <w:rPr>
                <w:color w:val="000000"/>
                <w:sz w:val="26"/>
                <w:szCs w:val="26"/>
                <w:highlight w:val="white"/>
              </w:rPr>
            </w:r>
            <w:r>
              <w:rPr>
                <w:color w:val="000000"/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921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eastAsia="en-US"/>
              </w:rPr>
              <w:t xml:space="preserve">Сведения из лицензий на деятельность по перевозкам воздушным транспортом грузов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233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val="en-US" w:eastAsia="en-US"/>
              </w:rPr>
              <w:t xml:space="preserve">urn://x-artefacts-rosavia/cargo-license/1.0.0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3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eastAsia="en-US"/>
              </w:rPr>
              <w:t xml:space="preserve">1.0.0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93" w:type="pct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14"/>
              </w:numPr>
              <w:shd w:val="clear" w:color="ffffff" w:themeColor="background1" w:fill="ffffff" w:themeFill="background1"/>
              <w:rPr>
                <w:color w:val="000000"/>
                <w:sz w:val="26"/>
                <w:szCs w:val="26"/>
                <w:highlight w:val="white"/>
              </w:rPr>
            </w:pPr>
            <w:r>
              <w:rPr>
                <w:color w:val="000000"/>
                <w:sz w:val="26"/>
                <w:szCs w:val="26"/>
                <w:highlight w:val="white"/>
              </w:rPr>
            </w:r>
            <w:r>
              <w:rPr>
                <w:color w:val="000000"/>
                <w:sz w:val="26"/>
                <w:szCs w:val="26"/>
                <w:highlight w:val="white"/>
              </w:rPr>
            </w:r>
            <w:r>
              <w:rPr>
                <w:color w:val="000000"/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921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eastAsia="en-US"/>
              </w:rPr>
              <w:t xml:space="preserve">Сведения из лицензий на деятельность по перевозке воздушным транспортом пассажиров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233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val="en-US" w:eastAsia="en-US"/>
              </w:rPr>
              <w:t xml:space="preserve">urn://x-artefacts-rosavia/fly-license/1.0.2 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3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eastAsia="en-US"/>
              </w:rPr>
              <w:t xml:space="preserve">1.0.2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93" w:type="pct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14"/>
              </w:numPr>
              <w:shd w:val="clear" w:color="ffffff" w:themeColor="background1" w:fill="ffffff" w:themeFill="background1"/>
              <w:rPr>
                <w:color w:val="000000"/>
                <w:sz w:val="26"/>
                <w:szCs w:val="26"/>
                <w:highlight w:val="white"/>
              </w:rPr>
            </w:pPr>
            <w:r>
              <w:rPr>
                <w:color w:val="000000"/>
                <w:sz w:val="26"/>
                <w:szCs w:val="26"/>
                <w:highlight w:val="white"/>
              </w:rPr>
            </w:r>
            <w:r>
              <w:rPr>
                <w:color w:val="000000"/>
                <w:sz w:val="26"/>
                <w:szCs w:val="26"/>
                <w:highlight w:val="white"/>
              </w:rPr>
            </w:r>
            <w:r>
              <w:rPr>
                <w:color w:val="000000"/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921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eastAsia="en-US"/>
              </w:rPr>
              <w:t xml:space="preserve">Сведения из реестра лицензий на деятельность по перевозкам воздушным транспортом грузов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233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val="en-US" w:eastAsia="en-US"/>
              </w:rPr>
              <w:t xml:space="preserve">urn://x-artefacts-rosavia/cargo-reestr/1.0.0 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3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eastAsia="en-US"/>
              </w:rPr>
              <w:t xml:space="preserve">1.0.0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93" w:type="pct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14"/>
              </w:numPr>
              <w:shd w:val="clear" w:color="ffffff" w:themeColor="background1" w:fill="ffffff" w:themeFill="background1"/>
              <w:rPr>
                <w:color w:val="000000"/>
                <w:sz w:val="26"/>
                <w:szCs w:val="26"/>
                <w:highlight w:val="white"/>
              </w:rPr>
            </w:pPr>
            <w:r>
              <w:rPr>
                <w:color w:val="000000"/>
                <w:sz w:val="26"/>
                <w:szCs w:val="26"/>
                <w:highlight w:val="white"/>
              </w:rPr>
            </w:r>
            <w:r>
              <w:rPr>
                <w:color w:val="000000"/>
                <w:sz w:val="26"/>
                <w:szCs w:val="26"/>
                <w:highlight w:val="white"/>
              </w:rPr>
            </w:r>
            <w:r>
              <w:rPr>
                <w:color w:val="000000"/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921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eastAsia="en-US"/>
              </w:rPr>
              <w:t xml:space="preserve">Сведения из реестра лицензий на деятельность по перевозкам воздушным транспортом пассажиров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233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val="en-US" w:eastAsia="en-US"/>
              </w:rPr>
              <w:t xml:space="preserve">urn://x-artefacts-rosavia/fly-lic-reestr/1.0.0 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3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eastAsia="en-US"/>
              </w:rPr>
              <w:t xml:space="preserve">1.0.0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93" w:type="pct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14"/>
              </w:numPr>
              <w:shd w:val="clear" w:color="ffffff" w:themeColor="background1" w:fill="ffffff" w:themeFill="background1"/>
              <w:rPr>
                <w:color w:val="000000"/>
                <w:sz w:val="26"/>
                <w:szCs w:val="26"/>
                <w:highlight w:val="white"/>
              </w:rPr>
            </w:pPr>
            <w:r>
              <w:rPr>
                <w:color w:val="000000"/>
                <w:sz w:val="26"/>
                <w:szCs w:val="26"/>
                <w:highlight w:val="white"/>
              </w:rPr>
            </w:r>
            <w:r>
              <w:rPr>
                <w:color w:val="000000"/>
                <w:sz w:val="26"/>
                <w:szCs w:val="26"/>
                <w:highlight w:val="white"/>
              </w:rPr>
            </w:r>
            <w:r>
              <w:rPr>
                <w:color w:val="000000"/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921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eastAsia="en-US"/>
              </w:rPr>
              <w:t xml:space="preserve">Сведения из сертификата, подтверждающего соответствие ЮЛ, ИП, осуществляющих техническое обслуживание гражданских воздушных судов, требованиям федеральных авиационных правил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233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val="en-US" w:eastAsia="en-US"/>
              </w:rPr>
              <w:t xml:space="preserve">urn://x-artefacts-rosavia/cert-info/1.0.1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3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eastAsia="en-US"/>
              </w:rPr>
              <w:t xml:space="preserve">1.0.1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93" w:type="pct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14"/>
              </w:numPr>
              <w:shd w:val="clear" w:color="ffffff" w:themeColor="background1" w:fill="ffffff" w:themeFill="background1"/>
              <w:rPr>
                <w:color w:val="000000"/>
                <w:sz w:val="26"/>
                <w:szCs w:val="26"/>
                <w:highlight w:val="white"/>
              </w:rPr>
            </w:pPr>
            <w:r>
              <w:rPr>
                <w:color w:val="000000"/>
                <w:sz w:val="26"/>
                <w:szCs w:val="26"/>
                <w:highlight w:val="white"/>
              </w:rPr>
            </w:r>
            <w:r>
              <w:rPr>
                <w:color w:val="000000"/>
                <w:sz w:val="26"/>
                <w:szCs w:val="26"/>
                <w:highlight w:val="white"/>
              </w:rPr>
            </w:r>
            <w:r>
              <w:rPr>
                <w:color w:val="000000"/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921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eastAsia="en-US"/>
              </w:rPr>
              <w:t xml:space="preserve">Сведения о наличие свидетельств авиационного персонала гражданской авиации Российской Федерации, выданных физическим лицам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233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val="en-US" w:eastAsia="en-US"/>
              </w:rPr>
              <w:t xml:space="preserve">urn://x-artefacts-rosavia/pilot-license/1.0.3 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3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eastAsia="en-US"/>
              </w:rPr>
              <w:t xml:space="preserve">1.0.3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93" w:type="pct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14"/>
              </w:numPr>
              <w:shd w:val="clear" w:color="ffffff" w:themeColor="background1" w:fill="ffffff" w:themeFill="background1"/>
              <w:rPr>
                <w:color w:val="000000"/>
                <w:sz w:val="26"/>
                <w:szCs w:val="26"/>
                <w:highlight w:val="white"/>
              </w:rPr>
            </w:pPr>
            <w:r>
              <w:rPr>
                <w:color w:val="000000"/>
                <w:sz w:val="26"/>
                <w:szCs w:val="26"/>
                <w:highlight w:val="white"/>
              </w:rPr>
            </w:r>
            <w:r>
              <w:rPr>
                <w:color w:val="000000"/>
                <w:sz w:val="26"/>
                <w:szCs w:val="26"/>
                <w:highlight w:val="white"/>
              </w:rPr>
            </w:r>
            <w:r>
              <w:rPr>
                <w:color w:val="000000"/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921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eastAsia="en-US"/>
              </w:rPr>
              <w:t xml:space="preserve">Запрос на перечень юридических лиц, осуществляющих перевозку строительных материалов, изделий, конструкций, оборудования, машин и механизмов воздушным транспортом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233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val="en-US" w:eastAsia="en-US"/>
              </w:rPr>
              <w:t xml:space="preserve">urn://x-artefacts-rosavia/gos-ex/1.0.0 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3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eastAsia="en-US"/>
              </w:rPr>
              <w:t xml:space="preserve">1.0.0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93" w:type="pct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14"/>
              </w:numPr>
              <w:shd w:val="clear" w:color="ffffff" w:themeColor="background1" w:fill="ffffff" w:themeFill="background1"/>
              <w:rPr>
                <w:color w:val="000000"/>
                <w:sz w:val="26"/>
                <w:szCs w:val="26"/>
                <w:highlight w:val="white"/>
              </w:rPr>
            </w:pPr>
            <w:r>
              <w:rPr>
                <w:color w:val="000000"/>
                <w:sz w:val="26"/>
                <w:szCs w:val="26"/>
                <w:highlight w:val="white"/>
              </w:rPr>
            </w:r>
            <w:r>
              <w:rPr>
                <w:color w:val="000000"/>
                <w:sz w:val="26"/>
                <w:szCs w:val="26"/>
                <w:highlight w:val="white"/>
              </w:rPr>
            </w:r>
            <w:r>
              <w:rPr>
                <w:color w:val="000000"/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921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Сведения о зарегистрированных воздушных судах, принадлежащих лицам, не исполнившим или ненадлежащим образом, исполнившим обязанность по уплате таможенных и иных платежей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233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val="en-US"/>
              </w:rPr>
              <w:t xml:space="preserve">urn://x-artefacts-rosavia/fts-registry-info-untrusted/1.0.0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3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eastAsia="en-US"/>
              </w:rPr>
              <w:t xml:space="preserve">1.0.0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93" w:type="pct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14"/>
              </w:numPr>
              <w:shd w:val="clear" w:color="ffffff" w:themeColor="background1" w:fill="ffffff" w:themeFill="background1"/>
              <w:rPr>
                <w:color w:val="000000"/>
                <w:sz w:val="26"/>
                <w:szCs w:val="26"/>
                <w:highlight w:val="white"/>
              </w:rPr>
            </w:pPr>
            <w:r>
              <w:rPr>
                <w:color w:val="000000"/>
                <w:sz w:val="26"/>
                <w:szCs w:val="26"/>
                <w:highlight w:val="white"/>
              </w:rPr>
            </w:r>
            <w:r>
              <w:rPr>
                <w:color w:val="000000"/>
                <w:sz w:val="26"/>
                <w:szCs w:val="26"/>
                <w:highlight w:val="white"/>
              </w:rPr>
            </w:r>
            <w:r>
              <w:rPr>
                <w:color w:val="000000"/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921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Сведения о наложении </w:t>
            </w:r>
            <w:r>
              <w:rPr>
                <w:sz w:val="26"/>
                <w:highlight w:val="white"/>
              </w:rPr>
              <w:t xml:space="preserve">Росавиацией</w:t>
            </w:r>
            <w:r>
              <w:rPr>
                <w:sz w:val="26"/>
                <w:highlight w:val="white"/>
              </w:rPr>
              <w:t xml:space="preserve"> запрета на</w:t>
            </w:r>
            <w:r>
              <w:rPr>
                <w:sz w:val="26"/>
                <w:highlight w:val="white"/>
              </w:rPr>
              <w:t xml:space="preserve"> осуществление регистрационных действий с воздушными судами, принадлежащих лицам, не исполнившим или ненадлежащим образом, исполнившим обязанность по уплате таможенных и иных платежей, на основании решения таможенного органа о наложении ареста на имущество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233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val="en-US"/>
              </w:rPr>
              <w:t xml:space="preserve">urn://x-artefacts-rosavia/fts-registry-info-arrested/1.0.0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3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eastAsia="en-US"/>
              </w:rPr>
              <w:t xml:space="preserve">1.0.0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93" w:type="pct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14"/>
              </w:numPr>
              <w:shd w:val="clear" w:color="ffffff" w:themeColor="background1" w:fill="ffffff" w:themeFill="background1"/>
              <w:rPr>
                <w:color w:val="000000"/>
                <w:sz w:val="26"/>
                <w:szCs w:val="26"/>
                <w:highlight w:val="white"/>
              </w:rPr>
            </w:pPr>
            <w:r>
              <w:rPr>
                <w:color w:val="000000"/>
                <w:sz w:val="26"/>
                <w:szCs w:val="26"/>
                <w:highlight w:val="white"/>
              </w:rPr>
            </w:r>
            <w:r>
              <w:rPr>
                <w:color w:val="000000"/>
                <w:sz w:val="26"/>
                <w:szCs w:val="26"/>
                <w:highlight w:val="white"/>
              </w:rPr>
            </w:r>
            <w:r>
              <w:rPr>
                <w:color w:val="000000"/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921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Сведения о снятии </w:t>
            </w:r>
            <w:r>
              <w:rPr>
                <w:sz w:val="26"/>
                <w:highlight w:val="white"/>
              </w:rPr>
              <w:t xml:space="preserve">Росавиацией</w:t>
            </w:r>
            <w:r>
              <w:rPr>
                <w:sz w:val="26"/>
                <w:highlight w:val="white"/>
              </w:rPr>
              <w:t xml:space="preserve"> запрета н</w:t>
            </w:r>
            <w:r>
              <w:rPr>
                <w:sz w:val="26"/>
                <w:highlight w:val="white"/>
              </w:rPr>
              <w:t xml:space="preserve">а осуществление регистрационных действий с воздушными судами, принадлежащими лицам, не исполнившим или ненадлежащим образом, исполнившим обязанность по уплате таможенных и иных платежей, на основании решения таможенного органа об отмене ареста на имущество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233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val="en-US"/>
              </w:rPr>
              <w:t xml:space="preserve">urn://x-artefacts-rosavia/fts-registry-info-unarrested/1.0.0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3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eastAsia="en-US"/>
              </w:rPr>
              <w:t xml:space="preserve">1.0.0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93" w:type="pct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14"/>
              </w:numPr>
              <w:shd w:val="clear" w:color="ffffff" w:themeColor="background1" w:fill="ffffff" w:themeFill="background1"/>
              <w:rPr>
                <w:color w:val="000000"/>
                <w:sz w:val="26"/>
                <w:szCs w:val="26"/>
                <w:highlight w:val="white"/>
              </w:rPr>
            </w:pPr>
            <w:r>
              <w:rPr>
                <w:color w:val="000000"/>
                <w:sz w:val="26"/>
                <w:szCs w:val="26"/>
                <w:highlight w:val="white"/>
              </w:rPr>
            </w:r>
            <w:r>
              <w:rPr>
                <w:color w:val="000000"/>
                <w:sz w:val="26"/>
                <w:szCs w:val="26"/>
                <w:highlight w:val="white"/>
              </w:rPr>
            </w:r>
            <w:r>
              <w:rPr>
                <w:color w:val="000000"/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921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Сведения о включении и исключении данных о гражданских воздушных судах в Государственный реестр гражданских воздушных судов Российской Федерации, а также о причинах исключения данных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233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val="en-US"/>
              </w:rPr>
              <w:t xml:space="preserve">urn://x-artefacts-rosavia/fts-registry/</w:t>
            </w:r>
            <w:r>
              <w:rPr>
                <w:sz w:val="26"/>
                <w:highlight w:val="white"/>
                <w:lang w:val="en-US" w:eastAsia="en-US"/>
              </w:rPr>
              <w:t xml:space="preserve">1.0.1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3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1.0.1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93" w:type="pct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14"/>
              </w:numPr>
              <w:shd w:val="clear" w:color="ffffff" w:themeColor="background1" w:fill="ffffff" w:themeFill="background1"/>
              <w:rPr>
                <w:color w:val="000000"/>
                <w:sz w:val="26"/>
                <w:szCs w:val="26"/>
                <w:highlight w:val="white"/>
              </w:rPr>
            </w:pPr>
            <w:r>
              <w:rPr>
                <w:color w:val="000000"/>
                <w:sz w:val="26"/>
                <w:szCs w:val="26"/>
                <w:highlight w:val="white"/>
              </w:rPr>
            </w:r>
            <w:r>
              <w:rPr>
                <w:color w:val="000000"/>
                <w:sz w:val="26"/>
                <w:szCs w:val="26"/>
                <w:highlight w:val="white"/>
              </w:rPr>
            </w:r>
            <w:r>
              <w:rPr>
                <w:color w:val="000000"/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921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Сведения о включении и исключении данных о гражданских воздушных судах в реестр </w:t>
            </w:r>
            <w:r>
              <w:rPr>
                <w:sz w:val="26"/>
                <w:highlight w:val="white"/>
              </w:rPr>
              <w:t xml:space="preserve">эксплуатантов</w:t>
            </w:r>
            <w:r>
              <w:rPr>
                <w:sz w:val="26"/>
                <w:highlight w:val="white"/>
              </w:rPr>
              <w:t xml:space="preserve"> и воздушных судов в отношении гражданских воздушных судов, зарегистрированных в государственном реестре гражданских воздушных судов иностранного государства, а также о причинах изменения (исключения) таких данных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233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val="en-US"/>
              </w:rPr>
              <w:t xml:space="preserve">urn://x-artefacts-rosavia/fts-registry-data-include/1.0.4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3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1.0.4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93" w:type="pct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14"/>
              </w:numPr>
              <w:shd w:val="clear" w:color="ffffff" w:themeColor="background1" w:fill="ffffff" w:themeFill="background1"/>
              <w:rPr>
                <w:color w:val="000000"/>
                <w:sz w:val="26"/>
                <w:szCs w:val="26"/>
                <w:highlight w:val="white"/>
              </w:rPr>
            </w:pPr>
            <w:r>
              <w:rPr>
                <w:color w:val="000000"/>
                <w:sz w:val="26"/>
                <w:szCs w:val="26"/>
                <w:highlight w:val="white"/>
              </w:rPr>
            </w:r>
            <w:r>
              <w:rPr>
                <w:color w:val="000000"/>
                <w:sz w:val="26"/>
                <w:szCs w:val="26"/>
                <w:highlight w:val="white"/>
              </w:rPr>
            </w:r>
            <w:r>
              <w:rPr>
                <w:color w:val="000000"/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921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Сведения о включении и исключении данных о гражданских воздушных судах в Государственный реестр гражданских воздушных судов Российской Федерации, а также о причинах исключения данных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233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val="en-US"/>
              </w:rPr>
              <w:t xml:space="preserve">urn://x-artefacts-rosavia/fts-registry/1.0.0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3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eastAsia="en-US"/>
              </w:rPr>
              <w:t xml:space="preserve">1.0.0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93" w:type="pct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14"/>
              </w:numPr>
              <w:shd w:val="clear" w:color="ffffff" w:themeColor="background1" w:fill="ffffff" w:themeFill="background1"/>
              <w:rPr>
                <w:color w:val="000000"/>
                <w:sz w:val="26"/>
                <w:szCs w:val="26"/>
                <w:highlight w:val="white"/>
              </w:rPr>
            </w:pPr>
            <w:r>
              <w:rPr>
                <w:color w:val="000000"/>
                <w:sz w:val="26"/>
                <w:szCs w:val="26"/>
                <w:highlight w:val="white"/>
              </w:rPr>
            </w:r>
            <w:r>
              <w:rPr>
                <w:color w:val="000000"/>
                <w:sz w:val="26"/>
                <w:szCs w:val="26"/>
                <w:highlight w:val="white"/>
              </w:rPr>
            </w:r>
            <w:r>
              <w:rPr>
                <w:color w:val="000000"/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921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Сведения о включении и исключении данных о гражданских воздушных судах в реестр </w:t>
            </w:r>
            <w:r>
              <w:rPr>
                <w:sz w:val="26"/>
                <w:highlight w:val="white"/>
              </w:rPr>
              <w:t xml:space="preserve">эксплуатантов</w:t>
            </w:r>
            <w:r>
              <w:rPr>
                <w:sz w:val="26"/>
                <w:highlight w:val="white"/>
              </w:rPr>
              <w:t xml:space="preserve"> и воздушных судов в отношении гражданских воздушных судов, зарегистрированных в государственном реестре гражданских воздушных судов иностранного государства, а также о причинах изменения (исключения) таких данных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233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val="en-US"/>
              </w:rPr>
              <w:t xml:space="preserve">urn://x-artefacts-rosavia/fts-registry-data-include/1.0.0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3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eastAsia="en-US"/>
              </w:rPr>
              <w:t xml:space="preserve">1.0.0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93" w:type="pct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14"/>
              </w:numPr>
              <w:shd w:val="clear" w:color="ffffff" w:themeColor="background1" w:fill="ffffff" w:themeFill="background1"/>
              <w:rPr>
                <w:color w:val="000000"/>
                <w:sz w:val="26"/>
                <w:szCs w:val="26"/>
                <w:highlight w:val="white"/>
              </w:rPr>
            </w:pPr>
            <w:r>
              <w:rPr>
                <w:color w:val="000000"/>
                <w:sz w:val="26"/>
                <w:szCs w:val="26"/>
                <w:highlight w:val="white"/>
              </w:rPr>
            </w:r>
            <w:r>
              <w:rPr>
                <w:color w:val="000000"/>
                <w:sz w:val="26"/>
                <w:szCs w:val="26"/>
                <w:highlight w:val="white"/>
              </w:rPr>
            </w:r>
            <w:r>
              <w:rPr>
                <w:color w:val="000000"/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921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Запрос получения сведений по действующим правам собственности на воздушные суда у правообладателя в </w:t>
            </w:r>
            <w:r>
              <w:rPr>
                <w:sz w:val="26"/>
                <w:highlight w:val="white"/>
              </w:rPr>
              <w:t xml:space="preserve">Росавиацию</w:t>
            </w:r>
            <w:r>
              <w:rPr>
                <w:sz w:val="26"/>
                <w:highlight w:val="white"/>
              </w:rPr>
              <w:t xml:space="preserve"> 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233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val="en-US"/>
              </w:rPr>
              <w:t xml:space="preserve">urn://x-artefacts-rosavia/rosavia-egrp-vs-info-active-personal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3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val="en-US"/>
              </w:rPr>
              <w:t xml:space="preserve">1.0.1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93" w:type="pct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14"/>
              </w:numPr>
              <w:shd w:val="clear" w:color="ffffff" w:themeColor="background1" w:fill="ffffff" w:themeFill="background1"/>
              <w:rPr>
                <w:color w:val="000000"/>
                <w:sz w:val="26"/>
                <w:szCs w:val="26"/>
                <w:highlight w:val="white"/>
              </w:rPr>
            </w:pPr>
            <w:r>
              <w:rPr>
                <w:color w:val="000000"/>
                <w:sz w:val="26"/>
                <w:szCs w:val="26"/>
                <w:highlight w:val="white"/>
              </w:rPr>
            </w:r>
            <w:r>
              <w:rPr>
                <w:color w:val="000000"/>
                <w:sz w:val="26"/>
                <w:szCs w:val="26"/>
                <w:highlight w:val="white"/>
              </w:rPr>
            </w:r>
            <w:r>
              <w:rPr>
                <w:color w:val="000000"/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921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Запрос получения сведений по действующим правам собственности на воздушные суда в </w:t>
            </w:r>
            <w:r>
              <w:rPr>
                <w:sz w:val="26"/>
                <w:highlight w:val="white"/>
              </w:rPr>
              <w:t xml:space="preserve">Росавиацию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233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val="en-US"/>
              </w:rPr>
              <w:t xml:space="preserve">urn://x-artefacts-rosavia/rosavia-egrp-vs-info-active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3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val="en-US"/>
              </w:rPr>
              <w:t xml:space="preserve">1.0.0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93" w:type="pct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14"/>
              </w:numPr>
              <w:shd w:val="clear" w:color="ffffff" w:themeColor="background1" w:fill="ffffff" w:themeFill="background1"/>
              <w:rPr>
                <w:color w:val="000000"/>
                <w:sz w:val="26"/>
                <w:szCs w:val="26"/>
                <w:highlight w:val="white"/>
              </w:rPr>
            </w:pPr>
            <w:r>
              <w:rPr>
                <w:color w:val="000000"/>
                <w:sz w:val="26"/>
                <w:szCs w:val="26"/>
                <w:highlight w:val="white"/>
              </w:rPr>
            </w:r>
            <w:r>
              <w:rPr>
                <w:color w:val="000000"/>
                <w:sz w:val="26"/>
                <w:szCs w:val="26"/>
                <w:highlight w:val="white"/>
              </w:rPr>
            </w:r>
            <w:r>
              <w:rPr>
                <w:color w:val="000000"/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2921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Запрос получения сведений по правам собственности на воздушные суда в </w:t>
            </w:r>
            <w:r>
              <w:rPr>
                <w:sz w:val="26"/>
                <w:highlight w:val="white"/>
              </w:rPr>
              <w:t xml:space="preserve">Росавиацию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233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val="en-US"/>
              </w:rPr>
              <w:t xml:space="preserve">urn://x-artefacts-rosavia/rosavia-egrp-vs-info-all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3" w:type="pct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val="en-US"/>
              </w:rPr>
              <w:t xml:space="preserve">1.0.0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</w:tbl>
    <w:p>
      <w:pPr>
        <w:pStyle w:val="1285"/>
        <w:jc w:val="right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</w:r>
      <w:bookmarkStart w:id="14" w:name="_Toc12"/>
      <w:r>
        <w:rPr>
          <w:highlight w:val="white"/>
          <w:lang w:val="ru-RU"/>
        </w:rPr>
        <w:t xml:space="preserve">ПРИЛОЖЕНИЕ </w:t>
      </w:r>
      <w:bookmarkEnd w:id="14"/>
      <w:r>
        <w:rPr>
          <w:highlight w:val="white"/>
          <w:lang w:val="ru-RU"/>
        </w:rPr>
        <w:t xml:space="preserve">В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ind w:firstLine="0"/>
        <w:jc w:val="center"/>
        <w:shd w:val="clear" w:color="ffffff" w:themeColor="background1" w:fill="ffffff" w:themeFill="background1"/>
        <w:rPr>
          <w:rStyle w:val="1195"/>
          <w:b w:val="0"/>
          <w:sz w:val="26"/>
          <w:szCs w:val="24"/>
          <w:highlight w:val="white"/>
        </w:rPr>
      </w:pPr>
      <w:r>
        <w:rPr>
          <w:highlight w:val="white"/>
        </w:rPr>
        <w:t xml:space="preserve">Перечень сведений, по которым </w:t>
      </w:r>
      <w:r>
        <w:rPr>
          <w:highlight w:val="white"/>
        </w:rPr>
        <w:t xml:space="preserve">Росавиация</w:t>
      </w:r>
      <w:r>
        <w:rPr>
          <w:highlight w:val="white"/>
        </w:rPr>
        <w:t xml:space="preserve"> передает данные в Витрину</w:t>
      </w:r>
      <w:r>
        <w:rPr>
          <w:rStyle w:val="1195"/>
          <w:b w:val="0"/>
          <w:sz w:val="26"/>
          <w:szCs w:val="24"/>
          <w:highlight w:val="white"/>
          <w:lang w:eastAsia="zh-CN"/>
        </w:rPr>
        <w:t xml:space="preserve"> НСУД</w:t>
      </w:r>
      <w:r>
        <w:rPr>
          <w:rStyle w:val="1195"/>
          <w:b w:val="0"/>
          <w:sz w:val="26"/>
          <w:szCs w:val="24"/>
          <w:highlight w:val="white"/>
        </w:rPr>
      </w:r>
      <w:r>
        <w:rPr>
          <w:rStyle w:val="1195"/>
          <w:b w:val="0"/>
          <w:sz w:val="26"/>
          <w:szCs w:val="24"/>
          <w:highlight w:val="white"/>
        </w:rPr>
      </w:r>
    </w:p>
    <w:tbl>
      <w:tblPr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592"/>
        <w:gridCol w:w="13968"/>
      </w:tblGrid>
      <w:tr>
        <w:tblPrEx/>
        <w:trPr>
          <w:jc w:val="center"/>
          <w:trHeight w:val="448"/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93" w:type="pct"/>
            <w:vAlign w:val="center"/>
            <w:textDirection w:val="lrTb"/>
            <w:noWrap w:val="false"/>
          </w:tcPr>
          <w:p>
            <w:pPr>
              <w:pStyle w:val="1288"/>
              <w:jc w:val="center"/>
              <w:shd w:val="clear" w:color="ffffff" w:themeColor="background1" w:fill="ffffff" w:themeFill="background1"/>
              <w:rPr>
                <w:b/>
                <w:bCs/>
                <w:sz w:val="26"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№</w:t>
            </w:r>
            <w:r>
              <w:rPr>
                <w:b/>
                <w:bCs/>
                <w:sz w:val="26"/>
                <w:highlight w:val="white"/>
              </w:rPr>
            </w:r>
            <w:r>
              <w:rPr>
                <w:b/>
                <w:bCs/>
                <w:sz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4807" w:type="pct"/>
            <w:vAlign w:val="center"/>
            <w:textDirection w:val="lrTb"/>
            <w:noWrap w:val="false"/>
          </w:tcPr>
          <w:p>
            <w:pPr>
              <w:pStyle w:val="1288"/>
              <w:jc w:val="center"/>
              <w:shd w:val="clear" w:color="ffffff" w:themeColor="background1" w:fill="ffffff" w:themeFill="background1"/>
              <w:rPr>
                <w:b/>
                <w:bCs/>
                <w:sz w:val="26"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Наименование видов сведений</w:t>
            </w:r>
            <w:r>
              <w:rPr>
                <w:b/>
                <w:bCs/>
                <w:sz w:val="26"/>
                <w:highlight w:val="white"/>
              </w:rPr>
            </w:r>
            <w:r>
              <w:rPr>
                <w:b/>
                <w:bCs/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52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93" w:type="pct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15"/>
              </w:numPr>
              <w:shd w:val="clear" w:color="ffffff" w:themeColor="background1" w:fill="ffffff" w:themeFill="background1"/>
              <w:rPr>
                <w:color w:val="000000"/>
                <w:sz w:val="26"/>
                <w:szCs w:val="26"/>
                <w:highlight w:val="white"/>
              </w:rPr>
            </w:pPr>
            <w:r>
              <w:rPr>
                <w:color w:val="000000"/>
                <w:sz w:val="26"/>
                <w:szCs w:val="26"/>
                <w:highlight w:val="white"/>
              </w:rPr>
            </w:r>
            <w:r>
              <w:rPr>
                <w:color w:val="000000"/>
                <w:sz w:val="26"/>
                <w:szCs w:val="26"/>
                <w:highlight w:val="white"/>
              </w:rPr>
            </w:r>
            <w:r>
              <w:rPr>
                <w:color w:val="000000"/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4807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eastAsia="zh-CN"/>
              </w:rPr>
              <w:t xml:space="preserve">Учёт беспилотных воздушных судов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52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93" w:type="pct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15"/>
              </w:numPr>
              <w:shd w:val="clear" w:color="ffffff" w:themeColor="background1" w:fill="ffffff" w:themeFill="background1"/>
              <w:rPr>
                <w:color w:val="000000"/>
                <w:sz w:val="26"/>
                <w:szCs w:val="26"/>
                <w:highlight w:val="white"/>
              </w:rPr>
            </w:pPr>
            <w:r>
              <w:rPr>
                <w:color w:val="000000"/>
                <w:sz w:val="26"/>
                <w:szCs w:val="26"/>
                <w:highlight w:val="white"/>
              </w:rPr>
            </w:r>
            <w:r>
              <w:rPr>
                <w:color w:val="000000"/>
                <w:sz w:val="26"/>
                <w:szCs w:val="26"/>
                <w:highlight w:val="white"/>
              </w:rPr>
            </w:r>
            <w:r>
              <w:rPr>
                <w:color w:val="000000"/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4807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highlight w:val="white"/>
              </w:rPr>
            </w:r>
            <w:bookmarkStart w:id="15" w:name="_Hlk165040246"/>
            <w:r>
              <w:rPr>
                <w:sz w:val="26"/>
                <w:highlight w:val="white"/>
                <w:lang w:eastAsia="zh-CN"/>
              </w:rPr>
              <w:t xml:space="preserve">Единый государственный реестр прав на воздушные суда и сделок с ними</w:t>
            </w:r>
            <w:bookmarkEnd w:id="15"/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52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193" w:type="pct"/>
            <w:vAlign w:val="center"/>
            <w:textDirection w:val="lrTb"/>
            <w:noWrap w:val="false"/>
          </w:tcPr>
          <w:p>
            <w:pPr>
              <w:pStyle w:val="1305"/>
              <w:numPr>
                <w:ilvl w:val="0"/>
                <w:numId w:val="15"/>
              </w:numPr>
              <w:shd w:val="clear" w:color="ffffff" w:themeColor="background1" w:fill="ffffff" w:themeFill="background1"/>
              <w:rPr>
                <w:color w:val="000000"/>
                <w:sz w:val="26"/>
                <w:szCs w:val="26"/>
                <w:highlight w:val="white"/>
              </w:rPr>
            </w:pPr>
            <w:r>
              <w:rPr>
                <w:color w:val="000000"/>
                <w:sz w:val="26"/>
                <w:szCs w:val="26"/>
                <w:highlight w:val="white"/>
              </w:rPr>
            </w:r>
            <w:r>
              <w:rPr>
                <w:color w:val="000000"/>
                <w:sz w:val="26"/>
                <w:szCs w:val="26"/>
                <w:highlight w:val="white"/>
              </w:rPr>
            </w:r>
            <w:r>
              <w:rPr>
                <w:color w:val="000000"/>
                <w:sz w:val="26"/>
                <w:szCs w:val="2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57" w:type="dxa"/>
              <w:right w:w="108" w:type="dxa"/>
              <w:bottom w:w="57" w:type="dxa"/>
            </w:tcMar>
            <w:tcW w:w="4807" w:type="pct"/>
            <w:vAlign w:val="center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  <w:lang w:eastAsia="zh-CN"/>
              </w:rPr>
              <w:t xml:space="preserve">Свидетельства авиационного персонала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</w:tbl>
    <w:p>
      <w:pPr>
        <w:pStyle w:val="1270"/>
        <w:shd w:val="clear" w:color="ffffff" w:themeColor="background1" w:fill="ffffff" w:themeFill="background1"/>
        <w:rPr>
          <w:highlight w:val="white"/>
        </w:rPr>
        <w:sectPr>
          <w:footnotePr/>
          <w:endnotePr/>
          <w:type w:val="nextPage"/>
          <w:pgSz w:w="16838" w:h="11906" w:orient="landscape"/>
          <w:pgMar w:top="1134" w:right="1134" w:bottom="567" w:left="1134" w:header="709" w:footer="709" w:gutter="0"/>
          <w:cols w:num="1" w:sep="0" w:space="720" w:equalWidth="1"/>
          <w:docGrid w:linePitch="360"/>
          <w:titlePg/>
        </w:sectPr>
      </w:pPr>
      <w:r>
        <w:rPr>
          <w:highlight w:val="white"/>
        </w:rPr>
      </w:r>
      <w:bookmarkStart w:id="16" w:name="_Toc13"/>
      <w:r>
        <w:rPr>
          <w:highlight w:val="white"/>
        </w:rPr>
      </w:r>
      <w:r>
        <w:rPr>
          <w:highlight w:val="white"/>
        </w:rPr>
      </w:r>
    </w:p>
    <w:p>
      <w:pPr>
        <w:pStyle w:val="1285"/>
        <w:jc w:val="right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  <w:lang w:val="ru-RU"/>
        </w:rPr>
        <w:t xml:space="preserve">ПРИЛОЖЕНИЕ </w:t>
      </w:r>
      <w:bookmarkEnd w:id="16"/>
      <w:r>
        <w:rPr>
          <w:highlight w:val="white"/>
          <w:lang w:val="ru-RU"/>
        </w:rPr>
        <w:t xml:space="preserve">Г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ind w:firstLine="0"/>
        <w:jc w:val="center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Перечень государственных услуг, предоставляемых </w:t>
      </w:r>
      <w:r>
        <w:rPr>
          <w:highlight w:val="white"/>
        </w:rPr>
        <w:t xml:space="preserve">Росавиацией</w:t>
      </w:r>
      <w:r>
        <w:rPr>
          <w:highlight w:val="white"/>
        </w:rPr>
        <w:t xml:space="preserve"> в электронном виде</w:t>
      </w:r>
      <w:r>
        <w:rPr>
          <w:highlight w:val="white"/>
        </w:rPr>
      </w:r>
      <w:r>
        <w:rPr>
          <w:highlight w:val="white"/>
        </w:rPr>
      </w:r>
    </w:p>
    <w:tbl>
      <w:tblPr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592"/>
        <w:gridCol w:w="5539"/>
        <w:gridCol w:w="8429"/>
      </w:tblGrid>
      <w:tr>
        <w:tblPrEx/>
        <w:trPr>
          <w:jc w:val="center"/>
          <w:trHeight w:val="325"/>
          <w:tblHeader/>
        </w:trPr>
        <w:tc>
          <w:tcPr>
            <w:tcBorders>
              <w:bottom w:val="single" w:color="auto" w:sz="4" w:space="0"/>
            </w:tcBorders>
            <w:tcW w:w="552" w:type="dxa"/>
            <w:vAlign w:val="center"/>
            <w:textDirection w:val="lrTb"/>
            <w:noWrap w:val="false"/>
          </w:tcPr>
          <w:p>
            <w:pPr>
              <w:pStyle w:val="1288"/>
              <w:jc w:val="center"/>
              <w:shd w:val="clear" w:color="ffffff" w:themeColor="background1" w:fill="ffffff" w:themeFill="background1"/>
              <w:rPr>
                <w:b/>
                <w:bCs/>
                <w:sz w:val="26"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№</w:t>
            </w:r>
            <w:r>
              <w:rPr>
                <w:b/>
                <w:bCs/>
                <w:sz w:val="26"/>
                <w:highlight w:val="white"/>
              </w:rPr>
            </w:r>
            <w:r>
              <w:rPr>
                <w:b/>
                <w:bCs/>
                <w:sz w:val="26"/>
                <w:highlight w:val="white"/>
              </w:rPr>
            </w:r>
          </w:p>
        </w:tc>
        <w:tc>
          <w:tcPr>
            <w:tcBorders>
              <w:bottom w:val="single" w:color="auto" w:sz="4" w:space="0"/>
            </w:tcBorders>
            <w:tcW w:w="5539" w:type="dxa"/>
            <w:vAlign w:val="center"/>
            <w:textDirection w:val="lrTb"/>
            <w:noWrap w:val="false"/>
          </w:tcPr>
          <w:p>
            <w:pPr>
              <w:pStyle w:val="1288"/>
              <w:jc w:val="center"/>
              <w:shd w:val="clear" w:color="ffffff" w:themeColor="background1" w:fill="ffffff" w:themeFill="background1"/>
              <w:rPr>
                <w:b/>
                <w:bCs/>
                <w:sz w:val="26"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Наименование государственной услуги</w:t>
            </w:r>
            <w:r>
              <w:rPr>
                <w:b/>
                <w:bCs/>
                <w:sz w:val="26"/>
                <w:highlight w:val="white"/>
              </w:rPr>
            </w:r>
            <w:r>
              <w:rPr>
                <w:b/>
                <w:bCs/>
                <w:sz w:val="26"/>
                <w:highlight w:val="white"/>
              </w:rPr>
            </w:r>
          </w:p>
        </w:tc>
        <w:tc>
          <w:tcPr>
            <w:tcW w:w="8469" w:type="dxa"/>
            <w:textDirection w:val="lrTb"/>
            <w:noWrap w:val="false"/>
          </w:tcPr>
          <w:p>
            <w:pPr>
              <w:pStyle w:val="1288"/>
              <w:jc w:val="center"/>
              <w:shd w:val="clear" w:color="ffffff" w:themeColor="background1" w:fill="ffffff" w:themeFill="background1"/>
              <w:rPr>
                <w:b/>
                <w:bCs/>
                <w:sz w:val="26"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НПА, содержащие порядок предоставления ГУ</w:t>
            </w:r>
            <w:r>
              <w:rPr>
                <w:b/>
                <w:bCs/>
                <w:sz w:val="26"/>
                <w:highlight w:val="white"/>
              </w:rPr>
            </w:r>
            <w:r>
              <w:rPr>
                <w:b/>
                <w:bCs/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W w:w="552" w:type="dxa"/>
            <w:vAlign w:val="center"/>
            <w:textDirection w:val="lrTb"/>
            <w:noWrap/>
          </w:tcPr>
          <w:p>
            <w:pPr>
              <w:pStyle w:val="1305"/>
              <w:numPr>
                <w:ilvl w:val="0"/>
                <w:numId w:val="16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W w:w="5539" w:type="dxa"/>
            <w:textDirection w:val="lrTb"/>
            <w:noWrap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Оформление сертификата лётной годности пилотируемого гражданского воздушного судна на основании акта оценки ВС на его соответствие требованиям к летной годности и к охране окружающей среды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8469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Приказ Минтранс</w:t>
            </w:r>
            <w:r>
              <w:rPr>
                <w:sz w:val="26"/>
                <w:highlight w:val="white"/>
              </w:rPr>
              <w:t xml:space="preserve">а России от 30.07.2020 № 273 утверждает Федеральные авиационные правила "Правила допуска к эксплуатации пилотируемых гражданских воздушных судов на основании акта оценки ВС на его соответствие требованиям к летной годности и к охране окружающей среды"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W w:w="552" w:type="dxa"/>
            <w:vAlign w:val="center"/>
            <w:textDirection w:val="lrTb"/>
            <w:noWrap/>
          </w:tcPr>
          <w:p>
            <w:pPr>
              <w:pStyle w:val="1305"/>
              <w:numPr>
                <w:ilvl w:val="0"/>
                <w:numId w:val="16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W w:w="5539" w:type="dxa"/>
            <w:textDirection w:val="lrTb"/>
            <w:noWrap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Оформление сертификата лётной годности гражданского воздушного судна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8469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 Приказ Минтранса России от 05.05.2025 № 148 "Об утверждении Федеральных авиационных правил "Порядок подтверждения соответствия конструкции экземпляра гражданского воздушного судна утвержденной типовой конст</w:t>
            </w:r>
            <w:r>
              <w:rPr>
                <w:sz w:val="26"/>
                <w:highlight w:val="white"/>
              </w:rPr>
              <w:t xml:space="preserve">рукции гражданского воздушного судна, оформления сертификата летной годности, приостановления и возобновления его действия, его аннулирования, а также порядок ведения реестра сертификатов летной годности" и об утверждении формы сертификата летной годности"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W w:w="552" w:type="dxa"/>
            <w:vAlign w:val="center"/>
            <w:textDirection w:val="lrTb"/>
            <w:noWrap/>
          </w:tcPr>
          <w:p>
            <w:pPr>
              <w:pStyle w:val="1305"/>
              <w:numPr>
                <w:ilvl w:val="0"/>
                <w:numId w:val="16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W w:w="5539" w:type="dxa"/>
            <w:textDirection w:val="lrTb"/>
            <w:noWrap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Организация и проведение обязательной сертификации аэродромов, предназначенных для осуществления коммерческих воздушных перевозок на самолетах </w:t>
            </w:r>
            <w:r>
              <w:rPr>
                <w:sz w:val="26"/>
                <w:highlight w:val="white"/>
              </w:rPr>
              <w:t xml:space="preserve">пассажировместимостью</w:t>
            </w:r>
            <w:r>
              <w:rPr>
                <w:sz w:val="26"/>
                <w:highlight w:val="white"/>
              </w:rPr>
              <w:t xml:space="preserve"> более чем двадцать человек, а также аэродромов, открытых для выполнения международных полетов гражданских воздушных судов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8469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Приказ Минтранса России от 07.10.2020 № 415 "Об утверждении Федеральных авиационных правил "Порядок проведения обязательной сертификации аэродромов, предназначенных для осуществления коммерческих воздушных перевозок на самолетах </w:t>
            </w:r>
            <w:r>
              <w:rPr>
                <w:sz w:val="26"/>
                <w:highlight w:val="white"/>
              </w:rPr>
              <w:t xml:space="preserve">пассажировместимостью</w:t>
            </w:r>
            <w:r>
              <w:rPr>
                <w:sz w:val="26"/>
                <w:highlight w:val="white"/>
              </w:rPr>
              <w:t xml:space="preserve"> более чем двадцать человек, а также аэродромов, открытых для выполнения международных полетов гражданских воздушных судов"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W w:w="552" w:type="dxa"/>
            <w:vAlign w:val="center"/>
            <w:textDirection w:val="lrTb"/>
            <w:noWrap/>
          </w:tcPr>
          <w:p>
            <w:pPr>
              <w:pStyle w:val="1305"/>
              <w:numPr>
                <w:ilvl w:val="0"/>
                <w:numId w:val="16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W w:w="5539" w:type="dxa"/>
            <w:textDirection w:val="lrTb"/>
            <w:noWrap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Регистрация гражданских аэродромов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8469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Приказ Минтранса от 19.08.2015 № 251 «Об утверждении Федеральных авиационных правил "Правила государственной регистрации аэродромов гражданской авиации и вертодромов гражданской авиации»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W w:w="552" w:type="dxa"/>
            <w:vAlign w:val="center"/>
            <w:textDirection w:val="lrTb"/>
            <w:noWrap/>
          </w:tcPr>
          <w:p>
            <w:pPr>
              <w:pStyle w:val="1305"/>
              <w:numPr>
                <w:ilvl w:val="0"/>
                <w:numId w:val="16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W w:w="5539" w:type="dxa"/>
            <w:textDirection w:val="lrTb"/>
            <w:noWrap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Сертификация радиотехнического оборудования и оборудования авиационной электросвязи, используемых для обслуживания воздушного движения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8469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Приказ Министерства транспорта Российской Федерации от 04.04.2022 № 116 "Об утверждении Федеральн</w:t>
            </w:r>
            <w:r>
              <w:rPr>
                <w:sz w:val="26"/>
                <w:highlight w:val="white"/>
              </w:rPr>
              <w:t xml:space="preserve">ых авиационных правил "Порядок проведения обязательной сертификации радиотехнического оборудования и оборудования авиационной электросвязи, используемых для обслуживания воздушного движения. Порядок проведения обязательной сертификации деятельности юридиче</w:t>
            </w:r>
            <w:r>
              <w:rPr>
                <w:sz w:val="26"/>
                <w:highlight w:val="white"/>
              </w:rPr>
              <w:t xml:space="preserve">ских лиц, осуществляющих изготовление радиотехнического оборудования и оборудования авиационной электросвязи, используемых для обслуживания воздушного движения. Порядок приостановления действия, введения ограничений в действие и аннулирования сертификатов"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W w:w="552" w:type="dxa"/>
            <w:vAlign w:val="center"/>
            <w:textDirection w:val="lrTb"/>
            <w:noWrap/>
          </w:tcPr>
          <w:p>
            <w:pPr>
              <w:pStyle w:val="1305"/>
              <w:numPr>
                <w:ilvl w:val="0"/>
                <w:numId w:val="16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W w:w="5539" w:type="dxa"/>
            <w:textDirection w:val="lrTb"/>
            <w:noWrap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Сертификации деятельности юридических лиц, осуществляющих изготовление радиотехнического оборудования и оборудования авиационной электросвязи, используемых для обслуживания воздушного движения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8469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Приказ Министерства транспорта Российской Федерации от 04.04.2022 № 116 "Об утверждении Федеральн</w:t>
            </w:r>
            <w:r>
              <w:rPr>
                <w:sz w:val="26"/>
                <w:highlight w:val="white"/>
              </w:rPr>
              <w:t xml:space="preserve">ых авиационных правил "Порядок проведения обязательной сертификации радиотехнического оборудования и оборудования авиационной электросвязи, используемых для обслуживания воздушного движения. Порядок проведения обязательной сертификации деятельности юридиче</w:t>
            </w:r>
            <w:r>
              <w:rPr>
                <w:sz w:val="26"/>
                <w:highlight w:val="white"/>
              </w:rPr>
              <w:t xml:space="preserve">ских лиц, осуществляющих изготовление радиотехнического оборудования и оборудования авиационной электросвязи, используемых для обслуживания воздушного движения. Порядок приостановления действия, введения ограничений в действие и аннулирования сертификатов"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W w:w="552" w:type="dxa"/>
            <w:vAlign w:val="center"/>
            <w:textDirection w:val="lrTb"/>
            <w:noWrap/>
          </w:tcPr>
          <w:p>
            <w:pPr>
              <w:pStyle w:val="1305"/>
              <w:numPr>
                <w:ilvl w:val="0"/>
                <w:numId w:val="16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W w:w="5539" w:type="dxa"/>
            <w:textDirection w:val="lrTb"/>
            <w:noWrap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Обязательная сертификация пилотируемых гражданских воздушных судов, авиационных двигателей, воздушных винтов и борт</w:t>
            </w:r>
            <w:r>
              <w:rPr>
                <w:sz w:val="26"/>
                <w:highlight w:val="white"/>
              </w:rPr>
              <w:t xml:space="preserve">ового авиационного оборудования гражданских воздушных судов, беспилотных авиационных систем и (или) их элементов (с выдачей сертификата типа) и выдача документа, удостоверяющего изменение ранее утвержденной типовой конструкции гражданского воздушного судна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8469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Приказ Минтранса России от 17.06.2019 № 184 "Об утверждении Федеральных авиационных правил «Сертификация авиационной техники, организаций разработчиков и изготовителей. Часть 21»"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370"/>
        </w:trPr>
        <w:tc>
          <w:tcPr>
            <w:tcW w:w="552" w:type="dxa"/>
            <w:vAlign w:val="center"/>
            <w:textDirection w:val="lrTb"/>
            <w:noWrap/>
          </w:tcPr>
          <w:p>
            <w:pPr>
              <w:pStyle w:val="1305"/>
              <w:numPr>
                <w:ilvl w:val="0"/>
                <w:numId w:val="16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W w:w="5539" w:type="dxa"/>
            <w:textDirection w:val="lrTb"/>
            <w:noWrap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Аккредитация сертификационных центров и испытательных лабораторий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8469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Приказ Минтранса России от 18.12.2024 № 444 "Об утверждении требований к сертификационным центрам и испытательным лабораториям, порядка аккредитации сертификационных центров и испытательн</w:t>
            </w:r>
            <w:r>
              <w:rPr>
                <w:sz w:val="26"/>
                <w:highlight w:val="white"/>
              </w:rPr>
              <w:t xml:space="preserve">ых лабораторий, приостановления действия аттестата аккредитации сертификационных центров и испытательных лабораторий, сокращения области аккредитации сертификационных центров и испытательных лабораторий, аннулирования аттестата аккредитации сертификационны</w:t>
            </w:r>
            <w:r>
              <w:rPr>
                <w:sz w:val="26"/>
                <w:highlight w:val="white"/>
              </w:rPr>
              <w:t xml:space="preserve">х центров и испытательных лабораторий и осуществления контроля за деятельностью сертификационных центров и испытательных лабораторий, требований к реестру аккредитованных сертификационных центров, испытательных лабораторий и порядка ведения такого реестра"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806"/>
        </w:trPr>
        <w:tc>
          <w:tcPr>
            <w:tcW w:w="552" w:type="dxa"/>
            <w:vAlign w:val="center"/>
            <w:textDirection w:val="lrTb"/>
            <w:noWrap/>
          </w:tcPr>
          <w:p>
            <w:pPr>
              <w:pStyle w:val="1305"/>
              <w:numPr>
                <w:ilvl w:val="0"/>
                <w:numId w:val="16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W w:w="5539" w:type="dxa"/>
            <w:textDirection w:val="lrTb"/>
            <w:noWrap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Выдача разрешений на строительство аэропортов или иных объектов инфраструктуры воздушного транспорта, являющихся объектами капитального строительства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8469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Приказ </w:t>
            </w:r>
            <w:r>
              <w:rPr>
                <w:sz w:val="26"/>
                <w:highlight w:val="white"/>
              </w:rPr>
              <w:t xml:space="preserve">Росавиации</w:t>
            </w:r>
            <w:r>
              <w:rPr>
                <w:sz w:val="26"/>
                <w:highlight w:val="white"/>
              </w:rPr>
              <w:t xml:space="preserve"> от 04.03.2020 № 260-П «Об утверждении Административного регламента Фе</w:t>
            </w:r>
            <w:r>
              <w:rPr>
                <w:sz w:val="26"/>
                <w:highlight w:val="white"/>
              </w:rPr>
              <w:t xml:space="preserve">дерального агентства воздушного транспорта предоставления государственной услуги по выдаче разрешений на строительство и ввод в эксплуатацию аэропортов или иных объектов инфраструктуры воздушного транспорта, являющихся объектами капитального строительства»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806"/>
        </w:trPr>
        <w:tc>
          <w:tcPr>
            <w:tcW w:w="552" w:type="dxa"/>
            <w:vAlign w:val="center"/>
            <w:textDirection w:val="lrTb"/>
            <w:noWrap/>
          </w:tcPr>
          <w:p>
            <w:pPr>
              <w:pStyle w:val="1305"/>
              <w:numPr>
                <w:ilvl w:val="0"/>
                <w:numId w:val="16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W w:w="5539" w:type="dxa"/>
            <w:textDirection w:val="lrTb"/>
            <w:noWrap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Выдача разрешений на ввод в эксплуатацию аэропортов или иных объектов инфраструктуры воздушного транспорта, являющихся объектами капитального строительства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8469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Приказ </w:t>
            </w:r>
            <w:r>
              <w:rPr>
                <w:sz w:val="26"/>
                <w:highlight w:val="white"/>
              </w:rPr>
              <w:t xml:space="preserve">Росавиации</w:t>
            </w:r>
            <w:r>
              <w:rPr>
                <w:sz w:val="26"/>
                <w:highlight w:val="white"/>
              </w:rPr>
              <w:t xml:space="preserve"> от 04.03.2020 № 260-П "Об утверждении Административного регламента Фе</w:t>
            </w:r>
            <w:r>
              <w:rPr>
                <w:sz w:val="26"/>
                <w:highlight w:val="white"/>
              </w:rPr>
              <w:t xml:space="preserve">дерального агентства воздушного транспорта предоставления государственной услуги по выдаче разрешений на строительство и ввод в эксплуатацию аэропортов или иных объектов инфраструктуры воздушного транспорта, являющихся объектами капитального строительства"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70"/>
        </w:trPr>
        <w:tc>
          <w:tcPr>
            <w:tcW w:w="552" w:type="dxa"/>
            <w:vAlign w:val="center"/>
            <w:textDirection w:val="lrTb"/>
            <w:noWrap/>
          </w:tcPr>
          <w:p>
            <w:pPr>
              <w:pStyle w:val="1305"/>
              <w:numPr>
                <w:ilvl w:val="0"/>
                <w:numId w:val="16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W w:w="5539" w:type="dxa"/>
            <w:textDirection w:val="lrTb"/>
            <w:noWrap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Выдача документа (решения) о допуске тренажерного устройства имитации полета, применяемого в целях подготовки и контроля профессиональных навыков членов летных экипажей гражданских воздушных судов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8469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Приказ Минтранса России от 08.02.2019 № 46 «Об утверждении Порядка допуска к применению тренажерных устройств имитации полета, применяемых в целях подготовки и контроля профессиональных навыков членов летных экипажей гражданских воздушных судов», Приказ Ми</w:t>
            </w:r>
            <w:r>
              <w:rPr>
                <w:sz w:val="26"/>
                <w:highlight w:val="white"/>
              </w:rPr>
              <w:t xml:space="preserve">нтранса России от 12.07.2019 № 229 "Об утверждении Федеральных авиационных правил «Требования к тренажерным устройствам имитации полета, применяемым в целях подготовки и контроля профессиональных навыков членов летных экипажей гражданских воздушных судов»"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70"/>
        </w:trPr>
        <w:tc>
          <w:tcPr>
            <w:tcW w:w="552" w:type="dxa"/>
            <w:vAlign w:val="center"/>
            <w:textDirection w:val="lrTb"/>
            <w:noWrap/>
          </w:tcPr>
          <w:p>
            <w:pPr>
              <w:pStyle w:val="1305"/>
              <w:numPr>
                <w:ilvl w:val="0"/>
                <w:numId w:val="16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shd w:val="clear" w:color="auto" w:fill="ffffff" w:themeFill="background1"/>
            <w:tcW w:w="5539" w:type="dxa"/>
            <w:textDirection w:val="lrTb"/>
            <w:noWrap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Выдача документа (свидетельства эксплуатанта АОН), подтверждающего соответствие юридического и физического лица требованиям, предъявляемым к </w:t>
            </w:r>
            <w:r>
              <w:rPr>
                <w:sz w:val="26"/>
                <w:highlight w:val="white"/>
              </w:rPr>
              <w:t xml:space="preserve">эксплуатанту</w:t>
            </w:r>
            <w:r>
              <w:rPr>
                <w:sz w:val="26"/>
                <w:highlight w:val="white"/>
              </w:rPr>
              <w:t xml:space="preserve"> авиации общего назначения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shd w:val="clear" w:color="auto" w:fill="ffffff" w:themeFill="background1"/>
            <w:tcW w:w="8469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  <w:t xml:space="preserve">П</w:t>
            </w:r>
            <w:r>
              <w:rPr>
                <w:sz w:val="26"/>
                <w:highlight w:val="white"/>
              </w:rPr>
              <w:t xml:space="preserve">риказ Минтранса России от 02.07.2026 № 303 "Об утверждении Федеральных авиационных правил "Требования к эксплуатанту, выполняющему авиационные работы, и порядок выдачи ему документа, подтверждающего соответствие требованиям федеральных авиационных правил" 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70"/>
        </w:trPr>
        <w:tc>
          <w:tcPr>
            <w:tcW w:w="552" w:type="dxa"/>
            <w:vAlign w:val="center"/>
            <w:textDirection w:val="lrTb"/>
            <w:noWrap/>
          </w:tcPr>
          <w:p>
            <w:pPr>
              <w:pStyle w:val="1305"/>
              <w:numPr>
                <w:ilvl w:val="0"/>
                <w:numId w:val="16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W w:w="5539" w:type="dxa"/>
            <w:textDirection w:val="lrTb"/>
            <w:noWrap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Выдача документа, подтверждающего соответствие образовательных организаций и организаций, осуществляющих обучение специалистов соответствующего уровня согласно перечням специалистов авиационного персонала, требованиям федеральных авиационных правил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8469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Приказ Минтранса Ро</w:t>
            </w:r>
            <w:r>
              <w:rPr>
                <w:sz w:val="26"/>
                <w:highlight w:val="white"/>
              </w:rPr>
              <w:t xml:space="preserve">ссии от 29.09.2015 № 289 "Об утверждении Федеральных авиационных правил "Требования к образовательным организациям и организациям, осуществляющим обучение специалистов соответствующего уровня согласно перечням специалистов авиационного персонала. Форма и п</w:t>
            </w:r>
            <w:r>
              <w:rPr>
                <w:sz w:val="26"/>
                <w:highlight w:val="white"/>
              </w:rPr>
              <w:t xml:space="preserve">орядок выдачи документа, подтверждающего соответствие образовательных организаций и организаций, осуществляющих обучение специалистов соответствующего уровня согласно перечням специалистов авиационного персонала, требованиям федеральных авиационных правил"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70"/>
        </w:trPr>
        <w:tc>
          <w:tcPr>
            <w:tcW w:w="552" w:type="dxa"/>
            <w:vAlign w:val="center"/>
            <w:textDirection w:val="lrTb"/>
            <w:noWrap/>
          </w:tcPr>
          <w:p>
            <w:pPr>
              <w:pStyle w:val="1305"/>
              <w:numPr>
                <w:ilvl w:val="0"/>
                <w:numId w:val="16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W w:w="5539" w:type="dxa"/>
            <w:textDirection w:val="lrTb"/>
            <w:noWrap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Предоставление в установленном порядке </w:t>
            </w:r>
            <w:r>
              <w:rPr>
                <w:sz w:val="26"/>
                <w:highlight w:val="white"/>
              </w:rPr>
              <w:t xml:space="preserve">эксплуатантам</w:t>
            </w:r>
            <w:r>
              <w:rPr>
                <w:sz w:val="26"/>
                <w:highlight w:val="white"/>
              </w:rPr>
              <w:t xml:space="preserve"> воздушных судов освобождений от выполнения установленных требований, связанных с перевозкой опасных грузов воздушным транспортом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shd w:val="clear" w:color="auto" w:fill="ffffff" w:themeFill="background1"/>
            <w:tcW w:w="8469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Приказ Минтранса России от 13.02.2013 № 39 «Об утверждении Административного регламента Федерального агентства воздушного транспорта предоставления государственной услуги по предоставлению в установленном порядке </w:t>
            </w:r>
            <w:r>
              <w:rPr>
                <w:sz w:val="26"/>
                <w:highlight w:val="white"/>
              </w:rPr>
              <w:t xml:space="preserve">эксплуатантам</w:t>
            </w:r>
            <w:r>
              <w:rPr>
                <w:sz w:val="26"/>
                <w:highlight w:val="white"/>
              </w:rPr>
              <w:t xml:space="preserve"> воздушных судов освобождений от выполнения установленных требований, связанных с перевозкой опасных грузов воздушным транспортом»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70"/>
        </w:trPr>
        <w:tc>
          <w:tcPr>
            <w:tcW w:w="552" w:type="dxa"/>
            <w:vAlign w:val="center"/>
            <w:textDirection w:val="lrTb"/>
            <w:noWrap/>
          </w:tcPr>
          <w:p>
            <w:pPr>
              <w:pStyle w:val="1305"/>
              <w:numPr>
                <w:ilvl w:val="0"/>
                <w:numId w:val="16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W w:w="5539" w:type="dxa"/>
            <w:textDirection w:val="lrTb"/>
            <w:noWrap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Выдача документа, подтверждающего соответствие операторов аэродромов гражданской авиации требованиям федеральных авиационных правил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8469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Приказ </w:t>
            </w:r>
            <w:r>
              <w:rPr>
                <w:sz w:val="26"/>
                <w:highlight w:val="white"/>
              </w:rPr>
              <w:t xml:space="preserve">Росавиации</w:t>
            </w:r>
            <w:r>
              <w:rPr>
                <w:sz w:val="26"/>
                <w:highlight w:val="white"/>
              </w:rPr>
              <w:t xml:space="preserve"> от 11.11.2021 № 844-П «Об утв</w:t>
            </w:r>
            <w:r>
              <w:rPr>
                <w:sz w:val="26"/>
                <w:highlight w:val="white"/>
              </w:rPr>
              <w:t xml:space="preserve">ерждении Административного регламента Федерального агентства воздушного транспорта предоставления государственной услуги по выдаче документа, подтверждающего соответствие операторов аэродромов гражданской авиации требованиям федеральных авиационных правил»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70"/>
        </w:trPr>
        <w:tc>
          <w:tcPr>
            <w:tcW w:w="552" w:type="dxa"/>
            <w:vAlign w:val="center"/>
            <w:textDirection w:val="lrTb"/>
            <w:noWrap/>
          </w:tcPr>
          <w:p>
            <w:pPr>
              <w:pStyle w:val="1305"/>
              <w:numPr>
                <w:ilvl w:val="0"/>
                <w:numId w:val="16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W w:w="5539" w:type="dxa"/>
            <w:textDirection w:val="lrTb"/>
            <w:noWrap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Обязательная сертификация деятельности юридических лиц, осуществляющих разработку и изготовление подлежащей обязательной сертификации авиационной техники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8469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Приказ Минтранса России от 17.06.2019 № 184 «Об утверждении Федеральных авиационных правил «Сертификация авиационной техники, организаций разработчиков и изготовителей. Часть 21»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70"/>
        </w:trPr>
        <w:tc>
          <w:tcPr>
            <w:tcW w:w="552" w:type="dxa"/>
            <w:vAlign w:val="center"/>
            <w:textDirection w:val="lrTb"/>
            <w:noWrap/>
          </w:tcPr>
          <w:p>
            <w:pPr>
              <w:pStyle w:val="1305"/>
              <w:numPr>
                <w:ilvl w:val="0"/>
                <w:numId w:val="16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W w:w="5539" w:type="dxa"/>
            <w:textDirection w:val="lrTb"/>
            <w:noWrap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Выдача документа, подтверждающего соответствие юридических лиц, индивидуальных предпринимателей, выполняющих авиационные работы, требованиям федеральных авиационных правил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8469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  <w:t xml:space="preserve">Приказ Минтранса России от 02.07.2026 № 303 "Об утверждении Федеральных авиационных правил "Требования к эксплуатанту, выполняющему авиационные работы, и порядок выдачи ему документа, подтверждающего соответствие требованиям федеральных авиационных правил"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70"/>
        </w:trPr>
        <w:tc>
          <w:tcPr>
            <w:tcW w:w="552" w:type="dxa"/>
            <w:vAlign w:val="center"/>
            <w:textDirection w:val="lrTb"/>
            <w:noWrap/>
          </w:tcPr>
          <w:p>
            <w:pPr>
              <w:pStyle w:val="1305"/>
              <w:numPr>
                <w:ilvl w:val="0"/>
                <w:numId w:val="16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W w:w="5539" w:type="dxa"/>
            <w:textDirection w:val="lrTb"/>
            <w:noWrap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Выдача документа, подтверждающего соответствие юридических лиц, индивидуальных предпринимателей, осуществляющих коммерческие воздушные перевозки, требованиям федеральных авиационных правил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8469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Приказ Минтранса от 12.01.2022 № 10 "Об утверждении Федераль</w:t>
            </w:r>
            <w:r>
              <w:rPr>
                <w:sz w:val="26"/>
                <w:highlight w:val="white"/>
              </w:rPr>
              <w:t xml:space="preserve">ных авиационных правил "Требования к юридическим лицам, индивидуальным предпринимателям, осуществляющим коммерческие воздушные перевозки. Форма и порядок выдачи документа, подтверждающего соответствие юридического лица, индивидуального предпринимателя треб</w:t>
            </w:r>
            <w:r>
              <w:rPr>
                <w:sz w:val="26"/>
                <w:highlight w:val="white"/>
              </w:rPr>
              <w:t xml:space="preserve">ованиям федеральных авиационных правил. Порядок приостановления действия, введения ограничений в действие и аннулирования документа, подтверждающего соответствие юридического лица, индивидуального предпринимателя требованиям федеральных авиационных правил"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70"/>
        </w:trPr>
        <w:tc>
          <w:tcPr>
            <w:tcW w:w="552" w:type="dxa"/>
            <w:vAlign w:val="center"/>
            <w:textDirection w:val="lrTb"/>
            <w:noWrap/>
          </w:tcPr>
          <w:p>
            <w:pPr>
              <w:pStyle w:val="1305"/>
              <w:numPr>
                <w:ilvl w:val="0"/>
                <w:numId w:val="16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W w:w="5539" w:type="dxa"/>
            <w:textDirection w:val="lrTb"/>
            <w:noWrap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Выдача документа, подтверждающего соответствие юридического лиц</w:t>
            </w:r>
            <w:r>
              <w:rPr>
                <w:sz w:val="26"/>
                <w:highlight w:val="white"/>
              </w:rPr>
              <w:t xml:space="preserve">а, индивидуального предпринимателя, осуществляющих техническое обслуживание подлежащих обязательной сертификации беспилотных авиационных систем и (или) их элементов, гражданских воздушных судов, авиационных двигателей, воздушных винтов, за исключением легк</w:t>
            </w:r>
            <w:r>
              <w:rPr>
                <w:sz w:val="26"/>
                <w:highlight w:val="white"/>
              </w:rPr>
              <w:t xml:space="preserve">их, сверхлегких гражданских воздушных судов, не осуществляющих коммерческих воздушных перевозок и авиационных работ, требованиям федеральных авиационных правил, введения ограничений в его действие и их снятие, внесение в него изменений и его аннулирование 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8469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Приказ Минтранса России от 18.10.2024 № 367 (ФАП</w:t>
            </w:r>
            <w:r>
              <w:rPr>
                <w:sz w:val="26"/>
                <w:highlight w:val="white"/>
              </w:rPr>
              <w:t xml:space="preserve">-145) "Об утверждении Федеральных авиационных правил "Техническое обслуживание подлежащих обязательной сертификации беспилотных авиационных систем и (или) их элементов, гражданских воздушных судов, авиационных двигателей, воздушных винтов, за исключением л</w:t>
            </w:r>
            <w:r>
              <w:rPr>
                <w:sz w:val="26"/>
                <w:highlight w:val="white"/>
              </w:rPr>
              <w:t xml:space="preserve">егких, сверхлегких гражданских воздушных судов, не осуществляющих коммерческих воздушных перевозок и авиационных работ. Часть 145" (вместе с "Порядком выдачи, приостановления и возобновления действия документа, подтверждающего соответствие юридического лиц</w:t>
            </w:r>
            <w:r>
              <w:rPr>
                <w:sz w:val="26"/>
                <w:highlight w:val="white"/>
              </w:rPr>
              <w:t xml:space="preserve">а, индивидуального предпринимателя, осуществляющих техническое обслуживание подлежащих обязательной сертификации беспилотных авиационных систем и (или) их элементов, гражданских воздушных судов, авиационных двигателей, воздушных винтов, за исключением легк</w:t>
            </w:r>
            <w:r>
              <w:rPr>
                <w:sz w:val="26"/>
                <w:highlight w:val="white"/>
              </w:rPr>
              <w:t xml:space="preserve">их, сверхлегких гражданских воздушных судов, не осуществляющих коммерческих воздушных перевозок и авиационных работ, требованиям федеральных авиационных правил, введения ограничений в его действие и их снятия, внесения в него изменений и его аннулирования"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70"/>
        </w:trPr>
        <w:tc>
          <w:tcPr>
            <w:tcW w:w="552" w:type="dxa"/>
            <w:vAlign w:val="center"/>
            <w:textDirection w:val="lrTb"/>
            <w:noWrap/>
          </w:tcPr>
          <w:p>
            <w:pPr>
              <w:pStyle w:val="1305"/>
              <w:numPr>
                <w:ilvl w:val="0"/>
                <w:numId w:val="16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shd w:val="clear" w:color="auto" w:fill="ffffff" w:themeFill="background1"/>
            <w:tcW w:w="5539" w:type="dxa"/>
            <w:textDirection w:val="lrTb"/>
            <w:noWrap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Ведение реестра юридических лиц, осуществляющих аэронавигационное обслуживание полетов воздушных судов пользователей воздушного пространства Российской Федерации, соответствующих требованиям федеральных авиационных правил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8469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Приказ Минтранса России от 28.0</w:t>
            </w:r>
            <w:r>
              <w:rPr>
                <w:sz w:val="26"/>
                <w:highlight w:val="white"/>
              </w:rPr>
              <w:t xml:space="preserve">1.2026 № 36 "Об утверждении Федеральных авиационных правил «Требования к юридическим лицам, осуществляющим аэронавигационное обслуживание полетов воздушных судов пользователей воздушного пространства Российской Федерации, порядок ведения реестра таких лиц"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70"/>
        </w:trPr>
        <w:tc>
          <w:tcPr>
            <w:tcW w:w="552" w:type="dxa"/>
            <w:vAlign w:val="center"/>
            <w:textDirection w:val="lrTb"/>
            <w:noWrap/>
          </w:tcPr>
          <w:p>
            <w:pPr>
              <w:pStyle w:val="1305"/>
              <w:numPr>
                <w:ilvl w:val="0"/>
                <w:numId w:val="16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W w:w="5539" w:type="dxa"/>
            <w:textDirection w:val="lrTb"/>
            <w:noWrap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Принятие решения о предварительном согласовании предоставления земельных участков, которые находятся в федеральной собственности, для размещения объектов воздушного транспорта, в том числе аэродромов, аэропортов, объектов </w:t>
            </w:r>
            <w:r>
              <w:rPr>
                <w:sz w:val="26"/>
                <w:highlight w:val="white"/>
              </w:rPr>
              <w:t xml:space="preserve">единой системы организации воздушного движения, объектов систем связи, иных зданий и сооружений, обеспечивающих использование объектов воздушного транспорта, в аренду, безвозмездное пользование или постоянное (бессрочное) пользование, без проведения торгов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8469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Приказ </w:t>
            </w:r>
            <w:r>
              <w:rPr>
                <w:sz w:val="26"/>
                <w:highlight w:val="white"/>
              </w:rPr>
              <w:t xml:space="preserve">Росавиации</w:t>
            </w:r>
            <w:r>
              <w:rPr>
                <w:sz w:val="26"/>
                <w:highlight w:val="white"/>
              </w:rPr>
              <w:t xml:space="preserve"> от 04.04.2024 № 340-П "Об утверждении Административного регламента Федерального агентства воздушного транспорта по предо</w:t>
            </w:r>
            <w:r>
              <w:rPr>
                <w:sz w:val="26"/>
                <w:highlight w:val="white"/>
              </w:rPr>
              <w:t xml:space="preserve">ставлению государственной услуги "Принятие решения о предварительном согласовании предоставления земельных участков, которые находятся в федеральной собственности, для размещения объектов воздушного транспорта, в том числе аэродромов, аэропортов, объектов </w:t>
            </w:r>
            <w:r>
              <w:rPr>
                <w:sz w:val="26"/>
                <w:highlight w:val="white"/>
              </w:rPr>
              <w:t xml:space="preserve">единой системы организации воздушного движения, объектов систем связи, иных зданий и сооружений, обеспечивающих использование объектов воздушного транспорта, в аренду, безвозмездное пользование или постоянное (бессрочное) пользование без проведения торгов"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70"/>
        </w:trPr>
        <w:tc>
          <w:tcPr>
            <w:tcW w:w="552" w:type="dxa"/>
            <w:vAlign w:val="center"/>
            <w:textDirection w:val="lrTb"/>
            <w:noWrap/>
          </w:tcPr>
          <w:p>
            <w:pPr>
              <w:pStyle w:val="1305"/>
              <w:numPr>
                <w:ilvl w:val="0"/>
                <w:numId w:val="16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W w:w="5539" w:type="dxa"/>
            <w:textDirection w:val="lrTb"/>
            <w:noWrap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Сертификация светосигнального оборудования, устанавливаемого на сертифицированных аэродромах, предназначенных для взлета, посадки, руления и стоянки гражданских воздушных судов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8469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Приказ Минтранса России от 14.11.2024 № 403 "Об утверждении Фед</w:t>
            </w:r>
            <w:r>
              <w:rPr>
                <w:sz w:val="26"/>
                <w:highlight w:val="white"/>
              </w:rPr>
              <w:t xml:space="preserve">еральных авиационных правил "Порядок проведения обязательной сертификации светосигнального оборудования, устанавливаемого на сертифицированных аэродромах, предназначенных для взлета, посадки, руления и стоянки гражданских воздушных судов. Порядок привлечен</w:t>
            </w:r>
            <w:r>
              <w:rPr>
                <w:sz w:val="26"/>
                <w:highlight w:val="white"/>
              </w:rPr>
              <w:t xml:space="preserve">ия сертификационных центров и испытательных лабораторий для проведения обязательной сертификации светосигнального оборудования. Порядок приостановления, возобновления действия и аннулирования сертификата единичного экземпляра светосигнального оборудования"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70"/>
        </w:trPr>
        <w:tc>
          <w:tcPr>
            <w:tcW w:w="552" w:type="dxa"/>
            <w:vAlign w:val="center"/>
            <w:textDirection w:val="lrTb"/>
            <w:noWrap/>
          </w:tcPr>
          <w:p>
            <w:pPr>
              <w:pStyle w:val="1305"/>
              <w:numPr>
                <w:ilvl w:val="0"/>
                <w:numId w:val="16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W w:w="5539" w:type="dxa"/>
            <w:textDirection w:val="lrTb"/>
            <w:noWrap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Государственный учет беспилотных граж</w:t>
            </w:r>
            <w:r>
              <w:rPr>
                <w:sz w:val="26"/>
                <w:highlight w:val="white"/>
              </w:rPr>
              <w:t xml:space="preserve">данских судов с максимальной взлетной массой от 0,15 килограммов до 30 килограммов, сверхлегких пилотируемых гражданских воздушных судов с массой конструкции 115 килограммов и менее, ввезенных в Российскую Федерацию или произведенных в Российской Федерации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8469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Приказ </w:t>
            </w:r>
            <w:r>
              <w:rPr>
                <w:sz w:val="26"/>
                <w:highlight w:val="white"/>
              </w:rPr>
              <w:t xml:space="preserve">Росавиации</w:t>
            </w:r>
            <w:r>
              <w:rPr>
                <w:sz w:val="26"/>
                <w:highlight w:val="white"/>
              </w:rPr>
              <w:t xml:space="preserve"> от 28.10.2019 № 1040-П «Об утверждении А</w:t>
            </w:r>
            <w:r>
              <w:rPr>
                <w:sz w:val="26"/>
                <w:highlight w:val="white"/>
              </w:rPr>
              <w:t xml:space="preserve">дминистративного регламента Федерального агентства воздушного транспорта предоставления государственной услуги по учету' беспилотных гражданских воздушных судов с максимальной взлетной массой от 0,25 килограмма до 30 килограммов, ввезенных в Российскую Фед</w:t>
            </w:r>
            <w:r>
              <w:rPr>
                <w:sz w:val="26"/>
                <w:highlight w:val="white"/>
              </w:rPr>
              <w:t xml:space="preserve">ерацию или произведенных в Российской Федерации», Постановление Правительства РФ от 25.05.2019 № 658 "Об утверждении Правил государственного учета беспилотных гражданских воздушных судов с максимальной взлетной массой от 0,15 килограмма до 30 килограммов, </w:t>
            </w:r>
            <w:r>
              <w:rPr>
                <w:sz w:val="26"/>
                <w:highlight w:val="white"/>
              </w:rPr>
              <w:t xml:space="preserve">сверхлегких пилотируемых гражданских воздушных судов с массой конструкции 115 килограммов и менее</w:t>
            </w:r>
            <w:r>
              <w:rPr>
                <w:sz w:val="26"/>
                <w:highlight w:val="white"/>
              </w:rPr>
              <w:t xml:space="preserve">, ввезенных в Российскую Федерацию или произведенных в Российской Федерации"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70"/>
        </w:trPr>
        <w:tc>
          <w:tcPr>
            <w:tcW w:w="552" w:type="dxa"/>
            <w:vAlign w:val="center"/>
            <w:textDirection w:val="lrTb"/>
            <w:noWrap/>
          </w:tcPr>
          <w:p>
            <w:pPr>
              <w:pStyle w:val="1305"/>
              <w:numPr>
                <w:ilvl w:val="0"/>
                <w:numId w:val="16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W w:w="5539" w:type="dxa"/>
            <w:textDirection w:val="lrTb"/>
            <w:noWrap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Государственная регистрация гражданских воздушных судов и ведение Государственного реестра гражданских воздушных судов Российской Федерации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8469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  <w:t xml:space="preserve">П</w:t>
            </w:r>
            <w:r>
              <w:rPr>
                <w:sz w:val="26"/>
                <w:highlight w:val="white"/>
              </w:rPr>
              <w:t xml:space="preserve">риказ Минтранса России от 29.05.2026 № 255 "Об утверждении Федеральных авиационных правил "Правила формирования и ведения Государственного реестра гражданских воздушных судов Российской Федерации" и Правил государственной регистрации гражданских воздушных </w:t>
            </w:r>
            <w:r>
              <w:rPr>
                <w:sz w:val="26"/>
                <w:highlight w:val="white"/>
              </w:rPr>
              <w:t xml:space="preserve">судов в Российской Федерации"</w:t>
            </w:r>
            <w:r>
              <w:rPr>
                <w:sz w:val="26"/>
                <w:highlight w:val="white"/>
              </w:rPr>
              <w:t xml:space="preserve">, Приказ </w:t>
            </w:r>
            <w:r>
              <w:rPr>
                <w:sz w:val="26"/>
                <w:highlight w:val="white"/>
              </w:rPr>
              <w:t xml:space="preserve">Росавиации</w:t>
            </w:r>
            <w:r>
              <w:rPr>
                <w:sz w:val="26"/>
                <w:highlight w:val="white"/>
              </w:rPr>
              <w:t xml:space="preserve"> от 06.02.2024 № 124-П "Об утверждении Административного регламента Федерального агентства воздушного транспорта по предоставлению государственной услуги "Государственная регистрация гражданских воздушных судов"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70"/>
        </w:trPr>
        <w:tc>
          <w:tcPr>
            <w:tcW w:w="552" w:type="dxa"/>
            <w:vAlign w:val="center"/>
            <w:textDirection w:val="lrTb"/>
            <w:noWrap/>
          </w:tcPr>
          <w:p>
            <w:pPr>
              <w:pStyle w:val="1305"/>
              <w:numPr>
                <w:ilvl w:val="0"/>
                <w:numId w:val="16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W w:w="5539" w:type="dxa"/>
            <w:textDirection w:val="lrTb"/>
            <w:noWrap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Государственная регистрация прав на воздушные суда и сделок с ними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8469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Приказ Минтранса России от 06.05.2013 № 170 «Об утверждении Административного регламента Федерального агентства воздушного транспорта предоставления государственной услуги по государственной регистрации прав на воздушные суда и сделок с ними»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70"/>
        </w:trPr>
        <w:tc>
          <w:tcPr>
            <w:tcW w:w="552" w:type="dxa"/>
            <w:vAlign w:val="center"/>
            <w:textDirection w:val="lrTb"/>
            <w:noWrap/>
          </w:tcPr>
          <w:p>
            <w:pPr>
              <w:pStyle w:val="1305"/>
              <w:numPr>
                <w:ilvl w:val="0"/>
                <w:numId w:val="16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W w:w="5539" w:type="dxa"/>
            <w:textDirection w:val="lrTb"/>
            <w:noWrap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Выдача разрешений на бортовые радиостанции, используемые на гражданских воздушных судах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8469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Приказ </w:t>
            </w:r>
            <w:r>
              <w:rPr>
                <w:sz w:val="26"/>
                <w:highlight w:val="white"/>
              </w:rPr>
              <w:t xml:space="preserve">Минтранса России от 26.07.2012 № 275 «Об утверждении Административного регламента Федерального агентства воздушного транспорта предоставления государственной услуги по выдаче разрешений на бортовые радиостанции, используемые на гражданских воздушных судах»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70"/>
        </w:trPr>
        <w:tc>
          <w:tcPr>
            <w:tcW w:w="552" w:type="dxa"/>
            <w:vAlign w:val="center"/>
            <w:textDirection w:val="lrTb"/>
            <w:noWrap/>
          </w:tcPr>
          <w:p>
            <w:pPr>
              <w:pStyle w:val="1305"/>
              <w:numPr>
                <w:ilvl w:val="0"/>
                <w:numId w:val="16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W w:w="5539" w:type="dxa"/>
            <w:textDirection w:val="lrTb"/>
            <w:noWrap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Выдача свидетельств лицам из числа специалистов авиационного персонала гр</w:t>
            </w:r>
            <w:r>
              <w:rPr>
                <w:sz w:val="26"/>
                <w:highlight w:val="white"/>
              </w:rPr>
              <w:t xml:space="preserve">ажданской авиации, допускаемым к выполнению функции членов экипажа гражданского воздушного судна, сотрудников по обеспечению полетов гражданской авиации, функции по техническому обслуживанию воздушных судов и диспетчерскому обслуживанию воздушного движения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8469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Приказ Минтранса России от 22.10.2014 № 298 «Об утверждении Административного регламента Федерального агентства воздушного транспорта предоставления </w:t>
            </w:r>
            <w:r>
              <w:rPr>
                <w:sz w:val="26"/>
                <w:highlight w:val="white"/>
              </w:rPr>
              <w:t xml:space="preserve">предоставления</w:t>
            </w:r>
            <w:r>
              <w:rPr>
                <w:sz w:val="26"/>
                <w:highlight w:val="white"/>
              </w:rPr>
              <w:t xml:space="preserve"> государственной услуги по выдаче свидетельств лицам из числа специалистов авиационного персонала гра</w:t>
            </w:r>
            <w:r>
              <w:rPr>
                <w:sz w:val="26"/>
                <w:highlight w:val="white"/>
              </w:rPr>
              <w:t xml:space="preserve">жданской авиации, допускаемым к выполнению функции членов экипажа гражданского воздушного судна, сотрудников по обеспечению полетов гражданской авиации, функции по техническому обслуживанию воздушных судов и диспетчерскому обслуживанию воздушного движения»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70"/>
        </w:trPr>
        <w:tc>
          <w:tcPr>
            <w:tcW w:w="552" w:type="dxa"/>
            <w:vAlign w:val="center"/>
            <w:textDirection w:val="lrTb"/>
            <w:noWrap/>
          </w:tcPr>
          <w:p>
            <w:pPr>
              <w:pStyle w:val="1305"/>
              <w:numPr>
                <w:ilvl w:val="0"/>
                <w:numId w:val="16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W w:w="5539" w:type="dxa"/>
            <w:textDirection w:val="lrTb"/>
            <w:noWrap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Допуск перевозчиков к выполнению международных воздушных перевозок пассажиров и (или) грузов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8469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Приказ Минтранса России от 24.04.2025 № 141 "Об утверждении Федеральных авиационных правил "Порядок допуска перевозчиков к выполнению регулярных и чартерных международных воздушных перевозок пассажиров, багажа, грузов и почты"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70"/>
        </w:trPr>
        <w:tc>
          <w:tcPr>
            <w:tcW w:w="552" w:type="dxa"/>
            <w:vAlign w:val="center"/>
            <w:textDirection w:val="lrTb"/>
            <w:noWrap/>
          </w:tcPr>
          <w:p>
            <w:pPr>
              <w:pStyle w:val="1305"/>
              <w:numPr>
                <w:ilvl w:val="0"/>
                <w:numId w:val="16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W w:w="5539" w:type="dxa"/>
            <w:textDirection w:val="lrTb"/>
            <w:noWrap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Выдача документа, подтв</w:t>
            </w:r>
            <w:r>
              <w:rPr>
                <w:sz w:val="26"/>
                <w:highlight w:val="white"/>
              </w:rPr>
              <w:t xml:space="preserve">ерждающего соответствие юридического лица, индивидуального предпринимателя, осуществляющих заправку гражданских воздушных судов авиационными горюче-смазочными материалами и (или) обработку специальными жидкостями, требованиям федеральных авиационных правил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8469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Приказ Минтранса России от 17.02.2023 № 48 Об утверждении Федеральных авиацио</w:t>
            </w:r>
            <w:r>
              <w:rPr>
                <w:sz w:val="26"/>
                <w:highlight w:val="white"/>
              </w:rPr>
              <w:t xml:space="preserve">нных правил "Требования к юридическим лицам, индивидуальным предпринимателям, осуществляющим заправку гражданских воздушных судов авиационными горюче-смазочными материалами и (или) обработку специальными жидкостями. Форма и порядок выдачи документа, подтве</w:t>
            </w:r>
            <w:r>
              <w:rPr>
                <w:sz w:val="26"/>
                <w:highlight w:val="white"/>
              </w:rPr>
              <w:t xml:space="preserve">рждающего соответствие юридического лица, индивидуального предпринимателя, осуществляющих заправку гражданских воздушных судов авиационными горюче-смазочными материалами и (или) обработку специальными жидкостями, требованиям федеральных авиационных правил"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70"/>
        </w:trPr>
        <w:tc>
          <w:tcPr>
            <w:tcW w:w="552" w:type="dxa"/>
            <w:vAlign w:val="center"/>
            <w:textDirection w:val="lrTb"/>
            <w:noWrap/>
          </w:tcPr>
          <w:p>
            <w:pPr>
              <w:pStyle w:val="1305"/>
              <w:numPr>
                <w:ilvl w:val="0"/>
                <w:numId w:val="16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W w:w="5539" w:type="dxa"/>
            <w:textDirection w:val="lrTb"/>
            <w:noWrap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Оформление сертификата летной годности беспилотных гражданских воздушных судов с максимальной взл</w:t>
            </w:r>
            <w:r>
              <w:rPr>
                <w:sz w:val="26"/>
                <w:highlight w:val="white"/>
              </w:rPr>
              <w:t xml:space="preserve">етной массой более 30 килограммов на основании акта оценки беспилотного гражданского воздушного судна на его соответствие применимым требованиям к летной годности и требованиям в области охраны окружающей среды от воздействия деятельности в области авиации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8469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Приказ Минтранса России от 28.02.2023 № 61 "Об утверждении Федеральных авиационных правил "Форма и порядок оформления с</w:t>
            </w:r>
            <w:r>
              <w:rPr>
                <w:sz w:val="26"/>
                <w:highlight w:val="white"/>
              </w:rPr>
              <w:t xml:space="preserve">ертификата летной годности беспилотных гражданских воздушных судов с максимальной взлетной массой более 30 килограммов на основании акта оценки беспилотного гражданского воздушного судна на его соответствие применимым требованиям к летной годности и требов</w:t>
            </w:r>
            <w:r>
              <w:rPr>
                <w:sz w:val="26"/>
                <w:highlight w:val="white"/>
              </w:rPr>
              <w:t xml:space="preserve">аниям в области охраны окружающей среды от воздействия деятельности в области авиации. Порядок приостановления действия и аннулирования сертификата летной годности беспилотных гражданских воздушных судов с максимальной взлетной массой более 30 килограммов"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jc w:val="center"/>
          <w:trHeight w:val="70"/>
        </w:trPr>
        <w:tc>
          <w:tcPr>
            <w:tcW w:w="552" w:type="dxa"/>
            <w:vAlign w:val="center"/>
            <w:textDirection w:val="lrTb"/>
            <w:noWrap/>
          </w:tcPr>
          <w:p>
            <w:pPr>
              <w:pStyle w:val="1305"/>
              <w:numPr>
                <w:ilvl w:val="0"/>
                <w:numId w:val="16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W w:w="5539" w:type="dxa"/>
            <w:textDirection w:val="lrTb"/>
            <w:noWrap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Принятие решения о предоставлении земельных участков, которые находятся в федеральной собстве</w:t>
            </w:r>
            <w:r>
              <w:rPr>
                <w:sz w:val="26"/>
                <w:highlight w:val="white"/>
              </w:rPr>
              <w:t xml:space="preserve">нности, для размещения объектов воздушного транспорта, в том числе аэродромов, аэропортов, объектов единой системы организации воздушного движения, объектов систем связи, иных зданий и сооружений, обеспечивающих использование объектов воздушного транспорта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8469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  <w:t xml:space="preserve">П</w:t>
            </w:r>
            <w:r>
              <w:rPr>
                <w:sz w:val="26"/>
                <w:highlight w:val="white"/>
              </w:rPr>
              <w:t xml:space="preserve">риказ Росавиации от 15.11.2023 № 1024-П "Об утверждении Административного регламента Федерального агентства воздушного транспорта по предоставлению государственной услуги "Принятие решения о предоставлении земельных участков, которые находятся в федерально</w:t>
            </w:r>
            <w:r>
              <w:rPr>
                <w:sz w:val="26"/>
                <w:highlight w:val="white"/>
              </w:rPr>
              <w:t xml:space="preserve">й</w:t>
            </w:r>
            <w:r>
              <w:rPr>
                <w:sz w:val="26"/>
                <w:highlight w:val="white"/>
              </w:rPr>
              <w:t xml:space="preserve"> собственности, для размещения объектов воздушного транспорта, в том числе аэродромов, аэропортов, объектов единой системы организации воздушного движения, объектов систем связи, иных зданий и сооружений, обеспечивающих использование объектов воздушного тр</w:t>
            </w:r>
            <w:r>
              <w:rPr>
                <w:sz w:val="26"/>
                <w:highlight w:val="white"/>
              </w:rPr>
              <w:t xml:space="preserve">анспорта, в аренду, безвозмездное пользование или постоянное (бессрочное) пользование без проведения торгов"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</w:tbl>
    <w:p>
      <w:pPr>
        <w:pStyle w:val="1285"/>
        <w:jc w:val="right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</w:r>
      <w:bookmarkStart w:id="17" w:name="_Toc14"/>
      <w:r>
        <w:rPr>
          <w:highlight w:val="white"/>
          <w:lang w:val="ru-RU"/>
        </w:rPr>
        <w:t xml:space="preserve">ПРИЛОЖЕНИЕ </w:t>
      </w:r>
      <w:bookmarkEnd w:id="17"/>
      <w:r>
        <w:rPr>
          <w:highlight w:val="white"/>
          <w:lang w:val="ru-RU"/>
        </w:rPr>
        <w:t xml:space="preserve">Д</w:t>
      </w:r>
      <w:r>
        <w:rPr>
          <w:highlight w:val="white"/>
        </w:rPr>
      </w:r>
      <w:r>
        <w:rPr>
          <w:highlight w:val="white"/>
        </w:rPr>
      </w:r>
    </w:p>
    <w:p>
      <w:pPr>
        <w:pStyle w:val="1270"/>
        <w:ind w:firstLine="0"/>
        <w:jc w:val="center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  <w:t xml:space="preserve">Перечень государственных услуг </w:t>
      </w:r>
      <w:r>
        <w:rPr>
          <w:highlight w:val="white"/>
        </w:rPr>
        <w:t xml:space="preserve">Росавиации</w:t>
      </w:r>
      <w:r>
        <w:rPr>
          <w:highlight w:val="white"/>
        </w:rPr>
        <w:t xml:space="preserve">, заявление по которым подаются в бумажном виде</w:t>
      </w:r>
      <w:r>
        <w:rPr>
          <w:highlight w:val="white"/>
        </w:rPr>
      </w:r>
      <w:r>
        <w:rPr>
          <w:highlight w:val="white"/>
        </w:rPr>
      </w:r>
    </w:p>
    <w:tbl>
      <w:tblPr>
        <w:tblStyle w:val="1199"/>
        <w:tblW w:w="0" w:type="auto"/>
        <w:tblLook w:val="04A0" w:firstRow="1" w:lastRow="0" w:firstColumn="1" w:lastColumn="0" w:noHBand="0" w:noVBand="1"/>
      </w:tblPr>
      <w:tblGrid>
        <w:gridCol w:w="592"/>
        <w:gridCol w:w="5523"/>
        <w:gridCol w:w="8445"/>
      </w:tblGrid>
      <w:tr>
        <w:tblPrEx/>
        <w:trPr/>
        <w:tc>
          <w:tcPr>
            <w:tcW w:w="556" w:type="dxa"/>
            <w:vAlign w:val="center"/>
            <w:textDirection w:val="lrTb"/>
            <w:noWrap w:val="false"/>
          </w:tcPr>
          <w:p>
            <w:pPr>
              <w:pStyle w:val="1288"/>
              <w:jc w:val="center"/>
              <w:shd w:val="clear" w:color="ffffff" w:themeColor="background1" w:fill="ffffff" w:themeFill="background1"/>
              <w:rPr>
                <w:b/>
                <w:bCs/>
                <w:sz w:val="26"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№</w:t>
            </w:r>
            <w:r>
              <w:rPr>
                <w:b/>
                <w:bCs/>
                <w:sz w:val="26"/>
                <w:highlight w:val="white"/>
              </w:rPr>
            </w:r>
            <w:r>
              <w:rPr>
                <w:b/>
                <w:bCs/>
                <w:sz w:val="26"/>
                <w:highlight w:val="white"/>
              </w:rPr>
            </w:r>
          </w:p>
        </w:tc>
        <w:tc>
          <w:tcPr>
            <w:tcW w:w="5535" w:type="dxa"/>
            <w:vAlign w:val="center"/>
            <w:textDirection w:val="lrTb"/>
            <w:noWrap w:val="false"/>
          </w:tcPr>
          <w:p>
            <w:pPr>
              <w:pStyle w:val="1288"/>
              <w:jc w:val="center"/>
              <w:shd w:val="clear" w:color="ffffff" w:themeColor="background1" w:fill="ffffff" w:themeFill="background1"/>
              <w:rPr>
                <w:b/>
                <w:bCs/>
                <w:sz w:val="26"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Наименование государственной услуги</w:t>
            </w:r>
            <w:r>
              <w:rPr>
                <w:b/>
                <w:bCs/>
                <w:sz w:val="26"/>
                <w:highlight w:val="white"/>
              </w:rPr>
            </w:r>
            <w:r>
              <w:rPr>
                <w:b/>
                <w:bCs/>
                <w:sz w:val="26"/>
                <w:highlight w:val="white"/>
              </w:rPr>
            </w:r>
          </w:p>
        </w:tc>
        <w:tc>
          <w:tcPr>
            <w:tcW w:w="8469" w:type="dxa"/>
            <w:textDirection w:val="lrTb"/>
            <w:noWrap w:val="false"/>
          </w:tcPr>
          <w:p>
            <w:pPr>
              <w:pStyle w:val="1288"/>
              <w:jc w:val="center"/>
              <w:shd w:val="clear" w:color="ffffff" w:themeColor="background1" w:fill="ffffff" w:themeFill="background1"/>
              <w:rPr>
                <w:b/>
                <w:bCs/>
                <w:sz w:val="26"/>
                <w:highlight w:val="white"/>
              </w:rPr>
            </w:pPr>
            <w:r>
              <w:rPr>
                <w:b/>
                <w:bCs/>
                <w:sz w:val="26"/>
                <w:highlight w:val="white"/>
              </w:rPr>
              <w:t xml:space="preserve">НПА, содержащие порядок предоставления ГУ</w:t>
            </w:r>
            <w:r>
              <w:rPr>
                <w:b/>
                <w:bCs/>
                <w:sz w:val="26"/>
                <w:highlight w:val="white"/>
              </w:rPr>
            </w:r>
            <w:r>
              <w:rPr>
                <w:b/>
                <w:bCs/>
                <w:sz w:val="26"/>
                <w:highlight w:val="white"/>
              </w:rPr>
            </w:r>
          </w:p>
        </w:tc>
      </w:tr>
      <w:tr>
        <w:tblPrEx/>
        <w:trPr/>
        <w:tc>
          <w:tcPr>
            <w:tcW w:w="556" w:type="dxa"/>
            <w:textDirection w:val="lrTb"/>
            <w:noWrap w:val="false"/>
          </w:tcPr>
          <w:p>
            <w:pPr>
              <w:pStyle w:val="1305"/>
              <w:numPr>
                <w:ilvl w:val="0"/>
                <w:numId w:val="1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W w:w="5535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Утверждение результатов оценки уязвимости объектов транспортной инфраструктуры в установленной сфере деятельности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8469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Приказ Минтранса России от 06.05.2013 № 171 </w:t>
            </w:r>
            <w:r>
              <w:rPr>
                <w:sz w:val="26"/>
                <w:highlight w:val="white"/>
              </w:rPr>
              <w:t xml:space="preserve">«Об утверждении Административного регламента Федерального агентства воздушного транспорта предоставления государственной услуги по утверждению результатов оценки уязвимости объектов транспортной инфраструктуры и транспортных средств воздушного транспорта»;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Приказ Минтранса России от 01.11.2021 № 370 «О Порядке провед</w:t>
            </w:r>
            <w:r>
              <w:rPr>
                <w:sz w:val="26"/>
                <w:highlight w:val="white"/>
              </w:rPr>
              <w:t xml:space="preserve">ения оценки уязвимости объектов транспортной инфраструктуры, судов ледокольного флота, используемых для проводки по морским путям, судов, в отношении которых применяются правила торгового мореплавания и требования в области охраны судов и портовых средств,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установленные международными договорами Российской Федерации»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/>
        <w:tc>
          <w:tcPr>
            <w:tcW w:w="556" w:type="dxa"/>
            <w:textDirection w:val="lrTb"/>
            <w:noWrap w:val="false"/>
          </w:tcPr>
          <w:p>
            <w:pPr>
              <w:pStyle w:val="1305"/>
              <w:numPr>
                <w:ilvl w:val="0"/>
                <w:numId w:val="1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W w:w="5535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Утверждение планов обеспечения транспортной безопасности объектов транспортной инфраструктуры в установленной сфере деятельности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shd w:val="clear" w:color="auto" w:fill="ffffff" w:themeFill="background1"/>
            <w:tcW w:w="8469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color w:val="auto"/>
                <w:sz w:val="26"/>
                <w:highlight w:val="white"/>
              </w:rPr>
              <w:t xml:space="preserve">Приказ Минтранса России от 06.03.2013 № 73 «Об утверждени</w:t>
            </w:r>
            <w:r>
              <w:rPr>
                <w:color w:val="auto"/>
                <w:sz w:val="26"/>
                <w:highlight w:val="white"/>
              </w:rPr>
              <w:t xml:space="preserve">и Административного регламента Федерального агентства воздушного транспорта предоставления государственной услуги по утверждению планов обеспечения транспортной безопасности объектов транспортной инфраструктуры и транспортных средств воздушного транспорта»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>
          <w:trHeight w:val="667"/>
        </w:trPr>
        <w:tc>
          <w:tcPr>
            <w:tcW w:w="556" w:type="dxa"/>
            <w:textDirection w:val="lrTb"/>
            <w:noWrap w:val="false"/>
          </w:tcPr>
          <w:p>
            <w:pPr>
              <w:pStyle w:val="1305"/>
              <w:numPr>
                <w:ilvl w:val="0"/>
                <w:numId w:val="1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W w:w="5535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Выдача разрешений на выполнение разовых полетов воздушных судов, если такие разрешения обусловлены особыми условиями эксплуатации воздушного судна и необходимы для обеспечения безопасности полета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8469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Приказ Минтранса России от 14.02.2013 № 43 «Об утверждении Административного регламента Федерального агентства воз</w:t>
            </w:r>
            <w:r>
              <w:rPr>
                <w:sz w:val="26"/>
                <w:highlight w:val="white"/>
              </w:rPr>
              <w:t xml:space="preserve">душного транспорта предоставления государственной услуги по выдаче разрешений на выполнение разовых полетов воздушных судов, если такие разрешения обусловлены особыми условиями эксплуатации воздушного судна и необходимы для обеспечения безопасности полета»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/>
        <w:tc>
          <w:tcPr>
            <w:tcW w:w="556" w:type="dxa"/>
            <w:textDirection w:val="lrTb"/>
            <w:noWrap w:val="false"/>
          </w:tcPr>
          <w:p>
            <w:pPr>
              <w:pStyle w:val="1305"/>
              <w:numPr>
                <w:ilvl w:val="0"/>
                <w:numId w:val="1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W w:w="5535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Признание свидетельств иностранного государства, выданных лицу из числа авиационного персонала гражданской авиации согласно перечням специалистов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8469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Приказ Минтранса России от 14.02.2013 № 45 «Об утверждении Админ</w:t>
            </w:r>
            <w:r>
              <w:rPr>
                <w:sz w:val="26"/>
                <w:highlight w:val="white"/>
              </w:rPr>
              <w:t xml:space="preserve">истративного регламента Федерального агентства воздушного транспорта предоставления государственной услуги по признанию свидетельств иностранного государства, выданных лицу из числа авиационного персонала гражданской авиации согласно перечням специалистов»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/>
        <w:tc>
          <w:tcPr>
            <w:tcW w:w="556" w:type="dxa"/>
            <w:textDirection w:val="lrTb"/>
            <w:noWrap w:val="false"/>
          </w:tcPr>
          <w:p>
            <w:pPr>
              <w:pStyle w:val="1305"/>
              <w:numPr>
                <w:ilvl w:val="0"/>
                <w:numId w:val="1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W w:w="5535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Выдача разрешений в случаях, установленных законодательством Российской Федерации, на выполнение международных полетов из аэропортов, с аэродромов Российской Федерации, не открытых Правительством Российской Федерации для международных полетов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8469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Приказ Минтранса России от 26.07.2012 № 271 "Об утверждении Административного регламента Федерального агентства воздушного транспорта предоставления государственной услуги по выдаче разрешений </w:t>
            </w:r>
            <w:r>
              <w:rPr>
                <w:sz w:val="26"/>
                <w:highlight w:val="white"/>
              </w:rPr>
              <w:t xml:space="preserve">в случаях, установленных законодательством Российской Федерации, на выполнение международных полетов из аэропортов, с аэродромов Российской Федерации, не открытых Правительством Российской Федерации для международных полетов" (с изменениями и дополнениями)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/>
        <w:tc>
          <w:tcPr>
            <w:tcW w:w="556" w:type="dxa"/>
            <w:textDirection w:val="lrTb"/>
            <w:noWrap w:val="false"/>
          </w:tcPr>
          <w:p>
            <w:pPr>
              <w:pStyle w:val="1305"/>
              <w:numPr>
                <w:ilvl w:val="0"/>
                <w:numId w:val="1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W w:w="5535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Выдача разрешений на транзитные полеты иностранных воздушных судов через воздушное пространство Российской Федерации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8469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Приказ Минтранса России от 12.11.201</w:t>
            </w:r>
            <w:r>
              <w:rPr>
                <w:sz w:val="26"/>
                <w:highlight w:val="white"/>
              </w:rPr>
              <w:t xml:space="preserve">3 № 349 «Об утверждении Административного регламента Федерального агентства воздушного транспорта предоставления государственной услуги по выдаче разрешений на транзитные полеты иностранных воздушных судов через воздушное пространство Российской Федерации»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/>
        <w:tc>
          <w:tcPr>
            <w:tcW w:w="556" w:type="dxa"/>
            <w:textDirection w:val="lrTb"/>
            <w:noWrap w:val="false"/>
          </w:tcPr>
          <w:p>
            <w:pPr>
              <w:pStyle w:val="1305"/>
              <w:numPr>
                <w:ilvl w:val="0"/>
                <w:numId w:val="1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W w:w="5535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Предоставление разрешений иностранным назначенным авиапредприятиям на эксплуатацию договорных линий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8469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Приказ Минтранса Ро</w:t>
            </w:r>
            <w:r>
              <w:rPr>
                <w:sz w:val="26"/>
                <w:highlight w:val="white"/>
              </w:rPr>
              <w:t xml:space="preserve">ссии от 18.06.2013 № 214 «Об утверждении Административного регламента Федерального агентства воздушного транспорта предоставления государственной услуги по предоставлению разрешений иностранным назначенным авиапредприятиям на эксплуатацию договорных линий»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  <w:tr>
        <w:tblPrEx/>
        <w:trPr/>
        <w:tc>
          <w:tcPr>
            <w:tcW w:w="556" w:type="dxa"/>
            <w:textDirection w:val="lrTb"/>
            <w:noWrap w:val="false"/>
          </w:tcPr>
          <w:p>
            <w:pPr>
              <w:pStyle w:val="1305"/>
              <w:numPr>
                <w:ilvl w:val="0"/>
                <w:numId w:val="17"/>
              </w:numPr>
              <w:shd w:val="clear" w:color="ffffff" w:themeColor="background1" w:fill="ffffff" w:themeFill="background1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  <w:r>
              <w:rPr>
                <w:sz w:val="26"/>
                <w:szCs w:val="26"/>
                <w:highlight w:val="white"/>
              </w:rPr>
            </w:r>
          </w:p>
        </w:tc>
        <w:tc>
          <w:tcPr>
            <w:tcW w:w="5535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Принятие реш</w:t>
            </w:r>
            <w:r>
              <w:rPr>
                <w:sz w:val="26"/>
                <w:highlight w:val="white"/>
              </w:rPr>
              <w:t xml:space="preserve">ения об аккредитации представительств иностранных юридических лиц, осуществляющих деятельность в области гражданской авиации, о внесении изменений в сведения, содержащиеся в государственном реестре аккредитованных филиалов, представительств иностранных юри</w:t>
            </w:r>
            <w:r>
              <w:rPr>
                <w:sz w:val="26"/>
                <w:highlight w:val="white"/>
              </w:rPr>
              <w:t xml:space="preserve">дических лиц, о прекращении действия их аккредитации, об аккредитации иностранных граждан, являющихся работниками представительств иностранного юридического лица, осуществляющего деятельность в области гражданской авиации на территории Российской Федерации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  <w:tc>
          <w:tcPr>
            <w:tcW w:w="8469" w:type="dxa"/>
            <w:textDirection w:val="lrTb"/>
            <w:noWrap w:val="false"/>
          </w:tcPr>
          <w:p>
            <w:pPr>
              <w:pStyle w:val="1288"/>
              <w:shd w:val="clear" w:color="ffffff" w:themeColor="background1" w:fill="ffffff" w:themeFill="background1"/>
              <w:rPr>
                <w:sz w:val="26"/>
                <w:highlight w:val="white"/>
              </w:rPr>
            </w:pPr>
            <w:r>
              <w:rPr>
                <w:sz w:val="26"/>
                <w:highlight w:val="white"/>
              </w:rPr>
              <w:t xml:space="preserve">Приказ </w:t>
            </w:r>
            <w:r>
              <w:rPr>
                <w:sz w:val="26"/>
                <w:highlight w:val="white"/>
              </w:rPr>
              <w:t xml:space="preserve">Росавиации</w:t>
            </w:r>
            <w:r>
              <w:rPr>
                <w:sz w:val="26"/>
                <w:highlight w:val="white"/>
              </w:rPr>
              <w:t xml:space="preserve"> от 20.10.2021 № 802-П «Об утверждении Административного регламента предоставления государственной услуги по принятию реш</w:t>
            </w:r>
            <w:r>
              <w:rPr>
                <w:sz w:val="26"/>
                <w:highlight w:val="white"/>
              </w:rPr>
              <w:t xml:space="preserve">ения об аккредитации представительств иностранных юридических лиц, осуществляющих деятельность в области гражданской авиации, о внесении изменений в сведения, содержащиеся в государственном реестре аккредитованных филиалов, представительств иностранных юри</w:t>
            </w:r>
            <w:r>
              <w:rPr>
                <w:sz w:val="26"/>
                <w:highlight w:val="white"/>
              </w:rPr>
              <w:t xml:space="preserve">дических лиц, о прекращении действия их аккредитации, об аккредитации иностранных граждан, являющихся работниками представительств иностранного юридического лица, осуществляющего деятельность в области гражданской авиации на территории Российской Федерации</w:t>
            </w:r>
            <w:r>
              <w:rPr>
                <w:sz w:val="26"/>
                <w:highlight w:val="white"/>
              </w:rPr>
            </w:r>
            <w:r>
              <w:rPr>
                <w:sz w:val="26"/>
                <w:highlight w:val="white"/>
              </w:rPr>
            </w:r>
          </w:p>
        </w:tc>
      </w:tr>
    </w:tbl>
    <w:p>
      <w:pPr>
        <w:pStyle w:val="1284"/>
        <w:shd w:val="clear" w:color="ffffff" w:themeColor="background1" w:fill="ffffff" w:themeFill="background1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sectPr>
      <w:footnotePr/>
      <w:endnotePr/>
      <w:type w:val="nextPage"/>
      <w:pgSz w:w="16838" w:h="11906" w:orient="landscape"/>
      <w:pgMar w:top="1134" w:right="1134" w:bottom="567" w:left="1134" w:header="709" w:footer="709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  <w:p>
      <w:r/>
      <w:r/>
    </w:p>
  </w:endnote>
  <w:endnote w:type="continuationSeparator" w:id="0">
    <w:p>
      <w:r>
        <w:continuationSeparator/>
      </w:r>
      <w:r/>
    </w:p>
    <w:p>
      <w:r/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Liberation Serif">
    <w:panose1 w:val="02020603050405020304"/>
  </w:font>
  <w:font w:name="Cambria">
    <w:panose1 w:val="02040503050406030204"/>
  </w:font>
  <w:font w:name="Symbol">
    <w:panose1 w:val="05050102010706020507"/>
  </w:font>
  <w:font w:name="Times New Roman Полужирный">
    <w:panose1 w:val="02020603050405020304"/>
  </w:font>
  <w:font w:name="PF Square Sans Pro">
    <w:panose1 w:val="02000603000000000000"/>
  </w:font>
  <w:font w:name="Calibri">
    <w:panose1 w:val="020F0502020204030204"/>
  </w:font>
  <w:font w:name="Wingdings">
    <w:panose1 w:val="05000000000000000000"/>
  </w:font>
  <w:font w:name="Lucida Sans">
    <w:panose1 w:val="020B0602030504020204"/>
  </w:font>
  <w:font w:name="Liberation Sans">
    <w:panose1 w:val="020B0604020202020204"/>
  </w:font>
  <w:font w:name="Segoe UI">
    <w:panose1 w:val="020B0502040204020203"/>
  </w:font>
  <w:font w:name="Microsoft YaHei">
    <w:panose1 w:val="020B0503020204020204"/>
  </w:font>
  <w:font w:name="Times New Roman">
    <w:panose1 w:val="02020603050405020304"/>
  </w:font>
  <w:font w:name="Tahoma">
    <w:panose1 w:val="020B0604030504040204"/>
  </w:font>
  <w:font w:name="Arial">
    <w:panose1 w:val="020B060402020202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401329892"/>
      <w:docPartObj>
        <w:docPartGallery w:val="Page Numbers (Bottom of Page)"/>
        <w:docPartUnique w:val="true"/>
      </w:docPartObj>
      <w:rPr/>
    </w:sdtPr>
    <w:sdtContent>
      <w:p>
        <w:pPr>
          <w:pStyle w:val="1237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4</w:t>
        </w:r>
        <w:r>
          <w:fldChar w:fldCharType="end"/>
        </w:r>
        <w:r/>
      </w:p>
    </w:sdtContent>
  </w:sdt>
  <w:p>
    <w:pPr>
      <w:pStyle w:val="1237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307986570"/>
      <w:docPartObj>
        <w:docPartGallery w:val="Page Numbers (Bottom of Page)"/>
        <w:docPartUnique w:val="true"/>
      </w:docPartObj>
      <w:rPr/>
    </w:sdtPr>
    <w:sdtContent>
      <w:p>
        <w:pPr>
          <w:pStyle w:val="1237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4</w:t>
        </w:r>
        <w:r>
          <w:fldChar w:fldCharType="end"/>
        </w:r>
        <w:r/>
      </w:p>
    </w:sdtContent>
  </w:sdt>
  <w:p>
    <w:pPr>
      <w:pStyle w:val="1237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  <w:p>
      <w:r/>
      <w:r/>
    </w:p>
  </w:footnote>
  <w:footnote w:type="continuationSeparator" w:id="0">
    <w:p>
      <w:r>
        <w:continuationSeparator/>
      </w:r>
      <w:r/>
    </w:p>
    <w:p>
      <w:r/>
      <w:r/>
    </w:p>
  </w:footnote>
  <w:footnote w:id="2">
    <w:p>
      <w:pPr>
        <w:pStyle w:val="1232"/>
      </w:pPr>
      <w:r>
        <w:rPr>
          <w:rStyle w:val="1164"/>
        </w:rPr>
        <w:footnoteRef/>
      </w:r>
      <w:r>
        <w:t xml:space="preserve"> В рамках оказания услуг по эксплуатации АИС ОГУ неисключительные права на программное обеспечение не передаются.</w:t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302918994"/>
      <w:docPartObj>
        <w:docPartGallery w:val="Page Numbers (Top of Page)"/>
        <w:docPartUnique w:val="true"/>
      </w:docPartObj>
      <w:rPr/>
    </w:sdtPr>
    <w:sdtContent>
      <w:p>
        <w:pPr>
          <w:pStyle w:val="123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23</w:t>
        </w:r>
        <w:r>
          <w:fldChar w:fldCharType="end"/>
        </w:r>
        <w:r/>
      </w:p>
    </w:sdtContent>
  </w:sdt>
  <w:p>
    <w:pPr>
      <w:pStyle w:val="1235"/>
      <w:ind w:firstLine="0"/>
      <w:jc w:val="center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971090280"/>
      <w:docPartObj>
        <w:docPartGallery w:val="Page Numbers (Top of Page)"/>
        <w:docPartUnique w:val="true"/>
      </w:docPartObj>
      <w:rPr/>
    </w:sdtPr>
    <w:sdtContent>
      <w:p>
        <w:pPr>
          <w:pStyle w:val="123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4</w:t>
        </w:r>
        <w:r>
          <w:fldChar w:fldCharType="end"/>
        </w:r>
        <w:r/>
      </w:p>
    </w:sdtContent>
  </w:sdt>
  <w:p>
    <w:pPr>
      <w:pStyle w:val="1235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323"/>
      <w:jc w:val="right"/>
      <w:rPr>
        <w:sz w:val="24"/>
        <w:szCs w:val="24"/>
      </w:rPr>
    </w:pPr>
    <w:r>
      <w:rPr>
        <w:sz w:val="24"/>
        <w:szCs w:val="24"/>
      </w:rPr>
      <w:t xml:space="preserve">Приложение № 1 к Извещению</w:t>
    </w:r>
    <w:r>
      <w:rPr>
        <w:sz w:val="24"/>
        <w:szCs w:val="24"/>
      </w:rPr>
    </w:r>
    <w:r>
      <w:rPr>
        <w:sz w:val="24"/>
        <w:szCs w:val="24"/>
      </w:rPr>
    </w:r>
  </w:p>
  <w:p>
    <w:pPr>
      <w:pStyle w:val="1323"/>
      <w:jc w:val="right"/>
      <w:rPr>
        <w:sz w:val="24"/>
        <w:szCs w:val="24"/>
      </w:rPr>
    </w:pPr>
    <w:r>
      <w:rPr>
        <w:sz w:val="24"/>
        <w:szCs w:val="24"/>
      </w:rPr>
      <w:t xml:space="preserve">ИКЗ </w:t>
    </w:r>
    <w:r>
      <w:rPr>
        <w:rFonts w:ascii="Times New Roman" w:hAnsi="Times New Roman" w:eastAsia="Times New Roman" w:cs="Times New Roman"/>
        <w:b w:val="0"/>
        <w:bCs w:val="0"/>
        <w:color w:val="000000"/>
        <w:sz w:val="24"/>
        <w:szCs w:val="36"/>
      </w:rPr>
      <w:t xml:space="preserve">26 1 7714549744 771401001 0051 001 6202 246</w:t>
    </w:r>
    <w:r>
      <w:rPr>
        <w:sz w:val="24"/>
        <w:szCs w:val="24"/>
      </w:rPr>
    </w:r>
    <w:r>
      <w:rPr>
        <w:sz w:val="24"/>
        <w:szCs w:val="24"/>
      </w:rPr>
    </w:r>
  </w:p>
  <w:p>
    <w:pPr>
      <w:pStyle w:val="1323"/>
    </w:pPr>
    <w:r/>
    <w:r/>
  </w:p>
  <w:p>
    <w:pPr>
      <w:pStyle w:val="1323"/>
    </w:pPr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31948793"/>
      <w:docPartObj>
        <w:docPartGallery w:val="Page Numbers (Top of Page)"/>
        <w:docPartUnique w:val="true"/>
      </w:docPartObj>
      <w:rPr/>
    </w:sdtPr>
    <w:sdtContent>
      <w:p>
        <w:pPr>
          <w:pStyle w:val="123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96</w:t>
        </w:r>
        <w:r>
          <w:fldChar w:fldCharType="end"/>
        </w:r>
        <w:r/>
      </w:p>
    </w:sdtContent>
  </w:sdt>
  <w:p>
    <w:pPr>
      <w:pStyle w:val="1235"/>
      <w:ind w:firstLine="0"/>
      <w:jc w:val="center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2041890878"/>
      <w:docPartObj>
        <w:docPartGallery w:val="Page Numbers (Top of Page)"/>
        <w:docPartUnique w:val="true"/>
      </w:docPartObj>
      <w:rPr/>
    </w:sdtPr>
    <w:sdtContent>
      <w:p>
        <w:pPr>
          <w:pStyle w:val="123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4</w:t>
        </w:r>
        <w:r>
          <w:fldChar w:fldCharType="end"/>
        </w:r>
        <w:r/>
      </w:p>
    </w:sdtContent>
  </w:sdt>
  <w:p>
    <w:pPr>
      <w:pStyle w:val="1235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0" w:firstLine="0"/>
      </w:pPr>
      <w:rPr>
        <w:rFonts w:hint="default"/>
        <w:b/>
        <w:bCs/>
      </w:rPr>
    </w:lvl>
    <w:lvl w:ilvl="1">
      <w:start w:val="1"/>
      <w:numFmt w:val="decimal"/>
      <w:isLgl w:val="false"/>
      <w:suff w:val="tab"/>
      <w:lvlText w:val="%1.%2"/>
      <w:lvlJc w:val="left"/>
      <w:pPr>
        <w:ind w:left="0" w:firstLine="0"/>
      </w:pPr>
      <w:rPr>
        <w:rFonts w:hint="default"/>
        <w:b w:val="0"/>
        <w:bCs w:val="0"/>
      </w:rPr>
    </w:lvl>
    <w:lvl w:ilvl="2">
      <w:start w:val="1"/>
      <w:numFmt w:val="decimal"/>
      <w:isLgl w:val="false"/>
      <w:suff w:val="tab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0" w:firstLine="0"/>
      </w:pPr>
      <w:rPr>
        <w:rFonts w:hint="default"/>
        <w:b/>
        <w:bCs/>
      </w:rPr>
    </w:lvl>
    <w:lvl w:ilvl="1">
      <w:start w:val="1"/>
      <w:numFmt w:val="decimal"/>
      <w:pStyle w:val="1305"/>
      <w:isLgl w:val="false"/>
      <w:suff w:val="tab"/>
      <w:lvlText w:val="%1.%2"/>
      <w:lvlJc w:val="left"/>
      <w:pPr>
        <w:ind w:left="0" w:firstLine="0"/>
      </w:pPr>
      <w:rPr>
        <w:rFonts w:hint="default"/>
        <w:b w:val="0"/>
        <w:bCs w:val="0"/>
      </w:rPr>
    </w:lvl>
    <w:lvl w:ilvl="2">
      <w:start w:val="1"/>
      <w:numFmt w:val="decimal"/>
      <w:isLgl w:val="false"/>
      <w:suff w:val="tab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pStyle w:val="1307"/>
      <w:isLgl w:val="false"/>
      <w:suff w:val="tab"/>
      <w:lvlText w:val="%1)"/>
      <w:lvlJc w:val="left"/>
      <w:pPr>
        <w:ind w:left="0" w:firstLine="709"/>
      </w:pPr>
      <w:rPr>
        <w:rFonts w:hint="default"/>
      </w:rPr>
    </w:lvl>
    <w:lvl w:ilvl="1">
      <w:start w:val="1"/>
      <w:numFmt w:val="none"/>
      <w:isLgl w:val="false"/>
      <w:suff w:val="tab"/>
      <w:lvlText w:val="1.%1)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isLgl w:val="false"/>
      <w:suff w:val="tab"/>
      <w:lvlText w:val="1.%1.%3)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0" w:firstLine="709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0" w:firstLine="709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0" w:firstLine="709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0" w:firstLine="709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0" w:firstLine="709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0" w:firstLine="709"/>
      </w:pPr>
      <w:rPr>
        <w:rFonts w:hint="default"/>
      </w:rPr>
    </w:lvl>
  </w:abstractNum>
  <w:abstractNum w:abstractNumId="3">
    <w:multiLevelType w:val="hybridMultilevel"/>
    <w:lvl w:ilvl="0">
      <w:start w:val="1"/>
      <w:numFmt w:val="bullet"/>
      <w:pStyle w:val="1200"/>
      <w:isLgl w:val="false"/>
      <w:suff w:val="tab"/>
      <w:lvlText w:val=""/>
      <w:lvlJc w:val="left"/>
      <w:pPr>
        <w:ind w:left="1571" w:hanging="358"/>
        <w:tabs>
          <w:tab w:val="num" w:pos="1571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pStyle w:val="1313"/>
      <w:isLgl w:val="false"/>
      <w:suff w:val="tab"/>
      <w:lvlText w:val="%1"/>
      <w:lvlJc w:val="left"/>
      <w:pPr>
        <w:ind w:left="360" w:hanging="360"/>
        <w:tabs>
          <w:tab w:val="num" w:pos="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decimal"/>
      <w:pStyle w:val="1192"/>
      <w:isLgl w:val="false"/>
      <w:suff w:val="tab"/>
      <w:lvlText w:val="%1."/>
      <w:lvlJc w:val="left"/>
      <w:pPr>
        <w:ind w:left="1571" w:hanging="360"/>
        <w:tabs>
          <w:tab w:val="num" w:pos="1571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decimal"/>
      <w:pStyle w:val="982"/>
      <w:isLgl w:val="false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3"/>
      <w:numFmt w:val="decimal"/>
      <w:pStyle w:val="983"/>
      <w:isLgl w:val="false"/>
      <w:suff w:val="space"/>
      <w:lvlText w:val="%2.%2.."/>
      <w:lvlJc w:val="left"/>
      <w:pPr>
        <w:ind w:left="425" w:firstLine="709"/>
      </w:pPr>
      <w:rPr>
        <w:b/>
        <w:bCs/>
        <w:i w:val="0"/>
        <w:iCs w:val="0"/>
        <w:color w:val="000000" w:themeColor="text1"/>
      </w:rPr>
    </w:lvl>
    <w:lvl w:ilvl="2">
      <w:start w:val="1"/>
      <w:numFmt w:val="decimal"/>
      <w:pStyle w:val="984"/>
      <w:isLgl w:val="false"/>
      <w:suff w:val="space"/>
      <w:lvlText w:val="%1.%2.%3."/>
      <w:lvlJc w:val="left"/>
      <w:pPr>
        <w:ind w:left="1" w:firstLine="709"/>
      </w:pPr>
      <w:rPr>
        <w:rFonts w:hint="default"/>
        <w:b/>
        <w:bCs/>
        <w:i w:val="0"/>
        <w:iCs w:val="0"/>
        <w:color w:val="000000" w:themeColor="text1"/>
        <w:sz w:val="26"/>
        <w:szCs w:val="26"/>
      </w:rPr>
    </w:lvl>
    <w:lvl w:ilvl="3">
      <w:start w:val="1"/>
      <w:numFmt w:val="decimal"/>
      <w:pStyle w:val="985"/>
      <w:isLgl w:val="false"/>
      <w:suff w:val="space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pStyle w:val="986"/>
      <w:isLgl w:val="false"/>
      <w:suff w:val="space"/>
      <w:lvlText w:val="%1.%2.%3.%4.%5.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pStyle w:val="987"/>
      <w:isLgl w:val="false"/>
      <w:suff w:val="space"/>
      <w:lvlText w:val="%1.%2.%3.%4.%5.%6."/>
      <w:lvlJc w:val="left"/>
      <w:pPr>
        <w:ind w:left="1418" w:firstLine="709"/>
      </w:pPr>
      <w:rPr>
        <w:rFonts w:hint="default"/>
      </w:rPr>
    </w:lvl>
    <w:lvl w:ilvl="6">
      <w:start w:val="1"/>
      <w:numFmt w:val="decimal"/>
      <w:pStyle w:val="988"/>
      <w:isLgl w:val="false"/>
      <w:suff w:val="space"/>
      <w:lvlText w:val="%1.%2.%3.%4.%5.%6.%7."/>
      <w:lvlJc w:val="left"/>
      <w:pPr>
        <w:ind w:left="0" w:firstLine="709"/>
      </w:pPr>
      <w:rPr>
        <w:rFonts w:hint="default"/>
      </w:rPr>
    </w:lvl>
    <w:lvl w:ilvl="7">
      <w:start w:val="1"/>
      <w:numFmt w:val="decimal"/>
      <w:pStyle w:val="989"/>
      <w:isLgl w:val="false"/>
      <w:suff w:val="space"/>
      <w:lvlText w:val="%1.%2.%3.%4.%5.%6.%7.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pStyle w:val="990"/>
      <w:isLgl w:val="false"/>
      <w:suff w:val="space"/>
      <w:lvlText w:val="%1.%2.%3.%4.%5.%6.%7.%8.%9."/>
      <w:lvlJc w:val="left"/>
      <w:pPr>
        <w:ind w:left="0" w:firstLine="709"/>
      </w:pPr>
      <w:rPr>
        <w:rFonts w:hint="default"/>
      </w:rPr>
    </w:lvl>
  </w:abstractNum>
  <w:abstractNum w:abstractNumId="8">
    <w:multiLevelType w:val="hybridMultilevel"/>
    <w:lvl w:ilvl="0">
      <w:start w:val="1"/>
      <w:numFmt w:val="bullet"/>
      <w:pStyle w:val="1279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0" w:firstLine="0"/>
      </w:pPr>
      <w:rPr>
        <w:rFonts w:hint="default"/>
        <w:b/>
        <w:bCs/>
      </w:rPr>
    </w:lvl>
    <w:lvl w:ilvl="1">
      <w:start w:val="1"/>
      <w:numFmt w:val="decimal"/>
      <w:isLgl w:val="false"/>
      <w:suff w:val="tab"/>
      <w:lvlText w:val="%1.%2"/>
      <w:lvlJc w:val="left"/>
      <w:pPr>
        <w:ind w:left="0" w:firstLine="0"/>
      </w:pPr>
      <w:rPr>
        <w:rFonts w:hint="default"/>
        <w:b w:val="0"/>
        <w:bCs w:val="0"/>
      </w:rPr>
    </w:lvl>
    <w:lvl w:ilvl="2">
      <w:start w:val="1"/>
      <w:numFmt w:val="decimal"/>
      <w:isLgl w:val="false"/>
      <w:suff w:val="tab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432" w:hanging="432"/>
      </w:pPr>
      <w:rPr>
        <w:rFonts w:hint="default" w:ascii="Times New Roman" w:hAnsi="Times New Roman" w:cs="Times New Roman"/>
        <w:b/>
        <w:bCs/>
      </w:rPr>
    </w:lvl>
    <w:lvl w:ilvl="1">
      <w:start w:val="1"/>
      <w:numFmt w:val="decimal"/>
      <w:isLgl w:val="false"/>
      <w:suff w:val="tab"/>
      <w:lvlText w:val="%1.%2"/>
      <w:lvlJc w:val="left"/>
      <w:pPr>
        <w:ind w:left="576" w:hanging="576"/>
      </w:pPr>
      <w:rPr>
        <w:rFonts w:hint="default" w:ascii="Times New Roman" w:hAnsi="Times New Roman" w:cs="Times New Roman"/>
        <w:b w:val="0"/>
        <w:bCs w:val="0"/>
      </w:rPr>
    </w:lvl>
    <w:lvl w:ilvl="2">
      <w:start w:val="1"/>
      <w:numFmt w:val="decimal"/>
      <w:isLgl w:val="false"/>
      <w:suff w:val="tab"/>
      <w:lvlText w:val="%1.%2.%3"/>
      <w:lvlJc w:val="left"/>
      <w:pPr>
        <w:ind w:left="720" w:hanging="720"/>
      </w:pPr>
      <w:rPr>
        <w:rFonts w:hint="default" w:ascii="Times New Roman" w:hAnsi="Times New Roman" w:cs="Times New Roman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864" w:hanging="864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008" w:hanging="1008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152" w:hanging="1152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296" w:hanging="1296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</w:pPr>
    </w:lvl>
  </w:abstractNum>
  <w:abstractNum w:abstractNumId="12">
    <w:multiLevelType w:val="hybridMultilevel"/>
    <w:lvl w:ilvl="0">
      <w:start w:val="1"/>
      <w:numFmt w:val="decimal"/>
      <w:pStyle w:val="1295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1080" w:hanging="1080"/>
      </w:pPr>
      <w:rPr>
        <w:rFonts w:hint="default"/>
      </w:rPr>
    </w:lvl>
    <w:lvl w:ilvl="1">
      <w:start w:val="2"/>
      <w:numFmt w:val="decimal"/>
      <w:isLgl w:val="false"/>
      <w:suff w:val="tab"/>
      <w:lvlText w:val="%1.%2."/>
      <w:lvlJc w:val="left"/>
      <w:pPr>
        <w:ind w:left="1470" w:hanging="1080"/>
      </w:pPr>
      <w:rPr>
        <w:rFonts w:hint="default"/>
      </w:rPr>
    </w:lvl>
    <w:lvl w:ilvl="2">
      <w:start w:val="4"/>
      <w:numFmt w:val="decimal"/>
      <w:isLgl w:val="false"/>
      <w:suff w:val="tab"/>
      <w:lvlText w:val="%1.%2.%3."/>
      <w:lvlJc w:val="left"/>
      <w:pPr>
        <w:ind w:left="1860" w:hanging="1080"/>
      </w:pPr>
      <w:rPr>
        <w:rFonts w:hint="default"/>
      </w:rPr>
    </w:lvl>
    <w:lvl w:ilvl="3">
      <w:start w:val="3"/>
      <w:numFmt w:val="decimal"/>
      <w:isLgl w:val="false"/>
      <w:suff w:val="tab"/>
      <w:lvlText w:val="%1.%2.%3.%4."/>
      <w:lvlJc w:val="left"/>
      <w:pPr>
        <w:ind w:left="225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06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39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414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53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280" w:hanging="2160"/>
      </w:pPr>
      <w:rPr>
        <w:rFonts w:hint="default"/>
      </w:rPr>
    </w:lvl>
  </w:abstractNum>
  <w:abstractNum w:abstractNumId="14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1095" w:hanging="1095"/>
      </w:pPr>
      <w:rPr>
        <w:rFonts w:hint="default"/>
      </w:rPr>
    </w:lvl>
    <w:lvl w:ilvl="1">
      <w:start w:val="2"/>
      <w:numFmt w:val="decimal"/>
      <w:isLgl w:val="false"/>
      <w:suff w:val="tab"/>
      <w:lvlText w:val="%1.%2."/>
      <w:lvlJc w:val="left"/>
      <w:pPr>
        <w:ind w:left="1378" w:hanging="1095"/>
      </w:pPr>
      <w:rPr>
        <w:rFonts w:hint="default"/>
      </w:rPr>
    </w:lvl>
    <w:lvl w:ilvl="2">
      <w:start w:val="4"/>
      <w:numFmt w:val="decimal"/>
      <w:isLgl w:val="false"/>
      <w:suff w:val="tab"/>
      <w:lvlText w:val="%1.%2.%3."/>
      <w:lvlJc w:val="left"/>
      <w:pPr>
        <w:ind w:left="1661" w:hanging="1095"/>
      </w:pPr>
      <w:rPr>
        <w:rFonts w:hint="default"/>
      </w:rPr>
    </w:lvl>
    <w:lvl w:ilvl="3">
      <w:start w:val="4"/>
      <w:numFmt w:val="decimal"/>
      <w:isLgl w:val="false"/>
      <w:suff w:val="tab"/>
      <w:lvlText w:val="%1.%2.%3.%4."/>
      <w:lvlJc w:val="left"/>
      <w:pPr>
        <w:ind w:left="1944" w:hanging="1095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27" w:hanging="1095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5">
    <w:multiLevelType w:val="hybridMultilevel"/>
    <w:lvl w:ilvl="0">
      <w:start w:val="1"/>
      <w:numFmt w:val="decimal"/>
      <w:pStyle w:val="1293"/>
      <w:isLgl w:val="false"/>
      <w:suff w:val="tab"/>
      <w:lvlText w:val="%1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pStyle w:val="1320"/>
      <w:isLgl w:val="false"/>
      <w:suff w:val="tab"/>
      <w:lvlText w:val="%1)"/>
      <w:lvlJc w:val="left"/>
      <w:pPr>
        <w:ind w:left="360" w:hanging="360"/>
      </w:pPr>
      <w:rPr>
        <w:rFonts w:hint="default"/>
        <w:sz w:val="26"/>
        <w:szCs w:val="26"/>
      </w:rPr>
    </w:lvl>
    <w:lvl w:ilvl="1">
      <w:start w:val="1"/>
      <w:numFmt w:val="russianLower"/>
      <w:isLgl w:val="false"/>
      <w:suff w:val="tab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bullet"/>
      <w:pStyle w:val="1315"/>
      <w:isLgl w:val="false"/>
      <w:suff w:val="tab"/>
      <w:lvlText w:val=""/>
      <w:lvlJc w:val="left"/>
      <w:pPr>
        <w:ind w:left="1134" w:hanging="425"/>
        <w:tabs>
          <w:tab w:val="num" w:pos="706" w:leader="none"/>
        </w:tabs>
      </w:pPr>
      <w:rPr>
        <w:rFonts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1429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0">
    <w:multiLevelType w:val="hybridMultilevel"/>
    <w:lvl w:ilvl="0">
      <w:start w:val="1"/>
      <w:numFmt w:val="bullet"/>
      <w:pStyle w:val="1191"/>
      <w:isLgl w:val="false"/>
      <w:suff w:val="tab"/>
      <w:lvlText w:val="–"/>
      <w:lvlJc w:val="left"/>
      <w:pPr>
        <w:ind w:left="1620" w:hanging="769"/>
        <w:tabs>
          <w:tab w:val="num" w:pos="1620" w:leader="none"/>
        </w:tabs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21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1095" w:hanging="1095"/>
      </w:pPr>
      <w:rPr>
        <w:rFonts w:hint="default"/>
      </w:rPr>
    </w:lvl>
    <w:lvl w:ilvl="1">
      <w:start w:val="2"/>
      <w:numFmt w:val="decimal"/>
      <w:isLgl w:val="false"/>
      <w:suff w:val="tab"/>
      <w:lvlText w:val="%1.%2."/>
      <w:lvlJc w:val="left"/>
      <w:pPr>
        <w:ind w:left="1378" w:hanging="1095"/>
      </w:pPr>
      <w:rPr>
        <w:rFonts w:hint="default"/>
      </w:rPr>
    </w:lvl>
    <w:lvl w:ilvl="2">
      <w:start w:val="4"/>
      <w:numFmt w:val="decimal"/>
      <w:isLgl w:val="false"/>
      <w:suff w:val="tab"/>
      <w:lvlText w:val="%1.%2.%3."/>
      <w:lvlJc w:val="left"/>
      <w:pPr>
        <w:ind w:left="1661" w:hanging="1095"/>
      </w:pPr>
      <w:rPr>
        <w:rFonts w:hint="default"/>
      </w:rPr>
    </w:lvl>
    <w:lvl w:ilvl="3">
      <w:start w:val="3"/>
      <w:numFmt w:val="decimal"/>
      <w:isLgl w:val="false"/>
      <w:suff w:val="tab"/>
      <w:lvlText w:val="%1.%2.%3.%4."/>
      <w:lvlJc w:val="left"/>
      <w:pPr>
        <w:ind w:left="1944" w:hanging="1095"/>
      </w:pPr>
      <w:rPr>
        <w:rFonts w:hint="default"/>
      </w:rPr>
    </w:lvl>
    <w:lvl w:ilvl="4">
      <w:start w:val="7"/>
      <w:numFmt w:val="decimal"/>
      <w:isLgl w:val="false"/>
      <w:suff w:val="tab"/>
      <w:lvlText w:val="%1.%2.%3.%4.%5."/>
      <w:lvlJc w:val="left"/>
      <w:pPr>
        <w:ind w:left="2227" w:hanging="1095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92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-1112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-392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104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176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248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320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3928" w:hanging="360"/>
      </w:pPr>
      <w:rPr>
        <w:rFonts w:hint="default" w:ascii="Wingdings" w:hAnsi="Wingdings"/>
      </w:r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5"/>
  </w:num>
  <w:num w:numId="3">
    <w:abstractNumId w:val="3"/>
  </w:num>
  <w:num w:numId="4">
    <w:abstractNumId w:val="7"/>
  </w:num>
  <w:num w:numId="5">
    <w:abstractNumId w:val="12"/>
  </w:num>
  <w:num w:numId="6">
    <w:abstractNumId w:val="8"/>
  </w:num>
  <w:num w:numId="7">
    <w:abstractNumId w:val="1"/>
  </w:num>
  <w:num w:numId="8">
    <w:abstractNumId w:val="15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4"/>
  </w:num>
  <w:num w:numId="12">
    <w:abstractNumId w:val="18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  <w:lvlOverride w:ilvl="0">
      <w:startOverride w:val="1"/>
    </w:lvlOverride>
  </w:num>
  <w:num w:numId="19">
    <w:abstractNumId w:val="19"/>
  </w:num>
  <w:num w:numId="20">
    <w:abstractNumId w:val="16"/>
  </w:num>
  <w:num w:numId="21">
    <w:abstractNumId w:val="23"/>
    <w:lvlOverride w:ilvl="0">
      <w:startOverride w:val="1"/>
    </w:lvlOverride>
  </w:num>
  <w:num w:numId="22">
    <w:abstractNumId w:val="10"/>
  </w:num>
  <w:num w:numId="23">
    <w:abstractNumId w:val="17"/>
    <w:lvlOverride w:ilvl="0">
      <w:startOverride w:val="1"/>
    </w:lvlOverride>
  </w:num>
  <w:num w:numId="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7"/>
    <w:lvlOverride w:ilvl="0">
      <w:startOverride w:val="1"/>
    </w:lvlOverride>
  </w:num>
  <w:num w:numId="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6"/>
  </w:num>
  <w:num w:numId="34">
    <w:abstractNumId w:val="9"/>
  </w:num>
  <w:num w:numId="35">
    <w:abstractNumId w:val="22"/>
  </w:num>
  <w:num w:numId="36">
    <w:abstractNumId w:val="11"/>
  </w:num>
  <w:num w:numId="37">
    <w:abstractNumId w:val="13"/>
  </w:num>
  <w:num w:numId="38">
    <w:abstractNumId w:val="21"/>
  </w:num>
  <w:num w:numId="3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6"/>
        <w:szCs w:val="26"/>
        <w:lang w:val="ru-RU" w:eastAsia="ru-RU" w:bidi="ar-SA"/>
      </w:rPr>
    </w:rPrDefault>
    <w:pPrDefault>
      <w:pPr>
        <w:ind w:left="0" w:right="0"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921">
    <w:name w:val="Heading 1 Char"/>
    <w:basedOn w:val="940"/>
    <w:link w:val="931"/>
    <w:uiPriority w:val="9"/>
    <w:rPr>
      <w:rFonts w:ascii="Arial" w:hAnsi="Arial" w:eastAsia="Arial" w:cs="Arial"/>
      <w:sz w:val="40"/>
      <w:szCs w:val="40"/>
    </w:rPr>
  </w:style>
  <w:style w:type="character" w:styleId="922">
    <w:name w:val="Heading 2 Char"/>
    <w:basedOn w:val="940"/>
    <w:link w:val="932"/>
    <w:uiPriority w:val="9"/>
    <w:rPr>
      <w:rFonts w:ascii="Arial" w:hAnsi="Arial" w:eastAsia="Arial" w:cs="Arial"/>
      <w:sz w:val="34"/>
    </w:rPr>
  </w:style>
  <w:style w:type="character" w:styleId="923">
    <w:name w:val="Heading 3 Char"/>
    <w:basedOn w:val="940"/>
    <w:link w:val="933"/>
    <w:uiPriority w:val="9"/>
    <w:rPr>
      <w:rFonts w:ascii="Arial" w:hAnsi="Arial" w:eastAsia="Arial" w:cs="Arial"/>
      <w:sz w:val="30"/>
      <w:szCs w:val="30"/>
    </w:rPr>
  </w:style>
  <w:style w:type="character" w:styleId="924">
    <w:name w:val="Heading 4 Char"/>
    <w:basedOn w:val="940"/>
    <w:link w:val="934"/>
    <w:uiPriority w:val="9"/>
    <w:rPr>
      <w:rFonts w:ascii="Arial" w:hAnsi="Arial" w:eastAsia="Arial" w:cs="Arial"/>
      <w:b/>
      <w:bCs/>
      <w:sz w:val="26"/>
      <w:szCs w:val="26"/>
    </w:rPr>
  </w:style>
  <w:style w:type="character" w:styleId="925">
    <w:name w:val="Heading 5 Char"/>
    <w:basedOn w:val="940"/>
    <w:link w:val="935"/>
    <w:uiPriority w:val="9"/>
    <w:rPr>
      <w:rFonts w:ascii="Arial" w:hAnsi="Arial" w:eastAsia="Arial" w:cs="Arial"/>
      <w:b/>
      <w:bCs/>
      <w:sz w:val="24"/>
      <w:szCs w:val="24"/>
    </w:rPr>
  </w:style>
  <w:style w:type="character" w:styleId="926">
    <w:name w:val="Heading 6 Char"/>
    <w:basedOn w:val="940"/>
    <w:link w:val="936"/>
    <w:uiPriority w:val="9"/>
    <w:rPr>
      <w:rFonts w:ascii="Arial" w:hAnsi="Arial" w:eastAsia="Arial" w:cs="Arial"/>
      <w:b/>
      <w:bCs/>
      <w:sz w:val="22"/>
      <w:szCs w:val="22"/>
    </w:rPr>
  </w:style>
  <w:style w:type="character" w:styleId="927">
    <w:name w:val="Heading 7 Char"/>
    <w:basedOn w:val="940"/>
    <w:link w:val="93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928">
    <w:name w:val="Heading 8 Char"/>
    <w:basedOn w:val="940"/>
    <w:link w:val="938"/>
    <w:uiPriority w:val="9"/>
    <w:rPr>
      <w:rFonts w:ascii="Arial" w:hAnsi="Arial" w:eastAsia="Arial" w:cs="Arial"/>
      <w:i/>
      <w:iCs/>
      <w:sz w:val="22"/>
      <w:szCs w:val="22"/>
    </w:rPr>
  </w:style>
  <w:style w:type="character" w:styleId="929">
    <w:name w:val="Heading 9 Char"/>
    <w:basedOn w:val="940"/>
    <w:link w:val="939"/>
    <w:uiPriority w:val="9"/>
    <w:rPr>
      <w:rFonts w:ascii="Arial" w:hAnsi="Arial" w:eastAsia="Arial" w:cs="Arial"/>
      <w:i/>
      <w:iCs/>
      <w:sz w:val="21"/>
      <w:szCs w:val="21"/>
    </w:rPr>
  </w:style>
  <w:style w:type="paragraph" w:styleId="930" w:default="1">
    <w:name w:val="Normal"/>
  </w:style>
  <w:style w:type="paragraph" w:styleId="931">
    <w:name w:val="Heading 1"/>
    <w:basedOn w:val="930"/>
    <w:next w:val="930"/>
    <w:link w:val="101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932">
    <w:name w:val="Heading 2"/>
    <w:basedOn w:val="930"/>
    <w:next w:val="930"/>
    <w:link w:val="101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933">
    <w:name w:val="Heading 3"/>
    <w:basedOn w:val="930"/>
    <w:next w:val="930"/>
    <w:link w:val="102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934">
    <w:name w:val="Heading 4"/>
    <w:basedOn w:val="930"/>
    <w:next w:val="930"/>
    <w:link w:val="102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</w:rPr>
  </w:style>
  <w:style w:type="paragraph" w:styleId="935">
    <w:name w:val="Heading 5"/>
    <w:basedOn w:val="930"/>
    <w:next w:val="930"/>
    <w:link w:val="10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936">
    <w:name w:val="Heading 6"/>
    <w:basedOn w:val="930"/>
    <w:next w:val="930"/>
    <w:link w:val="101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937">
    <w:name w:val="Heading 7"/>
    <w:basedOn w:val="930"/>
    <w:next w:val="930"/>
    <w:link w:val="101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38">
    <w:name w:val="Heading 8"/>
    <w:basedOn w:val="930"/>
    <w:next w:val="930"/>
    <w:link w:val="101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939">
    <w:name w:val="Heading 9"/>
    <w:basedOn w:val="930"/>
    <w:next w:val="930"/>
    <w:link w:val="101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940" w:default="1">
    <w:name w:val="Default Paragraph Font"/>
    <w:uiPriority w:val="1"/>
    <w:semiHidden/>
    <w:unhideWhenUsed/>
  </w:style>
  <w:style w:type="table" w:styleId="94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42" w:default="1">
    <w:name w:val="No List"/>
    <w:uiPriority w:val="99"/>
    <w:semiHidden/>
    <w:unhideWhenUsed/>
  </w:style>
  <w:style w:type="paragraph" w:styleId="943">
    <w:name w:val="Caption"/>
    <w:basedOn w:val="930"/>
    <w:next w:val="930"/>
    <w:link w:val="1037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table" w:styleId="944">
    <w:name w:val="Plain Table 1"/>
    <w:basedOn w:val="94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945">
    <w:name w:val="Plain Table 2"/>
    <w:basedOn w:val="94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946">
    <w:name w:val="Plain Table 3"/>
    <w:basedOn w:val="94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947">
    <w:name w:val="Plain Table 4"/>
    <w:basedOn w:val="94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8">
    <w:name w:val="Plain Table 5"/>
    <w:basedOn w:val="94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949">
    <w:name w:val="Grid Table 1 Light"/>
    <w:basedOn w:val="94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0">
    <w:name w:val="Grid Table 2"/>
    <w:basedOn w:val="94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1">
    <w:name w:val="Grid Table 3"/>
    <w:basedOn w:val="94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2">
    <w:name w:val="Grid Table 4"/>
    <w:basedOn w:val="94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953">
    <w:name w:val="Grid Table 5 Dark"/>
    <w:basedOn w:val="94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954">
    <w:name w:val="Grid Table 6 Colorful"/>
    <w:basedOn w:val="94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955">
    <w:name w:val="Grid Table 7 Colorful"/>
    <w:basedOn w:val="94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6">
    <w:name w:val="List Table 1 Light"/>
    <w:basedOn w:val="941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7">
    <w:name w:val="List Table 2"/>
    <w:basedOn w:val="94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958">
    <w:name w:val="List Table 3"/>
    <w:basedOn w:val="94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9">
    <w:name w:val="List Table 4"/>
    <w:basedOn w:val="94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0">
    <w:name w:val="List Table 5 Dark"/>
    <w:basedOn w:val="94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61">
    <w:name w:val="List Table 6 Colorful"/>
    <w:basedOn w:val="94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62">
    <w:name w:val="List Table 7 Colorful"/>
    <w:basedOn w:val="94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3" w:customStyle="1">
    <w:name w:val="Таблица простая 11"/>
    <w:basedOn w:val="94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964" w:customStyle="1">
    <w:name w:val="Таблица простая 21"/>
    <w:basedOn w:val="94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965" w:customStyle="1">
    <w:name w:val="Таблица простая 31"/>
    <w:basedOn w:val="94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966" w:customStyle="1">
    <w:name w:val="Таблица простая 41"/>
    <w:basedOn w:val="94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7" w:customStyle="1">
    <w:name w:val="Таблица простая 51"/>
    <w:basedOn w:val="94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968" w:customStyle="1">
    <w:name w:val="Таблица-сетка 1 светлая1"/>
    <w:basedOn w:val="94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9" w:customStyle="1">
    <w:name w:val="Таблица-сетка 21"/>
    <w:basedOn w:val="94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0" w:customStyle="1">
    <w:name w:val="Таблица-сетка 31"/>
    <w:basedOn w:val="94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1" w:customStyle="1">
    <w:name w:val="Таблица-сетка 41"/>
    <w:basedOn w:val="94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972" w:customStyle="1">
    <w:name w:val="Таблица-сетка 5 темная1"/>
    <w:basedOn w:val="94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973" w:customStyle="1">
    <w:name w:val="Таблица-сетка 6 цветная1"/>
    <w:basedOn w:val="94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974" w:customStyle="1">
    <w:name w:val="Таблица-сетка 7 цветная1"/>
    <w:basedOn w:val="94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5" w:customStyle="1">
    <w:name w:val="Список-таблица 1 светлая1"/>
    <w:basedOn w:val="941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6" w:customStyle="1">
    <w:name w:val="Список-таблица 21"/>
    <w:basedOn w:val="94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977" w:customStyle="1">
    <w:name w:val="Список-таблица 31"/>
    <w:basedOn w:val="94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8" w:customStyle="1">
    <w:name w:val="Список-таблица 41"/>
    <w:basedOn w:val="94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9" w:customStyle="1">
    <w:name w:val="Список-таблица 5 темная1"/>
    <w:basedOn w:val="94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80" w:customStyle="1">
    <w:name w:val="Список-таблица 6 цветная1"/>
    <w:basedOn w:val="94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81" w:customStyle="1">
    <w:name w:val="Список-таблица 7 цветная1"/>
    <w:basedOn w:val="94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paragraph" w:styleId="982" w:customStyle="1">
    <w:name w:val="Заголовок 11"/>
    <w:basedOn w:val="1174"/>
    <w:next w:val="1174"/>
    <w:link w:val="1268"/>
    <w:pPr>
      <w:numPr>
        <w:ilvl w:val="0"/>
        <w:numId w:val="4"/>
      </w:numPr>
      <w:keepNext/>
      <w:pageBreakBefore/>
      <w:spacing w:before="240" w:after="60"/>
      <w:outlineLvl w:val="0"/>
    </w:pPr>
    <w:rPr>
      <w:b/>
      <w:bCs/>
      <w:caps/>
      <w:sz w:val="28"/>
      <w:szCs w:val="28"/>
    </w:rPr>
  </w:style>
  <w:style w:type="paragraph" w:styleId="983" w:customStyle="1">
    <w:name w:val="Заголовок 21"/>
    <w:basedOn w:val="1174"/>
    <w:next w:val="1174"/>
    <w:link w:val="1269"/>
    <w:pPr>
      <w:numPr>
        <w:ilvl w:val="1"/>
        <w:numId w:val="4"/>
      </w:numPr>
      <w:jc w:val="left"/>
      <w:keepNext/>
      <w:spacing w:before="240" w:after="60"/>
      <w:outlineLvl w:val="1"/>
    </w:pPr>
    <w:rPr>
      <w:b/>
      <w:bCs/>
      <w:sz w:val="28"/>
      <w:szCs w:val="32"/>
    </w:rPr>
  </w:style>
  <w:style w:type="paragraph" w:styleId="984" w:customStyle="1">
    <w:name w:val="Заголовок 31"/>
    <w:basedOn w:val="1174"/>
    <w:next w:val="1174"/>
    <w:link w:val="1267"/>
    <w:pPr>
      <w:numPr>
        <w:ilvl w:val="2"/>
        <w:numId w:val="4"/>
      </w:numPr>
      <w:keepNext/>
      <w:spacing w:before="240" w:after="60"/>
      <w:outlineLvl w:val="2"/>
    </w:pPr>
    <w:rPr>
      <w:b/>
      <w:bCs/>
      <w:sz w:val="28"/>
      <w:szCs w:val="28"/>
    </w:rPr>
  </w:style>
  <w:style w:type="paragraph" w:styleId="985" w:customStyle="1">
    <w:name w:val="Заголовок 41"/>
    <w:basedOn w:val="1174"/>
    <w:next w:val="1174"/>
    <w:link w:val="1300"/>
    <w:pPr>
      <w:numPr>
        <w:ilvl w:val="3"/>
        <w:numId w:val="4"/>
      </w:numPr>
      <w:keepNext/>
      <w:spacing w:before="240" w:after="60"/>
      <w:outlineLvl w:val="3"/>
    </w:pPr>
  </w:style>
  <w:style w:type="paragraph" w:styleId="986" w:customStyle="1">
    <w:name w:val="Заголовок 51"/>
    <w:basedOn w:val="1174"/>
    <w:next w:val="1174"/>
    <w:link w:val="1310"/>
    <w:pPr>
      <w:numPr>
        <w:ilvl w:val="4"/>
        <w:numId w:val="4"/>
      </w:numPr>
      <w:spacing w:before="240" w:after="60"/>
      <w:outlineLvl w:val="4"/>
    </w:pPr>
    <w:rPr>
      <w:b/>
      <w:bCs/>
      <w:i/>
      <w:iCs/>
    </w:rPr>
  </w:style>
  <w:style w:type="paragraph" w:styleId="987" w:customStyle="1">
    <w:name w:val="Заголовок 61"/>
    <w:basedOn w:val="930"/>
    <w:next w:val="930"/>
    <w:link w:val="1023"/>
    <w:pPr>
      <w:numPr>
        <w:ilvl w:val="5"/>
        <w:numId w:val="4"/>
      </w:numPr>
      <w:spacing w:before="240" w:after="60"/>
      <w:outlineLvl w:val="5"/>
    </w:pPr>
    <w:rPr>
      <w:b/>
      <w:bCs/>
      <w:sz w:val="22"/>
      <w:szCs w:val="22"/>
    </w:rPr>
  </w:style>
  <w:style w:type="paragraph" w:styleId="988" w:customStyle="1">
    <w:name w:val="Заголовок 71"/>
    <w:basedOn w:val="930"/>
    <w:next w:val="930"/>
    <w:link w:val="1024"/>
    <w:pPr>
      <w:numPr>
        <w:ilvl w:val="6"/>
        <w:numId w:val="4"/>
      </w:numPr>
      <w:spacing w:before="240" w:after="60"/>
      <w:outlineLvl w:val="6"/>
    </w:pPr>
  </w:style>
  <w:style w:type="paragraph" w:styleId="989" w:customStyle="1">
    <w:name w:val="Заголовок 81"/>
    <w:basedOn w:val="930"/>
    <w:next w:val="930"/>
    <w:link w:val="1025"/>
    <w:pPr>
      <w:numPr>
        <w:ilvl w:val="7"/>
        <w:numId w:val="4"/>
      </w:numPr>
      <w:spacing w:before="240" w:after="60"/>
      <w:outlineLvl w:val="7"/>
    </w:pPr>
    <w:rPr>
      <w:i/>
      <w:iCs/>
    </w:rPr>
  </w:style>
  <w:style w:type="paragraph" w:styleId="990" w:customStyle="1">
    <w:name w:val="Заголовок 91"/>
    <w:basedOn w:val="930"/>
    <w:next w:val="930"/>
    <w:link w:val="1026"/>
    <w:pPr>
      <w:numPr>
        <w:ilvl w:val="8"/>
        <w:numId w:val="4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table" w:styleId="991" w:customStyle="1">
    <w:name w:val="Таблица простая 11"/>
    <w:basedOn w:val="94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992" w:customStyle="1">
    <w:name w:val="Таблица простая 21"/>
    <w:basedOn w:val="94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993" w:customStyle="1">
    <w:name w:val="Таблица простая 31"/>
    <w:basedOn w:val="94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994" w:customStyle="1">
    <w:name w:val="Таблица простая 41"/>
    <w:basedOn w:val="94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95" w:customStyle="1">
    <w:name w:val="Таблица простая 51"/>
    <w:basedOn w:val="94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996" w:customStyle="1">
    <w:name w:val="Таблица-сетка 1 светлая1"/>
    <w:basedOn w:val="94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97" w:customStyle="1">
    <w:name w:val="Таблица-сетка 21"/>
    <w:basedOn w:val="94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8" w:customStyle="1">
    <w:name w:val="Таблица-сетка 31"/>
    <w:basedOn w:val="94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9" w:customStyle="1">
    <w:name w:val="Таблица-сетка 41"/>
    <w:basedOn w:val="94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1000" w:customStyle="1">
    <w:name w:val="Таблица-сетка 5 темная1"/>
    <w:basedOn w:val="94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1001" w:customStyle="1">
    <w:name w:val="Таблица-сетка 6 цветная1"/>
    <w:basedOn w:val="94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1002" w:customStyle="1">
    <w:name w:val="Таблица-сетка 7 цветная1"/>
    <w:basedOn w:val="94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3" w:customStyle="1">
    <w:name w:val="Список-таблица 1 светлая1"/>
    <w:basedOn w:val="941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4" w:customStyle="1">
    <w:name w:val="Список-таблица 21"/>
    <w:basedOn w:val="94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1005" w:customStyle="1">
    <w:name w:val="Список-таблица 31"/>
    <w:basedOn w:val="94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6" w:customStyle="1">
    <w:name w:val="Список-таблица 41"/>
    <w:basedOn w:val="94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7" w:customStyle="1">
    <w:name w:val="Список-таблица 5 темная1"/>
    <w:basedOn w:val="94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08" w:customStyle="1">
    <w:name w:val="Список-таблица 6 цветная1"/>
    <w:basedOn w:val="94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1009" w:customStyle="1">
    <w:name w:val="Список-таблица 7 цветная1"/>
    <w:basedOn w:val="94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character" w:styleId="1010" w:customStyle="1">
    <w:name w:val="Заголовок 6 Знак1"/>
    <w:basedOn w:val="940"/>
    <w:link w:val="936"/>
    <w:uiPriority w:val="9"/>
    <w:rPr>
      <w:rFonts w:ascii="Arial" w:hAnsi="Arial" w:eastAsia="Arial" w:cs="Arial"/>
      <w:b/>
      <w:bCs/>
      <w:sz w:val="22"/>
      <w:szCs w:val="22"/>
    </w:rPr>
  </w:style>
  <w:style w:type="character" w:styleId="1011" w:customStyle="1">
    <w:name w:val="Заголовок 7 Знак1"/>
    <w:basedOn w:val="940"/>
    <w:link w:val="93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1012" w:customStyle="1">
    <w:name w:val="Заголовок 8 Знак1"/>
    <w:basedOn w:val="940"/>
    <w:link w:val="938"/>
    <w:uiPriority w:val="9"/>
    <w:rPr>
      <w:rFonts w:ascii="Arial" w:hAnsi="Arial" w:eastAsia="Arial" w:cs="Arial"/>
      <w:i/>
      <w:iCs/>
      <w:sz w:val="22"/>
      <w:szCs w:val="22"/>
    </w:rPr>
  </w:style>
  <w:style w:type="character" w:styleId="1013" w:customStyle="1">
    <w:name w:val="Заголовок 9 Знак1"/>
    <w:basedOn w:val="940"/>
    <w:link w:val="939"/>
    <w:uiPriority w:val="9"/>
    <w:rPr>
      <w:rFonts w:ascii="Arial" w:hAnsi="Arial" w:eastAsia="Arial" w:cs="Arial"/>
      <w:i/>
      <w:iCs/>
      <w:sz w:val="21"/>
      <w:szCs w:val="21"/>
    </w:rPr>
  </w:style>
  <w:style w:type="character" w:styleId="1014" w:customStyle="1">
    <w:name w:val="Subtitle Char"/>
    <w:basedOn w:val="940"/>
    <w:uiPriority w:val="11"/>
    <w:rPr>
      <w:sz w:val="24"/>
      <w:szCs w:val="24"/>
    </w:rPr>
  </w:style>
  <w:style w:type="character" w:styleId="1015" w:customStyle="1">
    <w:name w:val="Quote Char"/>
    <w:uiPriority w:val="29"/>
    <w:rPr>
      <w:i/>
    </w:rPr>
  </w:style>
  <w:style w:type="character" w:styleId="1016" w:customStyle="1">
    <w:name w:val="Intense Quote Char"/>
    <w:uiPriority w:val="30"/>
    <w:rPr>
      <w:i/>
    </w:rPr>
  </w:style>
  <w:style w:type="character" w:styleId="1017" w:customStyle="1">
    <w:name w:val="Endnote Text Char"/>
    <w:uiPriority w:val="99"/>
    <w:rPr>
      <w:sz w:val="20"/>
    </w:rPr>
  </w:style>
  <w:style w:type="character" w:styleId="1018" w:customStyle="1">
    <w:name w:val="Заголовок 1 Знак1"/>
    <w:basedOn w:val="940"/>
    <w:link w:val="931"/>
    <w:uiPriority w:val="9"/>
    <w:rPr>
      <w:rFonts w:ascii="Arial" w:hAnsi="Arial" w:eastAsia="Arial" w:cs="Arial"/>
      <w:sz w:val="40"/>
      <w:szCs w:val="40"/>
    </w:rPr>
  </w:style>
  <w:style w:type="character" w:styleId="1019" w:customStyle="1">
    <w:name w:val="Заголовок 2 Знак1"/>
    <w:basedOn w:val="940"/>
    <w:link w:val="932"/>
    <w:uiPriority w:val="9"/>
    <w:rPr>
      <w:rFonts w:ascii="Arial" w:hAnsi="Arial" w:eastAsia="Arial" w:cs="Arial"/>
      <w:sz w:val="34"/>
    </w:rPr>
  </w:style>
  <w:style w:type="character" w:styleId="1020" w:customStyle="1">
    <w:name w:val="Заголовок 3 Знак1"/>
    <w:basedOn w:val="940"/>
    <w:link w:val="933"/>
    <w:uiPriority w:val="9"/>
    <w:rPr>
      <w:rFonts w:ascii="Arial" w:hAnsi="Arial" w:eastAsia="Arial" w:cs="Arial"/>
      <w:sz w:val="30"/>
      <w:szCs w:val="30"/>
    </w:rPr>
  </w:style>
  <w:style w:type="character" w:styleId="1021" w:customStyle="1">
    <w:name w:val="Заголовок 4 Знак1"/>
    <w:basedOn w:val="940"/>
    <w:link w:val="934"/>
    <w:uiPriority w:val="9"/>
    <w:rPr>
      <w:rFonts w:ascii="Arial" w:hAnsi="Arial" w:eastAsia="Arial" w:cs="Arial"/>
      <w:b/>
      <w:bCs/>
      <w:sz w:val="26"/>
      <w:szCs w:val="26"/>
    </w:rPr>
  </w:style>
  <w:style w:type="character" w:styleId="1022" w:customStyle="1">
    <w:name w:val="Заголовок 5 Знак1"/>
    <w:basedOn w:val="940"/>
    <w:link w:val="935"/>
    <w:uiPriority w:val="9"/>
    <w:rPr>
      <w:rFonts w:ascii="Arial" w:hAnsi="Arial" w:eastAsia="Arial" w:cs="Arial"/>
      <w:b/>
      <w:bCs/>
      <w:sz w:val="24"/>
      <w:szCs w:val="24"/>
    </w:rPr>
  </w:style>
  <w:style w:type="character" w:styleId="1023" w:customStyle="1">
    <w:name w:val="Заголовок 6 Знак"/>
    <w:basedOn w:val="940"/>
    <w:link w:val="987"/>
    <w:rPr>
      <w:b/>
      <w:bCs/>
      <w:sz w:val="22"/>
      <w:szCs w:val="22"/>
    </w:rPr>
  </w:style>
  <w:style w:type="character" w:styleId="1024" w:customStyle="1">
    <w:name w:val="Заголовок 7 Знак"/>
    <w:basedOn w:val="940"/>
    <w:link w:val="988"/>
  </w:style>
  <w:style w:type="character" w:styleId="1025" w:customStyle="1">
    <w:name w:val="Заголовок 8 Знак"/>
    <w:basedOn w:val="940"/>
    <w:link w:val="989"/>
    <w:rPr>
      <w:i/>
      <w:iCs/>
    </w:rPr>
  </w:style>
  <w:style w:type="character" w:styleId="1026" w:customStyle="1">
    <w:name w:val="Заголовок 9 Знак"/>
    <w:basedOn w:val="940"/>
    <w:link w:val="990"/>
    <w:rPr>
      <w:rFonts w:ascii="Arial" w:hAnsi="Arial" w:cs="Arial"/>
      <w:sz w:val="22"/>
      <w:szCs w:val="22"/>
    </w:rPr>
  </w:style>
  <w:style w:type="paragraph" w:styleId="1027">
    <w:name w:val="No Spacing"/>
    <w:uiPriority w:val="1"/>
    <w:qFormat/>
  </w:style>
  <w:style w:type="character" w:styleId="1028" w:customStyle="1">
    <w:name w:val="Title Char"/>
    <w:basedOn w:val="940"/>
    <w:uiPriority w:val="10"/>
    <w:rPr>
      <w:sz w:val="48"/>
      <w:szCs w:val="48"/>
    </w:rPr>
  </w:style>
  <w:style w:type="paragraph" w:styleId="1029">
    <w:name w:val="Subtitle"/>
    <w:basedOn w:val="930"/>
    <w:next w:val="930"/>
    <w:link w:val="1030"/>
    <w:uiPriority w:val="11"/>
    <w:qFormat/>
    <w:pPr>
      <w:spacing w:before="200" w:after="200"/>
    </w:pPr>
    <w:rPr>
      <w:sz w:val="24"/>
      <w:szCs w:val="24"/>
    </w:rPr>
  </w:style>
  <w:style w:type="character" w:styleId="1030" w:customStyle="1">
    <w:name w:val="Подзаголовок Знак"/>
    <w:basedOn w:val="940"/>
    <w:link w:val="1029"/>
    <w:uiPriority w:val="11"/>
    <w:rPr>
      <w:sz w:val="24"/>
      <w:szCs w:val="24"/>
    </w:rPr>
  </w:style>
  <w:style w:type="paragraph" w:styleId="1031">
    <w:name w:val="Quote"/>
    <w:basedOn w:val="930"/>
    <w:next w:val="930"/>
    <w:link w:val="1032"/>
    <w:uiPriority w:val="29"/>
    <w:qFormat/>
    <w:pPr>
      <w:ind w:left="720" w:right="720"/>
    </w:pPr>
    <w:rPr>
      <w:i/>
    </w:rPr>
  </w:style>
  <w:style w:type="character" w:styleId="1032" w:customStyle="1">
    <w:name w:val="Цитата 2 Знак"/>
    <w:link w:val="1031"/>
    <w:uiPriority w:val="29"/>
    <w:rPr>
      <w:i/>
    </w:rPr>
  </w:style>
  <w:style w:type="paragraph" w:styleId="1033">
    <w:name w:val="Intense Quote"/>
    <w:basedOn w:val="930"/>
    <w:next w:val="930"/>
    <w:link w:val="1034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1034" w:customStyle="1">
    <w:name w:val="Выделенная цитата Знак"/>
    <w:link w:val="1033"/>
    <w:uiPriority w:val="30"/>
    <w:rPr>
      <w:i/>
    </w:rPr>
  </w:style>
  <w:style w:type="character" w:styleId="1035" w:customStyle="1">
    <w:name w:val="Header Char"/>
    <w:basedOn w:val="940"/>
    <w:uiPriority w:val="99"/>
  </w:style>
  <w:style w:type="character" w:styleId="1036" w:customStyle="1">
    <w:name w:val="Footer Char"/>
    <w:basedOn w:val="940"/>
    <w:uiPriority w:val="99"/>
  </w:style>
  <w:style w:type="character" w:styleId="1037" w:customStyle="1">
    <w:name w:val="Caption Char"/>
    <w:uiPriority w:val="99"/>
  </w:style>
  <w:style w:type="table" w:styleId="1038" w:customStyle="1">
    <w:name w:val="Table Grid Light"/>
    <w:basedOn w:val="94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039" w:customStyle="1">
    <w:name w:val="Таблица простая 11"/>
    <w:basedOn w:val="94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1040" w:customStyle="1">
    <w:name w:val="Таблица простая 21"/>
    <w:basedOn w:val="94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1041" w:customStyle="1">
    <w:name w:val="Таблица простая 31"/>
    <w:basedOn w:val="94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1042" w:customStyle="1">
    <w:name w:val="Таблица простая 41"/>
    <w:basedOn w:val="94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43" w:customStyle="1">
    <w:name w:val="Таблица простая 51"/>
    <w:basedOn w:val="94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1044" w:customStyle="1">
    <w:name w:val="Таблица-сетка 1 светлая1"/>
    <w:basedOn w:val="94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45" w:customStyle="1">
    <w:name w:val="Grid Table 1 Light - Accent 1"/>
    <w:basedOn w:val="941"/>
    <w:uiPriority w:val="99"/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46" w:customStyle="1">
    <w:name w:val="Grid Table 1 Light - Accent 2"/>
    <w:basedOn w:val="941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47" w:customStyle="1">
    <w:name w:val="Grid Table 1 Light - Accent 3"/>
    <w:basedOn w:val="941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48" w:customStyle="1">
    <w:name w:val="Grid Table 1 Light - Accent 4"/>
    <w:basedOn w:val="941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49" w:customStyle="1">
    <w:name w:val="Grid Table 1 Light - Accent 5"/>
    <w:basedOn w:val="941"/>
    <w:uiPriority w:val="99"/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0" w:customStyle="1">
    <w:name w:val="Grid Table 1 Light - Accent 6"/>
    <w:basedOn w:val="941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1" w:customStyle="1">
    <w:name w:val="Таблица-сетка 21"/>
    <w:basedOn w:val="94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2" w:customStyle="1">
    <w:name w:val="Grid Table 2 - Accent 1"/>
    <w:basedOn w:val="941"/>
    <w:uiPriority w:val="99"/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37DC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37DC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3" w:customStyle="1">
    <w:name w:val="Grid Table 2 - Accent 2"/>
    <w:basedOn w:val="941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4" w:customStyle="1">
    <w:name w:val="Grid Table 2 - Accent 3"/>
    <w:basedOn w:val="941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5" w:customStyle="1">
    <w:name w:val="Grid Table 2 - Accent 4"/>
    <w:basedOn w:val="941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6" w:customStyle="1">
    <w:name w:val="Grid Table 2 - Accent 5"/>
    <w:basedOn w:val="941"/>
    <w:uiPriority w:val="99"/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7" w:customStyle="1">
    <w:name w:val="Grid Table 2 - Accent 6"/>
    <w:basedOn w:val="941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8" w:customStyle="1">
    <w:name w:val="Таблица-сетка 31"/>
    <w:basedOn w:val="94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9" w:customStyle="1">
    <w:name w:val="Grid Table 3 - Accent 1"/>
    <w:basedOn w:val="941"/>
    <w:uiPriority w:val="99"/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0" w:customStyle="1">
    <w:name w:val="Grid Table 3 - Accent 2"/>
    <w:basedOn w:val="941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1" w:customStyle="1">
    <w:name w:val="Grid Table 3 - Accent 3"/>
    <w:basedOn w:val="941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2" w:customStyle="1">
    <w:name w:val="Grid Table 3 - Accent 4"/>
    <w:basedOn w:val="941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3" w:customStyle="1">
    <w:name w:val="Grid Table 3 - Accent 5"/>
    <w:basedOn w:val="941"/>
    <w:uiPriority w:val="99"/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4" w:customStyle="1">
    <w:name w:val="Grid Table 3 - Accent 6"/>
    <w:basedOn w:val="941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5" w:customStyle="1">
    <w:name w:val="Таблица-сетка 41"/>
    <w:basedOn w:val="94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1066" w:customStyle="1">
    <w:name w:val="Grid Table 4 - Accent 1"/>
    <w:basedOn w:val="941"/>
    <w:uiPriority w:val="59"/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37dc8" w:themeColor="accent1" w:themeTint="EA" w:fill="537dc8" w:themeFill="accent1" w:themeFillTint="EA"/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</w:style>
  <w:style w:type="table" w:styleId="1067" w:customStyle="1">
    <w:name w:val="Grid Table 4 - Accent 2"/>
    <w:basedOn w:val="941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1068" w:customStyle="1">
    <w:name w:val="Grid Table 4 - Accent 3"/>
    <w:basedOn w:val="941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1069" w:customStyle="1">
    <w:name w:val="Grid Table 4 - Accent 4"/>
    <w:basedOn w:val="941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1070" w:customStyle="1">
    <w:name w:val="Grid Table 4 - Accent 5"/>
    <w:basedOn w:val="941"/>
    <w:uiPriority w:val="59"/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</w:style>
  <w:style w:type="table" w:styleId="1071" w:customStyle="1">
    <w:name w:val="Grid Table 4 - Accent 6"/>
    <w:basedOn w:val="941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1072" w:customStyle="1">
    <w:name w:val="Таблица-сетка 5 темная1"/>
    <w:basedOn w:val="94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1073" w:customStyle="1">
    <w:name w:val="Grid Table 5 Dark- Accent 1"/>
    <w:basedOn w:val="94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d8e2f3" w:themeFill="accent1" w:themeFillTint="34"/>
    </w:tblPr>
    <w:tblStylePr w:type="band1Horz">
      <w:tcPr>
        <w:shd w:val="clear" w:color="a9bee4" w:themeColor="accent1" w:themeTint="75" w:fill="a9bee4" w:themeFill="accent1" w:themeFillTint="75"/>
      </w:tcPr>
    </w:tblStylePr>
    <w:tblStylePr w:type="band1Vert">
      <w:tcPr>
        <w:shd w:val="clear" w:color="a9bee4" w:themeColor="accent1" w:themeTint="75" w:fill="a9bee4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  <w:tcBorders>
          <w:top w:val="single" w:color="FFFFFF" w:themeColor="light1" w:sz="4" w:space="0"/>
        </w:tcBorders>
      </w:tcPr>
    </w:tblStylePr>
  </w:style>
  <w:style w:type="table" w:styleId="1074" w:customStyle="1">
    <w:name w:val="Grid Table 5 Dark - Accent 2"/>
    <w:basedOn w:val="94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1075" w:customStyle="1">
    <w:name w:val="Grid Table 5 Dark - Accent 3"/>
    <w:basedOn w:val="94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1076" w:customStyle="1">
    <w:name w:val="Grid Table 5 Dark- Accent 4"/>
    <w:basedOn w:val="94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1077" w:customStyle="1">
    <w:name w:val="Grid Table 5 Dark - Accent 5"/>
    <w:basedOn w:val="94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</w:tblPr>
    <w:tblStylePr w:type="band1Horz">
      <w:tcPr>
        <w:shd w:val="clear" w:color="b3d0eb" w:themeColor="accent5" w:themeTint="75" w:fill="b3d0eb" w:themeFill="accent5" w:themeFillTint="75"/>
      </w:tcPr>
    </w:tblStylePr>
    <w:tblStylePr w:type="band1Vert">
      <w:tcPr>
        <w:shd w:val="clear" w:color="b3d0eb" w:themeColor="accent5" w:themeTint="75" w:fill="b3d0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FFFFFF" w:themeColor="light1" w:sz="4" w:space="0"/>
        </w:tcBorders>
      </w:tcPr>
    </w:tblStylePr>
  </w:style>
  <w:style w:type="table" w:styleId="1078" w:customStyle="1">
    <w:name w:val="Grid Table 5 Dark - Accent 6"/>
    <w:basedOn w:val="94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1079" w:customStyle="1">
    <w:name w:val="Таблица-сетка 6 цветная1"/>
    <w:basedOn w:val="94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1080" w:customStyle="1">
    <w:name w:val="Grid Table 6 Colorful - Accent 1"/>
    <w:basedOn w:val="941"/>
    <w:uiPriority w:val="99"/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b/>
        <w:color w:val="a0b7e1" w:themeColor="accent1" w:themeTint="80" w:themeShade="95"/>
      </w:rPr>
    </w:tblStylePr>
    <w:tblStylePr w:type="firstRow">
      <w:rPr>
        <w:b/>
        <w:color w:val="a0b7e1" w:themeColor="accent1" w:themeTint="80" w:themeShade="95"/>
      </w:rPr>
      <w:tcPr>
        <w:tcBorders>
          <w:bottom w:val="single" w:color="A0B7E1" w:themeColor="accent1" w:themeTint="80" w:sz="12" w:space="0"/>
        </w:tcBorders>
      </w:tcPr>
    </w:tblStylePr>
    <w:tblStylePr w:type="lastCol">
      <w:rPr>
        <w:b/>
        <w:color w:val="a0b7e1" w:themeColor="accent1" w:themeTint="80" w:themeShade="95"/>
      </w:rPr>
    </w:tblStylePr>
    <w:tblStylePr w:type="lastRow">
      <w:rPr>
        <w:b/>
        <w:color w:val="a0b7e1" w:themeColor="accent1" w:themeTint="80" w:themeShade="95"/>
      </w:rPr>
    </w:tblStylePr>
  </w:style>
  <w:style w:type="table" w:styleId="1081" w:customStyle="1">
    <w:name w:val="Grid Table 6 Colorful - Accent 2"/>
    <w:basedOn w:val="941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1082" w:customStyle="1">
    <w:name w:val="Grid Table 6 Colorful - Accent 3"/>
    <w:basedOn w:val="941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1083" w:customStyle="1">
    <w:name w:val="Grid Table 6 Colorful - Accent 4"/>
    <w:basedOn w:val="941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1084" w:customStyle="1">
    <w:name w:val="Grid Table 6 Colorful - Accent 5"/>
    <w:basedOn w:val="941"/>
    <w:uiPriority w:val="99"/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1085" w:customStyle="1">
    <w:name w:val="Grid Table 6 Colorful - Accent 6"/>
    <w:basedOn w:val="941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1086" w:customStyle="1">
    <w:name w:val="Таблица-сетка 7 цветная1"/>
    <w:basedOn w:val="94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87" w:customStyle="1">
    <w:name w:val="Grid Table 7 Colorful - Accent 1"/>
    <w:basedOn w:val="941"/>
    <w:uiPriority w:val="99"/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rFonts w:ascii="Arial" w:hAnsi="Arial"/>
        <w:i/>
        <w:color w:val="a0b7e1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0B7E1" w:themeColor="accent1" w:themeTint="80" w:sz="4" w:space="0"/>
        </w:tcBorders>
      </w:tcPr>
    </w:tblStylePr>
    <w:tblStylePr w:type="fir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0B7E1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0B7E1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0B7E1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88" w:customStyle="1">
    <w:name w:val="Grid Table 7 Colorful - Accent 2"/>
    <w:basedOn w:val="941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89" w:customStyle="1">
    <w:name w:val="Grid Table 7 Colorful - Accent 3"/>
    <w:basedOn w:val="941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90" w:customStyle="1">
    <w:name w:val="Grid Table 7 Colorful - Accent 4"/>
    <w:basedOn w:val="941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91" w:customStyle="1">
    <w:name w:val="Grid Table 7 Colorful - Accent 5"/>
    <w:basedOn w:val="941"/>
    <w:uiPriority w:val="99"/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rFonts w:ascii="Arial" w:hAnsi="Arial"/>
        <w:i/>
        <w:color w:val="245a8d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2C6E7" w:themeColor="accent5" w:themeTint="90" w:sz="4" w:space="0"/>
        </w:tcBorders>
      </w:tcPr>
    </w:tblStylePr>
    <w:tblStylePr w:type="fir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2C6E7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A2C6E7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single" w:color="A2C6E7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92" w:customStyle="1">
    <w:name w:val="Grid Table 7 Colorful - Accent 6"/>
    <w:basedOn w:val="941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93" w:customStyle="1">
    <w:name w:val="Список-таблица 1 светлая1"/>
    <w:basedOn w:val="941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4" w:customStyle="1">
    <w:name w:val="List Table 1 Light - Accent 1"/>
    <w:basedOn w:val="941"/>
    <w:uiPriority w:val="99"/>
    <w:tblPr>
      <w:tblStyleRowBandSize w:val="1"/>
      <w:tblStyleColBandSize w:val="1"/>
    </w:tblPr>
    <w:tblStylePr w:type="band1Horz"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5" w:customStyle="1">
    <w:name w:val="List Table 1 Light - Accent 2"/>
    <w:basedOn w:val="941"/>
    <w:uiPriority w:val="99"/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6" w:customStyle="1">
    <w:name w:val="List Table 1 Light - Accent 3"/>
    <w:basedOn w:val="941"/>
    <w:uiPriority w:val="99"/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7" w:customStyle="1">
    <w:name w:val="List Table 1 Light - Accent 4"/>
    <w:basedOn w:val="941"/>
    <w:uiPriority w:val="99"/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8" w:customStyle="1">
    <w:name w:val="List Table 1 Light - Accent 5"/>
    <w:basedOn w:val="941"/>
    <w:uiPriority w:val="99"/>
    <w:tblPr>
      <w:tblStyleRowBandSize w:val="1"/>
      <w:tblStyleColBandSize w:val="1"/>
    </w:tblPr>
    <w:tblStylePr w:type="band1Horz"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9" w:customStyle="1">
    <w:name w:val="List Table 1 Light - Accent 6"/>
    <w:basedOn w:val="941"/>
    <w:uiPriority w:val="99"/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0" w:customStyle="1">
    <w:name w:val="Список-таблица 21"/>
    <w:basedOn w:val="94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1101" w:customStyle="1">
    <w:name w:val="List Table 2 - Accent 1"/>
    <w:basedOn w:val="941"/>
    <w:uiPriority w:val="99"/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</w:style>
  <w:style w:type="table" w:styleId="1102" w:customStyle="1">
    <w:name w:val="List Table 2 - Accent 2"/>
    <w:basedOn w:val="941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1103" w:customStyle="1">
    <w:name w:val="List Table 2 - Accent 3"/>
    <w:basedOn w:val="941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1104" w:customStyle="1">
    <w:name w:val="List Table 2 - Accent 4"/>
    <w:basedOn w:val="941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1105" w:customStyle="1">
    <w:name w:val="List Table 2 - Accent 5"/>
    <w:basedOn w:val="941"/>
    <w:uiPriority w:val="99"/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</w:style>
  <w:style w:type="table" w:styleId="1106" w:customStyle="1">
    <w:name w:val="List Table 2 - Accent 6"/>
    <w:basedOn w:val="941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1107" w:customStyle="1">
    <w:name w:val="Список-таблица 31"/>
    <w:basedOn w:val="94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08" w:customStyle="1">
    <w:name w:val="List Table 3 - Accent 1"/>
    <w:basedOn w:val="941"/>
    <w:uiPriority w:val="99"/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09" w:customStyle="1">
    <w:name w:val="List Table 3 - Accent 2"/>
    <w:basedOn w:val="941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10" w:customStyle="1">
    <w:name w:val="List Table 3 - Accent 3"/>
    <w:basedOn w:val="941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11" w:customStyle="1">
    <w:name w:val="List Table 3 - Accent 4"/>
    <w:basedOn w:val="941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12" w:customStyle="1">
    <w:name w:val="List Table 3 - Accent 5"/>
    <w:basedOn w:val="941"/>
    <w:uiPriority w:val="99"/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13" w:customStyle="1">
    <w:name w:val="List Table 3 - Accent 6"/>
    <w:basedOn w:val="941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14" w:customStyle="1">
    <w:name w:val="Список-таблица 41"/>
    <w:basedOn w:val="94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15" w:customStyle="1">
    <w:name w:val="List Table 4 - Accent 1"/>
    <w:basedOn w:val="941"/>
    <w:uiPriority w:val="99"/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16" w:customStyle="1">
    <w:name w:val="List Table 4 - Accent 2"/>
    <w:basedOn w:val="941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17" w:customStyle="1">
    <w:name w:val="List Table 4 - Accent 3"/>
    <w:basedOn w:val="941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18" w:customStyle="1">
    <w:name w:val="List Table 4 - Accent 4"/>
    <w:basedOn w:val="941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19" w:customStyle="1">
    <w:name w:val="List Table 4 - Accent 5"/>
    <w:basedOn w:val="941"/>
    <w:uiPriority w:val="99"/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20" w:customStyle="1">
    <w:name w:val="List Table 4 - Accent 6"/>
    <w:basedOn w:val="941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21" w:customStyle="1">
    <w:name w:val="Список-таблица 5 темная1"/>
    <w:basedOn w:val="94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122" w:customStyle="1">
    <w:name w:val="List Table 5 Dark - Accent 1"/>
    <w:basedOn w:val="941"/>
    <w:uiPriority w:val="99"/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4472c4" w:themeFill="accent1"/>
    </w:tblPr>
    <w:tblStylePr w:type="band1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472c4" w:themeColor="accent1" w:fill="4472c4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472c4" w:themeColor="accent1" w:fill="4472c4" w:themeFill="accent1"/>
        <w:tcBorders>
          <w:top w:val="single" w:color="4472C4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123" w:customStyle="1">
    <w:name w:val="List Table 5 Dark - Accent 2"/>
    <w:basedOn w:val="941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124" w:customStyle="1">
    <w:name w:val="List Table 5 Dark - Accent 3"/>
    <w:basedOn w:val="941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125" w:customStyle="1">
    <w:name w:val="List Table 5 Dark - Accent 4"/>
    <w:basedOn w:val="941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126" w:customStyle="1">
    <w:name w:val="List Table 5 Dark - Accent 5"/>
    <w:basedOn w:val="941"/>
    <w:uiPriority w:val="99"/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</w:tblPr>
    <w:tblStylePr w:type="band1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bc2e5" w:themeColor="accent5" w:themeTint="9A" w:fill="9bc2e5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bc2e5" w:themeColor="accent5" w:themeTint="9A" w:fill="9bc2e5" w:themeFill="accent5" w:themeFillTint="9A"/>
        <w:tcBorders>
          <w:top w:val="single" w:color="9BC2E5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127" w:customStyle="1">
    <w:name w:val="List Table 5 Dark - Accent 6"/>
    <w:basedOn w:val="941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128" w:customStyle="1">
    <w:name w:val="Список-таблица 6 цветная1"/>
    <w:basedOn w:val="94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1129" w:customStyle="1">
    <w:name w:val="List Table 6 Colorful - Accent 1"/>
    <w:basedOn w:val="941"/>
    <w:uiPriority w:val="99"/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b/>
        <w:color w:val="254175" w:themeColor="accent1" w:themeShade="95"/>
      </w:rPr>
    </w:tblStylePr>
    <w:tblStylePr w:type="firstRow">
      <w:rPr>
        <w:b/>
        <w:color w:val="254175" w:themeColor="accent1" w:themeShade="95"/>
      </w:rPr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</w:tblStylePr>
    <w:tblStylePr w:type="lastRow">
      <w:rPr>
        <w:b/>
        <w:color w:val="254175" w:themeColor="accent1" w:themeShade="95"/>
      </w:rPr>
      <w:tcPr>
        <w:tcBorders>
          <w:top w:val="single" w:color="4472C4" w:themeColor="accent1" w:sz="4" w:space="0"/>
        </w:tcBorders>
      </w:tcPr>
    </w:tblStylePr>
  </w:style>
  <w:style w:type="table" w:styleId="1130" w:customStyle="1">
    <w:name w:val="List Table 6 Colorful - Accent 2"/>
    <w:basedOn w:val="941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1131" w:customStyle="1">
    <w:name w:val="List Table 6 Colorful - Accent 3"/>
    <w:basedOn w:val="941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1132" w:customStyle="1">
    <w:name w:val="List Table 6 Colorful - Accent 4"/>
    <w:basedOn w:val="941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1133" w:customStyle="1">
    <w:name w:val="List Table 6 Colorful - Accent 5"/>
    <w:basedOn w:val="941"/>
    <w:uiPriority w:val="99"/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b/>
        <w:color w:val="9bc2e5" w:themeColor="accent5" w:themeTint="9A" w:themeShade="95"/>
      </w:rPr>
    </w:tblStylePr>
    <w:tblStylePr w:type="firstRow">
      <w:rPr>
        <w:b/>
        <w:color w:val="9bc2e5" w:themeColor="accent5" w:themeTint="9A" w:themeShade="95"/>
      </w:rPr>
      <w:tcPr>
        <w:tcBorders>
          <w:bottom w:val="single" w:color="9BC2E5" w:themeColor="accent5" w:themeTint="9A" w:sz="4" w:space="0"/>
        </w:tcBorders>
      </w:tcPr>
    </w:tblStylePr>
    <w:tblStylePr w:type="lastCol">
      <w:rPr>
        <w:b/>
        <w:color w:val="9bc2e5" w:themeColor="accent5" w:themeTint="9A" w:themeShade="95"/>
      </w:rPr>
    </w:tblStylePr>
    <w:tblStylePr w:type="lastRow">
      <w:rPr>
        <w:b/>
        <w:color w:val="9bc2e5" w:themeColor="accent5" w:themeTint="9A" w:themeShade="95"/>
      </w:rPr>
      <w:tcPr>
        <w:tcBorders>
          <w:top w:val="single" w:color="9BC2E5" w:themeColor="accent5" w:themeTint="9A" w:sz="4" w:space="0"/>
        </w:tcBorders>
      </w:tcPr>
    </w:tblStylePr>
  </w:style>
  <w:style w:type="table" w:styleId="1134" w:customStyle="1">
    <w:name w:val="List Table 6 Colorful - Accent 6"/>
    <w:basedOn w:val="941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1135" w:customStyle="1">
    <w:name w:val="Список-таблица 7 цветная1"/>
    <w:basedOn w:val="94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136" w:customStyle="1">
    <w:name w:val="List Table 7 Colorful - Accent 1"/>
    <w:basedOn w:val="941"/>
    <w:uiPriority w:val="99"/>
    <w:tblPr>
      <w:tblStyleRowBandSize w:val="1"/>
      <w:tblStyleColBandSize w:val="1"/>
      <w:tblBorders>
        <w:right w:val="single" w:color="4472C4" w:themeColor="accent1" w:sz="4" w:space="0"/>
      </w:tblBorders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rFonts w:ascii="Arial" w:hAnsi="Arial"/>
        <w:i/>
        <w:color w:val="254175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472C4" w:themeColor="accent1" w:sz="4" w:space="0"/>
        </w:tcBorders>
      </w:tcPr>
    </w:tblStylePr>
    <w:tblStylePr w:type="fir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472C4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472C4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single" w:color="4472C4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137" w:customStyle="1">
    <w:name w:val="List Table 7 Colorful - Accent 2"/>
    <w:basedOn w:val="941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138" w:customStyle="1">
    <w:name w:val="List Table 7 Colorful - Accent 3"/>
    <w:basedOn w:val="941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139" w:customStyle="1">
    <w:name w:val="List Table 7 Colorful - Accent 4"/>
    <w:basedOn w:val="941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140" w:customStyle="1">
    <w:name w:val="List Table 7 Colorful - Accent 5"/>
    <w:basedOn w:val="941"/>
    <w:uiPriority w:val="99"/>
    <w:tblPr>
      <w:tblStyleRowBandSize w:val="1"/>
      <w:tblStyleColBandSize w:val="1"/>
      <w:tblBorders>
        <w:right w:val="single" w:color="9BC2E5" w:themeColor="accent5" w:themeTint="9A" w:sz="4" w:space="0"/>
      </w:tblBorders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rFonts w:ascii="Arial" w:hAnsi="Arial"/>
        <w:i/>
        <w:color w:val="9bc2e5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BC2E5" w:themeColor="accent5" w:themeTint="9A" w:sz="4" w:space="0"/>
        </w:tcBorders>
      </w:tcPr>
    </w:tblStylePr>
    <w:tblStylePr w:type="fir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BC2E5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BC2E5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BC2E5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141" w:customStyle="1">
    <w:name w:val="List Table 7 Colorful - Accent 6"/>
    <w:basedOn w:val="941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142" w:customStyle="1">
    <w:name w:val="Lined - Accent"/>
    <w:basedOn w:val="94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143" w:customStyle="1">
    <w:name w:val="Lined - Accent 1"/>
    <w:basedOn w:val="94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1144" w:customStyle="1">
    <w:name w:val="Lined - Accent 2"/>
    <w:basedOn w:val="94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1145" w:customStyle="1">
    <w:name w:val="Lined - Accent 3"/>
    <w:basedOn w:val="94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1146" w:customStyle="1">
    <w:name w:val="Lined - Accent 4"/>
    <w:basedOn w:val="94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1147" w:customStyle="1">
    <w:name w:val="Lined - Accent 5"/>
    <w:basedOn w:val="94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1148" w:customStyle="1">
    <w:name w:val="Lined - Accent 6"/>
    <w:basedOn w:val="94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1149" w:customStyle="1">
    <w:name w:val="Bordered &amp; Lined - Accent"/>
    <w:basedOn w:val="94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150" w:customStyle="1">
    <w:name w:val="Bordered &amp; Lined - Accent 1"/>
    <w:basedOn w:val="94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1151" w:customStyle="1">
    <w:name w:val="Bordered &amp; Lined - Accent 2"/>
    <w:basedOn w:val="94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1152" w:customStyle="1">
    <w:name w:val="Bordered &amp; Lined - Accent 3"/>
    <w:basedOn w:val="94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1153" w:customStyle="1">
    <w:name w:val="Bordered &amp; Lined - Accent 4"/>
    <w:basedOn w:val="94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1154" w:customStyle="1">
    <w:name w:val="Bordered &amp; Lined - Accent 5"/>
    <w:basedOn w:val="94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1155" w:customStyle="1">
    <w:name w:val="Bordered &amp; Lined - Accent 6"/>
    <w:basedOn w:val="94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1156" w:customStyle="1">
    <w:name w:val="Bordered"/>
    <w:basedOn w:val="94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1157" w:customStyle="1">
    <w:name w:val="Bordered - Accent 1"/>
    <w:basedOn w:val="941"/>
    <w:uiPriority w:val="99"/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472C4" w:themeColor="accent1" w:sz="12" w:space="0"/>
        </w:tcBorders>
      </w:tcPr>
    </w:tblStylePr>
  </w:style>
  <w:style w:type="table" w:styleId="1158" w:customStyle="1">
    <w:name w:val="Bordered - Accent 2"/>
    <w:basedOn w:val="941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1159" w:customStyle="1">
    <w:name w:val="Bordered - Accent 3"/>
    <w:basedOn w:val="941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1160" w:customStyle="1">
    <w:name w:val="Bordered - Accent 4"/>
    <w:basedOn w:val="941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1161" w:customStyle="1">
    <w:name w:val="Bordered - Accent 5"/>
    <w:basedOn w:val="941"/>
    <w:uiPriority w:val="99"/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</w:style>
  <w:style w:type="table" w:styleId="1162" w:customStyle="1">
    <w:name w:val="Bordered - Accent 6"/>
    <w:basedOn w:val="941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1163" w:customStyle="1">
    <w:name w:val="Footnote Text Char"/>
    <w:uiPriority w:val="99"/>
    <w:rPr>
      <w:sz w:val="18"/>
    </w:rPr>
  </w:style>
  <w:style w:type="character" w:styleId="1164">
    <w:name w:val="footnote reference"/>
    <w:basedOn w:val="940"/>
    <w:uiPriority w:val="99"/>
    <w:unhideWhenUsed/>
    <w:rPr>
      <w:vertAlign w:val="superscript"/>
    </w:rPr>
  </w:style>
  <w:style w:type="paragraph" w:styleId="1165">
    <w:name w:val="endnote text"/>
    <w:basedOn w:val="930"/>
    <w:link w:val="1166"/>
    <w:uiPriority w:val="99"/>
    <w:semiHidden/>
    <w:unhideWhenUsed/>
    <w:rPr>
      <w:sz w:val="20"/>
    </w:rPr>
  </w:style>
  <w:style w:type="character" w:styleId="1166" w:customStyle="1">
    <w:name w:val="Текст концевой сноски Знак"/>
    <w:link w:val="1165"/>
    <w:uiPriority w:val="99"/>
    <w:rPr>
      <w:sz w:val="20"/>
    </w:rPr>
  </w:style>
  <w:style w:type="character" w:styleId="1167">
    <w:name w:val="endnote reference"/>
    <w:basedOn w:val="940"/>
    <w:uiPriority w:val="99"/>
    <w:semiHidden/>
    <w:unhideWhenUsed/>
    <w:rPr>
      <w:vertAlign w:val="superscript"/>
    </w:rPr>
  </w:style>
  <w:style w:type="paragraph" w:styleId="1168">
    <w:name w:val="toc 5"/>
    <w:basedOn w:val="930"/>
    <w:next w:val="930"/>
    <w:uiPriority w:val="39"/>
    <w:unhideWhenUsed/>
    <w:pPr>
      <w:ind w:left="1134" w:firstLine="0"/>
      <w:spacing w:after="57"/>
    </w:pPr>
  </w:style>
  <w:style w:type="paragraph" w:styleId="1169">
    <w:name w:val="toc 6"/>
    <w:basedOn w:val="930"/>
    <w:next w:val="930"/>
    <w:uiPriority w:val="39"/>
    <w:unhideWhenUsed/>
    <w:pPr>
      <w:ind w:left="1417" w:firstLine="0"/>
      <w:spacing w:after="57"/>
    </w:pPr>
  </w:style>
  <w:style w:type="paragraph" w:styleId="1170">
    <w:name w:val="toc 7"/>
    <w:basedOn w:val="930"/>
    <w:next w:val="930"/>
    <w:uiPriority w:val="39"/>
    <w:unhideWhenUsed/>
    <w:pPr>
      <w:ind w:left="1701" w:firstLine="0"/>
      <w:spacing w:after="57"/>
    </w:pPr>
  </w:style>
  <w:style w:type="paragraph" w:styleId="1171">
    <w:name w:val="toc 8"/>
    <w:basedOn w:val="930"/>
    <w:next w:val="930"/>
    <w:uiPriority w:val="39"/>
    <w:unhideWhenUsed/>
    <w:pPr>
      <w:ind w:left="1984" w:firstLine="0"/>
      <w:spacing w:after="57"/>
    </w:pPr>
  </w:style>
  <w:style w:type="paragraph" w:styleId="1172">
    <w:name w:val="toc 9"/>
    <w:basedOn w:val="930"/>
    <w:next w:val="930"/>
    <w:uiPriority w:val="39"/>
    <w:unhideWhenUsed/>
    <w:pPr>
      <w:ind w:left="2268" w:firstLine="0"/>
      <w:spacing w:after="57"/>
    </w:pPr>
  </w:style>
  <w:style w:type="paragraph" w:styleId="1173">
    <w:name w:val="table of figures"/>
    <w:basedOn w:val="930"/>
    <w:next w:val="930"/>
    <w:uiPriority w:val="99"/>
    <w:unhideWhenUsed/>
  </w:style>
  <w:style w:type="paragraph" w:styleId="1174" w:customStyle="1">
    <w:name w:val="Обычный1"/>
    <w:basedOn w:val="930"/>
    <w:link w:val="1175"/>
    <w:pPr>
      <w:ind w:firstLine="851"/>
      <w:jc w:val="both"/>
      <w:spacing w:line="360" w:lineRule="auto"/>
    </w:pPr>
  </w:style>
  <w:style w:type="character" w:styleId="1175" w:customStyle="1">
    <w:name w:val="Обычный Char Char"/>
    <w:link w:val="1174"/>
    <w:rPr>
      <w:sz w:val="24"/>
      <w:szCs w:val="24"/>
      <w:lang w:val="ru-RU" w:eastAsia="ru-RU" w:bidi="ar-SA"/>
    </w:rPr>
  </w:style>
  <w:style w:type="paragraph" w:styleId="1176">
    <w:name w:val="Document Map"/>
    <w:basedOn w:val="930"/>
    <w:semiHidden/>
    <w:pPr>
      <w:shd w:val="clear" w:color="auto" w:fill="000080"/>
    </w:pPr>
    <w:rPr>
      <w:rFonts w:ascii="Tahoma" w:hAnsi="Tahoma" w:cs="Tahoma"/>
    </w:rPr>
  </w:style>
  <w:style w:type="character" w:styleId="1177">
    <w:name w:val="Hyperlink"/>
    <w:uiPriority w:val="99"/>
    <w:rPr>
      <w:color w:val="0000ff"/>
      <w:u w:val="single"/>
    </w:rPr>
  </w:style>
  <w:style w:type="paragraph" w:styleId="1178">
    <w:name w:val="toc 1"/>
    <w:basedOn w:val="930"/>
    <w:next w:val="930"/>
    <w:uiPriority w:val="39"/>
    <w:pPr>
      <w:tabs>
        <w:tab w:val="right" w:pos="9061" w:leader="none"/>
      </w:tabs>
    </w:pPr>
  </w:style>
  <w:style w:type="paragraph" w:styleId="1179">
    <w:name w:val="toc 2"/>
    <w:basedOn w:val="930"/>
    <w:next w:val="930"/>
    <w:uiPriority w:val="39"/>
    <w:pPr>
      <w:ind w:left="240"/>
    </w:pPr>
  </w:style>
  <w:style w:type="paragraph" w:styleId="1180">
    <w:name w:val="toc 3"/>
    <w:basedOn w:val="930"/>
    <w:next w:val="930"/>
    <w:uiPriority w:val="39"/>
    <w:pPr>
      <w:ind w:left="480"/>
    </w:pPr>
  </w:style>
  <w:style w:type="paragraph" w:styleId="1181" w:customStyle="1">
    <w:name w:val="ЗАГОЛОВОК (титульная)"/>
    <w:basedOn w:val="1174"/>
    <w:next w:val="1174"/>
    <w:pPr>
      <w:ind w:firstLine="0"/>
      <w:jc w:val="center"/>
      <w:outlineLvl w:val="0"/>
    </w:pPr>
    <w:rPr>
      <w:b/>
      <w:bCs/>
      <w:caps/>
      <w:sz w:val="28"/>
      <w:szCs w:val="28"/>
    </w:rPr>
  </w:style>
  <w:style w:type="paragraph" w:styleId="1182" w:customStyle="1">
    <w:name w:val="Подзаголовок (титульная)"/>
    <w:basedOn w:val="1174"/>
    <w:next w:val="1174"/>
    <w:pPr>
      <w:ind w:firstLine="0"/>
      <w:jc w:val="center"/>
    </w:pPr>
    <w:rPr>
      <w:b/>
      <w:sz w:val="28"/>
    </w:rPr>
  </w:style>
  <w:style w:type="character" w:styleId="1183">
    <w:name w:val="page number"/>
    <w:basedOn w:val="940"/>
  </w:style>
  <w:style w:type="paragraph" w:styleId="1184" w:customStyle="1">
    <w:name w:val="Комментарии"/>
    <w:basedOn w:val="1174"/>
    <w:link w:val="1185"/>
    <w:rPr>
      <w:color w:val="ff9900"/>
    </w:rPr>
  </w:style>
  <w:style w:type="character" w:styleId="1185" w:customStyle="1">
    <w:name w:val="Комментарии Char Char"/>
    <w:link w:val="1184"/>
    <w:rPr>
      <w:color w:val="ff9900"/>
      <w:sz w:val="24"/>
      <w:szCs w:val="24"/>
      <w:lang w:val="ru-RU" w:eastAsia="ru-RU" w:bidi="ar-SA"/>
    </w:rPr>
  </w:style>
  <w:style w:type="paragraph" w:styleId="1186" w:customStyle="1">
    <w:name w:val="Рисунок"/>
    <w:basedOn w:val="1174"/>
    <w:next w:val="1174"/>
    <w:pPr>
      <w:ind w:firstLine="0"/>
      <w:jc w:val="center"/>
      <w:keepNext/>
    </w:pPr>
  </w:style>
  <w:style w:type="paragraph" w:styleId="1187" w:customStyle="1">
    <w:name w:val="Рисунок подпись"/>
    <w:basedOn w:val="1174"/>
    <w:next w:val="1174"/>
    <w:pPr>
      <w:ind w:firstLine="0"/>
      <w:jc w:val="center"/>
    </w:pPr>
    <w:rPr>
      <w:b/>
      <w:lang w:val="en-US"/>
    </w:rPr>
  </w:style>
  <w:style w:type="paragraph" w:styleId="1188" w:customStyle="1">
    <w:name w:val="Таблица название таблицы"/>
    <w:basedOn w:val="1174"/>
    <w:next w:val="1174"/>
    <w:pPr>
      <w:ind w:firstLine="0"/>
      <w:keepNext/>
    </w:pPr>
    <w:rPr>
      <w:b/>
    </w:rPr>
  </w:style>
  <w:style w:type="paragraph" w:styleId="1189" w:customStyle="1">
    <w:name w:val="Таблица название столбцов"/>
    <w:basedOn w:val="1188"/>
    <w:next w:val="1174"/>
    <w:pPr>
      <w:jc w:val="center"/>
      <w:spacing w:before="120" w:after="120"/>
    </w:pPr>
  </w:style>
  <w:style w:type="paragraph" w:styleId="1190" w:customStyle="1">
    <w:name w:val="Таблица текст"/>
    <w:basedOn w:val="1174"/>
    <w:pPr>
      <w:ind w:firstLine="0"/>
      <w:jc w:val="left"/>
      <w:spacing w:line="240" w:lineRule="auto"/>
    </w:pPr>
  </w:style>
  <w:style w:type="paragraph" w:styleId="1191" w:customStyle="1">
    <w:name w:val="Список 21"/>
    <w:basedOn w:val="1174"/>
    <w:pPr>
      <w:numPr>
        <w:ilvl w:val="0"/>
        <w:numId w:val="1"/>
      </w:numPr>
    </w:pPr>
    <w:rPr>
      <w:lang w:val="en-US"/>
    </w:rPr>
  </w:style>
  <w:style w:type="paragraph" w:styleId="1192" w:customStyle="1">
    <w:name w:val="Список 31"/>
    <w:basedOn w:val="1174"/>
    <w:pPr>
      <w:numPr>
        <w:ilvl w:val="0"/>
        <w:numId w:val="2"/>
      </w:numPr>
    </w:pPr>
  </w:style>
  <w:style w:type="paragraph" w:styleId="1193" w:customStyle="1">
    <w:name w:val="ЗАГОЛОВОК ПРИЛОЖЕНИЯ"/>
    <w:basedOn w:val="982"/>
    <w:next w:val="930"/>
    <w:pPr>
      <w:numPr>
        <w:ilvl w:val="0"/>
        <w:numId w:val="0"/>
      </w:numPr>
      <w:jc w:val="center"/>
    </w:pPr>
  </w:style>
  <w:style w:type="paragraph" w:styleId="1194" w:customStyle="1">
    <w:name w:val="Подзаголовок приложения"/>
    <w:basedOn w:val="1174"/>
    <w:next w:val="1174"/>
    <w:link w:val="1195"/>
    <w:pPr>
      <w:ind w:firstLine="0"/>
      <w:jc w:val="center"/>
    </w:pPr>
    <w:rPr>
      <w:b/>
      <w:sz w:val="28"/>
      <w:szCs w:val="28"/>
    </w:rPr>
  </w:style>
  <w:style w:type="character" w:styleId="1195" w:customStyle="1">
    <w:name w:val="Подзаголовок приложения Char Char"/>
    <w:link w:val="1194"/>
    <w:rPr>
      <w:b/>
      <w:sz w:val="28"/>
      <w:szCs w:val="28"/>
      <w:lang w:val="ru-RU" w:eastAsia="ru-RU" w:bidi="ar-SA"/>
    </w:rPr>
  </w:style>
  <w:style w:type="paragraph" w:styleId="1196" w:customStyle="1">
    <w:name w:val="Дата1"/>
    <w:basedOn w:val="1174"/>
    <w:next w:val="1174"/>
    <w:pPr>
      <w:ind w:firstLine="0"/>
      <w:jc w:val="center"/>
    </w:pPr>
  </w:style>
  <w:style w:type="paragraph" w:styleId="1197">
    <w:name w:val="toc 4"/>
    <w:basedOn w:val="930"/>
    <w:next w:val="930"/>
    <w:semiHidden/>
    <w:pPr>
      <w:ind w:left="851"/>
    </w:pPr>
  </w:style>
  <w:style w:type="paragraph" w:styleId="1198" w:customStyle="1">
    <w:name w:val="Комментарии - список"/>
    <w:basedOn w:val="1191"/>
    <w:rPr>
      <w:color w:val="ff9900"/>
    </w:rPr>
  </w:style>
  <w:style w:type="table" w:styleId="1199">
    <w:name w:val="Table Grid"/>
    <w:basedOn w:val="941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200" w:customStyle="1">
    <w:name w:val="Список1"/>
    <w:basedOn w:val="1174"/>
    <w:pPr>
      <w:numPr>
        <w:ilvl w:val="0"/>
        <w:numId w:val="3"/>
      </w:numPr>
    </w:pPr>
  </w:style>
  <w:style w:type="character" w:styleId="1201">
    <w:name w:val="annotation reference"/>
    <w:uiPriority w:val="99"/>
    <w:semiHidden/>
    <w:qFormat/>
    <w:rPr>
      <w:sz w:val="16"/>
      <w:szCs w:val="16"/>
    </w:rPr>
  </w:style>
  <w:style w:type="paragraph" w:styleId="1202" w:customStyle="1">
    <w:name w:val="Таблица текст в ячейках"/>
    <w:basedOn w:val="1190"/>
    <w:pPr>
      <w:spacing w:before="120" w:after="120" w:line="360" w:lineRule="auto"/>
    </w:pPr>
  </w:style>
  <w:style w:type="paragraph" w:styleId="1203">
    <w:name w:val="annotation text"/>
    <w:basedOn w:val="930"/>
    <w:link w:val="1240"/>
    <w:uiPriority w:val="99"/>
    <w:semiHidden/>
    <w:qFormat/>
    <w:rPr>
      <w:sz w:val="20"/>
      <w:szCs w:val="20"/>
    </w:rPr>
  </w:style>
  <w:style w:type="paragraph" w:styleId="1204">
    <w:name w:val="Balloon Text"/>
    <w:basedOn w:val="930"/>
    <w:link w:val="1242"/>
    <w:uiPriority w:val="99"/>
    <w:semiHidden/>
    <w:qFormat/>
    <w:rPr>
      <w:rFonts w:ascii="Tahoma" w:hAnsi="Tahoma" w:cs="Tahoma"/>
      <w:sz w:val="16"/>
      <w:szCs w:val="16"/>
    </w:rPr>
  </w:style>
  <w:style w:type="paragraph" w:styleId="1205">
    <w:name w:val="annotation subject"/>
    <w:basedOn w:val="1203"/>
    <w:next w:val="1203"/>
    <w:link w:val="1241"/>
    <w:uiPriority w:val="99"/>
    <w:semiHidden/>
    <w:qFormat/>
    <w:rPr>
      <w:b/>
      <w:bCs/>
    </w:rPr>
  </w:style>
  <w:style w:type="character" w:styleId="1206" w:customStyle="1">
    <w:name w:val="Основной текст_"/>
    <w:link w:val="1209"/>
    <w:rPr>
      <w:rFonts w:ascii="Tahoma" w:hAnsi="Tahoma" w:eastAsia="Tahoma" w:cs="Tahoma"/>
      <w:sz w:val="19"/>
      <w:szCs w:val="19"/>
    </w:rPr>
  </w:style>
  <w:style w:type="character" w:styleId="1207" w:customStyle="1">
    <w:name w:val="Другое_"/>
    <w:link w:val="1210"/>
    <w:rPr>
      <w:rFonts w:ascii="Tahoma" w:hAnsi="Tahoma" w:eastAsia="Tahoma" w:cs="Tahoma"/>
      <w:sz w:val="19"/>
      <w:szCs w:val="19"/>
    </w:rPr>
  </w:style>
  <w:style w:type="character" w:styleId="1208" w:customStyle="1">
    <w:name w:val="Подпись к таблице_"/>
    <w:link w:val="1211"/>
    <w:rPr>
      <w:rFonts w:ascii="Tahoma" w:hAnsi="Tahoma" w:eastAsia="Tahoma" w:cs="Tahoma"/>
      <w:b/>
      <w:bCs/>
      <w:sz w:val="19"/>
      <w:szCs w:val="19"/>
    </w:rPr>
  </w:style>
  <w:style w:type="paragraph" w:styleId="1209" w:customStyle="1">
    <w:name w:val="Основной текст1"/>
    <w:basedOn w:val="930"/>
    <w:link w:val="1206"/>
    <w:pPr>
      <w:ind w:firstLine="220"/>
      <w:widowControl w:val="off"/>
    </w:pPr>
    <w:rPr>
      <w:rFonts w:ascii="Tahoma" w:hAnsi="Tahoma" w:eastAsia="Tahoma" w:cs="Tahoma"/>
      <w:sz w:val="19"/>
      <w:szCs w:val="19"/>
    </w:rPr>
  </w:style>
  <w:style w:type="paragraph" w:styleId="1210" w:customStyle="1">
    <w:name w:val="Другое"/>
    <w:basedOn w:val="930"/>
    <w:link w:val="1207"/>
    <w:pPr>
      <w:widowControl w:val="off"/>
    </w:pPr>
    <w:rPr>
      <w:rFonts w:ascii="Tahoma" w:hAnsi="Tahoma" w:eastAsia="Tahoma" w:cs="Tahoma"/>
      <w:sz w:val="19"/>
      <w:szCs w:val="19"/>
    </w:rPr>
  </w:style>
  <w:style w:type="paragraph" w:styleId="1211" w:customStyle="1">
    <w:name w:val="Подпись к таблице"/>
    <w:basedOn w:val="930"/>
    <w:link w:val="1208"/>
    <w:pPr>
      <w:widowControl w:val="off"/>
    </w:pPr>
    <w:rPr>
      <w:rFonts w:ascii="Tahoma" w:hAnsi="Tahoma" w:eastAsia="Tahoma" w:cs="Tahoma"/>
      <w:b/>
      <w:bCs/>
      <w:sz w:val="19"/>
      <w:szCs w:val="19"/>
    </w:rPr>
  </w:style>
  <w:style w:type="character" w:styleId="1212" w:customStyle="1">
    <w:name w:val="Привязка сноски"/>
    <w:rPr>
      <w:vertAlign w:val="superscript"/>
    </w:rPr>
  </w:style>
  <w:style w:type="character" w:styleId="1213" w:customStyle="1">
    <w:name w:val="Footnote Characters"/>
    <w:uiPriority w:val="99"/>
    <w:rPr>
      <w:vertAlign w:val="superscript"/>
    </w:rPr>
  </w:style>
  <w:style w:type="character" w:styleId="1214" w:customStyle="1">
    <w:name w:val="Текст сноски Знак"/>
    <w:uiPriority w:val="99"/>
    <w:semiHidden/>
    <w:qFormat/>
    <w:rPr>
      <w:rFonts w:ascii="Times New Roman" w:hAnsi="Times New Roman" w:eastAsia="Times New Roman" w:cs="Times New Roman"/>
      <w:sz w:val="20"/>
      <w:szCs w:val="20"/>
      <w:lang w:eastAsia="zh-CN"/>
    </w:rPr>
  </w:style>
  <w:style w:type="character" w:styleId="1215" w:customStyle="1">
    <w:name w:val="Верхний колонтитул Знак"/>
    <w:uiPriority w:val="99"/>
    <w:rPr>
      <w:rFonts w:ascii="Times New Roman" w:hAnsi="Times New Roman" w:eastAsia="Times New Roman" w:cs="Times New Roman"/>
      <w:sz w:val="20"/>
      <w:szCs w:val="20"/>
      <w:lang w:eastAsia="zh-CN"/>
    </w:rPr>
  </w:style>
  <w:style w:type="character" w:styleId="1216" w:customStyle="1">
    <w:name w:val="Нижний колонтитул Знак"/>
    <w:uiPriority w:val="99"/>
    <w:rPr>
      <w:rFonts w:ascii="Times New Roman" w:hAnsi="Times New Roman" w:eastAsia="Times New Roman" w:cs="Times New Roman"/>
      <w:sz w:val="24"/>
      <w:szCs w:val="24"/>
      <w:lang w:eastAsia="zh-CN"/>
    </w:rPr>
  </w:style>
  <w:style w:type="character" w:styleId="1217" w:customStyle="1">
    <w:name w:val="Текст сноски Знак1"/>
    <w:link w:val="1232"/>
    <w:uiPriority w:val="99"/>
    <w:qFormat/>
    <w:rPr>
      <w:lang w:eastAsia="zh-CN"/>
    </w:rPr>
  </w:style>
  <w:style w:type="character" w:styleId="1218" w:customStyle="1">
    <w:name w:val="Текст примечания Знак"/>
    <w:uiPriority w:val="99"/>
    <w:semiHidden/>
    <w:qFormat/>
    <w:rPr>
      <w:rFonts w:ascii="Times New Roman" w:hAnsi="Times New Roman" w:eastAsia="Times New Roman" w:cs="Times New Roman"/>
      <w:sz w:val="20"/>
      <w:szCs w:val="20"/>
      <w:lang w:eastAsia="zh-CN"/>
    </w:rPr>
  </w:style>
  <w:style w:type="character" w:styleId="1219" w:customStyle="1">
    <w:name w:val="Тема примечания Знак"/>
    <w:uiPriority w:val="99"/>
    <w:semiHidden/>
    <w:qFormat/>
    <w:rPr>
      <w:rFonts w:ascii="Times New Roman" w:hAnsi="Times New Roman" w:eastAsia="Times New Roman" w:cs="Times New Roman"/>
      <w:b/>
      <w:bCs/>
      <w:sz w:val="20"/>
      <w:szCs w:val="20"/>
      <w:lang w:eastAsia="zh-CN"/>
    </w:rPr>
  </w:style>
  <w:style w:type="character" w:styleId="1220" w:customStyle="1">
    <w:name w:val="Текст выноски Знак"/>
    <w:uiPriority w:val="99"/>
    <w:semiHidden/>
    <w:qFormat/>
    <w:rPr>
      <w:rFonts w:ascii="Segoe UI" w:hAnsi="Segoe UI" w:eastAsia="Times New Roman" w:cs="Segoe UI"/>
      <w:sz w:val="18"/>
      <w:szCs w:val="18"/>
      <w:lang w:eastAsia="zh-CN"/>
    </w:rPr>
  </w:style>
  <w:style w:type="character" w:styleId="1221" w:customStyle="1">
    <w:name w:val="Абзац списка Знак"/>
    <w:uiPriority w:val="34"/>
    <w:rPr>
      <w:rFonts w:ascii="Times New Roman" w:hAnsi="Times New Roman" w:eastAsia="Times New Roman" w:cs="Times New Roman"/>
      <w:color w:val="00000a"/>
      <w:sz w:val="24"/>
      <w:szCs w:val="24"/>
      <w:lang w:eastAsia="zh-CN"/>
    </w:rPr>
  </w:style>
  <w:style w:type="character" w:styleId="1222" w:customStyle="1">
    <w:name w:val="Интернет-ссылка"/>
    <w:rPr>
      <w:color w:val="000080"/>
      <w:u w:val="single"/>
    </w:rPr>
  </w:style>
  <w:style w:type="character" w:styleId="1223" w:customStyle="1">
    <w:name w:val="Символ сноски"/>
  </w:style>
  <w:style w:type="paragraph" w:styleId="1224">
    <w:name w:val="Title"/>
    <w:basedOn w:val="930"/>
    <w:next w:val="1226"/>
    <w:link w:val="1225"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  <w:lang w:eastAsia="zh-CN"/>
    </w:rPr>
  </w:style>
  <w:style w:type="character" w:styleId="1225" w:customStyle="1">
    <w:name w:val="Заголовок Знак"/>
    <w:link w:val="1224"/>
    <w:rPr>
      <w:rFonts w:ascii="Liberation Sans" w:hAnsi="Liberation Sans" w:eastAsia="Microsoft YaHei" w:cs="Lucida Sans"/>
      <w:sz w:val="28"/>
      <w:szCs w:val="28"/>
      <w:lang w:eastAsia="zh-CN"/>
    </w:rPr>
  </w:style>
  <w:style w:type="paragraph" w:styleId="1226">
    <w:name w:val="Body Text"/>
    <w:basedOn w:val="930"/>
    <w:link w:val="1227"/>
    <w:pPr>
      <w:spacing w:after="140" w:line="276" w:lineRule="auto"/>
    </w:pPr>
    <w:rPr>
      <w:lang w:eastAsia="zh-CN"/>
    </w:rPr>
  </w:style>
  <w:style w:type="character" w:styleId="1227" w:customStyle="1">
    <w:name w:val="Основной текст Знак"/>
    <w:link w:val="1226"/>
    <w:rPr>
      <w:sz w:val="24"/>
      <w:szCs w:val="24"/>
      <w:lang w:eastAsia="zh-CN"/>
    </w:rPr>
  </w:style>
  <w:style w:type="paragraph" w:styleId="1228">
    <w:name w:val="List"/>
    <w:basedOn w:val="1226"/>
    <w:rPr>
      <w:rFonts w:cs="Lucida Sans"/>
    </w:rPr>
  </w:style>
  <w:style w:type="paragraph" w:styleId="1229" w:customStyle="1">
    <w:name w:val="Название объекта1"/>
    <w:basedOn w:val="930"/>
    <w:pPr>
      <w:spacing w:before="120" w:after="120"/>
      <w:suppressLineNumbers/>
    </w:pPr>
    <w:rPr>
      <w:rFonts w:cs="Lucida Sans"/>
      <w:i/>
      <w:iCs/>
      <w:lang w:eastAsia="zh-CN"/>
    </w:rPr>
  </w:style>
  <w:style w:type="paragraph" w:styleId="1230">
    <w:name w:val="index 1"/>
    <w:basedOn w:val="930"/>
    <w:next w:val="930"/>
    <w:uiPriority w:val="99"/>
    <w:unhideWhenUsed/>
    <w:pPr>
      <w:ind w:left="240" w:hanging="240"/>
    </w:pPr>
    <w:rPr>
      <w:lang w:eastAsia="zh-CN"/>
    </w:rPr>
  </w:style>
  <w:style w:type="paragraph" w:styleId="1231">
    <w:name w:val="index heading"/>
    <w:basedOn w:val="930"/>
    <w:pPr>
      <w:suppressLineNumbers/>
    </w:pPr>
    <w:rPr>
      <w:rFonts w:cs="Lucida Sans"/>
      <w:lang w:eastAsia="zh-CN"/>
    </w:rPr>
  </w:style>
  <w:style w:type="paragraph" w:styleId="1232">
    <w:name w:val="footnote text"/>
    <w:basedOn w:val="930"/>
    <w:link w:val="1217"/>
    <w:uiPriority w:val="99"/>
    <w:rPr>
      <w:sz w:val="20"/>
      <w:szCs w:val="20"/>
      <w:lang w:eastAsia="zh-CN"/>
    </w:rPr>
  </w:style>
  <w:style w:type="character" w:styleId="1233" w:customStyle="1">
    <w:name w:val="Текст сноски Знак2"/>
    <w:basedOn w:val="940"/>
    <w:uiPriority w:val="99"/>
  </w:style>
  <w:style w:type="paragraph" w:styleId="1234" w:customStyle="1">
    <w:name w:val="Верхний и нижний колонтитулы"/>
    <w:basedOn w:val="930"/>
    <w:rPr>
      <w:lang w:eastAsia="zh-CN"/>
    </w:rPr>
  </w:style>
  <w:style w:type="paragraph" w:styleId="1235" w:customStyle="1">
    <w:name w:val="Верхний колонтитул1"/>
    <w:basedOn w:val="930"/>
    <w:link w:val="1236"/>
    <w:uiPriority w:val="99"/>
    <w:rPr>
      <w:sz w:val="20"/>
      <w:szCs w:val="20"/>
      <w:lang w:eastAsia="zh-CN"/>
    </w:rPr>
  </w:style>
  <w:style w:type="character" w:styleId="1236" w:customStyle="1">
    <w:name w:val="Верхний колонтитул Знак1"/>
    <w:link w:val="1235"/>
    <w:uiPriority w:val="99"/>
    <w:rPr>
      <w:lang w:eastAsia="zh-CN"/>
    </w:rPr>
  </w:style>
  <w:style w:type="paragraph" w:styleId="1237" w:customStyle="1">
    <w:name w:val="Нижний колонтитул1"/>
    <w:basedOn w:val="930"/>
    <w:link w:val="1238"/>
    <w:uiPriority w:val="99"/>
    <w:rPr>
      <w:lang w:eastAsia="zh-CN"/>
    </w:rPr>
  </w:style>
  <w:style w:type="character" w:styleId="1238" w:customStyle="1">
    <w:name w:val="Нижний колонтитул Знак1"/>
    <w:link w:val="1237"/>
    <w:uiPriority w:val="99"/>
    <w:rPr>
      <w:sz w:val="24"/>
      <w:szCs w:val="24"/>
      <w:lang w:eastAsia="zh-CN"/>
    </w:rPr>
  </w:style>
  <w:style w:type="paragraph" w:styleId="1239">
    <w:name w:val="List Paragraph"/>
    <w:basedOn w:val="930"/>
    <w:uiPriority w:val="34"/>
    <w:qFormat/>
    <w:pPr>
      <w:ind w:left="708"/>
    </w:pPr>
    <w:rPr>
      <w:color w:val="00000a"/>
      <w:lang w:eastAsia="zh-CN"/>
    </w:rPr>
  </w:style>
  <w:style w:type="character" w:styleId="1240" w:customStyle="1">
    <w:name w:val="Текст примечания Знак1"/>
    <w:link w:val="1203"/>
    <w:uiPriority w:val="99"/>
    <w:semiHidden/>
  </w:style>
  <w:style w:type="character" w:styleId="1241" w:customStyle="1">
    <w:name w:val="Тема примечания Знак1"/>
    <w:link w:val="1205"/>
    <w:uiPriority w:val="99"/>
    <w:semiHidden/>
    <w:rPr>
      <w:b/>
      <w:bCs/>
    </w:rPr>
  </w:style>
  <w:style w:type="character" w:styleId="1242" w:customStyle="1">
    <w:name w:val="Текст выноски Знак1"/>
    <w:link w:val="1204"/>
    <w:uiPriority w:val="99"/>
    <w:semiHidden/>
    <w:rPr>
      <w:rFonts w:ascii="Tahoma" w:hAnsi="Tahoma" w:cs="Tahoma"/>
      <w:sz w:val="16"/>
      <w:szCs w:val="16"/>
    </w:rPr>
  </w:style>
  <w:style w:type="paragraph" w:styleId="1243">
    <w:name w:val="Revision"/>
    <w:uiPriority w:val="99"/>
    <w:semiHidden/>
    <w:qFormat/>
    <w:rPr>
      <w:sz w:val="24"/>
      <w:szCs w:val="24"/>
      <w:lang w:eastAsia="zh-CN"/>
    </w:rPr>
  </w:style>
  <w:style w:type="table" w:styleId="1244" w:customStyle="1">
    <w:name w:val="Сетка таблицы1"/>
    <w:basedOn w:val="941"/>
    <w:next w:val="1199"/>
    <w:rPr>
      <w:rFonts w:ascii="Calibri" w:hAnsi="Calibri" w:eastAsia="Calibri" w:cs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245" w:customStyle="1">
    <w:name w:val="Сетка таблицы11"/>
    <w:basedOn w:val="941"/>
    <w:uiPriority w:val="39"/>
    <w:rPr>
      <w:rFonts w:ascii="Calibri" w:hAnsi="Calibri" w:eastAsia="Calibri" w:cs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246">
    <w:name w:val="Normal (Web)"/>
    <w:basedOn w:val="930"/>
    <w:uiPriority w:val="99"/>
    <w:unhideWhenUsed/>
    <w:pPr>
      <w:spacing w:before="100" w:beforeAutospacing="1" w:after="100" w:afterAutospacing="1"/>
    </w:pPr>
  </w:style>
  <w:style w:type="character" w:styleId="1247">
    <w:name w:val="FollowedHyperlink"/>
    <w:uiPriority w:val="99"/>
    <w:unhideWhenUsed/>
    <w:rPr>
      <w:color w:val="954f72"/>
      <w:u w:val="single"/>
    </w:rPr>
  </w:style>
  <w:style w:type="paragraph" w:styleId="1248" w:customStyle="1">
    <w:name w:val="msonormal"/>
    <w:basedOn w:val="930"/>
    <w:pPr>
      <w:spacing w:before="100" w:beforeAutospacing="1" w:after="100" w:afterAutospacing="1"/>
    </w:pPr>
  </w:style>
  <w:style w:type="paragraph" w:styleId="1249" w:customStyle="1">
    <w:name w:val="font5"/>
    <w:basedOn w:val="930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1250" w:customStyle="1">
    <w:name w:val="font6"/>
    <w:basedOn w:val="930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1251" w:customStyle="1">
    <w:name w:val="font7"/>
    <w:basedOn w:val="930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styleId="1252" w:customStyle="1">
    <w:name w:val="xl65"/>
    <w:basedOn w:val="93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</w:rPr>
  </w:style>
  <w:style w:type="paragraph" w:styleId="1253" w:customStyle="1">
    <w:name w:val="xl66"/>
    <w:basedOn w:val="930"/>
    <w:pPr>
      <w:spacing w:before="100" w:beforeAutospacing="1" w:after="100" w:afterAutospacing="1"/>
    </w:pPr>
    <w:rPr>
      <w:b/>
      <w:bCs/>
    </w:rPr>
  </w:style>
  <w:style w:type="paragraph" w:styleId="1254" w:customStyle="1">
    <w:name w:val="xl68"/>
    <w:basedOn w:val="930"/>
    <w:pPr>
      <w:spacing w:before="100" w:beforeAutospacing="1" w:after="100" w:afterAutospacing="1"/>
      <w:shd w:val="clear" w:color="000000" w:fill="e2efda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</w:rPr>
  </w:style>
  <w:style w:type="paragraph" w:styleId="1255" w:customStyle="1">
    <w:name w:val="xl69"/>
    <w:basedOn w:val="930"/>
    <w:pPr>
      <w:ind w:firstLine="100"/>
      <w:spacing w:before="100" w:beforeAutospacing="1" w:after="100" w:afterAutospacing="1"/>
      <w:shd w:val="clear" w:color="000000" w:fill="e2efda"/>
      <w:pBdr>
        <w:top w:val="single" w:color="000000" w:sz="4" w:space="0"/>
        <w:left w:val="single" w:color="000000" w:sz="4" w:space="7"/>
        <w:bottom w:val="single" w:color="000000" w:sz="4" w:space="0"/>
        <w:right w:val="single" w:color="000000" w:sz="4" w:space="0"/>
      </w:pBdr>
    </w:pPr>
    <w:rPr>
      <w:b/>
      <w:bCs/>
    </w:rPr>
  </w:style>
  <w:style w:type="paragraph" w:styleId="1256" w:customStyle="1">
    <w:name w:val="xl70"/>
    <w:basedOn w:val="930"/>
    <w:pPr>
      <w:ind w:firstLine="200"/>
      <w:spacing w:before="100" w:beforeAutospacing="1" w:after="100" w:afterAutospacing="1"/>
      <w:shd w:val="clear" w:color="000000" w:fill="e2efda"/>
      <w:pBdr>
        <w:top w:val="single" w:color="000000" w:sz="4" w:space="0"/>
        <w:left w:val="single" w:color="000000" w:sz="4" w:space="14"/>
        <w:bottom w:val="single" w:color="000000" w:sz="4" w:space="0"/>
        <w:right w:val="single" w:color="000000" w:sz="4" w:space="0"/>
      </w:pBdr>
    </w:pPr>
  </w:style>
  <w:style w:type="paragraph" w:styleId="1257" w:customStyle="1">
    <w:name w:val="xl71"/>
    <w:basedOn w:val="930"/>
    <w:pPr>
      <w:ind w:firstLine="300"/>
      <w:spacing w:before="100" w:beforeAutospacing="1" w:after="100" w:afterAutospacing="1"/>
      <w:shd w:val="clear" w:color="000000" w:fill="e2efda"/>
      <w:pBdr>
        <w:top w:val="single" w:color="000000" w:sz="4" w:space="0"/>
        <w:left w:val="single" w:color="000000" w:sz="4" w:space="20"/>
        <w:bottom w:val="single" w:color="000000" w:sz="4" w:space="0"/>
        <w:right w:val="single" w:color="000000" w:sz="4" w:space="0"/>
      </w:pBdr>
    </w:pPr>
  </w:style>
  <w:style w:type="paragraph" w:styleId="1258" w:customStyle="1">
    <w:name w:val="xl72"/>
    <w:basedOn w:val="930"/>
    <w:pPr>
      <w:ind w:firstLine="400"/>
      <w:spacing w:before="100" w:beforeAutospacing="1" w:after="100" w:afterAutospacing="1"/>
      <w:shd w:val="clear" w:color="000000" w:fill="e2efda"/>
      <w:pBdr>
        <w:top w:val="single" w:color="000000" w:sz="4" w:space="0"/>
        <w:left w:val="single" w:color="000000" w:sz="4" w:space="27"/>
        <w:bottom w:val="single" w:color="000000" w:sz="4" w:space="0"/>
        <w:right w:val="single" w:color="000000" w:sz="4" w:space="0"/>
      </w:pBdr>
    </w:pPr>
  </w:style>
  <w:style w:type="paragraph" w:styleId="1259" w:customStyle="1">
    <w:name w:val="xl73"/>
    <w:basedOn w:val="930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</w:rPr>
  </w:style>
  <w:style w:type="paragraph" w:styleId="1260" w:customStyle="1">
    <w:name w:val="xl74"/>
    <w:basedOn w:val="930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1261" w:customStyle="1">
    <w:name w:val="xl75"/>
    <w:basedOn w:val="930"/>
    <w:pPr>
      <w:ind w:firstLine="200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14"/>
        <w:bottom w:val="single" w:color="000000" w:sz="4" w:space="0"/>
        <w:right w:val="single" w:color="000000" w:sz="4" w:space="0"/>
      </w:pBdr>
    </w:pPr>
  </w:style>
  <w:style w:type="table" w:styleId="1262" w:customStyle="1">
    <w:name w:val="Сетка таблицы2"/>
    <w:basedOn w:val="941"/>
    <w:next w:val="1199"/>
    <w:rPr>
      <w:rFonts w:ascii="Calibri" w:hAnsi="Calibri" w:eastAsia="Calibri" w:cs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263">
    <w:name w:val="Strong"/>
    <w:uiPriority w:val="22"/>
    <w:rPr>
      <w:b/>
      <w:bCs/>
    </w:rPr>
  </w:style>
  <w:style w:type="paragraph" w:styleId="1264" w:customStyle="1">
    <w:name w:val="pt-a-000005"/>
    <w:basedOn w:val="930"/>
    <w:pPr>
      <w:spacing w:before="100" w:beforeAutospacing="1" w:after="100" w:afterAutospacing="1"/>
    </w:pPr>
  </w:style>
  <w:style w:type="character" w:styleId="1265" w:customStyle="1">
    <w:name w:val="pt-a0"/>
    <w:basedOn w:val="940"/>
  </w:style>
  <w:style w:type="character" w:styleId="1266" w:customStyle="1">
    <w:name w:val="pt-a0-000021"/>
    <w:basedOn w:val="940"/>
  </w:style>
  <w:style w:type="character" w:styleId="1267" w:customStyle="1">
    <w:name w:val="Заголовок 3 Знак"/>
    <w:link w:val="984"/>
    <w:rPr>
      <w:b/>
      <w:bCs/>
      <w:sz w:val="28"/>
      <w:szCs w:val="28"/>
    </w:rPr>
  </w:style>
  <w:style w:type="character" w:styleId="1268" w:customStyle="1">
    <w:name w:val="Заголовок 1 Знак"/>
    <w:link w:val="982"/>
    <w:rPr>
      <w:b/>
      <w:bCs/>
      <w:caps/>
      <w:sz w:val="28"/>
      <w:szCs w:val="28"/>
    </w:rPr>
  </w:style>
  <w:style w:type="character" w:styleId="1269" w:customStyle="1">
    <w:name w:val="Заголовок 2 Знак"/>
    <w:link w:val="983"/>
    <w:rPr>
      <w:b/>
      <w:bCs/>
      <w:sz w:val="28"/>
      <w:szCs w:val="32"/>
    </w:rPr>
  </w:style>
  <w:style w:type="paragraph" w:styleId="1270" w:customStyle="1">
    <w:name w:val="ТЕКСТ"/>
    <w:link w:val="1272"/>
    <w:qFormat/>
    <w:pPr>
      <w:jc w:val="both"/>
      <w:spacing w:line="360" w:lineRule="auto"/>
    </w:pPr>
    <w:rPr>
      <w:szCs w:val="24"/>
    </w:rPr>
  </w:style>
  <w:style w:type="paragraph" w:styleId="1271" w:customStyle="1">
    <w:name w:val="ПРИМЕР ТЕКСТ"/>
    <w:basedOn w:val="1270"/>
    <w:link w:val="1274"/>
    <w:qFormat/>
    <w:rPr>
      <w:i/>
    </w:rPr>
  </w:style>
  <w:style w:type="character" w:styleId="1272" w:customStyle="1">
    <w:name w:val="ТЕКСТ Знак"/>
    <w:basedOn w:val="940"/>
    <w:link w:val="1270"/>
    <w:rPr>
      <w:sz w:val="26"/>
      <w:szCs w:val="24"/>
    </w:rPr>
  </w:style>
  <w:style w:type="paragraph" w:styleId="1273" w:customStyle="1">
    <w:name w:val="1 Раздел"/>
    <w:basedOn w:val="982"/>
    <w:next w:val="1275"/>
    <w:link w:val="1276"/>
    <w:qFormat/>
    <w:rPr>
      <w:szCs w:val="24"/>
    </w:rPr>
  </w:style>
  <w:style w:type="character" w:styleId="1274" w:customStyle="1">
    <w:name w:val="ПРИМЕР ТЕКСТ Знак"/>
    <w:basedOn w:val="1272"/>
    <w:link w:val="1271"/>
    <w:rPr>
      <w:i/>
      <w:sz w:val="26"/>
      <w:szCs w:val="24"/>
    </w:rPr>
  </w:style>
  <w:style w:type="paragraph" w:styleId="1275" w:customStyle="1">
    <w:name w:val="1.1. Подраздел"/>
    <w:basedOn w:val="983"/>
    <w:next w:val="1270"/>
    <w:link w:val="1278"/>
    <w:qFormat/>
    <w:pPr>
      <w:jc w:val="both"/>
    </w:pPr>
    <w:rPr>
      <w:szCs w:val="24"/>
    </w:rPr>
  </w:style>
  <w:style w:type="character" w:styleId="1276" w:customStyle="1">
    <w:name w:val="1 Раздел Знак"/>
    <w:basedOn w:val="1268"/>
    <w:link w:val="1273"/>
    <w:rPr>
      <w:b/>
      <w:bCs/>
      <w:caps/>
      <w:sz w:val="28"/>
      <w:szCs w:val="24"/>
    </w:rPr>
  </w:style>
  <w:style w:type="paragraph" w:styleId="1277" w:customStyle="1">
    <w:name w:val="1.1.1. Пункт"/>
    <w:basedOn w:val="984"/>
    <w:next w:val="1270"/>
    <w:link w:val="1280"/>
    <w:qFormat/>
    <w:rPr>
      <w:sz w:val="26"/>
    </w:rPr>
  </w:style>
  <w:style w:type="character" w:styleId="1278" w:customStyle="1">
    <w:name w:val="1.1. Подраздел Знак"/>
    <w:basedOn w:val="1269"/>
    <w:link w:val="1275"/>
    <w:qFormat/>
    <w:rPr>
      <w:b/>
      <w:bCs/>
      <w:sz w:val="28"/>
      <w:szCs w:val="24"/>
    </w:rPr>
  </w:style>
  <w:style w:type="paragraph" w:styleId="1279" w:customStyle="1">
    <w:name w:val="-"/>
    <w:link w:val="1281"/>
    <w:qFormat/>
    <w:pPr>
      <w:numPr>
        <w:ilvl w:val="0"/>
        <w:numId w:val="6"/>
      </w:numPr>
      <w:jc w:val="both"/>
      <w:spacing w:line="360" w:lineRule="auto"/>
      <w:tabs>
        <w:tab w:val="left" w:pos="851" w:leader="none"/>
      </w:tabs>
    </w:pPr>
    <w:rPr>
      <w:szCs w:val="24"/>
    </w:rPr>
  </w:style>
  <w:style w:type="character" w:styleId="1280" w:customStyle="1">
    <w:name w:val="1.1.1. Пункт Знак"/>
    <w:basedOn w:val="1267"/>
    <w:link w:val="1277"/>
    <w:rPr>
      <w:b/>
      <w:bCs/>
      <w:sz w:val="28"/>
      <w:szCs w:val="28"/>
    </w:rPr>
  </w:style>
  <w:style w:type="character" w:styleId="1281" w:customStyle="1">
    <w:name w:val="- Знак"/>
    <w:basedOn w:val="1175"/>
    <w:link w:val="1279"/>
    <w:rPr>
      <w:sz w:val="24"/>
      <w:szCs w:val="24"/>
      <w:lang w:val="ru-RU" w:eastAsia="ru-RU" w:bidi="ar-SA"/>
    </w:rPr>
  </w:style>
  <w:style w:type="paragraph" w:styleId="1282" w:customStyle="1">
    <w:name w:val="BS"/>
    <w:basedOn w:val="930"/>
    <w:pPr>
      <w:ind w:firstLine="567"/>
      <w:jc w:val="both"/>
      <w:spacing w:before="60" w:after="60" w:line="360" w:lineRule="auto"/>
    </w:pPr>
    <w:rPr>
      <w:rFonts w:ascii="Arial" w:hAnsi="Arial"/>
      <w:szCs w:val="20"/>
    </w:rPr>
  </w:style>
  <w:style w:type="paragraph" w:styleId="1283" w:customStyle="1">
    <w:name w:val="TB"/>
    <w:basedOn w:val="1282"/>
    <w:pPr>
      <w:ind w:firstLine="0"/>
      <w:jc w:val="left"/>
      <w:spacing w:before="0" w:after="0" w:line="276" w:lineRule="auto"/>
    </w:pPr>
    <w:rPr>
      <w:rFonts w:ascii="PF Square Sans Pro" w:hAnsi="PF Square Sans Pro" w:eastAsia="Calibri"/>
      <w:sz w:val="22"/>
      <w:lang w:eastAsia="en-US"/>
    </w:rPr>
  </w:style>
  <w:style w:type="paragraph" w:styleId="1284" w:customStyle="1">
    <w:name w:val="НАЗВ ТАБЛ"/>
    <w:basedOn w:val="1270"/>
    <w:link w:val="1286"/>
    <w:qFormat/>
    <w:pPr>
      <w:ind w:firstLine="0"/>
      <w:keepNext/>
      <w:spacing w:before="240" w:line="240" w:lineRule="auto"/>
    </w:pPr>
    <w:rPr>
      <w:lang w:eastAsia="zh-CN"/>
    </w:rPr>
  </w:style>
  <w:style w:type="paragraph" w:styleId="1285" w:customStyle="1">
    <w:name w:val="ОГЛАВ"/>
    <w:basedOn w:val="1273"/>
    <w:link w:val="1287"/>
    <w:qFormat/>
    <w:pPr>
      <w:numPr>
        <w:ilvl w:val="0"/>
        <w:numId w:val="0"/>
      </w:numPr>
      <w:ind w:left="709"/>
    </w:pPr>
    <w:rPr>
      <w:lang w:val="en-US"/>
    </w:rPr>
  </w:style>
  <w:style w:type="character" w:styleId="1286" w:customStyle="1">
    <w:name w:val="НАЗВ ТАБЛ Знак"/>
    <w:basedOn w:val="1272"/>
    <w:link w:val="1284"/>
    <w:rPr>
      <w:sz w:val="26"/>
      <w:szCs w:val="24"/>
      <w:lang w:eastAsia="zh-CN"/>
    </w:rPr>
  </w:style>
  <w:style w:type="character" w:styleId="1287" w:customStyle="1">
    <w:name w:val="ОГЛАВ Знак"/>
    <w:basedOn w:val="1268"/>
    <w:link w:val="1285"/>
    <w:rPr>
      <w:b/>
      <w:bCs/>
      <w:caps/>
      <w:sz w:val="28"/>
      <w:szCs w:val="24"/>
      <w:lang w:val="en-US"/>
    </w:rPr>
  </w:style>
  <w:style w:type="paragraph" w:styleId="1288" w:customStyle="1">
    <w:name w:val="ТАБ ТЕКСТ"/>
    <w:basedOn w:val="930"/>
    <w:link w:val="1290"/>
    <w:qFormat/>
    <w:pPr>
      <w:contextualSpacing/>
      <w:ind w:left="57" w:right="57" w:firstLine="0"/>
      <w:jc w:val="both"/>
    </w:pPr>
    <w:rPr>
      <w:color w:val="000000" w:themeColor="text1"/>
      <w:sz w:val="22"/>
    </w:rPr>
  </w:style>
  <w:style w:type="paragraph" w:styleId="1289" w:customStyle="1">
    <w:name w:val="ТАБ ЗАГЛ"/>
    <w:basedOn w:val="930"/>
    <w:link w:val="1292"/>
    <w:pPr>
      <w:jc w:val="center"/>
    </w:pPr>
    <w:rPr>
      <w:rFonts w:ascii="Times New Roman Полужирный" w:hAnsi="Times New Roman Полужирный"/>
      <w:b/>
      <w:bCs/>
      <w:color w:val="000000" w:themeColor="text1"/>
      <w:sz w:val="22"/>
    </w:rPr>
  </w:style>
  <w:style w:type="character" w:styleId="1290" w:customStyle="1">
    <w:name w:val="ТАБ ТЕКСТ Знак"/>
    <w:basedOn w:val="940"/>
    <w:link w:val="1288"/>
    <w:rPr>
      <w:color w:val="000000" w:themeColor="text1"/>
      <w:sz w:val="22"/>
    </w:rPr>
  </w:style>
  <w:style w:type="paragraph" w:styleId="1291" w:customStyle="1">
    <w:name w:val="ТАБ ЗАГ"/>
    <w:basedOn w:val="930"/>
    <w:link w:val="1294"/>
    <w:qFormat/>
    <w:pPr>
      <w:ind w:left="118" w:firstLine="0"/>
      <w:jc w:val="center"/>
    </w:pPr>
    <w:rPr>
      <w:b/>
      <w:bCs/>
      <w:sz w:val="22"/>
      <w:szCs w:val="22"/>
    </w:rPr>
  </w:style>
  <w:style w:type="character" w:styleId="1292" w:customStyle="1">
    <w:name w:val="ТАБ ЗАГЛ Знак"/>
    <w:basedOn w:val="940"/>
    <w:link w:val="1289"/>
    <w:rPr>
      <w:rFonts w:ascii="Times New Roman Полужирный" w:hAnsi="Times New Roman Полужирный"/>
      <w:b/>
      <w:bCs/>
      <w:color w:val="000000" w:themeColor="text1"/>
      <w:sz w:val="22"/>
      <w:szCs w:val="24"/>
    </w:rPr>
  </w:style>
  <w:style w:type="paragraph" w:styleId="1293" w:customStyle="1">
    <w:name w:val="ТАБ НОМЕР"/>
    <w:link w:val="1296"/>
    <w:qFormat/>
    <w:pPr>
      <w:numPr>
        <w:ilvl w:val="0"/>
        <w:numId w:val="8"/>
      </w:numPr>
      <w:contextualSpacing/>
      <w:ind w:right="57"/>
      <w:widowControl w:val="off"/>
    </w:pPr>
    <w:rPr>
      <w:rFonts w:eastAsia="Cambria" w:cs="Cambria"/>
      <w:color w:val="000000" w:themeColor="text1"/>
      <w:sz w:val="22"/>
      <w:szCs w:val="22"/>
      <w:lang w:eastAsia="zh-CN"/>
    </w:rPr>
  </w:style>
  <w:style w:type="character" w:styleId="1294" w:customStyle="1">
    <w:name w:val="ТАБ ЗАГ Знак"/>
    <w:basedOn w:val="1292"/>
    <w:link w:val="1291"/>
    <w:rPr>
      <w:rFonts w:ascii="Times New Roman Полужирный" w:hAnsi="Times New Roman Полужирный"/>
      <w:b/>
      <w:bCs/>
      <w:color w:val="000000" w:themeColor="text1"/>
      <w:sz w:val="22"/>
      <w:szCs w:val="22"/>
    </w:rPr>
  </w:style>
  <w:style w:type="paragraph" w:styleId="1295" w:customStyle="1">
    <w:name w:val="ТАБ ПЕРЕЧЕН"/>
    <w:basedOn w:val="1288"/>
    <w:link w:val="1297"/>
    <w:qFormat/>
    <w:pPr>
      <w:numPr>
        <w:ilvl w:val="0"/>
        <w:numId w:val="5"/>
      </w:numPr>
      <w:ind w:left="179" w:firstLine="0"/>
      <w:tabs>
        <w:tab w:val="left" w:pos="462" w:leader="none"/>
      </w:tabs>
    </w:pPr>
  </w:style>
  <w:style w:type="character" w:styleId="1296" w:customStyle="1">
    <w:name w:val="ТАБ НОМЕР Знак"/>
    <w:basedOn w:val="940"/>
    <w:link w:val="1293"/>
    <w:rPr>
      <w:rFonts w:eastAsia="Cambria" w:cs="Cambria"/>
      <w:color w:val="000000" w:themeColor="text1"/>
      <w:sz w:val="22"/>
      <w:szCs w:val="22"/>
      <w:lang w:eastAsia="zh-CN"/>
    </w:rPr>
  </w:style>
  <w:style w:type="character" w:styleId="1297" w:customStyle="1">
    <w:name w:val="ТАБ ПЕРЕЧЕН Знак"/>
    <w:basedOn w:val="1290"/>
    <w:link w:val="1295"/>
    <w:rPr>
      <w:color w:val="000000" w:themeColor="text1"/>
      <w:sz w:val="22"/>
    </w:rPr>
  </w:style>
  <w:style w:type="paragraph" w:styleId="1298" w:customStyle="1">
    <w:name w:val="1.1.1.1 Подпункт"/>
    <w:basedOn w:val="985"/>
    <w:next w:val="1270"/>
    <w:link w:val="1301"/>
    <w:qFormat/>
  </w:style>
  <w:style w:type="table" w:styleId="1299" w:customStyle="1">
    <w:name w:val="21"/>
    <w:basedOn w:val="941"/>
    <w:pPr>
      <w:ind w:firstLine="0"/>
    </w:pPr>
    <w:rPr>
      <w:rFonts w:ascii="Cambria" w:hAnsi="Cambria" w:eastAsia="Cambria" w:cs="Cambria"/>
      <w:sz w:val="22"/>
      <w:szCs w:val="22"/>
    </w:rPr>
    <w:tblPr>
      <w:tblStyleRowBandSize w:val="1"/>
      <w:tblStyleColBandSize w:val="1"/>
    </w:tblPr>
  </w:style>
  <w:style w:type="character" w:styleId="1300" w:customStyle="1">
    <w:name w:val="Заголовок 4 Знак"/>
    <w:basedOn w:val="1175"/>
    <w:link w:val="985"/>
    <w:rPr>
      <w:sz w:val="24"/>
      <w:szCs w:val="24"/>
      <w:lang w:val="ru-RU" w:eastAsia="ru-RU" w:bidi="ar-SA"/>
    </w:rPr>
  </w:style>
  <w:style w:type="character" w:styleId="1301" w:customStyle="1">
    <w:name w:val="1.1.1.1 Подпункт Знак"/>
    <w:basedOn w:val="1300"/>
    <w:link w:val="1298"/>
    <w:rPr>
      <w:sz w:val="24"/>
      <w:szCs w:val="24"/>
      <w:lang w:val="ru-RU" w:eastAsia="ru-RU" w:bidi="ar-SA"/>
    </w:rPr>
  </w:style>
  <w:style w:type="table" w:styleId="1302" w:customStyle="1">
    <w:name w:val="Сетка таблицы3"/>
    <w:basedOn w:val="941"/>
    <w:next w:val="1199"/>
    <w:pPr>
      <w:ind w:firstLine="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0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303" w:customStyle="1">
    <w:name w:val="Детал подпункта"/>
    <w:basedOn w:val="1270"/>
    <w:link w:val="1304"/>
    <w:qFormat/>
    <w:pPr>
      <w:outlineLvl w:val="4"/>
    </w:pPr>
    <w:rPr>
      <w:rFonts w:eastAsia="Calibri"/>
      <w:b/>
      <w:bCs/>
    </w:rPr>
  </w:style>
  <w:style w:type="character" w:styleId="1304" w:customStyle="1">
    <w:name w:val="Детал подпункта Знак"/>
    <w:basedOn w:val="1272"/>
    <w:link w:val="1303"/>
    <w:rPr>
      <w:rFonts w:eastAsia="Calibri"/>
      <w:b/>
      <w:bCs/>
      <w:sz w:val="26"/>
      <w:szCs w:val="24"/>
    </w:rPr>
  </w:style>
  <w:style w:type="paragraph" w:styleId="1305" w:customStyle="1">
    <w:name w:val="ТАБ НОМЕР 1.1.1"/>
    <w:basedOn w:val="1293"/>
    <w:link w:val="1306"/>
    <w:qFormat/>
    <w:pPr>
      <w:numPr>
        <w:ilvl w:val="1"/>
        <w:numId w:val="7"/>
      </w:numPr>
    </w:pPr>
  </w:style>
  <w:style w:type="character" w:styleId="1306" w:customStyle="1">
    <w:name w:val="ТАБ НОМЕР 1.1.1 Знак"/>
    <w:basedOn w:val="1296"/>
    <w:link w:val="1305"/>
    <w:rPr>
      <w:rFonts w:eastAsia="Cambria" w:cs="Cambria"/>
      <w:color w:val="000000" w:themeColor="text1"/>
      <w:sz w:val="22"/>
      <w:szCs w:val="22"/>
      <w:lang w:eastAsia="zh-CN"/>
    </w:rPr>
  </w:style>
  <w:style w:type="paragraph" w:styleId="1307" w:customStyle="1">
    <w:name w:val="1) НУМ ПЕРЕЧЕНЬ"/>
    <w:basedOn w:val="1270"/>
    <w:link w:val="1308"/>
    <w:qFormat/>
    <w:pPr>
      <w:numPr>
        <w:ilvl w:val="0"/>
        <w:numId w:val="10"/>
      </w:numPr>
    </w:pPr>
    <w:rPr>
      <w:lang w:val="en-US"/>
    </w:rPr>
  </w:style>
  <w:style w:type="character" w:styleId="1308" w:customStyle="1">
    <w:name w:val="1) НУМ ПЕРЕЧЕНЬ Знак"/>
    <w:basedOn w:val="1272"/>
    <w:link w:val="1307"/>
    <w:rPr>
      <w:sz w:val="26"/>
      <w:szCs w:val="24"/>
      <w:lang w:val="en-US"/>
    </w:rPr>
  </w:style>
  <w:style w:type="paragraph" w:styleId="1309" w:customStyle="1">
    <w:name w:val="5.5.5.5.5. ПодПОДПУНКТ"/>
    <w:basedOn w:val="986"/>
    <w:link w:val="1311"/>
    <w:qFormat/>
    <w:rPr>
      <w:b w:val="0"/>
    </w:rPr>
  </w:style>
  <w:style w:type="character" w:styleId="1310" w:customStyle="1">
    <w:name w:val="Заголовок 5 Знак"/>
    <w:basedOn w:val="1175"/>
    <w:link w:val="986"/>
    <w:rPr>
      <w:b/>
      <w:bCs/>
      <w:i/>
      <w:iCs/>
      <w:sz w:val="24"/>
      <w:szCs w:val="24"/>
      <w:lang w:val="ru-RU" w:eastAsia="ru-RU" w:bidi="ar-SA"/>
    </w:rPr>
  </w:style>
  <w:style w:type="character" w:styleId="1311" w:customStyle="1">
    <w:name w:val="5.5.5.5.5. ПодПОДПУНКТ Знак"/>
    <w:basedOn w:val="1310"/>
    <w:link w:val="1309"/>
    <w:rPr>
      <w:b w:val="0"/>
      <w:bCs/>
      <w:i/>
      <w:iCs/>
      <w:sz w:val="24"/>
      <w:szCs w:val="24"/>
      <w:lang w:val="ru-RU" w:eastAsia="ru-RU" w:bidi="ar-SA"/>
    </w:rPr>
  </w:style>
  <w:style w:type="paragraph" w:styleId="1312" w:customStyle="1">
    <w:name w:val="THC"/>
    <w:basedOn w:val="1282"/>
    <w:pPr>
      <w:ind w:firstLine="0"/>
      <w:jc w:val="center"/>
      <w:spacing w:before="0" w:after="0" w:line="276" w:lineRule="auto"/>
    </w:pPr>
    <w:rPr>
      <w:rFonts w:ascii="PF Square Sans Pro" w:hAnsi="PF Square Sans Pro" w:eastAsia="Calibri" w:cs="PF Square Sans Pro"/>
      <w:b/>
      <w:sz w:val="22"/>
      <w:lang w:val="en-US" w:eastAsia="zh-CN"/>
    </w:rPr>
  </w:style>
  <w:style w:type="paragraph" w:styleId="1313" w:customStyle="1">
    <w:name w:val="TLN"/>
    <w:basedOn w:val="930"/>
    <w:next w:val="1283"/>
    <w:pPr>
      <w:numPr>
        <w:ilvl w:val="0"/>
        <w:numId w:val="11"/>
      </w:numPr>
      <w:spacing w:after="200" w:line="276" w:lineRule="auto"/>
      <w:tabs>
        <w:tab w:val="left" w:pos="360" w:leader="none"/>
      </w:tabs>
    </w:pPr>
    <w:rPr>
      <w:rFonts w:ascii="PF Square Sans Pro" w:hAnsi="PF Square Sans Pro" w:eastAsia="Calibri" w:cs="PF Square Sans Pro"/>
      <w:sz w:val="22"/>
      <w:szCs w:val="22"/>
      <w:lang w:eastAsia="zh-CN"/>
    </w:rPr>
  </w:style>
  <w:style w:type="paragraph" w:styleId="1314" w:customStyle="1">
    <w:name w:val="TT"/>
    <w:basedOn w:val="1282"/>
    <w:next w:val="1282"/>
    <w:pPr>
      <w:ind w:firstLine="0"/>
      <w:jc w:val="left"/>
      <w:keepNext/>
      <w:spacing w:before="120" w:after="120" w:line="276" w:lineRule="auto"/>
    </w:pPr>
    <w:rPr>
      <w:rFonts w:ascii="PF Square Sans Pro" w:hAnsi="PF Square Sans Pro" w:eastAsia="Calibri" w:cs="PF Square Sans Pro"/>
      <w:b/>
      <w:sz w:val="22"/>
      <w:szCs w:val="22"/>
      <w:lang w:val="en-US" w:eastAsia="zh-CN"/>
    </w:rPr>
  </w:style>
  <w:style w:type="paragraph" w:styleId="1315" w:customStyle="1">
    <w:name w:val="LB"/>
    <w:basedOn w:val="1282"/>
    <w:pPr>
      <w:numPr>
        <w:ilvl w:val="0"/>
        <w:numId w:val="12"/>
      </w:numPr>
      <w:jc w:val="left"/>
      <w:spacing w:after="0" w:line="276" w:lineRule="auto"/>
    </w:pPr>
    <w:rPr>
      <w:rFonts w:ascii="PF Square Sans Pro" w:hAnsi="PF Square Sans Pro" w:eastAsia="Calibri" w:cs="PF Square Sans Pro"/>
      <w:sz w:val="22"/>
      <w:szCs w:val="22"/>
      <w:lang w:val="en-US" w:eastAsia="zh-CN"/>
    </w:rPr>
  </w:style>
  <w:style w:type="character" w:styleId="1316" w:customStyle="1">
    <w:name w:val="logo"/>
    <w:basedOn w:val="940"/>
  </w:style>
  <w:style w:type="character" w:styleId="1317" w:customStyle="1">
    <w:name w:val="Неразрешенное упоминание1"/>
    <w:basedOn w:val="940"/>
    <w:uiPriority w:val="99"/>
    <w:semiHidden/>
    <w:unhideWhenUsed/>
    <w:rPr>
      <w:color w:val="605e5c"/>
      <w:shd w:val="clear" w:color="auto" w:fill="e1dfdd"/>
    </w:rPr>
  </w:style>
  <w:style w:type="paragraph" w:styleId="1318">
    <w:name w:val="TOC Heading"/>
    <w:basedOn w:val="982"/>
    <w:next w:val="930"/>
    <w:uiPriority w:val="39"/>
    <w:unhideWhenUsed/>
    <w:qFormat/>
    <w:pPr>
      <w:numPr>
        <w:ilvl w:val="0"/>
        <w:numId w:val="0"/>
      </w:numPr>
      <w:jc w:val="left"/>
      <w:keepLines/>
      <w:pageBreakBefore w:val="0"/>
      <w:spacing w:after="0" w:line="259" w:lineRule="auto"/>
      <w:outlineLvl w:val="9"/>
    </w:pPr>
    <w:rPr>
      <w:rFonts w:asciiTheme="majorHAnsi" w:hAnsiTheme="majorHAnsi" w:eastAsiaTheme="majorEastAsia" w:cstheme="majorBidi"/>
      <w:b w:val="0"/>
      <w:bCs w:val="0"/>
      <w:caps w:val="0"/>
      <w:color w:val="2f5496" w:themeColor="accent1" w:themeShade="BF"/>
      <w:sz w:val="32"/>
      <w:szCs w:val="32"/>
    </w:rPr>
  </w:style>
  <w:style w:type="character" w:styleId="1319">
    <w:name w:val="line number"/>
    <w:basedOn w:val="940"/>
    <w:uiPriority w:val="99"/>
    <w:semiHidden/>
    <w:unhideWhenUsed/>
  </w:style>
  <w:style w:type="paragraph" w:styleId="1320" w:customStyle="1">
    <w:name w:val="ПЕРЕЧЕНЬ а)"/>
    <w:basedOn w:val="930"/>
    <w:qFormat/>
    <w:pPr>
      <w:numPr>
        <w:ilvl w:val="0"/>
        <w:numId w:val="20"/>
      </w:numPr>
      <w:jc w:val="both"/>
      <w:spacing w:before="60" w:after="60" w:line="259" w:lineRule="auto"/>
    </w:pPr>
    <w:rPr>
      <w:sz w:val="24"/>
      <w:lang w:eastAsia="zh-CN"/>
    </w:rPr>
  </w:style>
  <w:style w:type="paragraph" w:styleId="1321">
    <w:name w:val="Footer"/>
    <w:basedOn w:val="930"/>
    <w:link w:val="1322"/>
    <w:uiPriority w:val="99"/>
    <w:semiHidden/>
    <w:unhideWhenUsed/>
    <w:pPr>
      <w:tabs>
        <w:tab w:val="center" w:pos="4677" w:leader="none"/>
        <w:tab w:val="right" w:pos="9355" w:leader="none"/>
      </w:tabs>
    </w:pPr>
  </w:style>
  <w:style w:type="character" w:styleId="1322" w:customStyle="1">
    <w:name w:val="Нижний колонтитул Знак2"/>
    <w:basedOn w:val="940"/>
    <w:link w:val="1321"/>
    <w:uiPriority w:val="99"/>
    <w:semiHidden/>
  </w:style>
  <w:style w:type="paragraph" w:styleId="1323">
    <w:name w:val="Header"/>
    <w:basedOn w:val="930"/>
    <w:link w:val="1324"/>
    <w:uiPriority w:val="99"/>
    <w:semiHidden/>
    <w:unhideWhenUsed/>
    <w:pPr>
      <w:tabs>
        <w:tab w:val="center" w:pos="4677" w:leader="none"/>
        <w:tab w:val="right" w:pos="9355" w:leader="none"/>
      </w:tabs>
    </w:pPr>
  </w:style>
  <w:style w:type="character" w:styleId="1324" w:customStyle="1">
    <w:name w:val="Верхний колонтитул Знак2"/>
    <w:basedOn w:val="940"/>
    <w:link w:val="1323"/>
    <w:uiPriority w:val="99"/>
    <w:semiHidden/>
  </w:style>
  <w:style w:type="paragraph" w:styleId="1325" w:customStyle="1">
    <w:name w:val="1.1.1.1 Подпунк"/>
    <w:basedOn w:val="1277"/>
    <w:link w:val="1326"/>
    <w:qFormat/>
    <w:pPr>
      <w:numPr>
        <w:ilvl w:val="0"/>
        <w:numId w:val="0"/>
      </w:numPr>
      <w:contextualSpacing/>
      <w:ind w:left="1276" w:firstLine="709"/>
      <w:spacing w:after="0"/>
      <w:tabs>
        <w:tab w:val="left" w:pos="567" w:leader="none"/>
      </w:tabs>
      <w:outlineLvl w:val="3"/>
    </w:pPr>
    <w:rPr>
      <w:bCs w:val="0"/>
      <w:sz w:val="28"/>
    </w:rPr>
  </w:style>
  <w:style w:type="character" w:styleId="1326" w:customStyle="1">
    <w:name w:val="1.1.1.1 Подпунк Знак"/>
    <w:basedOn w:val="1280"/>
    <w:link w:val="1325"/>
    <w:rPr>
      <w:b/>
      <w:bCs w:val="0"/>
      <w:sz w:val="28"/>
      <w:szCs w:val="28"/>
    </w:rPr>
  </w:style>
  <w:style w:type="paragraph" w:styleId="1327" w:customStyle="1">
    <w:name w:val="1.1.1.1. ПУНКТ"/>
    <w:link w:val="1328"/>
    <w:qFormat/>
    <w:pPr>
      <w:ind w:firstLine="567"/>
      <w:keepNext/>
      <w:spacing w:line="360" w:lineRule="auto"/>
    </w:pPr>
    <w:rPr>
      <w:rFonts w:eastAsia="Liberation Serif"/>
      <w:sz w:val="28"/>
      <w:szCs w:val="28"/>
    </w:rPr>
  </w:style>
  <w:style w:type="character" w:styleId="1328" w:customStyle="1">
    <w:name w:val="1.1.1.1. ПУНКТ Знак"/>
    <w:link w:val="1327"/>
    <w:rPr>
      <w:rFonts w:eastAsia="Liberation Serif"/>
      <w:sz w:val="28"/>
      <w:szCs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customXml" Target="../customXml/item1.xml" /><Relationship Id="rId17" Type="http://schemas.openxmlformats.org/officeDocument/2006/relationships/image" Target="media/image1.png"/><Relationship Id="rId18" Type="http://schemas.openxmlformats.org/officeDocument/2006/relationships/hyperlink" Target="https://nsud.info.gov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_rels/header5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632372-5E6E-4B0C-AF36-B8CB8FC81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kotova_ya</cp:lastModifiedBy>
  <cp:revision>6</cp:revision>
  <dcterms:created xsi:type="dcterms:W3CDTF">2026-08-20T12:54:00Z</dcterms:created>
  <dcterms:modified xsi:type="dcterms:W3CDTF">2026-09-30T07:51:10Z</dcterms:modified>
</cp:coreProperties>
</file>