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№ 2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 к извещению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04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 проведении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открытого аукциона в электронной форме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0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8"/>
        <w:jc w:val="center"/>
      </w:pPr>
      <w:r>
        <w:t xml:space="preserve">Проект государственного контракта </w:t>
      </w:r>
      <w:r>
        <w:t xml:space="preserve">№</w:t>
      </w:r>
      <w:r>
        <w:t xml:space="preserve"> </w:t>
      </w:r>
      <w:r>
        <w:t xml:space="preserve">__________________</w:t>
      </w:r>
      <w:r/>
    </w:p>
    <w:p>
      <w:pPr>
        <w:ind w:right="141"/>
        <w:jc w:val="center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на </w:t>
      </w:r>
      <w:r>
        <w:rPr>
          <w:rFonts w:ascii="Times New Roman" w:hAnsi="Times New Roman" w:eastAsia="Arial" w:cs="Times New Roman"/>
          <w:sz w:val="24"/>
          <w:szCs w:val="24"/>
        </w:rPr>
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4"/>
          <w:szCs w:val="24"/>
        </w:rPr>
      </w:r>
    </w:p>
    <w:p>
      <w:pPr>
        <w:pStyle w:val="1048"/>
        <w:jc w:val="center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1048"/>
        <w:jc w:val="center"/>
      </w:pPr>
      <w:r>
        <w:t xml:space="preserve">(Идентификационный код закупки </w:t>
      </w:r>
      <w:r>
        <w:t xml:space="preserve">№</w:t>
      </w:r>
      <w:r>
        <w:t xml:space="preserve"> </w:t>
      </w:r>
      <w:r>
        <w:t xml:space="preserve">_______________________________________</w:t>
      </w:r>
      <w:r>
        <w:t xml:space="preserve">)</w:t>
      </w:r>
      <w:r/>
    </w:p>
    <w:p>
      <w:pPr>
        <w:pStyle w:val="1048"/>
        <w:jc w:val="both"/>
      </w:pPr>
      <w:r/>
      <w:r/>
    </w:p>
    <w:p>
      <w:pPr>
        <w:pStyle w:val="10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 _______ 20</w:t>
      </w:r>
      <w:r>
        <w:rPr>
          <w:rFonts w:ascii="Times New Roman" w:hAnsi="Times New Roman" w:cs="Times New Roman"/>
          <w:sz w:val="24"/>
          <w:szCs w:val="24"/>
        </w:rPr>
        <w:t xml:space="preserve">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г. Москва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8"/>
        <w:jc w:val="both"/>
      </w:pPr>
      <w:r/>
      <w:r/>
    </w:p>
    <w:p>
      <w:pPr>
        <w:pStyle w:val="1048"/>
        <w:ind w:firstLine="54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540"/>
        <w:jc w:val="both"/>
        <w:rPr>
          <w:highlight w:val="none"/>
        </w:rPr>
      </w:pPr>
      <w:r>
        <w:rPr>
          <w:b/>
        </w:rPr>
        <w:t xml:space="preserve">Министерство энергетики Российской Федерации (Минэнерго России)</w:t>
      </w:r>
      <w:r>
        <w:t xml:space="preserve">, именуемое</w:t>
      </w:r>
      <w:r>
        <w:t xml:space="preserve">  в дальнейшем </w:t>
      </w:r>
      <w:r>
        <w:rPr>
          <w:b/>
        </w:rPr>
        <w:t xml:space="preserve">«</w:t>
      </w:r>
      <w:r>
        <w:t xml:space="preserve">Заказчик</w:t>
      </w:r>
      <w:r>
        <w:t xml:space="preserve">»</w:t>
      </w:r>
      <w:r>
        <w:t xml:space="preserve">, в лице </w:t>
      </w:r>
      <w:r>
        <w:t xml:space="preserve">заместителя Министра энергетики Российской Федерации </w:t>
      </w:r>
      <w:r>
        <w:t xml:space="preserve">Шереметцева</w:t>
      </w:r>
      <w:r>
        <w:t xml:space="preserve"> Эдуарда Михайловича, действующего на основании приказа Минэнерго России</w:t>
      </w:r>
      <w:r>
        <w:br/>
      </w:r>
      <w:r>
        <w:t xml:space="preserve">от 24.11.2021 № 1286 и доверенности </w:t>
      </w:r>
      <w:r>
        <w:t xml:space="preserve">от 07.05.2025 № 27</w:t>
      </w:r>
      <w:r>
        <w:t xml:space="preserve">, с одной стороны, и __________________, именуемый в дальнейшем </w:t>
      </w:r>
      <w:r>
        <w:t xml:space="preserve">«</w:t>
      </w:r>
      <w:r>
        <w:t xml:space="preserve">Исполнитель</w:t>
      </w:r>
      <w:r>
        <w:t xml:space="preserve">»</w:t>
      </w:r>
      <w:r>
        <w:t xml:space="preserve">, в лице __________________, действующего на основании __________________, с другой стороны, вместе именуемые в дальнейшем </w:t>
      </w:r>
      <w:r>
        <w:t xml:space="preserve">«</w:t>
      </w:r>
      <w:r>
        <w:t xml:space="preserve">Стороны</w:t>
      </w:r>
      <w:r>
        <w:t xml:space="preserve">»</w:t>
      </w:r>
      <w:r>
        <w:t xml:space="preserve"> и каждый в отдельности «Сторона», с соблюдением требований Гражданского кодекса Российской Федерации, Федерального закона от </w:t>
      </w:r>
      <w:r>
        <w:t xml:space="preserve">0</w:t>
      </w:r>
      <w:r>
        <w:t xml:space="preserve">5</w:t>
      </w:r>
      <w:r>
        <w:t xml:space="preserve">.04.</w:t>
      </w:r>
      <w:r>
        <w:t xml:space="preserve">2013 № 44-ФЗ</w:t>
      </w:r>
      <w:r>
        <w:t xml:space="preserve">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иного законодательства Российской Федерации, на основании результатов определения </w:t>
      </w:r>
      <w:r>
        <w:t xml:space="preserve">Исполнителя</w:t>
      </w:r>
      <w:r>
        <w:t xml:space="preserve"> способом закупки открытый аукцион в электронной форме реестровый № закупки ________________, протокол от __ _____ 2026 </w:t>
      </w:r>
      <w:r>
        <w:t xml:space="preserve">№ ______________________, заключили настоящий </w:t>
      </w:r>
      <w:r>
        <w:t xml:space="preserve">г</w:t>
      </w:r>
      <w:r>
        <w:t xml:space="preserve">осударственный контракт (далее – Контракт) о нижеследующем: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540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048"/>
        <w:jc w:val="center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I. Предмет Контракта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048"/>
        <w:ind w:firstLine="708"/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обязуется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оказать услуги </w:t>
      </w:r>
      <w:r>
        <w:rPr>
          <w:rFonts w:ascii="Times New Roman" w:hAnsi="Times New Roman"/>
          <w:sz w:val="24"/>
          <w:szCs w:val="24"/>
          <w:lang w:val="ru-RU"/>
        </w:rPr>
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t xml:space="preserve"> </w:t>
      </w:r>
      <w:r>
        <w:t xml:space="preserve">(далее </w:t>
      </w:r>
      <w:r>
        <w:t xml:space="preserve">–</w:t>
      </w:r>
      <w:r>
        <w:t xml:space="preserve"> </w:t>
      </w:r>
      <w:r>
        <w:t xml:space="preserve">Услуг</w:t>
      </w:r>
      <w:r>
        <w:t xml:space="preserve">и</w:t>
      </w:r>
      <w:r>
        <w:t xml:space="preserve">), а Заказчик обязуется принять и оплатить</w:t>
      </w:r>
      <w:r>
        <w:rPr>
          <w:rStyle w:val="1047"/>
        </w:rPr>
        <w:footnoteReference w:id="2"/>
      </w:r>
      <w:r>
        <w:t xml:space="preserve"> </w:t>
      </w:r>
      <w:r>
        <w:t xml:space="preserve">оказанн</w:t>
      </w:r>
      <w:r>
        <w:t xml:space="preserve">ые</w:t>
      </w:r>
      <w:r>
        <w:t xml:space="preserve"> Услуг</w:t>
      </w:r>
      <w:r>
        <w:t xml:space="preserve">и</w:t>
      </w:r>
      <w:r>
        <w:t xml:space="preserve"> в порядке и на условиях, предусмотренных Контрактом.</w:t>
      </w:r>
      <w:r/>
    </w:p>
    <w:p>
      <w:pPr>
        <w:pStyle w:val="1048"/>
        <w:ind w:firstLine="708"/>
        <w:jc w:val="both"/>
      </w:pPr>
      <w:r>
        <w:t xml:space="preserve">1.2. Наименование, </w:t>
      </w:r>
      <w:r>
        <w:t xml:space="preserve">объем</w:t>
      </w:r>
      <w:r>
        <w:t xml:space="preserve"> и иные характеристики </w:t>
      </w:r>
      <w:r>
        <w:t xml:space="preserve">оказываемых Услуг</w:t>
      </w:r>
      <w:r>
        <w:t xml:space="preserve"> указаны в </w:t>
      </w:r>
      <w:r>
        <w:t xml:space="preserve">Техническом задании (приложение 1</w:t>
      </w:r>
      <w:r>
        <w:t xml:space="preserve"> к Контракту</w:t>
      </w:r>
      <w:r>
        <w:t xml:space="preserve">), </w:t>
      </w:r>
      <w:r>
        <w:t xml:space="preserve">Спецификации (</w:t>
      </w:r>
      <w:hyperlink w:tooltip="Спецификация" w:anchor="Par1909" w:history="1">
        <w:r>
          <w:t xml:space="preserve">приложение</w:t>
        </w:r>
      </w:hyperlink>
      <w:r>
        <w:t xml:space="preserve"> 2</w:t>
      </w:r>
      <w:r>
        <w:t xml:space="preserve"> </w:t>
      </w:r>
      <w:r>
        <w:t xml:space="preserve">к Контракту) </w:t>
      </w:r>
      <w:r>
        <w:t xml:space="preserve">и Календарном плане (приложение 3 к Контракту)</w:t>
      </w:r>
      <w:r>
        <w:t xml:space="preserve">, являющ</w:t>
      </w:r>
      <w:r>
        <w:t xml:space="preserve">имися</w:t>
      </w:r>
      <w:r>
        <w:t xml:space="preserve"> неотъемлемыми частями Контракта.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II. Цена Контракта и порядок расчетов</w:t>
      </w:r>
      <w:r>
        <w:rPr>
          <w:b/>
        </w:rPr>
      </w:r>
      <w:r>
        <w:rPr>
          <w:b/>
        </w:rPr>
      </w:r>
    </w:p>
    <w:p>
      <w:pPr>
        <w:pStyle w:val="1049"/>
        <w:ind w:firstLine="709"/>
        <w:jc w:val="both"/>
        <w:rPr>
          <w:rFonts w:ascii="Times New Roman" w:hAnsi="Times New Roman" w:cs="Times New Roman"/>
          <w:sz w:val="24"/>
          <w:szCs w:val="24"/>
          <w:vertAlign w:val="baseline"/>
        </w:rPr>
      </w:pPr>
      <w:r/>
      <w:bookmarkStart w:id="0" w:name="Par1440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2.1.  Цена Контракта (Предложение о цене за право</w:t>
      </w:r>
      <w:r>
        <w:rPr>
          <w:rFonts w:ascii="Times New Roman" w:hAnsi="Times New Roman" w:cs="Times New Roman"/>
          <w:sz w:val="24"/>
          <w:szCs w:val="24"/>
        </w:rPr>
        <w:t xml:space="preserve"> заключения Контракта)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</w:t>
      </w:r>
      <w:r>
        <w:rPr>
          <w:rFonts w:ascii="Times New Roman" w:hAnsi="Times New Roman" w:cs="Times New Roman"/>
          <w:sz w:val="24"/>
          <w:szCs w:val="24"/>
        </w:rPr>
        <w:t xml:space="preserve">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 (__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___) рублей __</w:t>
      </w:r>
      <w:r>
        <w:rPr>
          <w:rFonts w:ascii="Times New Roman" w:hAnsi="Times New Roman" w:cs="Times New Roman"/>
          <w:sz w:val="24"/>
          <w:szCs w:val="24"/>
        </w:rPr>
        <w:t xml:space="preserve"> копеек,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том числе НДС ___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__ (__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(цифрами и прописью)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 _____ копеек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(НДС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облагается) 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  <w:vertAlign w:val="baseline"/>
        </w:rPr>
        <w:t xml:space="preserve">.</w:t>
      </w:r>
      <w:r>
        <w:rPr>
          <w:rFonts w:ascii="Times New Roman" w:hAnsi="Times New Roman" w:cs="Times New Roman"/>
          <w:sz w:val="24"/>
          <w:szCs w:val="24"/>
          <w:vertAlign w:val="baseline"/>
        </w:rPr>
      </w:r>
      <w:r>
        <w:rPr>
          <w:rFonts w:ascii="Times New Roman" w:hAnsi="Times New Roman" w:cs="Times New Roman"/>
          <w:sz w:val="24"/>
          <w:szCs w:val="24"/>
          <w:vertAlign w:val="baseline"/>
        </w:rPr>
      </w:r>
    </w:p>
    <w:p>
      <w:pPr>
        <w:pStyle w:val="1048"/>
        <w:ind w:firstLine="709"/>
        <w:jc w:val="both"/>
      </w:pPr>
      <w:r/>
      <w:bookmarkStart w:id="1" w:name="Par1445"/>
      <w:r/>
      <w:bookmarkStart w:id="2" w:name="Par1457"/>
      <w:r/>
      <w:bookmarkEnd w:id="1"/>
      <w:r/>
      <w:bookmarkEnd w:id="2"/>
      <w:r>
        <w:t xml:space="preserve">2.2. Сумма, подлежащая уплате Заказчиком </w:t>
      </w:r>
      <w:r>
        <w:t xml:space="preserve">Исполнителю</w:t>
      </w:r>
      <w:r>
        <w:t xml:space="preserve">, уменьшается на размер налогов, сборов и иных о</w:t>
      </w:r>
      <w:r>
        <w:t xml:space="preserve">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</w:t>
      </w:r>
      <w:r>
        <w:t xml:space="preserve">бюджетной системы Российской Федерации Заказчиком.</w:t>
      </w:r>
      <w:r/>
    </w:p>
    <w:p>
      <w:pPr>
        <w:pStyle w:val="1048"/>
        <w:ind w:firstLine="709"/>
        <w:jc w:val="both"/>
      </w:pPr>
      <w:r/>
      <w:bookmarkStart w:id="3" w:name="Par1458"/>
      <w:r/>
      <w:bookmarkEnd w:id="3"/>
      <w:r>
        <w:t xml:space="preserve">2.3. Цена Контракта включает в себя стоимость </w:t>
      </w:r>
      <w:r>
        <w:t xml:space="preserve">Услуг </w:t>
      </w:r>
      <w:r>
        <w:t xml:space="preserve">и иные расходы, связанные с исполнением Контракта. </w:t>
      </w:r>
      <w:r/>
    </w:p>
    <w:p>
      <w:pPr>
        <w:pStyle w:val="1048"/>
        <w:ind w:firstLine="709"/>
        <w:jc w:val="both"/>
      </w:pPr>
      <w:r/>
      <w:bookmarkStart w:id="4" w:name="Par1459"/>
      <w:r/>
      <w:bookmarkEnd w:id="4"/>
      <w:r>
        <w:t xml:space="preserve">2.4. Цена Контракта является твердой и определяется на весь срок исполнения Контракта, за исключением случаев, установленных </w:t>
      </w:r>
      <w:r>
        <w:t xml:space="preserve">Законом о контрактной системе</w:t>
      </w:r>
      <w:r>
        <w:t xml:space="preserve"> и Контрактом.</w:t>
      </w:r>
      <w:r/>
    </w:p>
    <w:p>
      <w:pPr>
        <w:pStyle w:val="1048"/>
        <w:ind w:firstLine="709"/>
        <w:jc w:val="both"/>
      </w:pPr>
      <w:r/>
      <w:bookmarkStart w:id="5" w:name="Par1460"/>
      <w:r/>
      <w:bookmarkEnd w:id="5"/>
      <w:r>
        <w:t xml:space="preserve">Цена Контракта может быть снижена по соглашению Сторон без</w:t>
      </w:r>
      <w:r>
        <w:t xml:space="preserve"> </w:t>
      </w:r>
      <w:r>
        <w:t xml:space="preserve">изменения</w:t>
      </w:r>
      <w:r>
        <w:t xml:space="preserve">,</w:t>
      </w:r>
      <w:r>
        <w:t xml:space="preserve"> предусмотренного Контрактом </w:t>
      </w:r>
      <w:r>
        <w:t xml:space="preserve">объема</w:t>
      </w:r>
      <w:r>
        <w:t xml:space="preserve"> и качества </w:t>
      </w:r>
      <w:r>
        <w:t xml:space="preserve">оказываемых Услуг</w:t>
      </w:r>
      <w:r>
        <w:t xml:space="preserve"> и иных условий Контракта. </w:t>
      </w:r>
      <w:r/>
    </w:p>
    <w:p>
      <w:pPr>
        <w:pStyle w:val="1048"/>
        <w:ind w:firstLine="709"/>
        <w:jc w:val="both"/>
      </w:pPr>
      <w:r>
        <w:t xml:space="preserve">2.5. Источник финансирования Контракта </w:t>
      </w:r>
      <w:r>
        <w:t xml:space="preserve">–</w:t>
      </w:r>
      <w:r>
        <w:t xml:space="preserve"> </w:t>
      </w:r>
      <w:r>
        <w:t xml:space="preserve">Федеральный бюджет</w:t>
      </w:r>
      <w:r>
        <w:t xml:space="preserve">.</w:t>
      </w:r>
      <w:r/>
    </w:p>
    <w:p>
      <w:pPr>
        <w:pStyle w:val="1048"/>
        <w:ind w:right="565" w:firstLine="709"/>
        <w:jc w:val="both"/>
      </w:pPr>
      <w:r>
        <w:t xml:space="preserve">Код вида расходов: 242.</w:t>
      </w:r>
      <w:r/>
    </w:p>
    <w:p>
      <w:pPr>
        <w:pStyle w:val="1048"/>
        <w:ind w:firstLine="709"/>
        <w:jc w:val="both"/>
      </w:pPr>
      <w:r>
        <w:t xml:space="preserve">2.6. Авансовый платеж не предусмотрен.</w:t>
      </w:r>
      <w:r/>
    </w:p>
    <w:p>
      <w:pPr>
        <w:pStyle w:val="1048"/>
        <w:ind w:firstLine="709"/>
        <w:jc w:val="both"/>
      </w:pPr>
      <w:r/>
      <w:bookmarkStart w:id="6" w:name="Par1462"/>
      <w:r/>
      <w:bookmarkEnd w:id="6"/>
      <w:r>
        <w:t xml:space="preserve">2.</w:t>
      </w:r>
      <w:r>
        <w:t xml:space="preserve">7</w:t>
      </w:r>
      <w:r>
        <w:t xml:space="preserve">. </w:t>
      </w:r>
      <w:bookmarkStart w:id="7" w:name="Par1475"/>
      <w:r/>
      <w:bookmarkEnd w:id="7"/>
      <w:r>
        <w:t xml:space="preserve">Расчеты между Заказчиком и </w:t>
      </w:r>
      <w:r>
        <w:t xml:space="preserve">Исполнителем</w:t>
      </w:r>
      <w:r>
        <w:t xml:space="preserve"> производятся не позднее </w:t>
      </w:r>
      <w:r>
        <w:t xml:space="preserve">7</w:t>
      </w:r>
      <w:r>
        <w:t xml:space="preserve"> (</w:t>
      </w:r>
      <w:r>
        <w:t xml:space="preserve">семи</w:t>
      </w:r>
      <w:r>
        <w:t xml:space="preserve">) рабочих дней </w:t>
      </w:r>
      <w:r>
        <w:t xml:space="preserve">с даты </w:t>
      </w:r>
      <w:r>
        <w:t xml:space="preserve">подписания усиленной электронной подписью лиц</w:t>
      </w:r>
      <w:r>
        <w:t xml:space="preserve">а</w:t>
      </w:r>
      <w:r>
        <w:t xml:space="preserve">, имеющ</w:t>
      </w:r>
      <w:r>
        <w:t xml:space="preserve">его</w:t>
      </w:r>
      <w:r>
        <w:t xml:space="preserve"> право действовать от имени </w:t>
      </w:r>
      <w:r>
        <w:t xml:space="preserve">З</w:t>
      </w:r>
      <w:r>
        <w:t xml:space="preserve">аказчика, документа о приемке в </w:t>
      </w:r>
      <w:r>
        <w:t xml:space="preserve">единой информационной системе (далее – </w:t>
      </w:r>
      <w:r>
        <w:t xml:space="preserve">ЕИС</w:t>
      </w:r>
      <w:r>
        <w:t xml:space="preserve">)</w:t>
      </w:r>
      <w:r>
        <w:rPr>
          <w:rStyle w:val="1047"/>
        </w:rPr>
        <w:t xml:space="preserve"> 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Документ о приемке </w:t>
      </w:r>
      <w:r>
        <w:t xml:space="preserve">У</w:t>
      </w:r>
      <w:r>
        <w:t xml:space="preserve">слуг в рамках исполнения Контракта (отдельного этапа исполнения Контракта), сформированный в ЕИС в электронной форме и подписанный электронными подписями по правилам Федерального закона </w:t>
      </w:r>
      <w:r>
        <w:t xml:space="preserve">от 6</w:t>
      </w:r>
      <w:r>
        <w:t xml:space="preserve"> апреля </w:t>
      </w:r>
      <w:r>
        <w:t xml:space="preserve">2011</w:t>
      </w:r>
      <w:r>
        <w:t xml:space="preserve"> г.</w:t>
      </w:r>
      <w:r>
        <w:t xml:space="preserve"> № 63-ФЗ «</w:t>
      </w:r>
      <w:r>
        <w:t xml:space="preserve">Об электронной подписи</w:t>
      </w:r>
      <w:r>
        <w:t xml:space="preserve">»</w:t>
      </w:r>
      <w:r>
        <w:t xml:space="preserve">, признается электронным документом, равнозначным документу на бумажном носителе, подписанному собственноручными подписями.</w:t>
      </w:r>
      <w:r/>
    </w:p>
    <w:p>
      <w:pPr>
        <w:pStyle w:val="1048"/>
        <w:ind w:firstLine="709"/>
        <w:jc w:val="both"/>
      </w:pPr>
      <w:r>
        <w:t xml:space="preserve">К формируемому в ЕИС документу о приемке </w:t>
      </w:r>
      <w:r>
        <w:t xml:space="preserve">Исполнитель</w:t>
      </w:r>
      <w:r>
        <w:t xml:space="preserve"> вправе приложить документы, </w:t>
      </w:r>
      <w:r>
        <w:t xml:space="preserve">являющиеся </w:t>
      </w:r>
      <w:r>
        <w:t xml:space="preserve">его неотъемлемой частью</w:t>
      </w:r>
      <w:r>
        <w:t xml:space="preserve"> (Товарная накладная по форме Торг-12, счет, счет фактура (в случае,</w:t>
      </w:r>
      <w:r>
        <w:t xml:space="preserve"> если</w:t>
      </w:r>
      <w:r>
        <w:t xml:space="preserve"> </w:t>
      </w:r>
      <w:r>
        <w:t xml:space="preserve">Исполнитель</w:t>
      </w:r>
      <w:r>
        <w:t xml:space="preserve"> является плательщиком НДС)</w:t>
      </w:r>
      <w:r>
        <w:t xml:space="preserve">)</w:t>
      </w:r>
      <w:r>
        <w:t xml:space="preserve">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sz w:val="24"/>
          <w:szCs w:val="24"/>
          <w:lang w:bidi="ru-RU"/>
        </w:rPr>
      </w:pP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2.8. 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В случае, если исполнение Контракта (этапа) осуществляется в декабре, оплата осуществляется в следующем порядке: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sz w:val="24"/>
          <w:szCs w:val="24"/>
          <w:lang w:bidi="ru-RU"/>
        </w:rPr>
      </w:pP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если окончание оказания Услуг приходится на дату с 1 по 20 декабря финансового года включительно, – не позднее чем за один рабочий день до окончания текущего финансового года в пределах лимитов бюджетных о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бюджета на очередной финансовый год; 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</w:p>
    <w:p>
      <w:pPr>
        <w:pStyle w:val="1048"/>
        <w:ind w:firstLine="709"/>
        <w:jc w:val="both"/>
      </w:pPr>
      <w:r>
        <w:rPr>
          <w:rFonts w:eastAsia="Arial Unicode MS"/>
          <w:lang w:bidi="ru-RU"/>
        </w:rPr>
        <w:t xml:space="preserve">если окончание оказания Услуг, согласно условиям Контракта, приходится на дату с 21 по 31 декабря финансового года включительно, – в очередном финансовом году в пределах лимитов бюджетных обязательств, доведенных до Заказчика на очередной финансовый год</w:t>
      </w:r>
      <w:r>
        <w:rPr>
          <w:rFonts w:eastAsia="Arial Unicode MS"/>
          <w:lang w:bidi="ru-RU"/>
        </w:rPr>
        <w:t xml:space="preserve">.</w:t>
      </w:r>
      <w:r/>
    </w:p>
    <w:p>
      <w:pPr>
        <w:pStyle w:val="1074"/>
      </w:pPr>
      <w:r>
        <w:t xml:space="preserve">2.9. Оплата по Контр</w:t>
      </w:r>
      <w:r>
        <w:t xml:space="preserve">акту осущ</w:t>
      </w:r>
      <w:r>
        <w:t xml:space="preserve">ествляется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трехдневный срок с момента изме</w:t>
      </w:r>
      <w:r>
        <w:t xml:space="preserve">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  <w:r/>
    </w:p>
    <w:p>
      <w:pPr>
        <w:pStyle w:val="1048"/>
        <w:ind w:firstLine="709"/>
        <w:jc w:val="both"/>
      </w:pPr>
      <w:r>
        <w:t xml:space="preserve">2.10. В случае неисполнения Исполнителем требований об уплате неустоек (штрафов, пеней), предъявленных Заказчиком, Заказчик производит оплату по Контракту за вычетом соответствующего размера неустойки (штрафа, пени).</w:t>
      </w:r>
      <w:r/>
    </w:p>
    <w:p>
      <w:pPr>
        <w:pStyle w:val="1048"/>
        <w:ind w:firstLine="709"/>
        <w:jc w:val="both"/>
        <w:rPr>
          <w:highlight w:val="none"/>
        </w:rPr>
      </w:pPr>
      <w:r>
        <w:t xml:space="preserve">2.11. Исполнение обязательства Исполнителя по перечислению неустойки (штрафа, пени) в доход бюджетной</w:t>
      </w:r>
      <w:r>
        <w:t xml:space="preserve"> системы Российской Федерации в данном случае возлагается на Заказчика и осуществляется последним на основании платежного документа с указанием Исполнителя, за которого осуществляется перечисление неустойки (штрафа, пени) в доход соответствующего бюджета. 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jc w:val="center"/>
        <w:spacing w:before="240"/>
        <w:rPr>
          <w:b/>
        </w:rPr>
        <w:outlineLvl w:val="1"/>
      </w:pPr>
      <w:r/>
      <w:bookmarkStart w:id="8" w:name="Par1477"/>
      <w:r/>
      <w:bookmarkEnd w:id="8"/>
      <w:r>
        <w:rPr>
          <w:b/>
        </w:rPr>
        <w:t xml:space="preserve">Раздел </w:t>
      </w:r>
      <w:r>
        <w:rPr>
          <w:b/>
        </w:rPr>
        <w:t xml:space="preserve">III. Порядок, сроки</w:t>
      </w:r>
      <w:r>
        <w:rPr>
          <w:b/>
        </w:rPr>
        <w:t xml:space="preserve">, место</w:t>
      </w:r>
      <w:r>
        <w:rPr>
          <w:b/>
        </w:rPr>
        <w:t xml:space="preserve"> и условия </w:t>
      </w:r>
      <w:r>
        <w:rPr>
          <w:b/>
        </w:rPr>
        <w:t xml:space="preserve">оказания</w:t>
      </w:r>
      <w:r>
        <w:rPr>
          <w:b/>
        </w:rPr>
        <w:t xml:space="preserve"> </w:t>
      </w:r>
      <w:r>
        <w:rPr>
          <w:b/>
        </w:rPr>
        <w:t xml:space="preserve">и сдачи-приемки </w:t>
      </w:r>
      <w:r>
        <w:rPr>
          <w:b/>
        </w:rPr>
        <w:t xml:space="preserve">Услуг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/>
      <w:bookmarkStart w:id="9" w:name="Par1480"/>
      <w:r/>
      <w:bookmarkEnd w:id="9"/>
      <w:r>
        <w:t xml:space="preserve">3.1. </w:t>
      </w:r>
      <w:r>
        <w:t xml:space="preserve">Исполнитель</w:t>
      </w:r>
      <w:r>
        <w:t xml:space="preserve"> оказывает Услуги </w:t>
      </w:r>
      <w:r>
        <w:t xml:space="preserve">с даты заключения Контракта по </w:t>
      </w:r>
      <w:r>
        <w:t xml:space="preserve">04.12.2026</w:t>
      </w:r>
      <w:r>
        <w:t xml:space="preserve"> </w:t>
        <w:br/>
        <w:t xml:space="preserve">в соответствии с Техническим заданием</w:t>
      </w:r>
      <w:r>
        <w:t xml:space="preserve"> по адресу: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г. Москва, ул. Щепкина, д. 42 строение 1, 2 </w:t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с использованием средств удаленного доступа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 соответствии с Техническим заданием</w:t>
      </w:r>
      <w:r>
        <w:t xml:space="preserve">. </w:t>
      </w:r>
      <w:r/>
    </w:p>
    <w:p>
      <w:pPr>
        <w:pStyle w:val="1048"/>
        <w:ind w:firstLine="709"/>
        <w:jc w:val="both"/>
      </w:pPr>
      <w:r/>
      <w:bookmarkStart w:id="10" w:name="Par1482"/>
      <w:r/>
      <w:bookmarkStart w:id="11" w:name="Par1485"/>
      <w:r/>
      <w:bookmarkEnd w:id="10"/>
      <w:r/>
      <w:bookmarkEnd w:id="11"/>
      <w:r>
        <w:t xml:space="preserve">3.</w:t>
      </w:r>
      <w:r>
        <w:t xml:space="preserve">2</w:t>
      </w:r>
      <w:r>
        <w:t xml:space="preserve">. </w:t>
      </w:r>
      <w:r>
        <w:rPr>
          <w:highlight w:val="none"/>
        </w:rPr>
        <w:t xml:space="preserve">Сдача-приемка оказанных Услуг осуществляется путем предоставления Исполнителем документов, обязательных для данного вида Услуг в соответствии с Техническим заданием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3.3.</w:t>
      </w:r>
      <w:r>
        <w:t xml:space="preserve"> </w:t>
      </w:r>
      <w:r>
        <w:t xml:space="preserve">Исполнитель не позднее трех рабочих дней, следующего за днем оказания Услуг, формирует с ис</w:t>
      </w:r>
      <w:r>
        <w:t xml:space="preserve">пользованием ЕИС, подписывает усиленной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 статьи 94 Закона о контрактной системе.</w:t>
      </w:r>
      <w:r/>
    </w:p>
    <w:p>
      <w:pPr>
        <w:pStyle w:val="1048"/>
        <w:ind w:firstLine="709"/>
        <w:jc w:val="both"/>
      </w:pPr>
      <w:r>
        <w:t xml:space="preserve">Исполнитель вправе приложить к документу о приемке документы, которые считаются его неотъемлемой частью.</w:t>
      </w:r>
      <w:r/>
    </w:p>
    <w:p>
      <w:pPr>
        <w:pStyle w:val="1048"/>
        <w:ind w:firstLine="709"/>
        <w:jc w:val="both"/>
      </w:pPr>
      <w:r>
        <w:t xml:space="preserve">К документу о приемке прилагаются документы, обязательные для данного вида Услуг, а также иные документы, подтверждающие качество оказанных Услуг, а также иные документы, предусмотренные Техническим заданием.</w:t>
      </w:r>
      <w:r/>
    </w:p>
    <w:p>
      <w:pPr>
        <w:pStyle w:val="1048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Датой приемки оказанных Услуг считается дата размещения в ЕИС документа о приемке, подписанного Заказчиком.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1048"/>
        <w:ind w:firstLine="709"/>
        <w:jc w:val="both"/>
      </w:pPr>
      <w:r>
        <w:t xml:space="preserve">3.4. Заказчик проводит проверку соответствия </w:t>
      </w:r>
      <w:r>
        <w:t xml:space="preserve">объема</w:t>
      </w:r>
      <w:r>
        <w:t xml:space="preserve"> и иных характеристик </w:t>
      </w:r>
      <w:r>
        <w:t xml:space="preserve">оказываемых У</w:t>
      </w:r>
      <w:r>
        <w:t xml:space="preserve">слуг</w:t>
      </w:r>
      <w:r>
        <w:t xml:space="preserve">, сведениям, содержащимся в сопроводительных документах </w:t>
      </w:r>
      <w:r>
        <w:t xml:space="preserve">Исполнителя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3.5. Для проверки </w:t>
      </w:r>
      <w:r>
        <w:t xml:space="preserve">результатов оказанных Услуг, предусмотренных Контрактом, в части их соответствия условиям Контр</w:t>
      </w:r>
      <w:r>
        <w:t xml:space="preserve">акта Заказчик пр</w:t>
      </w:r>
      <w:r>
        <w:t xml:space="preserve">оводит экспертизу. Экспертиза результатов оказанных Услуг,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</w:t>
      </w:r>
      <w:r>
        <w:t xml:space="preserve">Законом о контрактной системе.</w:t>
      </w:r>
      <w:r/>
    </w:p>
    <w:p>
      <w:pPr>
        <w:pStyle w:val="1048"/>
        <w:ind w:firstLine="709"/>
        <w:jc w:val="both"/>
      </w:pPr>
      <w:r/>
      <w:bookmarkStart w:id="12" w:name="Par1489"/>
      <w:r/>
      <w:bookmarkEnd w:id="12"/>
      <w:r>
        <w:t xml:space="preserve">3.6. При отсутствии у Заказчика претензий по </w:t>
      </w:r>
      <w:r>
        <w:t xml:space="preserve">объему</w:t>
      </w:r>
      <w:r>
        <w:t xml:space="preserve"> и качеству </w:t>
      </w:r>
      <w:r>
        <w:t xml:space="preserve">оказанных Услуг</w:t>
      </w:r>
      <w:r>
        <w:t xml:space="preserve"> Заказчик </w:t>
      </w:r>
      <w:r>
        <w:t xml:space="preserve">не позднее</w:t>
      </w:r>
      <w:r>
        <w:t xml:space="preserve"> 20 (двадцати) рабочих дней, следующих за днем поступления документа о приемке, направленного </w:t>
      </w:r>
      <w:r>
        <w:t xml:space="preserve">З</w:t>
      </w:r>
      <w:r>
        <w:t xml:space="preserve">аказчику посредством ЕИС, </w:t>
      </w:r>
      <w:r>
        <w:t xml:space="preserve">подписывает усиленной электронной подписью лица, имеющего право действовать от имени </w:t>
      </w:r>
      <w:r>
        <w:t xml:space="preserve">З</w:t>
      </w:r>
      <w:r>
        <w:t xml:space="preserve">аказчика, и размещает в </w:t>
      </w:r>
      <w:r>
        <w:t xml:space="preserve">ЕИС</w:t>
      </w:r>
      <w:r>
        <w:t xml:space="preserve"> документ о приемке.</w:t>
      </w:r>
      <w:r>
        <w:t xml:space="preserve"> </w:t>
      </w:r>
      <w:r>
        <w:t xml:space="preserve">Датой приемки оказанной услуги считается дата размещения в </w:t>
      </w:r>
      <w:r>
        <w:t xml:space="preserve">ЕИС</w:t>
      </w:r>
      <w:r>
        <w:t xml:space="preserve"> документа о приемке, подписанного </w:t>
      </w:r>
      <w:r>
        <w:t xml:space="preserve">З</w:t>
      </w:r>
      <w:r>
        <w:t xml:space="preserve">аказчиком.</w:t>
      </w:r>
      <w:r/>
    </w:p>
    <w:p>
      <w:pPr>
        <w:pStyle w:val="1048"/>
        <w:ind w:firstLine="709"/>
        <w:jc w:val="both"/>
      </w:pPr>
      <w:r>
        <w:t xml:space="preserve">3.7. При выявлении несоответствий в </w:t>
      </w:r>
      <w:r>
        <w:t xml:space="preserve">оказанных Услугах</w:t>
      </w:r>
      <w:r>
        <w:t xml:space="preserve"> (наименования, </w:t>
      </w:r>
      <w:r>
        <w:t xml:space="preserve">объема</w:t>
      </w:r>
      <w:r>
        <w:t xml:space="preserve">, качества, в том числе в случае выявления внешних признаков ненадлежащего качества </w:t>
      </w:r>
      <w:r>
        <w:t xml:space="preserve">оказанных Услуг</w:t>
      </w:r>
      <w:r>
        <w:t xml:space="preserve">, препятствующих приемке, Заказчик в срок, установленный в </w:t>
      </w:r>
      <w:hyperlink w:tooltip="3.6. При отсутствии у Заказчика претензий по количеству и качеству поставленного Товара Заказчик в течение ____ &lt;77&gt; дней с момента доставки Товара Поставщиком подписывает акт приема-передачи Товара (отдельного этапа исполнения Контракта), товарную (товарно-тр" w:anchor="Par1489" w:history="1">
        <w:r>
          <w:t xml:space="preserve">пункте 3.6</w:t>
        </w:r>
      </w:hyperlink>
      <w:r>
        <w:t xml:space="preserve"> Контракта, </w:t>
      </w:r>
      <w:r>
        <w:t xml:space="preserve">формирует с использованием </w:t>
      </w:r>
      <w:r>
        <w:t xml:space="preserve">ЕИС</w:t>
      </w:r>
      <w:r>
        <w:t xml:space="preserve">, подписывает усиленной электронной подписью лица, имеющего право действовать от имени </w:t>
      </w:r>
      <w:r>
        <w:t xml:space="preserve">З</w:t>
      </w:r>
      <w:r>
        <w:t xml:space="preserve">аказчика, и размещает в </w:t>
      </w:r>
      <w:r>
        <w:t xml:space="preserve">ЕИС</w:t>
      </w:r>
      <w:r>
        <w:t xml:space="preserve"> мотивированный отказ от подписания документа о приемке с указанием причин такого отказа</w:t>
      </w:r>
      <w:r>
        <w:t xml:space="preserve">.</w:t>
      </w:r>
      <w:r>
        <w:t xml:space="preserve"> В случае получения мотивированного отказа от подписания документа о приемке </w:t>
      </w:r>
      <w:r>
        <w:t xml:space="preserve">Исполнитель</w:t>
      </w:r>
      <w:r>
        <w:t xml:space="preserve"> вправе устранить причины, указанные в таком мотивированном отказе, и направить Заказчику документ о приемке в порядке, предусмотренном пунктом 3.3 Контракта.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IV. </w:t>
      </w:r>
      <w:r>
        <w:rPr>
          <w:b/>
        </w:rPr>
        <w:t xml:space="preserve">Права и обязанности</w:t>
      </w:r>
      <w:r>
        <w:rPr>
          <w:b/>
        </w:rPr>
        <w:t xml:space="preserve"> сторон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/>
      <w:bookmarkStart w:id="13" w:name="Par1497"/>
      <w:r/>
      <w:bookmarkEnd w:id="13"/>
      <w:r>
        <w:t xml:space="preserve">4.1. </w:t>
      </w:r>
      <w:r>
        <w:t xml:space="preserve">Исполнитель</w:t>
      </w:r>
      <w:r>
        <w:t xml:space="preserve"> обязан: </w:t>
      </w:r>
      <w:r/>
    </w:p>
    <w:p>
      <w:pPr>
        <w:pStyle w:val="1048"/>
        <w:ind w:firstLine="709"/>
        <w:jc w:val="both"/>
      </w:pPr>
      <w:r>
        <w:t xml:space="preserve">4.1.1. </w:t>
      </w:r>
      <w:r>
        <w:t xml:space="preserve">оказать Услуги</w:t>
      </w:r>
      <w:r>
        <w:t xml:space="preserve"> в порядке, </w:t>
      </w:r>
      <w:r>
        <w:t xml:space="preserve">объеме</w:t>
      </w:r>
      <w:r>
        <w:t xml:space="preserve">, в срок и на условиях, предусмотренных Контракто</w:t>
      </w:r>
      <w:r>
        <w:t xml:space="preserve">м</w:t>
      </w:r>
      <w:r>
        <w:t xml:space="preserve">,</w:t>
      </w:r>
      <w:r>
        <w:t xml:space="preserve"> Техническим заданием </w:t>
      </w:r>
      <w:r>
        <w:t xml:space="preserve">и </w:t>
      </w:r>
      <w:r>
        <w:t xml:space="preserve">спецификацией;</w:t>
      </w:r>
      <w:r/>
    </w:p>
    <w:p>
      <w:pPr>
        <w:pStyle w:val="1048"/>
        <w:ind w:firstLine="709"/>
        <w:jc w:val="both"/>
      </w:pPr>
      <w:r/>
      <w:bookmarkStart w:id="14" w:name="Par1499"/>
      <w:r/>
      <w:bookmarkEnd w:id="14"/>
      <w:r>
        <w:t xml:space="preserve">4.1.2. обеспечить соответствие </w:t>
      </w:r>
      <w:r>
        <w:t xml:space="preserve">оказываемых Услуг</w:t>
      </w:r>
      <w:r>
        <w:t xml:space="preserve">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r/>
    </w:p>
    <w:p>
      <w:pPr>
        <w:pStyle w:val="1048"/>
        <w:ind w:firstLine="709"/>
        <w:jc w:val="both"/>
      </w:pPr>
      <w:r>
        <w:t xml:space="preserve">4.1.3. обеспечить за свой счет устранение выявленных недостатков </w:t>
      </w:r>
      <w:r>
        <w:t xml:space="preserve">оказанных </w:t>
      </w:r>
      <w:r>
        <w:t xml:space="preserve">Услуг</w:t>
      </w:r>
      <w:r>
        <w:t xml:space="preserve"> в порядке и на условиях, предусмотренных Контрактом;</w:t>
      </w:r>
      <w:r/>
    </w:p>
    <w:p>
      <w:pPr>
        <w:pStyle w:val="1048"/>
        <w:ind w:firstLine="709"/>
        <w:jc w:val="both"/>
      </w:pPr>
      <w:r/>
      <w:bookmarkStart w:id="15" w:name="Par1502"/>
      <w:r/>
      <w:bookmarkStart w:id="16" w:name="Par1504"/>
      <w:r/>
      <w:bookmarkEnd w:id="15"/>
      <w:r/>
      <w:bookmarkEnd w:id="16"/>
      <w:r>
        <w:t xml:space="preserve">4.1.</w:t>
      </w:r>
      <w:r>
        <w:t xml:space="preserve">4</w:t>
      </w:r>
      <w:r>
        <w:t xml:space="preserve">. в случае принятия решения об одностороннем отказе от исполнения Контракта </w:t>
      </w:r>
      <w:r>
        <w:t xml:space="preserve">Исполнитель</w:t>
      </w:r>
      <w:r>
        <w:t xml:space="preserve"> с использованием </w:t>
      </w:r>
      <w:r>
        <w:t xml:space="preserve">ЕИС</w:t>
      </w:r>
      <w:r>
        <w:t xml:space="preserve"> формирует решение об одностороннем отказе от исполнения </w:t>
      </w:r>
      <w:r>
        <w:t xml:space="preserve">К</w:t>
      </w:r>
      <w:r>
        <w:t xml:space="preserve">онтракта, подписывает его усиленной электронной подписью лица, имеющего право действовать от имени </w:t>
      </w:r>
      <w:r>
        <w:t xml:space="preserve">Исполнителя</w:t>
      </w:r>
      <w:r>
        <w:t xml:space="preserve">, и размещает такое решение в </w:t>
      </w:r>
      <w:r>
        <w:t xml:space="preserve">ЕИС</w:t>
      </w:r>
      <w:r>
        <w:t xml:space="preserve">.</w:t>
      </w:r>
      <w:r/>
    </w:p>
    <w:p>
      <w:pPr>
        <w:pStyle w:val="1074"/>
      </w:pPr>
      <w:r/>
      <w:bookmarkStart w:id="17" w:name="Par0"/>
      <w:r/>
      <w:bookmarkStart w:id="18" w:name="Par1505"/>
      <w:r/>
      <w:bookmarkEnd w:id="17"/>
      <w:r/>
      <w:bookmarkEnd w:id="18"/>
      <w:r>
        <w:t xml:space="preserve">4.1.</w:t>
      </w:r>
      <w:r>
        <w:t xml:space="preserve">5</w:t>
      </w:r>
      <w:r>
        <w:t xml:space="preserve">. </w:t>
      </w:r>
      <w:r>
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  <w:r/>
    </w:p>
    <w:p>
      <w:pPr>
        <w:pStyle w:val="1074"/>
      </w:pPr>
      <w:r/>
      <w:bookmarkStart w:id="19" w:name="Par1507"/>
      <w:r/>
      <w:bookmarkStart w:id="20" w:name="Par1508"/>
      <w:r/>
      <w:bookmarkEnd w:id="19"/>
      <w:r/>
      <w:bookmarkEnd w:id="20"/>
      <w:r>
        <w:t xml:space="preserve">4.2. </w:t>
      </w:r>
      <w:r>
        <w:t xml:space="preserve">Исполнитель</w:t>
      </w:r>
      <w:r>
        <w:t xml:space="preserve"> вправе:</w:t>
      </w:r>
      <w:r>
        <w:tab/>
      </w:r>
      <w:r/>
    </w:p>
    <w:p>
      <w:pPr>
        <w:pStyle w:val="1048"/>
        <w:ind w:firstLine="709"/>
        <w:jc w:val="both"/>
      </w:pPr>
      <w:r>
        <w:t xml:space="preserve">4.2.1. требовать от Заказчика произвести приемку </w:t>
      </w:r>
      <w:r>
        <w:t xml:space="preserve">оказанных Услуг</w:t>
      </w:r>
      <w:r>
        <w:t xml:space="preserve"> в порядке и в сроки, предусмотренные Контрактом;</w:t>
      </w:r>
      <w:r/>
    </w:p>
    <w:p>
      <w:pPr>
        <w:pStyle w:val="1048"/>
        <w:ind w:firstLine="709"/>
        <w:jc w:val="both"/>
      </w:pPr>
      <w:r/>
      <w:bookmarkStart w:id="21" w:name="Par1518"/>
      <w:r/>
      <w:bookmarkEnd w:id="21"/>
      <w:r>
        <w:t xml:space="preserve">4.2.2. требовать своевременной оплаты на условиях, установленных Контрактом, надлежащим образом </w:t>
      </w:r>
      <w:r>
        <w:t xml:space="preserve">оказанных</w:t>
      </w:r>
      <w:r>
        <w:t xml:space="preserve"> и принят</w:t>
      </w:r>
      <w:r>
        <w:t xml:space="preserve">ых</w:t>
      </w:r>
      <w:r>
        <w:t xml:space="preserve"> Заказчиком </w:t>
      </w:r>
      <w:r>
        <w:t xml:space="preserve">Услуг</w:t>
      </w:r>
      <w:r>
        <w:rPr>
          <w:vertAlign w:val="superscript"/>
        </w:rPr>
        <w:footnoteReference w:id="7"/>
      </w:r>
      <w:r>
        <w:t xml:space="preserve">; </w:t>
      </w:r>
      <w:bookmarkStart w:id="22" w:name="Par1519"/>
      <w:r/>
      <w:bookmarkEnd w:id="22"/>
      <w:r/>
      <w:r/>
    </w:p>
    <w:p>
      <w:pPr>
        <w:pStyle w:val="1048"/>
        <w:ind w:firstLine="709"/>
        <w:jc w:val="both"/>
      </w:pPr>
      <w:r>
        <w:t xml:space="preserve">4.2.3. принять решение об одностороннем отказе от исполнения Контракта в соответствии с гражданским законодательством; </w:t>
      </w:r>
      <w:r/>
    </w:p>
    <w:p>
      <w:pPr>
        <w:pStyle w:val="1048"/>
        <w:ind w:firstLine="709"/>
        <w:jc w:val="both"/>
      </w:pPr>
      <w:r>
        <w:t xml:space="preserve">4.2.4. требовать возмещения убытков, уплаты неустоек (штрафов, пеней)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Контракта;</w:t>
      </w:r>
      <w:r/>
    </w:p>
    <w:p>
      <w:pPr>
        <w:pStyle w:val="1048"/>
        <w:ind w:firstLine="709"/>
        <w:jc w:val="both"/>
      </w:pPr>
      <w:r/>
      <w:bookmarkStart w:id="23" w:name="Par1521"/>
      <w:r/>
      <w:bookmarkEnd w:id="23"/>
      <w:r>
        <w:t xml:space="preserve">4.2.</w:t>
      </w:r>
      <w:r>
        <w:t xml:space="preserve">5</w:t>
      </w:r>
      <w:r>
        <w:t xml:space="preserve">. </w:t>
      </w:r>
      <w:r>
        <w:t xml:space="preserve">привлечь к исполнению своих обязательств по Контракту других лиц - соисполнителей, обладающих специальными</w:t>
      </w:r>
      <w:r>
        <w:t xml:space="preserve"> знаниями, навыками, специальным оборудованием и т.п., по видам (содержанию) услуг, предусмотренных в Техническом задании. При этом Исполнитель несет ответственность перед Заказчиком за неисполнение или ненадлежащее исполнение обязательств соисполнителями.</w:t>
      </w:r>
      <w:r/>
    </w:p>
    <w:p>
      <w:pPr>
        <w:pStyle w:val="1048"/>
        <w:ind w:firstLine="709"/>
        <w:jc w:val="both"/>
      </w:pPr>
      <w:r>
        <w:t xml:space="preserve">4.2.6. привлечение соисполнителей не влечет</w:t>
      </w:r>
      <w:r>
        <w:t xml:space="preserve"> изменение Цены Контракта и/или объемов услуг по Контракту. Перечень услуг, оказанных соисполнителями, и их стоимость Исполнитель указывает в отчетной документации, представляемой Заказчику по результатам оказания услуг в порядке, установленном Контрактом.</w:t>
      </w:r>
      <w:r/>
    </w:p>
    <w:p>
      <w:pPr>
        <w:pStyle w:val="1074"/>
      </w:pPr>
      <w:r>
        <w:t xml:space="preserve">4.2.7. Исполнитель</w:t>
      </w:r>
      <w:r>
        <w:rPr>
          <w:color w:val="ff0000"/>
        </w:rPr>
        <w:t xml:space="preserve"> </w:t>
      </w:r>
      <w:r>
        <w:t xml:space="preserve">вправе в случае неисполнения или ненадлежащего исполнения соисполнителем обязательств, предусмотренных Контрактом, заключенным с Исполнителем, </w:t>
      </w:r>
      <w:r>
        <w:t xml:space="preserve">осуществлять замену соисполнителя,</w:t>
      </w:r>
      <w:r>
        <w:t xml:space="preserve"> с которым ранее был заключен </w:t>
      </w:r>
      <w:r>
        <w:t xml:space="preserve">Контракт, на другого соисполнителя.</w:t>
      </w:r>
      <w:r/>
    </w:p>
    <w:p>
      <w:pPr>
        <w:pStyle w:val="1074"/>
      </w:pPr>
      <w:r>
        <w:t xml:space="preserve">4.3. Заказчик обязуется:</w:t>
      </w:r>
      <w:r/>
    </w:p>
    <w:p>
      <w:pPr>
        <w:pStyle w:val="1048"/>
        <w:ind w:firstLine="709"/>
        <w:jc w:val="both"/>
      </w:pPr>
      <w:r>
        <w:t xml:space="preserve">4.3.1. </w:t>
      </w:r>
      <w:r>
        <w:t xml:space="preserve">Своевременно принять и оплатить надлежащим образом оказанные Услуги в соответствии с Контрактом;</w:t>
      </w:r>
      <w:r>
        <w:rPr>
          <w:rStyle w:val="1047"/>
        </w:rPr>
        <w:footnoteReference w:id="8"/>
      </w:r>
      <w:r>
        <w:t xml:space="preserve"> </w:t>
      </w:r>
      <w:r/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4" w:name="Par1525"/>
      <w:r/>
      <w:bookmarkEnd w:id="24"/>
      <w:r>
        <w:t xml:space="preserve">4.3.2. принять решение об одностороннем отказе от исполнения Контракта в случае, если в ходе исполнения Контракта установлено, что </w:t>
      </w:r>
      <w:r>
        <w:t xml:space="preserve">Исполнитель</w:t>
      </w:r>
      <w:r>
        <w:t xml:space="preserve"> и (или) </w:t>
      </w:r>
      <w:r>
        <w:t xml:space="preserve">оказываемые Услуги</w:t>
      </w:r>
      <w:r>
        <w:t xml:space="preserve"> </w:t>
      </w:r>
      <w:r>
        <w:rPr>
          <w:rFonts w:eastAsiaTheme="minorHAnsi"/>
          <w:lang w:eastAsia="en-US"/>
        </w:rPr>
        <w:t xml:space="preserve">перестали соответствовать установленным извещением об осуществлении закупки требованиям к участникам закупки (за исключением требования, предусмотренного </w:t>
      </w:r>
      <w:hyperlink r:id="rId13" w:tooltip="consultantplus://offline/ref=7B440E791A11B05838761319EF06C2AA1622BE0E44488056AE6FABFD950FC1CC21D3847E0662978AB01CDD4E06590419A34B8EF53C4CX221F" w:history="1">
        <w:r>
          <w:rPr>
            <w:rFonts w:eastAsiaTheme="minorHAnsi"/>
            <w:lang w:eastAsia="en-US"/>
          </w:rPr>
          <w:t xml:space="preserve">частью 1.1</w:t>
        </w:r>
      </w:hyperlink>
      <w:r>
        <w:rPr>
          <w:rFonts w:eastAsiaTheme="minorHAnsi"/>
          <w:lang w:eastAsia="en-US"/>
        </w:rPr>
        <w:t xml:space="preserve"> (при наличии такого требования) статьи 31 </w:t>
      </w:r>
      <w:r>
        <w:rPr>
          <w:rFonts w:eastAsiaTheme="minorHAnsi"/>
          <w:lang w:eastAsia="en-US"/>
        </w:rPr>
        <w:t xml:space="preserve">Закона о контрактной системе </w:t>
      </w:r>
      <w:r>
        <w:rPr>
          <w:rFonts w:eastAsiaTheme="minorHAnsi"/>
          <w:lang w:eastAsia="en-US"/>
        </w:rPr>
        <w:t xml:space="preserve">и (или) </w:t>
      </w:r>
      <w:r>
        <w:rPr>
          <w:rFonts w:eastAsiaTheme="minorHAnsi"/>
          <w:lang w:eastAsia="en-US"/>
        </w:rPr>
        <w:t xml:space="preserve">оказываемым Услугам</w:t>
      </w:r>
      <w:r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если </w:t>
      </w:r>
      <w:r>
        <w:rPr>
          <w:rFonts w:eastAsiaTheme="minorHAnsi"/>
          <w:lang w:eastAsia="en-US"/>
        </w:rPr>
        <w:t xml:space="preserve"> при определении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Исполнитель </w:t>
      </w:r>
      <w:r>
        <w:rPr>
          <w:rFonts w:eastAsiaTheme="minorHAnsi"/>
          <w:lang w:eastAsia="en-US"/>
        </w:rPr>
        <w:t xml:space="preserve">представил недостоверную информацию о своем соответствии и (или) соответствии </w:t>
      </w:r>
      <w:r>
        <w:rPr>
          <w:rFonts w:eastAsiaTheme="minorHAnsi"/>
          <w:lang w:eastAsia="en-US"/>
        </w:rPr>
        <w:t xml:space="preserve">оказываемых Услуг</w:t>
      </w:r>
      <w:r>
        <w:rPr>
          <w:rFonts w:eastAsiaTheme="minorHAnsi"/>
          <w:lang w:eastAsia="en-US"/>
        </w:rPr>
        <w:t xml:space="preserve"> требованиям, указанным в </w:t>
      </w:r>
      <w:r>
        <w:rPr>
          <w:rFonts w:eastAsiaTheme="minorHAnsi"/>
          <w:lang w:eastAsia="en-US"/>
        </w:rPr>
        <w:t xml:space="preserve">извещении об осуществлении закупки</w:t>
      </w:r>
      <w:r>
        <w:rPr>
          <w:rFonts w:eastAsiaTheme="minorHAnsi"/>
          <w:lang w:eastAsia="en-US"/>
        </w:rPr>
        <w:t xml:space="preserve">, что позволило ему стать победителем определения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5" w:name="Par1526"/>
      <w:r/>
      <w:bookmarkEnd w:id="25"/>
      <w:r>
        <w:rPr>
          <w:rFonts w:eastAsiaTheme="minorHAnsi"/>
          <w:lang w:eastAsia="en-US"/>
        </w:rPr>
        <w:t xml:space="preserve">4.3.3. в случае принятия решения об одностороннем отказе от исполнения Контракта </w:t>
      </w:r>
      <w:r>
        <w:rPr>
          <w:rFonts w:eastAsiaTheme="minorHAnsi"/>
          <w:lang w:eastAsia="en-US"/>
        </w:rPr>
        <w:t xml:space="preserve">Заказчик с использованием </w:t>
      </w:r>
      <w:r>
        <w:rPr>
          <w:rFonts w:eastAsiaTheme="minorHAnsi"/>
          <w:lang w:eastAsia="en-US"/>
        </w:rPr>
        <w:t xml:space="preserve">ЕИС</w:t>
      </w:r>
      <w:r>
        <w:rPr>
          <w:rFonts w:eastAsiaTheme="minorHAnsi"/>
          <w:lang w:eastAsia="en-US"/>
        </w:rPr>
        <w:t xml:space="preserve">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</w:t>
      </w:r>
      <w:r>
        <w:rPr>
          <w:rFonts w:eastAsiaTheme="minorHAnsi"/>
          <w:lang w:eastAsia="en-US"/>
        </w:rPr>
        <w:t xml:space="preserve">ЕИС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4.3.4. требовать уплаты неустоек (штрафов, пеней) в соответствии с </w:t>
      </w:r>
      <w:hyperlink w:tooltip="VI. Ответственность Сторон &lt;108&gt;" w:anchor="Par1550" w:history="1">
        <w:r>
          <w:rPr>
            <w:rFonts w:eastAsiaTheme="minorHAnsi"/>
            <w:lang w:eastAsia="en-US"/>
          </w:rPr>
          <w:t xml:space="preserve">разделом VI</w:t>
        </w:r>
      </w:hyperlink>
      <w:r>
        <w:rPr>
          <w:rFonts w:eastAsiaTheme="minorHAnsi"/>
          <w:lang w:eastAsia="en-US"/>
        </w:rPr>
        <w:t xml:space="preserve"> Контракта;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74"/>
      </w:pPr>
      <w:r>
        <w:rPr>
          <w:rFonts w:eastAsiaTheme="minorHAnsi"/>
        </w:rPr>
        <w:t xml:space="preserve">4.3.5. провести экспертизу </w:t>
      </w:r>
      <w:r>
        <w:rPr>
          <w:rFonts w:eastAsiaTheme="minorHAnsi"/>
        </w:rPr>
        <w:t xml:space="preserve">оказанных Услуг</w:t>
      </w:r>
      <w:r>
        <w:rPr>
          <w:rFonts w:eastAsiaTheme="minorHAnsi"/>
        </w:rPr>
        <w:t xml:space="preserve"> для проверки </w:t>
      </w:r>
      <w:r>
        <w:rPr>
          <w:rFonts w:eastAsiaTheme="minorHAnsi"/>
        </w:rPr>
        <w:t xml:space="preserve">их</w:t>
      </w:r>
      <w:r>
        <w:rPr>
          <w:rFonts w:eastAsiaTheme="minorHAnsi"/>
        </w:rPr>
        <w:t xml:space="preserve"> соответствия условиям Контракта в соответствии с </w:t>
      </w:r>
      <w:r>
        <w:rPr>
          <w:rFonts w:eastAsiaTheme="minorHAnsi"/>
        </w:rPr>
        <w:t xml:space="preserve">Законом о контрактной</w:t>
      </w:r>
      <w:r>
        <w:t xml:space="preserve"> системе</w:t>
      </w:r>
      <w:r>
        <w:t xml:space="preserve">.</w:t>
      </w:r>
      <w:r/>
    </w:p>
    <w:p>
      <w:pPr>
        <w:pStyle w:val="1074"/>
        <w:rPr>
          <w:rFonts w:eastAsiaTheme="minorHAnsi"/>
        </w:rPr>
      </w:pPr>
      <w:r/>
      <w:bookmarkStart w:id="26" w:name="Par1529"/>
      <w:r/>
      <w:bookmarkEnd w:id="26"/>
      <w:r>
        <w:t xml:space="preserve">4.4. </w:t>
      </w:r>
      <w:r>
        <w:rPr>
          <w:rFonts w:eastAsiaTheme="minorHAnsi"/>
        </w:rPr>
        <w:t xml:space="preserve">Заказчик вправе:</w:t>
      </w:r>
      <w:r>
        <w:rPr>
          <w:rFonts w:eastAsiaTheme="minorHAnsi"/>
        </w:rPr>
      </w:r>
      <w:r>
        <w:rPr>
          <w:rFonts w:eastAsiaTheme="minorHAnsi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4.4.1. требовать </w:t>
      </w:r>
      <w:r>
        <w:rPr>
          <w:rFonts w:eastAsiaTheme="minorHAnsi"/>
          <w:lang w:eastAsia="en-US"/>
        </w:rPr>
        <w:t xml:space="preserve">от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надлежащего исполнения обязательств по Контракту;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4.4.2. требовать от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своевременного устранения недостатков, выявленных как в ходе приемки, так и в течение гарантийного периода; 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4.4.3. проверять ход и качество выполнения </w:t>
      </w:r>
      <w:r>
        <w:rPr>
          <w:rFonts w:eastAsiaTheme="minorHAnsi"/>
          <w:lang w:eastAsia="en-US"/>
        </w:rPr>
        <w:t xml:space="preserve">Исполнителем</w:t>
      </w:r>
      <w:r>
        <w:rPr>
          <w:rFonts w:eastAsiaTheme="minorHAnsi"/>
          <w:lang w:eastAsia="en-US"/>
        </w:rPr>
        <w:t xml:space="preserve"> условий Контракта без вмешательства в оперативно-хозяйственную деятельность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4.4.4. требовать возмещения убытков в соответствии с </w:t>
      </w:r>
      <w:hyperlink w:tooltip="VI. Ответственность Сторон &lt;108&gt;" w:anchor="Par1550" w:history="1">
        <w:r>
          <w:rPr>
            <w:rFonts w:eastAsiaTheme="minorHAnsi"/>
            <w:lang w:eastAsia="en-US"/>
          </w:rPr>
          <w:t xml:space="preserve">разделом VI</w:t>
        </w:r>
      </w:hyperlink>
      <w:r>
        <w:rPr>
          <w:rFonts w:eastAsiaTheme="minorHAnsi"/>
          <w:lang w:eastAsia="en-US"/>
        </w:rPr>
        <w:t xml:space="preserve"> Контракта, причиненных по вине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7" w:name="Par1534"/>
      <w:r/>
      <w:bookmarkEnd w:id="27"/>
      <w:r>
        <w:rPr>
          <w:rFonts w:eastAsiaTheme="minorHAnsi"/>
          <w:lang w:eastAsia="en-US"/>
        </w:rPr>
        <w:t xml:space="preserve">4.4.5. отказаться от приемки и оплаты </w:t>
      </w:r>
      <w:r>
        <w:rPr>
          <w:rFonts w:eastAsiaTheme="minorHAnsi"/>
          <w:lang w:eastAsia="en-US"/>
        </w:rPr>
        <w:t xml:space="preserve">Услуг</w:t>
      </w:r>
      <w:r>
        <w:rPr>
          <w:rFonts w:eastAsiaTheme="minorHAnsi"/>
          <w:lang w:eastAsia="en-US"/>
        </w:rPr>
        <w:t xml:space="preserve">, не соответствующ</w:t>
      </w:r>
      <w:r>
        <w:rPr>
          <w:rFonts w:eastAsiaTheme="minorHAnsi"/>
          <w:lang w:eastAsia="en-US"/>
        </w:rPr>
        <w:t xml:space="preserve">им</w:t>
      </w:r>
      <w:r>
        <w:rPr>
          <w:rFonts w:eastAsiaTheme="minorHAnsi"/>
          <w:lang w:eastAsia="en-US"/>
        </w:rPr>
        <w:t xml:space="preserve"> условиям Контракта;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8" w:name="Par1536"/>
      <w:r/>
      <w:bookmarkEnd w:id="28"/>
      <w:r>
        <w:rPr>
          <w:rFonts w:eastAsiaTheme="minorHAnsi"/>
          <w:lang w:eastAsia="en-US"/>
        </w:rPr>
        <w:t xml:space="preserve">4.4.6</w:t>
      </w:r>
      <w:r>
        <w:rPr>
          <w:rFonts w:eastAsiaTheme="minorHAnsi"/>
          <w:lang w:eastAsia="en-US"/>
        </w:rPr>
        <w:t xml:space="preserve">. принять решение об одностороннем отказе от исполнения Контракта в соответствии с гражданским законодательством; </w:t>
      </w:r>
      <w:bookmarkStart w:id="29" w:name="Par1537"/>
      <w:r/>
      <w:bookmarkEnd w:id="29"/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</w:pPr>
      <w:r>
        <w:rPr>
          <w:rFonts w:eastAsiaTheme="minorHAnsi"/>
          <w:lang w:eastAsia="en-US"/>
        </w:rPr>
        <w:t xml:space="preserve">4.4.8. до принятия решения об</w:t>
      </w:r>
      <w:r>
        <w:t xml:space="preserve"> одностороннем отказе от исполнения Контракта провести экспертизу </w:t>
      </w:r>
      <w:r>
        <w:t xml:space="preserve">оказанных Услуг</w:t>
      </w:r>
      <w:r>
        <w:t xml:space="preserve"> с привлечением экспертов, экспертных организаций. </w:t>
      </w:r>
      <w:r/>
    </w:p>
    <w:p>
      <w:pPr>
        <w:pStyle w:val="1048"/>
        <w:jc w:val="center"/>
        <w:spacing w:before="240"/>
        <w:rPr>
          <w:b/>
        </w:rPr>
        <w:outlineLvl w:val="1"/>
      </w:pPr>
      <w:r/>
      <w:bookmarkStart w:id="30" w:name="Par1539"/>
      <w:r/>
      <w:bookmarkEnd w:id="30"/>
      <w:r>
        <w:rPr>
          <w:b/>
        </w:rPr>
        <w:t xml:space="preserve">Раздел </w:t>
      </w:r>
      <w:r>
        <w:rPr>
          <w:b/>
        </w:rPr>
        <w:t xml:space="preserve">V. Качество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5.1. </w:t>
      </w:r>
      <w:r>
        <w:t xml:space="preserve"> </w:t>
      </w:r>
      <w:r>
        <w:t xml:space="preserve">Исполнитель гарантирует качество оказания услуг в соответствии с требованиями, указанными в Контракте и Техническом задании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5.2. </w:t>
      </w:r>
      <w:r>
        <w:t xml:space="preserve">Гарантийный срок на оказанные услуги указывается в Техническом задании</w:t>
      </w:r>
      <w:r>
        <w:t xml:space="preserve">.</w:t>
      </w:r>
      <w:r/>
    </w:p>
    <w:p>
      <w:pPr>
        <w:pStyle w:val="1074"/>
      </w:pPr>
      <w:r>
        <w:t xml:space="preserve">5.3. </w:t>
      </w:r>
      <w:r>
        <w:t xml:space="preserve">При обнаружении в период гарантийного срока недостатков оказания Услуг, Исполнитель обязан устранит</w:t>
      </w:r>
      <w:r>
        <w:t xml:space="preserve">ь их за свой счет в сроки, согласованные и установленные Исполнителем и Заказчиком в Акте о недостатках с перечнем выявленных недостатков, необходимых доработок и сроков их устранения. Гарантийный срок в данном случае продлевается на период устранения выяв</w:t>
      </w:r>
      <w:r>
        <w:t xml:space="preserve">ленных недостатков. При отказе Исполнителя от составления или подписания Акта о недостатках, обнаруженных в период гарантийного срока, Заказчик проводит квалифицированную экспертизу с привлечением экспертов (специалистов) в порядке, предусмотренном Законом</w:t>
      </w:r>
      <w:r>
        <w:t xml:space="preserve"> о контрактной системе, по итогам которой составляется соответствующий Акт, фиксирующий затраты по исправлению недостатков. Возмещение расходов за проведенную экспертизу осуществляется в соответствии с требованиями Гражданского кодекса Российской Федерации</w:t>
      </w:r>
      <w:r>
        <w:t xml:space="preserve">.</w:t>
      </w:r>
      <w:r/>
    </w:p>
    <w:p>
      <w:pPr>
        <w:pStyle w:val="1074"/>
        <w:rPr>
          <w:rFonts w:eastAsiaTheme="minorHAnsi"/>
        </w:rPr>
      </w:pPr>
      <w:r>
        <w:rPr>
          <w:rFonts w:eastAsiaTheme="minorHAnsi"/>
        </w:rPr>
        <w:t xml:space="preserve">5.4. </w:t>
      </w:r>
      <w:r>
        <w:rPr>
          <w:rFonts w:eastAsiaTheme="minorHAnsi"/>
        </w:rPr>
        <w:t xml:space="preserve">Вред, причиненный жизни, здоровью или имуществу Заказчика и иных лиц вследствие необеспечения Исполнителем безопасности оказания Услуг подлежит возмещению в соответствии с требованиями Гражданского кодекса Российской Федерации</w:t>
      </w:r>
      <w:r>
        <w:rPr>
          <w:rFonts w:eastAsiaTheme="minorHAnsi"/>
        </w:rPr>
        <w:t xml:space="preserve">.</w:t>
      </w:r>
      <w:r>
        <w:rPr>
          <w:rFonts w:eastAsiaTheme="minorHAnsi"/>
        </w:rPr>
      </w:r>
      <w:r>
        <w:rPr>
          <w:rFonts w:eastAsiaTheme="minorHAnsi"/>
        </w:rPr>
      </w:r>
    </w:p>
    <w:p>
      <w:pPr>
        <w:pStyle w:val="1074"/>
        <w:rPr>
          <w:rFonts w:eastAsiaTheme="minorHAnsi"/>
          <w:sz w:val="12"/>
          <w:szCs w:val="12"/>
        </w:rPr>
      </w:pPr>
      <w:r>
        <w:rPr>
          <w:rFonts w:eastAsiaTheme="minorHAnsi"/>
          <w:sz w:val="12"/>
          <w:szCs w:val="12"/>
        </w:rPr>
      </w:r>
      <w:r>
        <w:rPr>
          <w:rFonts w:eastAsiaTheme="minorHAnsi"/>
          <w:sz w:val="12"/>
          <w:szCs w:val="12"/>
        </w:rPr>
      </w:r>
      <w:r>
        <w:rPr>
          <w:rFonts w:eastAsiaTheme="minorHAnsi"/>
          <w:sz w:val="12"/>
          <w:szCs w:val="12"/>
        </w:rPr>
      </w:r>
    </w:p>
    <w:p>
      <w:pPr>
        <w:pStyle w:val="1048"/>
        <w:jc w:val="center"/>
        <w:rPr>
          <w:b/>
        </w:rPr>
        <w:outlineLvl w:val="1"/>
      </w:pPr>
      <w:r/>
      <w:bookmarkStart w:id="31" w:name="Par1550"/>
      <w:r/>
      <w:bookmarkEnd w:id="31"/>
      <w:r>
        <w:rPr>
          <w:b/>
        </w:rPr>
        <w:t xml:space="preserve">Раздел </w:t>
      </w:r>
      <w:r>
        <w:rPr>
          <w:b/>
        </w:rPr>
        <w:t xml:space="preserve">VI. Ответственность Сторон 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6.1. За неисполнение или ненадлежащее исполнение своих обязательств, установленных настоящим Контрактом, Заказчик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несут ответственность в соответствии с постановлением Правительства Российской Федерации от 30.08.2017 №1042 «Об утверждении Правил опр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6.2. Размер штрафа устанавливается настоящим Контракто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 в порядке, установленном настоящим разделом Контракта,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– цена Контракта (этапа)).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6.3. Пеня начисляется за каждый день просрочки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за исключением случаев, если законодательством Российской Федерации установлен иной порядок начисления пени.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6.4. За каждый факт неисполнения или ненадлежащего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обязательств, предусмотренных Контрактом, заключенным по результатам определения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пунктом 1 части 1 статьи 30 Закона о контрактно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й системе,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6.5. За каждый факт неисполнения или ненадлежащего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обязательств, предусмотренных Контрактом, заключенным с победителем закупки (или с иным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участником закупки в случаях, установленных Законом о контрактной системе), предложившим наиболее высокую цену за 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аво заключения Контракта, размер штрафа рассчитывается в порядке, установленном настоящим пунктом,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6.5.1. в случае, если цена Контракта не превышает начальную (максимальную) цену Контракта: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 процентов начальной (максимальной) цены Контракта, если цена Контракта составляет от 3 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 процент начальной (максимальной) цены Контракта, если цена Контракта составляет от 50 млн. рублей до 100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6.5.2. в случае, если цена Контракта превышает начальную (максимальную) цену Контракта: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 процентов цены Контракта, если цена Контракта не превышает 3 млн. рублей;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 процент цены Контракта, если цена Контракта составляет от 50 млн. рублей до 100 млн. рублей (включительно)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6.6. За каждый факт неисполнения или ненадлежащего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 рублей, если цена Контракта не превышает 3 млн. рублей;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5000 рублей,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 рублей, если цена Контракта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100000 рублей, если цена Контракта превышает 100 млн.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6.7. 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 рублей, если цена Контракта не превышает 3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5000 рублей,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 рублей, если цена Контракта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100000 рублей, если цена Контракта превышает 100 млн.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6.8. Пеня начисляется за каждый день просрочки исполнения обязательства Заказчиком, предусмотренного Контр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актом, начиная со дня,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6.9. Общая сумма начисленных штрафов за неисполнение или ненадлежащее исполнение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6.10. 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6.11. Стороны настоящего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6.12. В случае установления уполномоченными контрольными органами фактов оказания Услуг не в полном объеме и/или завышения их стоимости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осуществляет возврат Заказчику излишне уплаченных денежных средств.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6.13. Уплата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неустойки или применение иной формы ответственности не освобождает его от исполнения обязательств по настоящему Контракту.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6.14. В качестве подтвержде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ния фактов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неисполнения и (или) ненадлежащего исполнения обязательств, Заказчик может предъявлять фото-и видеоматериалы, являющиеся основанием для взыскания неустойки или применения иной формы ответственности в соответствии с 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VII. Обеспечение исполнения Контракта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/>
      <w:bookmarkStart w:id="32" w:name="Par1570"/>
      <w:r/>
      <w:bookmarkEnd w:id="32"/>
      <w:r>
        <w:t xml:space="preserve">7.1. </w:t>
      </w:r>
      <w:r>
        <w:t xml:space="preserve">Обеспечение исполнения Контракта устанавливается </w:t>
      </w:r>
      <w:r/>
    </w:p>
    <w:p>
      <w:pPr>
        <w:pStyle w:val="1048"/>
        <w:ind w:firstLine="709"/>
        <w:jc w:val="both"/>
      </w:pPr>
      <w:r>
        <w:t xml:space="preserve">Вариант 1: </w:t>
      </w:r>
      <w:r>
        <w:t xml:space="preserve">в размере </w:t>
      </w:r>
      <w:r>
        <w:t xml:space="preserve">30</w:t>
      </w:r>
      <w:r>
        <w:t xml:space="preserve"> % от цены Контракта, а именно _____________________ (_______________________) рублей __ копеек.</w:t>
      </w:r>
      <w:r/>
    </w:p>
    <w:p>
      <w:pPr>
        <w:pStyle w:val="1048"/>
        <w:ind w:firstLine="709"/>
        <w:jc w:val="both"/>
      </w:pPr>
      <w:r>
        <w:t xml:space="preserve">Вариант 2: в размере 4</w:t>
      </w:r>
      <w:r>
        <w:t xml:space="preserve">5</w:t>
      </w:r>
      <w:r>
        <w:t xml:space="preserve"> </w:t>
      </w:r>
      <w:r>
        <w:t xml:space="preserve">% от цены Контракта, а именно ________________________ (_______________________) в соответствии с положениями </w:t>
      </w:r>
      <w:r>
        <w:rPr>
          <w:rStyle w:val="1063"/>
          <w:color w:val="auto"/>
          <w:u w:val="none"/>
        </w:rPr>
        <w:t xml:space="preserve">статьи 37</w:t>
      </w:r>
      <w:r>
        <w:t xml:space="preserve"> </w:t>
      </w:r>
      <w:r>
        <w:t xml:space="preserve">Закона о контрактной системе.</w:t>
      </w:r>
      <w:r/>
    </w:p>
    <w:p>
      <w:pPr>
        <w:pStyle w:val="1048"/>
        <w:ind w:firstLine="709"/>
        <w:jc w:val="both"/>
      </w:pPr>
      <w:r>
        <w:t xml:space="preserve">7.2. Исполнение Контракта обеспечивается предоставлением </w:t>
      </w:r>
      <w:r>
        <w:t xml:space="preserve">независим</w:t>
      </w:r>
      <w:r>
        <w:t xml:space="preserve">ой гарантии, соответствующей требованиям </w:t>
      </w:r>
      <w:hyperlink r:id="rId14" w:tooltip="https://login.consultant.ru/link/?req=doc&amp;base=LAW&amp;n=342439&amp;date=31.07.2020&amp;dst=56&amp;fld=134" w:history="1">
        <w:r>
          <w:t xml:space="preserve">статьи 45</w:t>
        </w:r>
      </w:hyperlink>
      <w:r>
        <w:t xml:space="preserve"> </w:t>
      </w:r>
      <w:r>
        <w:t xml:space="preserve">Закона о контрактной системе</w:t>
      </w:r>
      <w:r>
        <w:t xml:space="preserve">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/>
    </w:p>
    <w:p>
      <w:pPr>
        <w:pStyle w:val="1048"/>
        <w:ind w:firstLine="709"/>
        <w:jc w:val="both"/>
      </w:pPr>
      <w:r>
        <w:t xml:space="preserve">Способ обеспечения исполнения Контракта, срок действия </w:t>
      </w:r>
      <w:r>
        <w:t xml:space="preserve">независимой</w:t>
      </w:r>
      <w:r>
        <w:t xml:space="preserve"> гарантии определяются в соответствии с требованиями </w:t>
      </w:r>
      <w:r>
        <w:t xml:space="preserve">Закона о контрактной системе</w:t>
      </w:r>
      <w:r>
        <w:t xml:space="preserve"> участником закупки, с которым заключается контракт, самостоятельно.</w:t>
      </w:r>
      <w:r/>
    </w:p>
    <w:p>
      <w:pPr>
        <w:pStyle w:val="1048"/>
        <w:ind w:firstLine="709"/>
        <w:jc w:val="both"/>
      </w:pPr>
      <w:r>
        <w:t xml:space="preserve">Срок действия </w:t>
      </w:r>
      <w:r>
        <w:t xml:space="preserve">независимой</w:t>
      </w:r>
      <w:r>
        <w:t xml:space="preserve"> гарантии должен превышать предусмотренный Контрактом срок исполнения обязательств, которые должны быть обеспечены такой </w:t>
      </w:r>
      <w:r>
        <w:t xml:space="preserve">независим</w:t>
      </w:r>
      <w:r>
        <w:t xml:space="preserve">ой гарантией, не менее чем на один месяц, в том числе в случае его изменения в соответствии со </w:t>
      </w:r>
      <w:hyperlink r:id="rId15" w:tooltip="https://login.consultant.ru/link/?req=doc&amp;base=LAW&amp;n=342439&amp;date=31.07.2020&amp;dst=101309&amp;fld=134" w:history="1">
        <w:r>
          <w:t xml:space="preserve">статьей 95</w:t>
        </w:r>
      </w:hyperlink>
      <w:r>
        <w:t xml:space="preserve"> </w:t>
      </w:r>
      <w:r>
        <w:t xml:space="preserve">Закона о контрактной системе.</w:t>
      </w:r>
      <w:r/>
    </w:p>
    <w:p>
      <w:pPr>
        <w:pStyle w:val="1048"/>
        <w:ind w:firstLine="709"/>
        <w:jc w:val="both"/>
      </w:pPr>
      <w:r/>
      <w:bookmarkStart w:id="33" w:name="Par1576"/>
      <w:r/>
      <w:bookmarkEnd w:id="33"/>
      <w:r>
        <w:t xml:space="preserve">7.3. Денежные средства, внесенные </w:t>
      </w:r>
      <w:r>
        <w:t xml:space="preserve">Исполнителем</w:t>
      </w:r>
      <w:r>
        <w:t xml:space="preserve">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</w:t>
        </w:r>
      </w:hyperlink>
      <w:r/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7.5</w:t>
        </w:r>
      </w:hyperlink>
      <w:r>
        <w:t xml:space="preserve"> и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7.6</w:t>
        </w:r>
      </w:hyperlink>
      <w:r>
        <w:t xml:space="preserve"> Контракта, возвращаются </w:t>
      </w:r>
      <w:r>
        <w:t xml:space="preserve">Исполнителю</w:t>
      </w:r>
      <w:r>
        <w:t xml:space="preserve"> в </w:t>
      </w:r>
      <w:r>
        <w:t xml:space="preserve">течени</w:t>
      </w:r>
      <w:r>
        <w:t xml:space="preserve">е </w:t>
      </w:r>
      <w:r>
        <w:t xml:space="preserve">15 (пятнадцат</w:t>
      </w:r>
      <w:r>
        <w:t xml:space="preserve">и</w:t>
      </w:r>
      <w:r>
        <w:t xml:space="preserve">) дней</w:t>
      </w:r>
      <w:r>
        <w:t xml:space="preserve"> </w:t>
      </w:r>
      <w:r>
        <w:t xml:space="preserve">с даты исполнения </w:t>
      </w:r>
      <w:r>
        <w:t xml:space="preserve">Исполнит</w:t>
      </w:r>
      <w:r>
        <w:t xml:space="preserve">ел</w:t>
      </w:r>
      <w:r>
        <w:t xml:space="preserve">ем</w:t>
      </w:r>
      <w:r>
        <w:t xml:space="preserve"> обязательств, предусмотренных Контрактом (если такая форма обеспечения исполнения Контракта применяется </w:t>
      </w:r>
      <w:r>
        <w:t xml:space="preserve">Исполнителем</w:t>
      </w:r>
      <w:r>
        <w:t xml:space="preserve">).</w:t>
      </w:r>
      <w:r/>
    </w:p>
    <w:p>
      <w:pPr>
        <w:pStyle w:val="1048"/>
        <w:ind w:firstLine="709"/>
        <w:jc w:val="both"/>
      </w:pPr>
      <w:r/>
      <w:bookmarkStart w:id="34" w:name="Par1577"/>
      <w:r/>
      <w:bookmarkEnd w:id="34"/>
      <w:r>
        <w:t xml:space="preserve">7.4. </w:t>
      </w:r>
      <w:r>
        <w:t xml:space="preserve">Независимая гарантия, предоставленная в качестве обеспечения исполнения Контракта, </w:t>
      </w:r>
      <w:r>
        <w:rPr>
          <w:rFonts w:eastAsia="Times New Roman"/>
        </w:rPr>
        <w:t xml:space="preserve">должна соответствовать требованиям, установленным статьей 45 Закона о контрактной </w:t>
      </w:r>
      <w:r>
        <w:rPr>
          <w:rFonts w:eastAsia="Times New Roman"/>
        </w:rPr>
        <w:t xml:space="preserve">системе, а также предусматривать условие об обязанности гаранта уплатить Заказчику денежную сумму по независимой гарантии не позднее десяти рабочи</w:t>
      </w:r>
      <w:r>
        <w:rPr>
          <w:rFonts w:eastAsia="Times New Roman"/>
        </w:rPr>
        <w:t xml:space="preserve">х дней со дня, следующего за днем получения гарантом требования Заказчика,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</w:t>
      </w:r>
      <w:r>
        <w:t xml:space="preserve">. </w:t>
      </w:r>
      <w:bookmarkStart w:id="35" w:name="Par1578"/>
      <w:r/>
      <w:bookmarkEnd w:id="35"/>
      <w:r/>
      <w:r/>
    </w:p>
    <w:p>
      <w:pPr>
        <w:pStyle w:val="1048"/>
        <w:ind w:firstLine="709"/>
        <w:jc w:val="both"/>
      </w:pPr>
      <w:r>
        <w:t xml:space="preserve">7.5. В ходе исполнения Контракта </w:t>
      </w:r>
      <w:r>
        <w:t xml:space="preserve">Исполнитель</w:t>
      </w:r>
      <w:r>
        <w:t xml:space="preserve"> вправе измени</w:t>
      </w:r>
      <w:r>
        <w:t xml:space="preserve">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пунктами 7.6</w:t>
        </w:r>
      </w:hyperlink>
      <w:r>
        <w:t xml:space="preserve"> и </w:t>
      </w:r>
      <w:hyperlink w:tooltip="7.7. Пр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" w:anchor="Par1580" w:history="1">
        <w:r>
          <w:t xml:space="preserve">7.7</w:t>
        </w:r>
      </w:hyperlink>
      <w:r>
        <w:t xml:space="preserve"> Контракта.</w:t>
      </w:r>
      <w:r/>
    </w:p>
    <w:p>
      <w:pPr>
        <w:pStyle w:val="1048"/>
        <w:ind w:firstLine="709"/>
        <w:jc w:val="both"/>
      </w:pPr>
      <w:r/>
      <w:bookmarkStart w:id="36" w:name="Par1579"/>
      <w:r/>
      <w:bookmarkEnd w:id="36"/>
      <w:r>
        <w:t xml:space="preserve">7.6. Размер обеспечения исполнения Контракта уменьшается посредством направления Заказчиком информации об исполнении </w:t>
      </w:r>
      <w:r>
        <w:t xml:space="preserve">Исполнителем</w:t>
      </w:r>
      <w:r>
        <w:t xml:space="preserve"> обязательств </w:t>
      </w:r>
      <w:r>
        <w:t xml:space="preserve">по оказанию Услуг</w:t>
      </w:r>
      <w:r>
        <w:t xml:space="preserve"> или об исполнении им отдельного этапа исполнения Контракта и стоимости исполненных обязательств для включения в реестр контрактов, предусмотренный </w:t>
      </w:r>
      <w:hyperlink r:id="rId16" w:tooltip="https://login.consultant.ru/link/?req=doc&amp;base=LAW&amp;n=342439&amp;date=31.07.2020&amp;dst=101474&amp;fld=134" w:history="1">
        <w:r>
          <w:t xml:space="preserve">статьей 103</w:t>
        </w:r>
      </w:hyperlink>
      <w:r>
        <w:t xml:space="preserve"> </w:t>
      </w:r>
      <w:r>
        <w:t xml:space="preserve">Закона о контрактной системе</w:t>
      </w:r>
      <w:r>
        <w:t xml:space="preserve"> (далее - реестр контрактов). Уменьшение размера обеспечения испол</w:t>
      </w:r>
      <w:r>
        <w:t xml:space="preserve">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случае, если обеспечение исполнения Контракта осуществляется путем предоставления </w:t>
      </w:r>
      <w:r>
        <w:t xml:space="preserve">независим</w:t>
      </w:r>
      <w:r>
        <w:t xml:space="preserve">ой гарантии, требование Заказчика об уплате денежных сумм по этой гарантии может быть предъявлено в размере не более размера обеспечения исполнения Ко</w:t>
      </w:r>
      <w:r>
        <w:t xml:space="preserve">нтракта, рассчитанного Заказчиком на основании информации об исполнении Контракта, размещенной в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</w:t>
      </w:r>
      <w:r>
        <w:t xml:space="preserve">Исполнителя</w:t>
      </w:r>
      <w:r>
        <w:t xml:space="preserve"> ему возвращаются Заказчиком в установленный в </w:t>
      </w:r>
      <w:hyperlink w:tooltip="7.3. Денежные средства, внесенные Поставщико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пунктами 7.1, 7.5 и 7.6 Контракта, возвращаются Пос" w:anchor="Par1576" w:history="1">
        <w:r>
          <w:t xml:space="preserve">пункте 7.3</w:t>
        </w:r>
      </w:hyperlink>
      <w:r>
        <w:t xml:space="preserve"> Контракта срок денежные средства в сумме, на которую уменьшен размер обеспечения исполнения Контракта, </w:t>
      </w:r>
      <w:r>
        <w:t xml:space="preserve">рассчитанный Заказчиком на основании информации об исполнении Контракта, размещенной в реестре контрактов.</w:t>
      </w:r>
      <w:r/>
    </w:p>
    <w:p>
      <w:pPr>
        <w:pStyle w:val="1048"/>
        <w:ind w:firstLine="709"/>
        <w:jc w:val="both"/>
      </w:pPr>
      <w:r/>
      <w:bookmarkStart w:id="37" w:name="Par1580"/>
      <w:r/>
      <w:bookmarkEnd w:id="37"/>
      <w:r>
        <w:t xml:space="preserve">7.7. Предусмотренное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7.</w:t>
        </w:r>
      </w:hyperlink>
      <w:r>
        <w:t xml:space="preserve">5 и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</w:t>
        </w:r>
      </w:hyperlink>
      <w:r>
        <w:t xml:space="preserve">6 Контракта уменьшение размера обеспечения исполнения Контракта осуществляется при условии отсутствия неисполненных </w:t>
      </w:r>
      <w:r>
        <w:t xml:space="preserve">Исполнителем</w:t>
      </w:r>
      <w:r>
        <w:t xml:space="preserve"> требований об уплате неустоек (штрафов, пеней), предъявленных Заказчиком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Контракта, а также приемки Заказчиком </w:t>
      </w:r>
      <w:r>
        <w:t xml:space="preserve">оказанных Услуг</w:t>
      </w:r>
      <w:r>
        <w:t xml:space="preserve">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</w:t>
      </w:r>
      <w:r>
        <w:t xml:space="preserve">с (если 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случаях, определенных Правительством Российской Федерации в соответствии с </w:t>
      </w:r>
      <w:hyperlink r:id="rId17" w:tooltip="https://login.consultant.ru/link/?req=doc&amp;base=LAW&amp;n=342439&amp;date=31.07.2020&amp;dst=1716&amp;fld=134" w:history="1">
        <w:r>
          <w:t xml:space="preserve">частью 7.3 статьи 96</w:t>
        </w:r>
      </w:hyperlink>
      <w:r>
        <w:t xml:space="preserve"> </w:t>
      </w:r>
      <w:r>
        <w:t xml:space="preserve">Закон</w:t>
      </w:r>
      <w:r>
        <w:t xml:space="preserve">а</w:t>
      </w:r>
      <w:r>
        <w:t xml:space="preserve"> о контрактной системе.</w:t>
      </w:r>
      <w:r/>
    </w:p>
    <w:p>
      <w:pPr>
        <w:pStyle w:val="1048"/>
        <w:ind w:firstLine="709"/>
        <w:jc w:val="both"/>
      </w:pPr>
      <w:r/>
      <w:bookmarkStart w:id="38" w:name="Par1581"/>
      <w:r/>
      <w:bookmarkEnd w:id="38"/>
      <w:r>
        <w:t xml:space="preserve">7.8. В случае отзыва в соответствии с законодательством Российской Федерации у банка, предоставившего </w:t>
      </w:r>
      <w:r>
        <w:t xml:space="preserve">независим</w:t>
      </w:r>
      <w:r>
        <w:t xml:space="preserve">ую гарантию в качестве обеспечения исполнения Контракта, лицензии на осуществление банковских операций, </w:t>
      </w:r>
      <w:r>
        <w:t xml:space="preserve">Исполнитель</w:t>
      </w:r>
      <w:r>
        <w:t xml:space="preserve"> обязан предоставить новое обеспечение исполнения Контракта не позднее одного месяца со дня надлежащего уведомления Заказчиком </w:t>
      </w:r>
      <w:r>
        <w:t xml:space="preserve">Исполнителя</w:t>
      </w:r>
      <w: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</w:t>
        </w:r>
      </w:hyperlink>
      <w:r/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7.5</w:t>
        </w:r>
      </w:hyperlink>
      <w:r>
        <w:t xml:space="preserve">,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7.6</w:t>
        </w:r>
      </w:hyperlink>
      <w:r>
        <w:t xml:space="preserve"> и </w:t>
      </w:r>
      <w:hyperlink w:tooltip="7.7. Пр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" w:anchor="Par1580" w:history="1">
        <w:r>
          <w:t xml:space="preserve">7.7</w:t>
        </w:r>
      </w:hyperlink>
      <w:r>
        <w:t xml:space="preserve"> Контракта.</w:t>
      </w:r>
      <w:r/>
    </w:p>
    <w:p>
      <w:pPr>
        <w:pStyle w:val="1048"/>
        <w:ind w:firstLine="709"/>
        <w:jc w:val="both"/>
      </w:pPr>
      <w:r>
        <w:t xml:space="preserve">7.9. Уменьшение в соответствии с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7.</w:t>
        </w:r>
      </w:hyperlink>
      <w:r>
        <w:t xml:space="preserve">5 и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</w:t>
        </w:r>
      </w:hyperlink>
      <w:r>
        <w:t xml:space="preserve">6 Контракта размера обеспечения исполнения Контракта, предоставленного в виде </w:t>
      </w:r>
      <w:r>
        <w:t xml:space="preserve">независим</w:t>
      </w:r>
      <w:r>
        <w:t xml:space="preserve">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пунктом 7.6</w:t>
        </w:r>
      </w:hyperlink>
      <w:r>
        <w:t xml:space="preserve"> Контракта информации в реестр контрактов.</w:t>
      </w:r>
      <w:r/>
    </w:p>
    <w:p>
      <w:pPr>
        <w:pStyle w:val="1048"/>
        <w:ind w:firstLine="709"/>
        <w:jc w:val="both"/>
      </w:pPr>
      <w:r>
        <w:t xml:space="preserve">7.10. В случае предоставления нового обеспечения исполнения Контракта в соответствии с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пунктами 7.5</w:t>
        </w:r>
      </w:hyperlink>
      <w:r>
        <w:t xml:space="preserve"> и </w:t>
      </w:r>
      <w:hyperlink w:tooltip="7.8. В случае отзыва в соответствии с законодательством Российской Федерации у банка, предоставившего банковскую гарантию в качестве обеспечения исполнения Контракта, лицензии на осуществление банковских операций, Поставщик обязан предоставить новое обеспечени" w:anchor="Par1581" w:history="1">
        <w:r>
          <w:t xml:space="preserve">7.8</w:t>
        </w:r>
      </w:hyperlink>
      <w:r>
        <w:t xml:space="preserve"> Контракта возврат </w:t>
      </w:r>
      <w:r>
        <w:t xml:space="preserve">независим</w:t>
      </w:r>
      <w:r>
        <w:t xml:space="preserve">ой гарантии Заказчиком гаранту, предоставившему указанную </w:t>
      </w:r>
      <w:r>
        <w:t xml:space="preserve">независим</w:t>
      </w:r>
      <w:r>
        <w:t xml:space="preserve">ую гарантию, не осуществляется, взыскание по ней не производится.</w:t>
      </w:r>
      <w:r/>
    </w:p>
    <w:p>
      <w:pPr>
        <w:pStyle w:val="1048"/>
        <w:ind w:firstLine="709"/>
        <w:jc w:val="both"/>
      </w:pPr>
      <w:r>
        <w:t xml:space="preserve">7.11. Участник закупки, с которым заключается </w:t>
      </w:r>
      <w:r>
        <w:t xml:space="preserve">К</w:t>
      </w:r>
      <w:r>
        <w:t xml:space="preserve">онтракт по результатам определения </w:t>
      </w:r>
      <w:r>
        <w:t xml:space="preserve">и</w:t>
      </w:r>
      <w:r>
        <w:t xml:space="preserve">сполнителя в соответствии с </w:t>
      </w:r>
      <w:hyperlink r:id="rId18" w:tooltip="https://login.consultant.ru/link/?req=doc&amp;base=LAW&amp;n=342439&amp;date=31.07.2020&amp;dst=101858&amp;fld=134" w:history="1">
        <w:r>
          <w:t xml:space="preserve">пунктом 1 части 1 статьи 30</w:t>
        </w:r>
      </w:hyperlink>
      <w:r>
        <w:t xml:space="preserve"> </w:t>
      </w:r>
      <w:r>
        <w:t xml:space="preserve">Закона о контрактной системе</w:t>
      </w:r>
      <w:r>
        <w:t xml:space="preserve">, освобождается от предоставления обеспечения исполнения Контракта, в том числе с учетом положений </w:t>
      </w:r>
      <w:hyperlink r:id="rId19" w:tooltip="https://login.consultant.ru/link/?req=doc&amp;base=LAW&amp;n=342439&amp;date=31.07.2020&amp;dst=100437&amp;fld=134" w:history="1">
        <w:r>
          <w:t xml:space="preserve">статьи 37</w:t>
        </w:r>
      </w:hyperlink>
      <w:r>
        <w:t xml:space="preserve"> </w:t>
      </w:r>
      <w:r>
        <w:t xml:space="preserve">Закона о контрактной системе</w:t>
      </w:r>
      <w:r>
        <w:t xml:space="preserve">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</w:t>
      </w:r>
      <w:r>
        <w:t xml:space="preserve">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</w:t>
      </w:r>
      <w:r>
        <w:t xml:space="preserve">Законом о контрактной системе</w:t>
      </w:r>
      <w:r>
        <w:t xml:space="preserve"> для предоставления обеспечения исполнения </w:t>
      </w:r>
      <w:r>
        <w:t xml:space="preserve">К</w:t>
      </w:r>
      <w:r>
        <w:t xml:space="preserve">онтракта. При этом сумма цен таких контрактов должна составлять не менее начальной (максимальной) цены </w:t>
      </w:r>
      <w:r>
        <w:t xml:space="preserve">к</w:t>
      </w:r>
      <w:r>
        <w:t xml:space="preserve">онтракта, указанной в извещении об осуществлении закупки. </w:t>
      </w:r>
      <w:r/>
    </w:p>
    <w:p>
      <w:pPr>
        <w:pStyle w:val="1048"/>
        <w:ind w:firstLine="709"/>
        <w:jc w:val="both"/>
      </w:pPr>
      <w:r/>
      <w:bookmarkStart w:id="39" w:name="Par1584"/>
      <w:r/>
      <w:bookmarkEnd w:id="39"/>
      <w:r>
        <w:t xml:space="preserve">7.1</w:t>
      </w:r>
      <w:r>
        <w:t xml:space="preserve">2</w:t>
      </w:r>
      <w:r>
        <w:t xml:space="preserve">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  <w:r/>
    </w:p>
    <w:p>
      <w:pPr>
        <w:pStyle w:val="1048"/>
        <w:jc w:val="center"/>
        <w:spacing w:before="240"/>
        <w:rPr>
          <w:b/>
        </w:rPr>
        <w:outlineLvl w:val="1"/>
      </w:pPr>
      <w:r/>
      <w:bookmarkStart w:id="40" w:name="Par1587"/>
      <w:r/>
      <w:bookmarkEnd w:id="40"/>
      <w:r>
        <w:rPr>
          <w:b/>
        </w:rPr>
        <w:t xml:space="preserve">Раздел </w:t>
      </w:r>
      <w:r>
        <w:rPr>
          <w:b/>
        </w:rPr>
        <w:t xml:space="preserve">VIII. Обеспечение гарантийных обязательств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8.1. Обеспечение гарантийных обязательств </w:t>
      </w:r>
      <w:r>
        <w:t xml:space="preserve">не устанавливается. </w:t>
      </w:r>
      <w:bookmarkStart w:id="41" w:name="Par1600"/>
      <w:r/>
      <w:bookmarkEnd w:id="41"/>
      <w:r/>
      <w:r/>
    </w:p>
    <w:p>
      <w:pPr>
        <w:pStyle w:val="1048"/>
        <w:jc w:val="center"/>
        <w:spacing w:before="240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 xml:space="preserve">I</w:t>
      </w:r>
      <w:r>
        <w:rPr>
          <w:b/>
        </w:rPr>
        <w:t xml:space="preserve">X. Обстоятельства непреодолимой силы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9</w:t>
      </w:r>
      <w:r>
        <w:t xml:space="preserve">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/>
    </w:p>
    <w:p>
      <w:pPr>
        <w:pStyle w:val="1048"/>
        <w:ind w:firstLine="709"/>
        <w:jc w:val="both"/>
      </w:pPr>
      <w:r>
        <w:t xml:space="preserve">9</w:t>
      </w:r>
      <w:r>
        <w:t xml:space="preserve">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</w:t>
      </w:r>
      <w:r>
        <w:t xml:space="preserve">10 (десят</w:t>
      </w:r>
      <w:r>
        <w:t xml:space="preserve">и</w:t>
      </w:r>
      <w:r>
        <w:t xml:space="preserve">)</w:t>
      </w:r>
      <w:r>
        <w:t xml:space="preserve">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/>
    </w:p>
    <w:p>
      <w:pPr>
        <w:pStyle w:val="1048"/>
        <w:ind w:firstLine="709"/>
        <w:jc w:val="both"/>
      </w:pPr>
      <w:r>
        <w:t xml:space="preserve">9</w:t>
      </w:r>
      <w:r>
        <w:t xml:space="preserve">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/>
    </w:p>
    <w:p>
      <w:pPr>
        <w:pStyle w:val="1048"/>
        <w:ind w:firstLine="709"/>
        <w:jc w:val="both"/>
      </w:pPr>
      <w:r>
        <w:t xml:space="preserve">9</w:t>
      </w:r>
      <w:r>
        <w:t xml:space="preserve"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</w:t>
      </w:r>
      <w:r>
        <w:rPr>
          <w:b/>
        </w:rPr>
        <w:t xml:space="preserve">. Рассмотрение и разрешение споров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.2. Претензия оформляется в письменной форме. В претензии перечисляются доп</w:t>
      </w:r>
      <w:r>
        <w:t xml:space="preserve">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.3. Срок рассмотрения претензии не может превышать </w:t>
      </w:r>
      <w:r>
        <w:t xml:space="preserve">10 (десять)</w:t>
      </w:r>
      <w: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.4. При </w:t>
      </w:r>
      <w:r>
        <w:t xml:space="preserve">неурегулировании</w:t>
      </w:r>
      <w:r>
        <w:t xml:space="preserve"> Сторонами спора в досудебном порядке, спор разрешается в судебном порядке </w:t>
      </w:r>
      <w:hyperlink w:tooltip="&lt;134&gt; Заказчиком может быть указано наименование суда." w:anchor="Par1876" w:history="1">
        <w:r>
          <w:t xml:space="preserve">в</w:t>
        </w:r>
      </w:hyperlink>
      <w:r>
        <w:t xml:space="preserve"> Арбитражном суде</w:t>
      </w:r>
      <w:r>
        <w:t xml:space="preserve"> г. Москвы</w:t>
      </w:r>
      <w:r>
        <w:t xml:space="preserve">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XI. Срок действия и порядок расторжения Контракта</w:t>
      </w:r>
      <w:r>
        <w:rPr>
          <w:b/>
        </w:rPr>
      </w:r>
      <w:r>
        <w:rPr>
          <w:b/>
        </w:rPr>
      </w:r>
    </w:p>
    <w:p>
      <w:pPr>
        <w:pStyle w:val="1074"/>
      </w:pPr>
      <w:r>
        <w:t xml:space="preserve">1</w:t>
      </w:r>
      <w:r>
        <w:t xml:space="preserve">1</w:t>
      </w:r>
      <w:r>
        <w:t xml:space="preserve">.1. Контракт вступает в силу с </w:t>
      </w:r>
      <w:r>
        <w:t xml:space="preserve">даты</w:t>
      </w:r>
      <w:r>
        <w:t xml:space="preserve"> его подписания обеими Сторонами и действует по </w:t>
      </w:r>
      <w:r>
        <w:rPr>
          <w:highlight w:val="none"/>
        </w:rPr>
        <w:t xml:space="preserve">3</w:t>
      </w:r>
      <w:r>
        <w:rPr>
          <w:highlight w:val="none"/>
        </w:rPr>
        <w:t xml:space="preserve">1.12.</w:t>
      </w:r>
      <w:r>
        <w:rPr>
          <w:highlight w:val="none"/>
        </w:rPr>
        <w:t xml:space="preserve">2026</w:t>
      </w:r>
      <w:r>
        <w:rPr>
          <w:highlight w:val="none"/>
        </w:rPr>
        <w:t xml:space="preserve">.</w:t>
      </w:r>
      <w:r>
        <w:rPr>
          <w:highlight w:val="none"/>
        </w:rPr>
        <w:t xml:space="preserve"> </w:t>
      </w:r>
      <w:r>
        <w:t xml:space="preserve">Окончание срока действия Контракта не влечет прекращения неисполненных обязательств Сторон по Контракту, в том числе гарантийных обязательств </w:t>
      </w:r>
      <w:r>
        <w:t xml:space="preserve">Исполнителя</w:t>
      </w:r>
      <w:r>
        <w:t xml:space="preserve">. </w:t>
      </w:r>
      <w:r/>
    </w:p>
    <w:p>
      <w:pPr>
        <w:pStyle w:val="1074"/>
      </w:pPr>
      <w:r>
        <w:t xml:space="preserve">1</w:t>
      </w:r>
      <w:r>
        <w:t xml:space="preserve">1</w:t>
      </w:r>
      <w:r>
        <w:t xml:space="preserve">.2.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частями 9 – 23 статьи 95 Закона о контрактной системе</w:t>
      </w:r>
      <w:r>
        <w:t xml:space="preserve">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XII. Прочие положения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.1. Во всем, что не предусмотрено Контрактом, Стороны руководствуются законодательством Российской Федерации.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.4. Изменение условий Контракта при его исполнении не допускается, за исключением случаев, предусмотренных </w:t>
      </w:r>
      <w:hyperlink r:id="rId20" w:tooltip="https://login.consultant.ru/link/?req=doc&amp;base=LAW&amp;n=342439&amp;date=31.07.2020&amp;dst=101309&amp;fld=134" w:history="1">
        <w:r>
          <w:t xml:space="preserve">статьей 95</w:t>
        </w:r>
      </w:hyperlink>
      <w:r>
        <w:t xml:space="preserve"> </w:t>
      </w:r>
      <w:r>
        <w:t xml:space="preserve">Закон</w:t>
      </w:r>
      <w:r>
        <w:t xml:space="preserve">а</w:t>
      </w:r>
      <w:r>
        <w:t xml:space="preserve"> о контрактной системе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.5. При исполнении Контракта не допускается перемена </w:t>
      </w:r>
      <w:r>
        <w:t xml:space="preserve">Исполнителя</w:t>
      </w:r>
      <w:r>
        <w:t xml:space="preserve">, за исключением случая, если новый </w:t>
      </w:r>
      <w:r>
        <w:t xml:space="preserve">исполнитель</w:t>
      </w:r>
      <w:r>
        <w:t xml:space="preserve"> является правопреемником </w:t>
      </w:r>
      <w:r>
        <w:t xml:space="preserve">Исполнителя</w:t>
      </w:r>
      <w:r>
        <w:t xml:space="preserve"> вследствие реорганизации юридического лица в форме преобразования, слияния или присоединения.</w:t>
      </w:r>
      <w:r/>
    </w:p>
    <w:p>
      <w:pPr>
        <w:pStyle w:val="1048"/>
        <w:ind w:firstLine="709"/>
        <w:jc w:val="both"/>
      </w:pPr>
      <w:r>
        <w:t xml:space="preserve">Передача прав и обязанностей по Контракту правопреемнику </w:t>
      </w:r>
      <w:r>
        <w:t xml:space="preserve">Исполнителя</w:t>
      </w:r>
      <w:r>
        <w:t xml:space="preserve"> осуществляется путем заключения соответствующего дополнительного соглашения к Контракту.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r/>
    </w:p>
    <w:p>
      <w:pPr>
        <w:pStyle w:val="1048"/>
        <w:ind w:firstLine="709"/>
        <w:jc w:val="both"/>
        <w:rPr>
          <w:highlight w:val="none"/>
        </w:rPr>
      </w:pPr>
      <w:r/>
      <w:bookmarkStart w:id="42" w:name="Par1633"/>
      <w:r/>
      <w:bookmarkEnd w:id="42"/>
      <w:r>
        <w:t xml:space="preserve">1</w:t>
      </w:r>
      <w:r>
        <w:t xml:space="preserve">2</w:t>
      </w:r>
      <w:r>
        <w:t xml:space="preserve">.7. Контракт составлен в форме электронного документа, подписанного усиленными электронными подписями Сторон.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709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48"/>
        <w:jc w:val="center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</w:t>
      </w:r>
      <w:r>
        <w:rPr>
          <w:b/>
        </w:rPr>
        <w:t xml:space="preserve">II</w:t>
      </w:r>
      <w:r>
        <w:rPr>
          <w:b/>
        </w:rPr>
        <w:t xml:space="preserve">. Перечень приложений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  <w:rPr>
          <w:highlight w:val="none"/>
        </w:rPr>
      </w:pPr>
      <w:r>
        <w:t xml:space="preserve">1</w:t>
      </w:r>
      <w:r>
        <w:t xml:space="preserve">3</w:t>
      </w:r>
      <w:r>
        <w:t xml:space="preserve">.1. Неотъемлемой частью Контракта являются следующие приложения: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709"/>
        <w:jc w:val="both"/>
        <w:rPr>
          <w:highlight w:val="none"/>
        </w:rPr>
      </w:pPr>
      <w:r>
        <w:t xml:space="preserve">Приложение № 1</w:t>
      </w:r>
      <w:r>
        <w:t xml:space="preserve"> «</w:t>
      </w:r>
      <w:r>
        <w:t xml:space="preserve">Техническое задание</w:t>
      </w:r>
      <w:r>
        <w:t xml:space="preserve">».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/>
        <w:rPr>
          <w:b/>
          <w:bCs/>
          <w:highlight w:val="none"/>
        </w:rPr>
        <w:outlineLvl w:val="1"/>
      </w:pPr>
      <w:r>
        <w:rPr>
          <w:b/>
          <w:highlight w:val="none"/>
        </w:rPr>
        <w:br w:type="page" w:clear="all"/>
      </w:r>
      <w:r>
        <w:rPr>
          <w:b/>
          <w:highlight w:val="none"/>
        </w:rPr>
      </w:r>
    </w:p>
    <w:p>
      <w:pPr>
        <w:pStyle w:val="1048"/>
        <w:jc w:val="center"/>
        <w:rPr>
          <w:b/>
          <w:bCs/>
          <w:highlight w:val="none"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</w:t>
      </w:r>
      <w:r>
        <w:rPr>
          <w:b/>
        </w:rPr>
        <w:t xml:space="preserve">I</w:t>
      </w:r>
      <w:r>
        <w:rPr>
          <w:b/>
        </w:rPr>
        <w:t xml:space="preserve">V. Адреса и банковские реквизиты Сторон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1048"/>
        <w:jc w:val="center"/>
        <w:rPr>
          <w:b/>
          <w:bCs/>
        </w:rPr>
        <w:outlineLvl w:val="1"/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5103"/>
        <w:gridCol w:w="4962"/>
      </w:tblGrid>
      <w:tr>
        <w:tblPrEx/>
        <w:trPr>
          <w:trHeight w:val="307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Заказчик: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  <w:t xml:space="preserve">Министерство энергетики Российской Федерации (Минэнерго России) </w:t>
            </w: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Юр. адрес: 109012, г. Москва, Китайгородский проезд, д. 7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Почтовый адрес: 129110, ГСП-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6, г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. Москва,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ул. Щепкина, д. 42, стр. 1, 2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Банковские реквизиты: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ИНН 7705847529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КПП 770501001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Межрегиональное операционное УФК (Минэнерго России, л/с 03951000220)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р/с 40102810045370000002 в Операционном департаменте Банка России //Межрегиональное операционное УФК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г. Москва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к/с 03211643000000019503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БИК 024501901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ОКПО/ ОКТМО 00083641/45381000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</w:rPr>
            </w:pP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  <w:lang w:bidi="ru-RU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  <w:t xml:space="preserve">Банковские реквизиты </w:t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  <w:t xml:space="preserve">(для обеспечения контракта):</w:t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Министерство энергетики Российской Федерации (Минэнерго России)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ИНН 7705847529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КПП 770501001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Межрегиональное операционное УФК (Минэнерго России, л/с 05951000220)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р/с 40102810045370000002 в Операционном департаменте Банка России //Межрегиональное операционное УФК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г. Москва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к/с 03212643000000019502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БИК 024501901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ОКПО/ ОКТМО 00083641/45381000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Исполнитель: _________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Юридический адрес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Почтовый адрес: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 электронной почты: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Телефон: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ind w:right="-88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ИНН: 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КПП: 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ОГРН: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ОКПО: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ОКТМО: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ОКВЭД: 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ОКОПФ:</w:t>
            </w:r>
            <w:r>
              <w:rPr>
                <w:rFonts w:ascii="Arial" w:hAnsi="Arial" w:eastAsia="Arial Unicode MS" w:cs="Arial"/>
                <w:sz w:val="21"/>
                <w:szCs w:val="21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Дата постановки на учет в налоговом органе: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_________ г.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Банковские реквизиты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Название банка: 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БИК: 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Расчетный счёт: 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Корреспондентский счёт/лицевой счёт: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268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Заместитель Министра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энергетики Российской Федерации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________________________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Э.М.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Шереметцев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_________________________ 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pStyle w:val="1048"/>
        <w:ind w:left="11340" w:right="141"/>
        <w:jc w:val="right"/>
      </w:pPr>
      <w:r/>
      <w:r/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709" w:right="567" w:bottom="850" w:left="992" w:header="709" w:footer="709" w:gutter="0"/>
          <w:cols w:num="1" w:sep="0" w:space="708" w:equalWidth="1"/>
          <w:docGrid w:linePitch="360"/>
          <w:titlePg/>
        </w:sect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Приложение №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 государственному контракту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«__» 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right="141"/>
        <w:jc w:val="center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на </w:t>
      </w:r>
      <w:r>
        <w:rPr>
          <w:rFonts w:ascii="Times New Roman" w:hAnsi="Times New Roman" w:eastAsia="Arial" w:cs="Times New Roman"/>
          <w:sz w:val="24"/>
          <w:szCs w:val="24"/>
        </w:rPr>
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4"/>
          <w:szCs w:val="24"/>
        </w:rPr>
      </w:r>
    </w:p>
    <w:p>
      <w:pPr>
        <w:jc w:val="both"/>
        <w:spacing w:after="6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(заполняется по итогам проведения закупки)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5103"/>
        <w:gridCol w:w="4962"/>
      </w:tblGrid>
      <w:tr>
        <w:tblPrEx/>
        <w:trPr>
          <w:trHeight w:val="1268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Заместитель Министра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энергетики Российской Федерации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_______________________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Э.М.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Шереметцев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ИСПОЛНИТЕЛЬ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_________________________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11"/>
      <w:footnotePr/>
      <w:endnotePr/>
      <w:type w:val="nextPage"/>
      <w:pgSz w:w="11906" w:h="16838" w:orient="portrait"/>
      <w:pgMar w:top="1135" w:right="566" w:bottom="568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libri">
    <w:panose1 w:val="020F0502020204030204"/>
  </w:font>
  <w:font w:name="Times New Roman CYR">
    <w:panose1 w:val="02020603050405020304"/>
  </w:font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45"/>
        <w:jc w:val="both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случае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rFonts w:ascii="Times New Roman" w:hAnsi="Times New Roman" w:cs="Times New Roman"/>
        </w:rPr>
        <w:t xml:space="preserve">пунктом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9 части 3 статьи 49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о контрактной системе</w:t>
      </w:r>
      <w:r>
        <w:rPr>
          <w:rFonts w:ascii="Times New Roman" w:hAnsi="Times New Roman" w:cs="Times New Roman"/>
        </w:rPr>
        <w:t xml:space="preserve">, слова </w:t>
      </w: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</w:rPr>
        <w:t xml:space="preserve">и оплатить</w:t>
      </w:r>
      <w:r>
        <w:rPr>
          <w:rFonts w:ascii="Times New Roman" w:hAnsi="Times New Roman" w:cs="Times New Roman"/>
        </w:rPr>
        <w:t xml:space="preserve">»</w:t>
      </w:r>
      <w:r>
        <w:rPr>
          <w:rFonts w:ascii="Times New Roman" w:hAnsi="Times New Roman" w:cs="Times New Roman"/>
        </w:rPr>
        <w:t xml:space="preserve"> в текст Контракта не включаются.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045"/>
        <w:jc w:val="both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Выбирается в случае,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rFonts w:ascii="Times New Roman" w:hAnsi="Times New Roman" w:cs="Times New Roman"/>
        </w:rPr>
        <w:t xml:space="preserve">пунктом 9 части 3 статьи 49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о контрактной системе</w:t>
      </w:r>
      <w:r>
        <w:rPr>
          <w:rFonts w:ascii="Times New Roman" w:hAnsi="Times New Roman" w:cs="Times New Roman"/>
        </w:rPr>
        <w:t xml:space="preserve">. В указанном случае пункты 2.2 - 2.8 в текст Контракта не включаются.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4">
    <w:p>
      <w:pPr>
        <w:pStyle w:val="1045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случае, если Контракт заключается с лицами, являющимися в соответствии с Налоговым </w:t>
      </w:r>
      <w:hyperlink r:id="rId1" w:tooltip="https://login.consultant.ru/link/?req=doc&amp;base=LAW&amp;n=357876&amp;date=31.07.2020" w:history="1">
        <w:r>
          <w:rPr>
            <w:rFonts w:ascii="Times New Roman" w:hAnsi="Times New Roman" w:cs="Times New Roman"/>
          </w:rPr>
          <w:t xml:space="preserve">кодексом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Российской Федерации </w:t>
      </w:r>
      <w:r>
        <w:rPr>
          <w:rFonts w:ascii="Times New Roman" w:hAnsi="Times New Roman" w:cs="Times New Roman"/>
        </w:rPr>
        <w:t xml:space="preserve">плательщиками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5">
    <w:p>
      <w:pPr>
        <w:pStyle w:val="1045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случае, если Контракт заключается с лицами, не являющимися в соответствии с Налоговым </w:t>
      </w:r>
      <w:hyperlink r:id="rId2" w:tooltip="https://login.consultant.ru/link/?req=doc&amp;base=LAW&amp;n=357876&amp;date=31.07.2020" w:history="1">
        <w:r>
          <w:rPr>
            <w:rFonts w:ascii="Times New Roman" w:hAnsi="Times New Roman" w:cs="Times New Roman"/>
          </w:rPr>
          <w:t xml:space="preserve">кодексом</w:t>
        </w:r>
      </w:hyperlink>
      <w:r>
        <w:rPr>
          <w:rFonts w:ascii="Times New Roman" w:hAnsi="Times New Roman" w:cs="Times New Roman"/>
        </w:rPr>
        <w:t xml:space="preserve"> Российской Федерации плательщиками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6">
    <w:p>
      <w:pPr>
        <w:pStyle w:val="1045"/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Условие в части НДС не включается в Контракт в случае указания предложения о цене за право заключения Контракта</w:t>
      </w:r>
      <w:r/>
    </w:p>
  </w:footnote>
  <w:footnote w:id="7">
    <w:p>
      <w:pPr>
        <w:pStyle w:val="1045"/>
        <w:jc w:val="both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Данный подпункт не включается в текст Контракта в случае,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rFonts w:ascii="Times New Roman" w:hAnsi="Times New Roman" w:cs="Times New Roman"/>
        </w:rPr>
        <w:t xml:space="preserve">пунктом 9 части 3 статьи 49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о контрактной системе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8">
    <w:p>
      <w:pPr>
        <w:pStyle w:val="1048"/>
        <w:jc w:val="both"/>
        <w:rPr>
          <w:sz w:val="20"/>
          <w:szCs w:val="20"/>
        </w:rPr>
      </w:pPr>
      <w:r>
        <w:rPr>
          <w:rStyle w:val="1047"/>
          <w:sz w:val="20"/>
          <w:szCs w:val="20"/>
        </w:rPr>
        <w:footnoteRef/>
      </w:r>
      <w:r>
        <w:rPr>
          <w:sz w:val="20"/>
          <w:szCs w:val="20"/>
        </w:rPr>
        <w:t xml:space="preserve"> В случае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sz w:val="20"/>
          <w:szCs w:val="20"/>
        </w:rPr>
        <w:t xml:space="preserve">пунктом 9 части 3 статьи 49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Закона о контрактной системе </w:t>
      </w:r>
      <w:r>
        <w:rPr>
          <w:sz w:val="20"/>
          <w:szCs w:val="20"/>
        </w:rPr>
        <w:t xml:space="preserve">слова «и оплату» в проект Контракта не включаются.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78"/>
      <w:isLgl w:val="false"/>
      <w:suff w:val="space"/>
      <w:lvlText w:val="%1."/>
      <w:lvlJc w:val="center"/>
      <w:pPr>
        <w:ind w:left="72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nothing"/>
      <w:lvlText w:val="Приложение № %1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egacy w:legacy="1" w:legacyIndent="367" w:legacySpace="0"/>
      <w:lvlJc w:val="left"/>
      <w:pPr/>
      <w:rPr>
        <w:rFonts w:hint="default"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13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1" w:hanging="360"/>
      </w:pPr>
      <w:rPr>
        <w:rFonts w:hint="default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731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91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2171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2891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51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71" w:hanging="1800"/>
      </w:pPr>
      <w:rPr>
        <w:rFonts w:hint="default"/>
        <w:u w:val="single"/>
      </w:rPr>
    </w:lvl>
  </w:abstractNum>
  <w:abstractNum w:abstractNumId="9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1" w:hanging="360"/>
      </w:pPr>
      <w:rPr>
        <w:rFonts w:hint="default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731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91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2171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2891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51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71" w:hanging="1800"/>
      </w:pPr>
      <w:rPr>
        <w:rFonts w:hint="default"/>
        <w:u w:val="single"/>
      </w:rPr>
    </w:lvl>
  </w:abstractNum>
  <w:abstractNum w:abstractNumId="16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center"/>
      <w:pPr>
        <w:ind w:left="72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2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4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6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8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0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2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4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6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82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8"/>
  </w:num>
  <w:num w:numId="5">
    <w:abstractNumId w:val="12"/>
  </w:num>
  <w:num w:numId="6">
    <w:abstractNumId w:val="5"/>
  </w:num>
  <w:num w:numId="7">
    <w:abstractNumId w:val="22"/>
  </w:num>
  <w:num w:numId="8">
    <w:abstractNumId w:val="4"/>
  </w:num>
  <w:num w:numId="9">
    <w:abstractNumId w:val="26"/>
  </w:num>
  <w:num w:numId="10">
    <w:abstractNumId w:val="13"/>
  </w:num>
  <w:num w:numId="11">
    <w:abstractNumId w:val="17"/>
  </w:num>
  <w:num w:numId="12">
    <w:abstractNumId w:val="23"/>
  </w:num>
  <w:num w:numId="13">
    <w:abstractNumId w:val="10"/>
  </w:num>
  <w:num w:numId="14">
    <w:abstractNumId w:val="11"/>
  </w:num>
  <w:num w:numId="15">
    <w:abstractNumId w:val="3"/>
  </w:num>
  <w:num w:numId="16">
    <w:abstractNumId w:val="25"/>
  </w:num>
  <w:num w:numId="17">
    <w:abstractNumId w:val="14"/>
  </w:num>
  <w:num w:numId="18">
    <w:abstractNumId w:val="2"/>
  </w:num>
  <w:num w:numId="19">
    <w:abstractNumId w:val="2"/>
    <w:lvlOverride w:ilvl="0">
      <w:startOverride w:val="1"/>
    </w:lvlOverride>
  </w:num>
  <w:num w:numId="20">
    <w:abstractNumId w:val="16"/>
  </w:num>
  <w:num w:numId="21">
    <w:abstractNumId w:val="28"/>
  </w:num>
  <w:num w:numId="22">
    <w:abstractNumId w:val="24"/>
  </w:num>
  <w:num w:numId="23">
    <w:abstractNumId w:val="27"/>
  </w:num>
  <w:num w:numId="24">
    <w:abstractNumId w:val="9"/>
  </w:num>
  <w:num w:numId="25">
    <w:abstractNumId w:val="0"/>
  </w:num>
  <w:num w:numId="26">
    <w:abstractNumId w:val="29"/>
  </w:num>
  <w:num w:numId="27">
    <w:abstractNumId w:val="21"/>
  </w:num>
  <w:num w:numId="28">
    <w:abstractNumId w:val="19"/>
  </w:num>
  <w:num w:numId="29">
    <w:abstractNumId w:val="20"/>
  </w:num>
  <w:num w:numId="30">
    <w:abstractNumId w:val="7"/>
  </w:num>
  <w:num w:numId="31">
    <w:abstractNumId w:val="18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72">
    <w:name w:val="Heading 1"/>
    <w:basedOn w:val="1041"/>
    <w:next w:val="1041"/>
    <w:link w:val="8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73">
    <w:name w:val="Heading 1 Char"/>
    <w:basedOn w:val="1042"/>
    <w:link w:val="872"/>
    <w:uiPriority w:val="9"/>
    <w:rPr>
      <w:rFonts w:ascii="Arial" w:hAnsi="Arial" w:eastAsia="Arial" w:cs="Arial"/>
      <w:sz w:val="40"/>
      <w:szCs w:val="40"/>
    </w:rPr>
  </w:style>
  <w:style w:type="paragraph" w:styleId="874">
    <w:name w:val="Heading 2"/>
    <w:basedOn w:val="1041"/>
    <w:next w:val="1041"/>
    <w:link w:val="8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75">
    <w:name w:val="Heading 2 Char"/>
    <w:basedOn w:val="1042"/>
    <w:link w:val="874"/>
    <w:uiPriority w:val="9"/>
    <w:rPr>
      <w:rFonts w:ascii="Arial" w:hAnsi="Arial" w:eastAsia="Arial" w:cs="Arial"/>
      <w:sz w:val="34"/>
    </w:rPr>
  </w:style>
  <w:style w:type="paragraph" w:styleId="876">
    <w:name w:val="Heading 3"/>
    <w:basedOn w:val="1041"/>
    <w:next w:val="1041"/>
    <w:link w:val="8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77">
    <w:name w:val="Heading 3 Char"/>
    <w:basedOn w:val="1042"/>
    <w:link w:val="876"/>
    <w:uiPriority w:val="9"/>
    <w:rPr>
      <w:rFonts w:ascii="Arial" w:hAnsi="Arial" w:eastAsia="Arial" w:cs="Arial"/>
      <w:sz w:val="30"/>
      <w:szCs w:val="30"/>
    </w:rPr>
  </w:style>
  <w:style w:type="paragraph" w:styleId="878">
    <w:name w:val="Heading 4"/>
    <w:basedOn w:val="1041"/>
    <w:next w:val="1041"/>
    <w:link w:val="8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79">
    <w:name w:val="Heading 4 Char"/>
    <w:basedOn w:val="1042"/>
    <w:link w:val="878"/>
    <w:uiPriority w:val="9"/>
    <w:rPr>
      <w:rFonts w:ascii="Arial" w:hAnsi="Arial" w:eastAsia="Arial" w:cs="Arial"/>
      <w:b/>
      <w:bCs/>
      <w:sz w:val="26"/>
      <w:szCs w:val="26"/>
    </w:rPr>
  </w:style>
  <w:style w:type="paragraph" w:styleId="880">
    <w:name w:val="Heading 5"/>
    <w:basedOn w:val="1041"/>
    <w:next w:val="1041"/>
    <w:link w:val="8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81">
    <w:name w:val="Heading 5 Char"/>
    <w:basedOn w:val="1042"/>
    <w:link w:val="880"/>
    <w:uiPriority w:val="9"/>
    <w:rPr>
      <w:rFonts w:ascii="Arial" w:hAnsi="Arial" w:eastAsia="Arial" w:cs="Arial"/>
      <w:b/>
      <w:bCs/>
      <w:sz w:val="24"/>
      <w:szCs w:val="24"/>
    </w:rPr>
  </w:style>
  <w:style w:type="paragraph" w:styleId="882">
    <w:name w:val="Heading 6"/>
    <w:basedOn w:val="1041"/>
    <w:next w:val="1041"/>
    <w:link w:val="8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83">
    <w:name w:val="Heading 6 Char"/>
    <w:basedOn w:val="1042"/>
    <w:link w:val="882"/>
    <w:uiPriority w:val="9"/>
    <w:rPr>
      <w:rFonts w:ascii="Arial" w:hAnsi="Arial" w:eastAsia="Arial" w:cs="Arial"/>
      <w:b/>
      <w:bCs/>
      <w:sz w:val="22"/>
      <w:szCs w:val="22"/>
    </w:rPr>
  </w:style>
  <w:style w:type="paragraph" w:styleId="884">
    <w:name w:val="Heading 7"/>
    <w:basedOn w:val="1041"/>
    <w:next w:val="1041"/>
    <w:link w:val="8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5">
    <w:name w:val="Heading 7 Char"/>
    <w:basedOn w:val="1042"/>
    <w:link w:val="8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86">
    <w:name w:val="Heading 8"/>
    <w:basedOn w:val="1041"/>
    <w:next w:val="1041"/>
    <w:link w:val="8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87">
    <w:name w:val="Heading 8 Char"/>
    <w:basedOn w:val="1042"/>
    <w:link w:val="886"/>
    <w:uiPriority w:val="9"/>
    <w:rPr>
      <w:rFonts w:ascii="Arial" w:hAnsi="Arial" w:eastAsia="Arial" w:cs="Arial"/>
      <w:i/>
      <w:iCs/>
      <w:sz w:val="22"/>
      <w:szCs w:val="22"/>
    </w:rPr>
  </w:style>
  <w:style w:type="paragraph" w:styleId="888">
    <w:name w:val="Heading 9"/>
    <w:basedOn w:val="1041"/>
    <w:next w:val="1041"/>
    <w:link w:val="8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9">
    <w:name w:val="Heading 9 Char"/>
    <w:basedOn w:val="1042"/>
    <w:link w:val="888"/>
    <w:uiPriority w:val="9"/>
    <w:rPr>
      <w:rFonts w:ascii="Arial" w:hAnsi="Arial" w:eastAsia="Arial" w:cs="Arial"/>
      <w:i/>
      <w:iCs/>
      <w:sz w:val="21"/>
      <w:szCs w:val="21"/>
    </w:rPr>
  </w:style>
  <w:style w:type="paragraph" w:styleId="890">
    <w:name w:val="No Spacing"/>
    <w:uiPriority w:val="1"/>
    <w:qFormat/>
    <w:pPr>
      <w:spacing w:before="0" w:after="0" w:line="240" w:lineRule="auto"/>
    </w:pPr>
  </w:style>
  <w:style w:type="paragraph" w:styleId="891">
    <w:name w:val="Title"/>
    <w:basedOn w:val="1041"/>
    <w:next w:val="1041"/>
    <w:link w:val="8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92">
    <w:name w:val="Title Char"/>
    <w:basedOn w:val="1042"/>
    <w:link w:val="891"/>
    <w:uiPriority w:val="10"/>
    <w:rPr>
      <w:sz w:val="48"/>
      <w:szCs w:val="48"/>
    </w:rPr>
  </w:style>
  <w:style w:type="paragraph" w:styleId="893">
    <w:name w:val="Subtitle"/>
    <w:basedOn w:val="1041"/>
    <w:next w:val="1041"/>
    <w:link w:val="894"/>
    <w:uiPriority w:val="11"/>
    <w:qFormat/>
    <w:pPr>
      <w:spacing w:before="200" w:after="200"/>
    </w:pPr>
    <w:rPr>
      <w:sz w:val="24"/>
      <w:szCs w:val="24"/>
    </w:rPr>
  </w:style>
  <w:style w:type="character" w:styleId="894">
    <w:name w:val="Subtitle Char"/>
    <w:basedOn w:val="1042"/>
    <w:link w:val="893"/>
    <w:uiPriority w:val="11"/>
    <w:rPr>
      <w:sz w:val="24"/>
      <w:szCs w:val="24"/>
    </w:rPr>
  </w:style>
  <w:style w:type="paragraph" w:styleId="895">
    <w:name w:val="Quote"/>
    <w:basedOn w:val="1041"/>
    <w:next w:val="1041"/>
    <w:link w:val="896"/>
    <w:uiPriority w:val="29"/>
    <w:qFormat/>
    <w:pPr>
      <w:ind w:left="720" w:right="720"/>
    </w:pPr>
    <w:rPr>
      <w:i/>
    </w:rPr>
  </w:style>
  <w:style w:type="character" w:styleId="896">
    <w:name w:val="Quote Char"/>
    <w:link w:val="895"/>
    <w:uiPriority w:val="29"/>
    <w:rPr>
      <w:i/>
    </w:rPr>
  </w:style>
  <w:style w:type="paragraph" w:styleId="897">
    <w:name w:val="Intense Quote"/>
    <w:basedOn w:val="1041"/>
    <w:next w:val="1041"/>
    <w:link w:val="8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8">
    <w:name w:val="Intense Quote Char"/>
    <w:link w:val="897"/>
    <w:uiPriority w:val="30"/>
    <w:rPr>
      <w:i/>
    </w:rPr>
  </w:style>
  <w:style w:type="character" w:styleId="899">
    <w:name w:val="Header Char"/>
    <w:basedOn w:val="1042"/>
    <w:link w:val="1064"/>
    <w:uiPriority w:val="99"/>
  </w:style>
  <w:style w:type="character" w:styleId="900">
    <w:name w:val="Footer Char"/>
    <w:basedOn w:val="1042"/>
    <w:link w:val="1067"/>
    <w:uiPriority w:val="99"/>
  </w:style>
  <w:style w:type="paragraph" w:styleId="901">
    <w:name w:val="Caption"/>
    <w:basedOn w:val="1041"/>
    <w:next w:val="1041"/>
    <w:link w:val="9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02">
    <w:name w:val="Caption Char"/>
    <w:basedOn w:val="1042"/>
    <w:link w:val="901"/>
    <w:uiPriority w:val="35"/>
    <w:rPr>
      <w:b/>
      <w:bCs/>
      <w:color w:val="4f81bd" w:themeColor="accent1"/>
      <w:sz w:val="18"/>
      <w:szCs w:val="18"/>
    </w:rPr>
  </w:style>
  <w:style w:type="table" w:styleId="903">
    <w:name w:val="Table Grid Light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4">
    <w:name w:val="Plain Table 1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5">
    <w:name w:val="Plain Table 2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6">
    <w:name w:val="Plain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7">
    <w:name w:val="Plain Table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Plain Table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9">
    <w:name w:val="Grid Table 1 Light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1 Light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Grid Table 1 Light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Grid Table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2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2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3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3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Grid Table 4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1">
    <w:name w:val="Grid Table 4 - Accent 1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2">
    <w:name w:val="Grid Table 4 - Accent 2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Grid Table 4 - Accent 3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4">
    <w:name w:val="Grid Table 4 - Accent 4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Grid Table 4 - Accent 5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6">
    <w:name w:val="Grid Table 4 - Accent 6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7">
    <w:name w:val="Grid Table 5 Dark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8">
    <w:name w:val="Grid Table 5 Dark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39">
    <w:name w:val="Grid Table 5 Dark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40">
    <w:name w:val="Grid Table 5 Dark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41">
    <w:name w:val="Grid Table 5 Dark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42">
    <w:name w:val="Grid Table 5 Dark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43">
    <w:name w:val="Grid Table 5 Dark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44">
    <w:name w:val="Grid Table 6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45">
    <w:name w:val="Grid Table 6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46">
    <w:name w:val="Grid Table 6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7">
    <w:name w:val="Grid Table 6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8">
    <w:name w:val="Grid Table 6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9">
    <w:name w:val="Grid Table 6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0">
    <w:name w:val="Grid Table 6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1">
    <w:name w:val="Grid Table 7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7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7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1 Light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List Table 1 Light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List Table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6">
    <w:name w:val="List Table 2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7">
    <w:name w:val="List Table 2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8">
    <w:name w:val="List Table 2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9">
    <w:name w:val="List Table 2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70">
    <w:name w:val="List Table 2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71">
    <w:name w:val="List Table 2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2">
    <w:name w:val="List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3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3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4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List Table 4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List Table 5 Dark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7">
    <w:name w:val="List Table 5 Dark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8">
    <w:name w:val="List Table 5 Dark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9">
    <w:name w:val="List Table 5 Dark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0">
    <w:name w:val="List Table 5 Dark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1">
    <w:name w:val="List Table 5 Dark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2">
    <w:name w:val="List Table 5 Dark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3">
    <w:name w:val="List Table 6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4">
    <w:name w:val="List Table 6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5">
    <w:name w:val="List Table 6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6">
    <w:name w:val="List Table 6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7">
    <w:name w:val="List Table 6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8">
    <w:name w:val="List Table 6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9">
    <w:name w:val="List Table 6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00">
    <w:name w:val="List Table 7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01">
    <w:name w:val="List Table 7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002">
    <w:name w:val="List Table 7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003">
    <w:name w:val="List Table 7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004">
    <w:name w:val="List Table 7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005">
    <w:name w:val="List Table 7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006">
    <w:name w:val="List Table 7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007">
    <w:name w:val="Lined - Accent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8">
    <w:name w:val="Lined - Accent 1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09">
    <w:name w:val="Lined - Accent 2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0">
    <w:name w:val="Lined - Accent 3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1">
    <w:name w:val="Lined - Accent 4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2">
    <w:name w:val="Lined - Accent 5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13">
    <w:name w:val="Lined - Accent 6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4">
    <w:name w:val="Bordered &amp; Lined - Accent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5">
    <w:name w:val="Bordered &amp; Lined - Accent 1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16">
    <w:name w:val="Bordered &amp; Lined - Accent 2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7">
    <w:name w:val="Bordered &amp; Lined - Accent 3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8">
    <w:name w:val="Bordered &amp; Lined - Accent 4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9">
    <w:name w:val="Bordered &amp; Lined - Accent 5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20">
    <w:name w:val="Bordered &amp; Lined - Accent 6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21">
    <w:name w:val="Bordered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2">
    <w:name w:val="Bordered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3">
    <w:name w:val="Bordered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4">
    <w:name w:val="Bordered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5">
    <w:name w:val="Bordered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6">
    <w:name w:val="Bordered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7">
    <w:name w:val="Bordered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8">
    <w:name w:val="Footnote Text Char"/>
    <w:link w:val="1045"/>
    <w:uiPriority w:val="99"/>
    <w:rPr>
      <w:sz w:val="18"/>
    </w:rPr>
  </w:style>
  <w:style w:type="character" w:styleId="1029">
    <w:name w:val="Endnote Text Char"/>
    <w:link w:val="1079"/>
    <w:uiPriority w:val="99"/>
    <w:rPr>
      <w:sz w:val="20"/>
    </w:rPr>
  </w:style>
  <w:style w:type="paragraph" w:styleId="1030">
    <w:name w:val="toc 1"/>
    <w:basedOn w:val="1041"/>
    <w:next w:val="1041"/>
    <w:uiPriority w:val="39"/>
    <w:unhideWhenUsed/>
    <w:pPr>
      <w:ind w:left="0" w:right="0" w:firstLine="0"/>
      <w:spacing w:after="57"/>
    </w:pPr>
  </w:style>
  <w:style w:type="paragraph" w:styleId="1031">
    <w:name w:val="toc 2"/>
    <w:basedOn w:val="1041"/>
    <w:next w:val="1041"/>
    <w:uiPriority w:val="39"/>
    <w:unhideWhenUsed/>
    <w:pPr>
      <w:ind w:left="283" w:right="0" w:firstLine="0"/>
      <w:spacing w:after="57"/>
    </w:pPr>
  </w:style>
  <w:style w:type="paragraph" w:styleId="1032">
    <w:name w:val="toc 3"/>
    <w:basedOn w:val="1041"/>
    <w:next w:val="1041"/>
    <w:uiPriority w:val="39"/>
    <w:unhideWhenUsed/>
    <w:pPr>
      <w:ind w:left="567" w:right="0" w:firstLine="0"/>
      <w:spacing w:after="57"/>
    </w:pPr>
  </w:style>
  <w:style w:type="paragraph" w:styleId="1033">
    <w:name w:val="toc 4"/>
    <w:basedOn w:val="1041"/>
    <w:next w:val="1041"/>
    <w:uiPriority w:val="39"/>
    <w:unhideWhenUsed/>
    <w:pPr>
      <w:ind w:left="850" w:right="0" w:firstLine="0"/>
      <w:spacing w:after="57"/>
    </w:pPr>
  </w:style>
  <w:style w:type="paragraph" w:styleId="1034">
    <w:name w:val="toc 5"/>
    <w:basedOn w:val="1041"/>
    <w:next w:val="1041"/>
    <w:uiPriority w:val="39"/>
    <w:unhideWhenUsed/>
    <w:pPr>
      <w:ind w:left="1134" w:right="0" w:firstLine="0"/>
      <w:spacing w:after="57"/>
    </w:pPr>
  </w:style>
  <w:style w:type="paragraph" w:styleId="1035">
    <w:name w:val="toc 6"/>
    <w:basedOn w:val="1041"/>
    <w:next w:val="1041"/>
    <w:uiPriority w:val="39"/>
    <w:unhideWhenUsed/>
    <w:pPr>
      <w:ind w:left="1417" w:right="0" w:firstLine="0"/>
      <w:spacing w:after="57"/>
    </w:pPr>
  </w:style>
  <w:style w:type="paragraph" w:styleId="1036">
    <w:name w:val="toc 7"/>
    <w:basedOn w:val="1041"/>
    <w:next w:val="1041"/>
    <w:uiPriority w:val="39"/>
    <w:unhideWhenUsed/>
    <w:pPr>
      <w:ind w:left="1701" w:right="0" w:firstLine="0"/>
      <w:spacing w:after="57"/>
    </w:pPr>
  </w:style>
  <w:style w:type="paragraph" w:styleId="1037">
    <w:name w:val="toc 8"/>
    <w:basedOn w:val="1041"/>
    <w:next w:val="1041"/>
    <w:uiPriority w:val="39"/>
    <w:unhideWhenUsed/>
    <w:pPr>
      <w:ind w:left="1984" w:right="0" w:firstLine="0"/>
      <w:spacing w:after="57"/>
    </w:pPr>
  </w:style>
  <w:style w:type="paragraph" w:styleId="1038">
    <w:name w:val="toc 9"/>
    <w:basedOn w:val="1041"/>
    <w:next w:val="1041"/>
    <w:uiPriority w:val="39"/>
    <w:unhideWhenUsed/>
    <w:pPr>
      <w:ind w:left="2268" w:right="0" w:firstLine="0"/>
      <w:spacing w:after="57"/>
    </w:pPr>
  </w:style>
  <w:style w:type="paragraph" w:styleId="1039">
    <w:name w:val="TOC Heading"/>
    <w:uiPriority w:val="39"/>
    <w:unhideWhenUsed/>
  </w:style>
  <w:style w:type="paragraph" w:styleId="1040">
    <w:name w:val="table of figures"/>
    <w:basedOn w:val="1041"/>
    <w:next w:val="1041"/>
    <w:uiPriority w:val="99"/>
    <w:unhideWhenUsed/>
    <w:pPr>
      <w:spacing w:after="0" w:afterAutospacing="0"/>
    </w:pPr>
  </w:style>
  <w:style w:type="paragraph" w:styleId="1041" w:default="1">
    <w:name w:val="Normal"/>
    <w:qFormat/>
    <w:rPr>
      <w:rFonts w:eastAsiaTheme="minorEastAsia"/>
      <w:lang w:eastAsia="ru-RU"/>
    </w:rPr>
  </w:style>
  <w:style w:type="character" w:styleId="1042" w:default="1">
    <w:name w:val="Default Paragraph Font"/>
    <w:uiPriority w:val="1"/>
    <w:semiHidden/>
    <w:unhideWhenUsed/>
  </w:style>
  <w:style w:type="table" w:styleId="10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4" w:default="1">
    <w:name w:val="No List"/>
    <w:uiPriority w:val="99"/>
    <w:semiHidden/>
    <w:unhideWhenUsed/>
  </w:style>
  <w:style w:type="paragraph" w:styleId="1045">
    <w:name w:val="footnote text"/>
    <w:basedOn w:val="1041"/>
    <w:link w:val="1046"/>
    <w:uiPriority w:val="99"/>
    <w:unhideWhenUsed/>
    <w:pPr>
      <w:spacing w:after="0" w:line="240" w:lineRule="auto"/>
    </w:pPr>
    <w:rPr>
      <w:sz w:val="20"/>
      <w:szCs w:val="20"/>
    </w:rPr>
  </w:style>
  <w:style w:type="character" w:styleId="1046" w:customStyle="1">
    <w:name w:val="Текст сноски Знак"/>
    <w:basedOn w:val="1042"/>
    <w:link w:val="1045"/>
    <w:rPr>
      <w:rFonts w:eastAsiaTheme="minorEastAsia"/>
      <w:sz w:val="20"/>
      <w:szCs w:val="20"/>
      <w:lang w:eastAsia="ru-RU"/>
    </w:rPr>
  </w:style>
  <w:style w:type="character" w:styleId="1047">
    <w:name w:val="footnote reference"/>
    <w:basedOn w:val="1042"/>
    <w:uiPriority w:val="99"/>
    <w:unhideWhenUsed/>
    <w:rPr>
      <w:vertAlign w:val="superscript"/>
    </w:rPr>
  </w:style>
  <w:style w:type="paragraph" w:styleId="1048" w:customStyle="1">
    <w:name w:val="ConsPlusNormal"/>
    <w:link w:val="1057"/>
    <w:qFormat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104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character" w:styleId="1050">
    <w:name w:val="annotation reference"/>
    <w:basedOn w:val="1042"/>
    <w:uiPriority w:val="99"/>
    <w:semiHidden/>
    <w:unhideWhenUsed/>
    <w:rPr>
      <w:sz w:val="16"/>
      <w:szCs w:val="16"/>
    </w:rPr>
  </w:style>
  <w:style w:type="paragraph" w:styleId="1051">
    <w:name w:val="annotation text"/>
    <w:basedOn w:val="1041"/>
    <w:link w:val="105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52" w:customStyle="1">
    <w:name w:val="Текст примечания Знак"/>
    <w:basedOn w:val="1042"/>
    <w:link w:val="1051"/>
    <w:uiPriority w:val="99"/>
    <w:semiHidden/>
    <w:rPr>
      <w:rFonts w:eastAsiaTheme="minorEastAsia"/>
      <w:sz w:val="20"/>
      <w:szCs w:val="20"/>
      <w:lang w:eastAsia="ru-RU"/>
    </w:rPr>
  </w:style>
  <w:style w:type="paragraph" w:styleId="1053">
    <w:name w:val="annotation subject"/>
    <w:basedOn w:val="1051"/>
    <w:next w:val="1051"/>
    <w:link w:val="1054"/>
    <w:uiPriority w:val="99"/>
    <w:semiHidden/>
    <w:unhideWhenUsed/>
    <w:rPr>
      <w:b/>
      <w:bCs/>
    </w:rPr>
  </w:style>
  <w:style w:type="character" w:styleId="1054" w:customStyle="1">
    <w:name w:val="Тема примечания Знак"/>
    <w:basedOn w:val="1052"/>
    <w:link w:val="1053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1055">
    <w:name w:val="Balloon Text"/>
    <w:basedOn w:val="1041"/>
    <w:link w:val="105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56" w:customStyle="1">
    <w:name w:val="Текст выноски Знак"/>
    <w:basedOn w:val="1042"/>
    <w:link w:val="1055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character" w:styleId="1057" w:customStyle="1">
    <w:name w:val="ConsPlusNormal Знак"/>
    <w:link w:val="1048"/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1058">
    <w:name w:val="List Paragraph"/>
    <w:basedOn w:val="1041"/>
    <w:link w:val="1059"/>
    <w:uiPriority w:val="34"/>
    <w:qFormat/>
    <w:pPr>
      <w:contextualSpacing/>
      <w:ind w:left="720"/>
      <w:spacing w:after="200" w:line="276" w:lineRule="auto"/>
    </w:pPr>
    <w:rPr>
      <w:rFonts w:eastAsiaTheme="minorHAnsi"/>
      <w:lang w:eastAsia="en-US"/>
    </w:rPr>
  </w:style>
  <w:style w:type="character" w:styleId="1059" w:customStyle="1">
    <w:name w:val="Абзац списка Знак"/>
    <w:link w:val="1058"/>
    <w:uiPriority w:val="34"/>
  </w:style>
  <w:style w:type="paragraph" w:styleId="1060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61" w:customStyle="1">
    <w:name w:val="Таблица 13"/>
    <w:basedOn w:val="1041"/>
    <w:link w:val="1062"/>
    <w:qFormat/>
    <w:pPr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character" w:styleId="1062" w:customStyle="1">
    <w:name w:val="Таблица 13 Знак"/>
    <w:link w:val="106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1063">
    <w:name w:val="Hyperlink"/>
    <w:basedOn w:val="1042"/>
    <w:uiPriority w:val="99"/>
    <w:unhideWhenUsed/>
    <w:rPr>
      <w:color w:val="0563c1" w:themeColor="hyperlink"/>
      <w:u w:val="single"/>
    </w:rPr>
  </w:style>
  <w:style w:type="paragraph" w:styleId="1064">
    <w:name w:val="Header"/>
    <w:basedOn w:val="1041"/>
    <w:link w:val="1065"/>
    <w:uiPriority w:val="99"/>
    <w:unhideWhenUsed/>
    <w:pPr>
      <w:jc w:val="center"/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</w:rPr>
  </w:style>
  <w:style w:type="character" w:styleId="1065" w:customStyle="1">
    <w:name w:val="Верхний колонтитул Знак"/>
    <w:basedOn w:val="1042"/>
    <w:link w:val="1064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table" w:styleId="1066">
    <w:name w:val="Table Grid"/>
    <w:basedOn w:val="10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067">
    <w:name w:val="Footer"/>
    <w:basedOn w:val="1041"/>
    <w:link w:val="10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68" w:customStyle="1">
    <w:name w:val="Нижний колонтитул Знак"/>
    <w:basedOn w:val="1042"/>
    <w:link w:val="1067"/>
    <w:uiPriority w:val="99"/>
    <w:rPr>
      <w:rFonts w:eastAsiaTheme="minorEastAsia"/>
      <w:lang w:eastAsia="ru-RU"/>
    </w:rPr>
  </w:style>
  <w:style w:type="paragraph" w:styleId="1069">
    <w:name w:val="Body Text"/>
    <w:basedOn w:val="1041"/>
    <w:link w:val="1070"/>
    <w:p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070" w:customStyle="1">
    <w:name w:val="Основной текст Знак"/>
    <w:basedOn w:val="1042"/>
    <w:link w:val="106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71" w:customStyle="1">
    <w:name w:val="Сетка таблицы1"/>
    <w:basedOn w:val="1043"/>
    <w:next w:val="1066"/>
    <w:uiPriority w:val="5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72" w:customStyle="1">
    <w:name w:val="Сетка таблицы13"/>
    <w:basedOn w:val="1043"/>
    <w:next w:val="1066"/>
    <w:uiPriority w:val="5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073" w:customStyle="1">
    <w:name w:val="Текст сноски Знак1"/>
    <w:basedOn w:val="1042"/>
    <w:rPr>
      <w:rFonts w:ascii="Times New Roman CYR" w:hAnsi="Times New Roman CYR" w:eastAsia="Times New Roman" w:cs="Times New Roman"/>
      <w:sz w:val="20"/>
      <w:szCs w:val="20"/>
      <w:lang w:eastAsia="hi-IN" w:bidi="hi-IN"/>
    </w:rPr>
  </w:style>
  <w:style w:type="paragraph" w:styleId="1074" w:customStyle="1">
    <w:name w:val="СУБ. ЛИЦ. - Текст"/>
    <w:basedOn w:val="1041"/>
    <w:qFormat/>
    <w:pPr>
      <w:ind w:firstLine="709"/>
      <w:jc w:val="both"/>
      <w:spacing w:after="0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075" w:customStyle="1">
    <w:name w:val="ТЗ - Текст"/>
    <w:basedOn w:val="1041"/>
    <w:qFormat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076" w:customStyle="1">
    <w:name w:val="СУБ. ЛИЦ. - 1."/>
    <w:basedOn w:val="1077"/>
    <w:next w:val="1041"/>
    <w:qFormat/>
    <w:pPr>
      <w:ind w:left="360"/>
      <w:jc w:val="center"/>
      <w:spacing w:before="240"/>
      <w:tabs>
        <w:tab w:val="num" w:pos="643" w:leader="none"/>
      </w:tabs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1077">
    <w:name w:val="List Number"/>
    <w:basedOn w:val="1041"/>
    <w:uiPriority w:val="99"/>
    <w:semiHidden/>
    <w:unhideWhenUsed/>
    <w:pPr>
      <w:contextualSpacing/>
      <w:ind w:left="720" w:hanging="360"/>
    </w:pPr>
  </w:style>
  <w:style w:type="paragraph" w:styleId="1078" w:customStyle="1">
    <w:name w:val="Акт - 1."/>
    <w:qFormat/>
    <w:pPr>
      <w:numPr>
        <w:ilvl w:val="0"/>
        <w:numId w:val="25"/>
      </w:numPr>
      <w:ind w:left="0"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79">
    <w:name w:val="endnote text"/>
    <w:basedOn w:val="1041"/>
    <w:link w:val="108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080" w:customStyle="1">
    <w:name w:val="Текст концевой сноски Знак"/>
    <w:basedOn w:val="1042"/>
    <w:link w:val="1079"/>
    <w:uiPriority w:val="99"/>
    <w:semiHidden/>
    <w:rPr>
      <w:rFonts w:eastAsiaTheme="minorEastAsia"/>
      <w:sz w:val="20"/>
      <w:szCs w:val="20"/>
      <w:lang w:eastAsia="ru-RU"/>
    </w:rPr>
  </w:style>
  <w:style w:type="character" w:styleId="1081">
    <w:name w:val="endnote reference"/>
    <w:basedOn w:val="1042"/>
    <w:uiPriority w:val="99"/>
    <w:semiHidden/>
    <w:unhideWhenUsed/>
    <w:rPr>
      <w:vertAlign w:val="superscript"/>
    </w:rPr>
  </w:style>
  <w:style w:type="table" w:styleId="1082" w:customStyle="1">
    <w:name w:val="StGen18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table" w:styleId="1083" w:customStyle="1">
    <w:name w:val="StGen16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table" w:styleId="1084" w:customStyle="1">
    <w:name w:val="StGen17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table" w:styleId="1085" w:customStyle="1">
    <w:name w:val="StGen19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86" w:customStyle="1">
    <w:name w:val="ТЗ - 1."/>
    <w:basedOn w:val="978"/>
    <w:qFormat/>
    <w:pPr>
      <w:numPr>
        <w:ilvl w:val="0"/>
        <w:numId w:val="0"/>
      </w:numPr>
      <w:contextualSpacing/>
      <w:ind w:left="360" w:right="0" w:hanging="360"/>
      <w:jc w:val="left"/>
      <w:keepLines w:val="0"/>
      <w:keepNext w:val="0"/>
      <w:pageBreakBefore w:val="0"/>
      <w:spacing w:before="240" w:beforeAutospacing="0" w:after="240" w:afterAutospacing="0" w:line="259" w:lineRule="auto"/>
      <w:shd w:val="nil"/>
      <w:widowControl/>
      <w:tabs>
        <w:tab w:val="num" w:pos="36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hyperlink" Target="consultantplus://offline/ref=7B440E791A11B05838761319EF06C2AA1622BE0E44488056AE6FABFD950FC1CC21D3847E0662978AB01CDD4E06590419A34B8EF53C4CX221F" TargetMode="External"/><Relationship Id="rId14" Type="http://schemas.openxmlformats.org/officeDocument/2006/relationships/hyperlink" Target="https://login.consultant.ru/link/?req=doc&amp;amp;amp;amp;base=LAW&amp;amp;amp;amp;n=342439&amp;amp;amp;amp;date=31.07.2020&amp;amp;amp;amp;dst=56&amp;amp;amp;amp;fld=134" TargetMode="External"/><Relationship Id="rId15" Type="http://schemas.openxmlformats.org/officeDocument/2006/relationships/hyperlink" Target="https://login.consultant.ru/link/?req=doc&amp;amp;amp;amp;base=LAW&amp;amp;amp;amp;n=342439&amp;amp;amp;amp;date=31.07.2020&amp;amp;amp;amp;dst=101309&amp;amp;amp;amp;fld=134" TargetMode="External"/><Relationship Id="rId16" Type="http://schemas.openxmlformats.org/officeDocument/2006/relationships/hyperlink" Target="https://login.consultant.ru/link/?req=doc&amp;amp;amp;amp;base=LAW&amp;amp;amp;amp;n=342439&amp;amp;amp;amp;date=31.07.2020&amp;amp;amp;amp;dst=101474&amp;amp;amp;amp;fld=134" TargetMode="External"/><Relationship Id="rId17" Type="http://schemas.openxmlformats.org/officeDocument/2006/relationships/hyperlink" Target="https://login.consultant.ru/link/?req=doc&amp;amp;amp;amp;base=LAW&amp;amp;amp;amp;n=342439&amp;amp;amp;amp;date=31.07.2020&amp;amp;amp;amp;dst=1716&amp;amp;amp;amp;fld=134" TargetMode="External"/><Relationship Id="rId18" Type="http://schemas.openxmlformats.org/officeDocument/2006/relationships/hyperlink" Target="https://login.consultant.ru/link/?req=doc&amp;amp;amp;amp;base=LAW&amp;amp;amp;amp;n=342439&amp;amp;amp;amp;date=31.07.2020&amp;amp;amp;amp;dst=101858&amp;amp;amp;amp;fld=134" TargetMode="External"/><Relationship Id="rId19" Type="http://schemas.openxmlformats.org/officeDocument/2006/relationships/hyperlink" Target="https://login.consultant.ru/link/?req=doc&amp;amp;amp;amp;base=LAW&amp;amp;amp;amp;n=342439&amp;amp;amp;amp;date=31.07.2020&amp;amp;amp;amp;dst=100437&amp;amp;amp;amp;fld=134" TargetMode="External"/><Relationship Id="rId20" Type="http://schemas.openxmlformats.org/officeDocument/2006/relationships/hyperlink" Target="https://login.consultant.ru/link/?req=doc&amp;amp;amp;amp;base=LAW&amp;amp;amp;amp;n=342439&amp;amp;amp;amp;date=31.07.2020&amp;amp;amp;amp;dst=101309&amp;amp;amp;amp;fld=134" TargetMode="External"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login.consultant.ru/link/?req=doc&amp;amp;amp;amp;base=LAW&amp;amp;amp;amp;n=357876&amp;amp;amp;amp;date=31.07.2020" TargetMode="External"/><Relationship Id="rId2" Type="http://schemas.openxmlformats.org/officeDocument/2006/relationships/hyperlink" Target="https://login.consultant.ru/link/?req=doc&amp;amp;amp;amp;base=LAW&amp;amp;amp;amp;n=357876&amp;amp;amp;amp;date=31.07.2020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5CB46-DA18-4B34-AF06-7481CC5E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Кальницкая Юлия Сергеевна</dc:creator>
  <cp:keywords/>
  <dc:description/>
  <cp:lastModifiedBy>malyshevkm</cp:lastModifiedBy>
  <cp:revision>164</cp:revision>
  <dcterms:created xsi:type="dcterms:W3CDTF">2023-04-10T10:11:00Z</dcterms:created>
  <dcterms:modified xsi:type="dcterms:W3CDTF">2026-09-29T07:09:46Z</dcterms:modified>
</cp:coreProperties>
</file>