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От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t xml:space="preserve">вет на запрос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от 10.10.2026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№ 192302</w:t>
      </w:r>
      <w:r>
        <w:rPr>
          <w:rFonts w:ascii="Times New Roman" w:hAnsi="Times New Roman" w:eastAsia="Times New Roman" w:cs="Times New Roman"/>
          <w:b/>
          <w:sz w:val="28"/>
          <w:szCs w:val="28"/>
          <w:rtl w:val="0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rtl w:val="0"/>
        </w:rPr>
        <w:t xml:space="preserve">на разъяснение извещения об осуществлении закупки по Федеральному закону от 05.04.2013 № 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rtl w:val="0"/>
        </w:rPr>
        <w:t xml:space="preserve">№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rtl w:val="0"/>
        </w:rPr>
        <w:t xml:space="preserve"> 0173100008326000052 (Оказание услуг по разработке раздела корпоративного портала Минэнерго России «Сервис сквозного контроля по подготовке проектов нормативных и ненормативных правовых актов»)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rtl w:val="0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rtl w:val="0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tbl>
      <w:tblPr>
        <w:tblStyle w:val="928"/>
        <w:tblW w:w="151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0" w:type="dxa"/>
          <w:top w:w="70" w:type="dxa"/>
          <w:right w:w="100" w:type="dxa"/>
          <w:bottom w:w="70" w:type="dxa"/>
        </w:tblCellMar>
        <w:tblLook w:val="0400" w:firstRow="0" w:lastRow="0" w:firstColumn="0" w:lastColumn="0" w:noHBand="0" w:noVBand="1"/>
      </w:tblPr>
      <w:tblGrid>
        <w:gridCol w:w="850"/>
        <w:gridCol w:w="5811"/>
        <w:gridCol w:w="8476"/>
      </w:tblGrid>
      <w:tr>
        <w:tblPrEx/>
        <w:trPr>
          <w:tblHeader/>
        </w:trPr>
        <w:tc>
          <w:tcPr>
            <w:shd w:val="clear" w:color="auto" w:fill="d9d9d9"/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d9d9d9"/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d9d9d9"/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Ответ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eeeeee"/>
            <w:tcW w:w="1513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keepNext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Вопрос 1  Лицензии ФСТЭК России и ФСБ Рос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сии, т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ребуемые от участника закупки и соисполнителей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Прошу указать номер строки Таблицы 4 ТЗ и наименование услуги, при оказании которой исполнитель оказывает услуги по контролю защищенности конфиденциальной информации (подпункт «б» пункта 4 Положения о лицензиров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ании деятельности по технической защите конфиденциальной информации, утвержденного постановлением Правительства Российской Федерации от 03.02.2012 № 79), и наименование средства или системы информатизации, в отношении которой такой контроль осуществляется.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извещение и приложения к нему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будут внесены изменения в части исключения из нее требований к лицензированию необходимости наличия у исполнителя лицензий ФСТЭК России и ФСБ России.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Прошу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указать наименование и количество средств защиты информации, которые исполнитель устанавливает, монтирует, налаживает, испытывает или ремонтирует при исполнении контракта (подпункт «е» пункта 4 того же Положения), и пункт ТЗ, предусматривающий эту услугу.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Установка, монтаж, наладка, испытания или ремонт определенного перечня средств защиты информации Заказчика в качестве самостоятельной услуги предметом закупки не предусмотрены. Соответственно, наименов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ание и количес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тво таких средств Заказчика в ТЗ не устанавливались.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извещение и приложения к нему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будут внесены изменения в части исключения из нее требований к лицензированию необходимости наличия у исполнителя лицензий ФСТЭК России и ФСБ России.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Прошу указать наименование информационной системы, защищенной с использованием шифровальных (криптографических) средств, которую исполнитель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монтирует, устанавливает, налаживает (пункт 13) и передает Заказчику (пункт 22 приложения к Положению, утвержденному постановлением Правительства Российской Федерации от 16.04.2012 № 313), и пункт ТЗ или Технического проекта, предусматривающий эти работы.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Предметом закупки не являются самостоятельные монтаж, установка, наладка и передача Заказчику защищенной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 использованием 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КЗИ информационной системы. Поэтому отдельная система, которую Исполнитель обязан передать именно в рамках работ по пп. 13 и 22 приложения к Положению, утвержденному постановлением Правительства Российской Федерации от 16.04.2012 № 313, в ТЗ не определена.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извещение и приложения к нему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будут внесены изменения в части исключения из нее требований к лицензированию необходимости наличия у исполнителя лицензий ФСТЭК России и ФСБ России.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Прошу указать наименование шифровальных (криптограф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ических) средств, которые исполнитель обслуживает по пункту 20 приложения к указанному Положению, и их владельца (Заказчик или исполнитель), с учетом пункта 5.2.1 ТЗ, по которому СКЗИ приобретается, настраивается и сопровождается исполнителем за свой счет.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Обслуживание СКЗИ Заказчика в качестве самостоятельной услуги по контракту не предусмотрено. Пункт 5.2.1 ТЗ относ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ится к средствам, используемым на стороне Исполнителя для организации его удаленного доступа. Исполнитель за свой счет приобретает, настраивает и сопровождает сертифицированное ФСБ России СКЗИ, совместимое с СКЗИ Минэнерго России.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Конкретная модель и версия приобретаемого Исполнителем СКЗИ в документации не установлены. Требование определяется совместимостью и выполнением 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словий информационной безопасности. Передача приобретаемого средства в собственность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Заказчика не предусмотрена. Право собс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твенности или иное право использования конкретного средства определяется документами Исполнителя на его приобретение и использование.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извещение и приложения к нему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будут внесены изменения в части исключения из нее требований к лицензированию необходимости наличия у исполнителя лицензий ФСТЭК России и ФСБ России.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1.5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Прошу указать наименование, дату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номер и пункт нормативного правового акта, которым установлена обязанность соисполнителя, оказывающего услуги, связанные с обработкой информации или доступом к инфраструктуре Заказчика, иметь лицензии ФСТЭК России и ФСБ России, указанные в пункте 5.2 ТЗ.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извещение и приложения к нему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будут внесены изменения в части исключения из нее требований к лицензированию необходимости наличия у исполнителя лицензий ФСТЭК России и ФСБ России.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3"/>
            <w:shd w:val="clear" w:color="auto" w:fill="eeeeee"/>
            <w:tcW w:w="1513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keepNext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Вопрос 2. Приложение № 4 к ТЗ: перечень предустановленных шаблонов мероприятий и рекомендованные сроки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Прошу указать, какое приложен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ие к ТЗ содержит перечень предустановленных шаблонов мероприятий и рекомендованные сроки, на которые ссылается пункт 1.3 Таблицы 2 ТЗ: приложение № 4, отсутствующее в перечне приложений ТЗ, или приложение № 3 «Схема предустановленных шаблонов мероприятий».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Схема пр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едустановленных шаблонов мероприятий размещена в приложении № 3 к ТЗ в файле «Приложение № 3 Описание объекта закупки.docx». Ссылка на приложение № 4 в п. 1.3 таблицы 2 ТЗ является ошибкой нумерации; отдельного приложения № 4 к ТЗ в перечне приложений нет.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Заказчиком будут внесены соответствующие изменения.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Прошу указать числовое значение количества предустановленных шаблонов мероприятий, которые исполнитель обязан реализовать, и рекомендованный срок исполнения каждого из них в рабочих днях.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В ТЗ не установлены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числовое значение количества предустановленных шаблонов мероприятий, которые исполнитель обязан реализовать, и рекомендованные сроки исполнения каждого из них в рабочих днях.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В ТЗ предусмотрен срок оказания всего объема услуг -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с даты заключения контракта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04.12.2026, а не отдельных услуг. 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наступлению данного срока указанные шаблоны должны быть разработаны Исполнителем и приняты Заказчиком.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Перечень предустановленных шаблонов, которые требуется разработать, является приложением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№ 3 к ТЗ в файле «Приложение № 3 Описание объекта закупки.docx»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Прошу указать наименование файла Извещения, в котором размещены документ «Схема подготовки НПА» и файл заказчика «Поля для формирования списка рекомендуемых мероприятий», либо дату и способ их передачи исполнителю.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 файле «Приложение № 3 Описание объекта закупки.docx», приложение № 3 к ТЗ,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размещена схема предустановленных шаблонов, содержащая процедуры подготовки актов и признаки их применимости. Файл «схема подготовки НПА», на который имеется ссылка в пункте 2.4.6 технического проекта соответствует схеме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предустановленных шаблонов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являющейся 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риложением № 3 Описание объекта закупки.docx».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В техническом проекте имеется ссылка на файл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«Поля для формирования списка рекомендуемых мероприятий». Указанный файл будет предоставлен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исполнителю после заключения контракта, при поступлении запроса исполнителя.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Прошу указать, будут ли внесены изменения в Извещение в части приложения № 4 к ТЗ, и дату размещения таких изменений в ЕИС.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 отношении ошибочной ссылки на номер приложения разъясняется: применяется приложение № 3 «Схема предустановленных шаблонов мероприятий» к ТЗ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 Создание самостоятельного приложения № 4 для дублирования указанных материалов не предусматривается. Указанные несоответствия будут устранены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при внесении изменений в извещение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ата размещения таких изменений в ЕИС определяется заказчиком са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в пределах сро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ных Законом № 44-ФЗ.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eeeeee"/>
            <w:tcW w:w="1513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keepNext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Вопрос 3. Технический проект, по которому ведется разработка Сервиса, и сроки его актуализации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Прошу указать, какой из технических проектов применяется при раз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работке Сервиса: технический проект, разработанный в рамках государственного контракта от 01.09.2025 № 0173100008325000061/А/14 и размещенный в составе Извещения (пункт 1 Таблицы 2 ТЗ), или технический проект, разрабатываемый исполнителем по пункту 6.3 ТЗ.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Исходной проектной основой для оказания услуг по разработке Сервиса являются размещенные вместе с извещением Технический проект и ди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зайн-макеты, на кот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орые ссылаются п. 1 таблицы 2 и п. 6.1 ТЗ и которые приложены к извещению. Указанные документы разработаны 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 рамках государственного контракта от 03.06.2026 №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100201966126100076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(в настоящее время в ТЗ указана неверная ссылка на контракт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от 01.09.2025 № 0173100008325000061/А/14).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14:ligatures w14:val="non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 рамках настоящего контракта Исполнитель актуализирует технический проект Портала в части создаваемого Сервиса, который ранее был разработан и утвержден в рамках государственного контракта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от 01.09.2025 № 0173100008325000061/А/14. Указанный проект будет предоставлен для актуализации в рамках настоящего контракта.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Прошу указать, какой из двух сроков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применяется к разработке Сервиса в случае, если пятнадцатый рабочий день с даты заключения контракта наступает позднее 18.11.2026: срок «Не позднее 18.11.2026» либо срок, исчисляемый от даты согласования Заказчиком актуализированного технического проекта.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Применяется установленный таблицей 4 ТЗ срок предоставления результата разработки Сервиса — не позднее 18.11.2026. Условие о переносе этого срока на период после согласования актуализированного технического проекта в ТЗ отсутствует.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Срок «не позднее 15 рабочих дней» относится к предоставлению актуализированного технического проекта и является предельным сроком, а не обязательной длительностью проектирования. Пункт 6.1 ТЗ прямо допускает по согласованию с Заказчиком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начало отдельных услуг очередной стадии до окончания предыдущей или текущей стадии. Поэтому приведенное в запросе сопоставление предельных дат само по себе не означает запрета параллельного проектирования и разработки на основе уже опубликованного проекта.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Последовательность и совмещение работ 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тражаются в рабочем плане по п. 6.2 ТЗ.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Прошу указать срок передачи Заказчиком исполни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телю исходного кода Портала: 2 рабочих дня с даты заключения контракта (пункт 6.3 ТЗ) либо 5 рабочих дней с даты получения запроса исполнителя (пункт 2.1 ТЗ), а также указать, передается ли по пункту 2.1 ТЗ исходный код Портала или только исполняемые коды.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Копия исходно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го кода Портала (включая исполняемые коды), разработанного по государственному контракту от 01.09.2025 № 0173100008325000061/А/14, будет передана Заказчиком в течение 2 рабочих дней с даты заключения наст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оящего Контракта согласно пункту 6.3 ТЗ.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Задвоение предоставления материалов по пунктам 2.1 и 6.3 ТЗ являются технической ошибкой,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 связи с чем в извещение будут внесены соответствующие изменения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Прошу указать, будут ли внесены изменения в Извещение для устранения расхождения между пунктом 1 Таблицы 2, пунктами 2.1, 6.3 и Таблицей 4 ТЗ, и дату размещения таких изменений в ЕИС.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 указанным положениям изменение условий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извещения не планируется.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Пункт 1 таблицы 2 определяет исходную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проектную основу; п. 6.3 и таблица 4 - результат актуализации ранее утвержденного технического проекта;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Подпункты 2.1 и 6.3 — з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адво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ение предоставления материалов по пунктам 2.1 и 6.3 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З являются технической ошибкой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которая будет устранена после внесения соответствующих изменений в извещение,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сходный код (включая исполняемые коды) буд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 предоставлен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в течение 2 рабочих дней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с даты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заключения контракта.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14:ligatures w14:val="non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Возможность совмещения стадий предусмотрена п. 6.1 ТЗ. Срок разработки 18.11.2026 и срок окончания оказания услуг 04.12.2026 сохраняются.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ата размещения изменений в ЕИС определяется заказчиком са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в пределах сро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ных Законом № 44-ФЗ.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auto" w:fill="eeeeee"/>
            <w:tcW w:w="1513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keepNext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 xml:space="preserve">Вопрос 4. Компонент «Экспортирование дорожной карты»: роль пользователя и состав переносимых данных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left"/>
              <w:keepLines/>
              <w:keepNext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4.1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Прошу указать, пользователю какой роли предоставляется право экспорта дорожной карты: пользователю с правами администратора (пункт 1.1 Таблицы 2 ТЗ) или контролеру (пункт 1.4 Таблицы 2 ТЗ).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Право выполнения операции экспорта предоставляется пользователю с прикладной ролью «контролер». Это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установлено п. 1.4 таблицы 2 ТЗ.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Пункт 1.1 таблицы 2 ТЗ регулирует полномочия по изменению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пунктов плана-графика и требует специально настроенных прав контроля. Он не предоставляет всем администраторам безусловного права экспорта. Общие категории участников Портала в п. 3.1 ТЗ не заменяют прикладные роли Сервиса.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сли пользователь одновременно является администратором, экспорт доступен ему при наличии соответствующей роли и прав контролера.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4.2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Прошу указать, какое из положений применяется к составу данных при экспорте: «переносится в неизменном виде» (пункт 1.4 Таблицы 2 ТЗ) или перечень непереносимых данных подраздела 4.6.4 Технического проекта.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К составу данных при экспорте применяется положение «переносится в неизменном виде» (пункт 1.4 Таблицы 2 ТЗ).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При необходимости, на этапе проектирования Сервиса исполнителем будет уточнен перечень переносимых данных с учетом пункта 4.6.4 Технического проекта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4.3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Прошу указать, какие номер и срок конечного мероприятия имеет экспортированная дорожная карта в новом плане-графике: номер и срок исходного пункта плана-графика или номер и срок пункта нового плана-графика.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Указанный вопрос уточняется на этапе проектирования Сервиса.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При экспорте создается новая дорожная карта, связанная с целевым пунктом нового плана-графика. Ее номер должен соответствовать поря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дковому номеру НПА или ПА в новом плане-графике, а конечное мероприятие и его срок — данным нового плана-графика.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Основание: п. 1.3 таблицы 2 ТЗ, подраздел 2.4.2 Технического проекта, устанавливающие получение этих данных из связанного пункта плана-графика.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3"/>
            <w:shd w:val="clear" w:color="auto" w:fill="eeeeee"/>
            <w:tcW w:w="1513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keepNext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Вопрос 5  Спецификация и Календарный план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5.1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Прошу указать наименование документа, являющегося Календарным планом (приложение 3 к контракту), и наименование файла Извещения, в котором он размещен.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Пункт 1.2 контракта будет скорректирован в части исключения ссылки на Календарный план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5.2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Прошу указать, является ли Спецификацией (приложение 2 к контракту) приложение № 2 «Спецификация» к ТЗ, озаглавленное «Объем оказываемых Услуг».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Объем оказанных услуг не является приложением к конт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кту и не является спецификацией.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14:ligatures w14:val="none"/>
              </w:rPr>
              <w:t xml:space="preserve">Наименование приложения № 2 «Спецификация» к контракту будет приведено в соответствие с наименованием «Объем оказываемых услуг». В извещение будет внесено соответствующее изменение.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14:ligatures w14:val="non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5.3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Прошу указать числовое значение количества этапов исполнения контракта (в том числе значение «один», если этапы не предусмотрены) и сроки их исполнения.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Предусмотрен один общий период оказания услуг - с даты з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аключения Контракта по 04.12.2026. Деление на отдельные оплачиваемые этапы представленными условиями не установлено. В числовом выражении - один этап оказания услуг, без самостоятельных промежуточных этапов с отдельной ценой и оплатой.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5.4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Прошу указать, будут ли внесены изменения в Извещение для устранения расхождения между пунктами 1.2 и 13.1 Проекта контракта, и дату размещения таких изменений в ЕИС.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Пункт 1.2 контракта будет скорректирован в части исключения ссылки на Календарный план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ата размещения таких изменений в ЕИС определяется заказчиком са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в пределах сро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ных Законом № 44-ФЗ.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/>
        <w:tc>
          <w:tcPr>
            <w:gridSpan w:val="3"/>
            <w:shd w:val="clear" w:color="auto" w:fill="eeeeee"/>
            <w:tcW w:w="1513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keepNext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white"/>
              </w:rPr>
              <w:t xml:space="preserve">Вопрос 6  Пределы уточнений и численность представителей Исполнителя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6.1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Прошу указать числовое значение максимального количества параметров дорожной карты, на которое может быть увеличен перечень параметров по пункту 1.3 Таблицы 2 ТЗ в пределах цены контракта.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Числовое значение максимального увеличения количества параметров в ТЗ не установлено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э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В пункте 5.1 ТЗ определено, ч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то 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етализация требований к отдельным функциям (задачам) по разработке Сервиса, указанным в настоящем разделе, в целях уточнения и конкретизации требований осуществляется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Исполнителем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по итогам проведения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предпроектного обследования объекта автоматизации.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Указанным пунктом также определено, что 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о результатам технического проектирования, разработки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рабочей документации функциональные требования к работам по согласованию с Заказчиком могут уточняться, при этом такие уточнения не должны приводить к увеличению объема оказываемых услуг или к новым видам услуг, не предусмотренны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настоящим ТЗ.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6.2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Прошу указать измеримый показа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тель (количество функций, экранных форм или иная единица) и его числовое значение, по которому определяется, что отступление от технического проекта и дизайн-макетов по пункту 1 Таблицы 2 ТЗ не приводит к увеличению объема оказываемых услуг (пункт 5.1 ТЗ).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Единица объема закупки - одна условная единица услуги по разработке Сервиса (п. 1.4 ТЗ и Спецификация). Функциональный с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остав включает четыре компонента, перечисленных в пп. 1.1–1.4 таблицы 2 ТЗ. Обязательное содержание результата раскрывается совокупностью требований ТЗ, Технического проекта и дизайн-макетов.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Единого отдельного показателя допустимых отклонений, выраженного числом экранов, полей или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 человеко-часов, документация не устанавливает, обязательность установления таких требований также отсутствует.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По п. 5.1 ТЗ уточнение допустимо только без увеличения объема и без новых видов услуг. Поэ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тому согласование отступления от макета не является основанием для дополнительной разработки сверх исходных требований. Контроль результата осуществляется по разделу 7 ТЗ и программам и методикам испытаний.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W w:w="85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6.3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581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Прошу указать числовое значение минимального и ма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ксимального количества представителей исполнителя, очное присутствие которых на территории Заказчика обязательно при предварительных испытаниях, опытной эксплуатации и приемочных испытаниях, в том числе при увеличении их количества по требованию Заказчика.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W w:w="847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Пункты 6.5–6.7 ТЗ требуют очного присутствия представителей Исполнителя и предусматривают согласование их количества и должностей с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Заказчиком. Числовые минимальная и максимальная границы в ТЗ не установлены.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ind w:left="0" w:right="0" w:firstLine="0"/>
              <w:jc w:val="left"/>
              <w:keepLines/>
              <w:spacing w:before="0" w:after="0" w:afterAutospacing="0" w:line="283" w:lineRule="atLeast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Состав представителей определяется применительно к программе соответствующих испытаний или опытной эксплуатации и необходимым компетенциям. Увеличение их ко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</w:rPr>
              <w:t xml:space="preserve">личества предусмотрено только при отставании от рабочего плана и направлено на выполнение уже установленного объема услуг в согласованные сроки; оно не дает основания поручать новые услуги.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</w:tbl>
    <w:p>
      <w:pPr>
        <w:ind w:left="0" w:right="0" w:firstLine="0"/>
        <w:jc w:val="left"/>
        <w:keepLines/>
        <w:spacing w:before="0" w:after="0" w:afterAutospacing="0" w:line="283" w:lineRule="atLeas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6838" w:h="11906" w:orient="landscape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Noto Sans">
    <w:panose1 w:val="020B050204050402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2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77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6">
    <w:name w:val="Heading 1"/>
    <w:basedOn w:val="922"/>
    <w:next w:val="922"/>
    <w:link w:val="747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47">
    <w:name w:val="Heading 1 Char"/>
    <w:link w:val="746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48">
    <w:name w:val="Heading 2"/>
    <w:basedOn w:val="922"/>
    <w:next w:val="922"/>
    <w:link w:val="749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49">
    <w:name w:val="Heading 2 Char"/>
    <w:link w:val="748"/>
    <w:uiPriority w:val="9"/>
    <w:rPr>
      <w:rFonts w:ascii="Liberation Sans" w:hAnsi="Liberation Sans" w:eastAsia="Liberation Sans" w:cs="Liberation Sans"/>
      <w:sz w:val="34"/>
    </w:rPr>
  </w:style>
  <w:style w:type="paragraph" w:styleId="750">
    <w:name w:val="Heading 3"/>
    <w:basedOn w:val="922"/>
    <w:next w:val="922"/>
    <w:link w:val="751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51">
    <w:name w:val="Heading 3 Char"/>
    <w:link w:val="750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52">
    <w:name w:val="Heading 4"/>
    <w:basedOn w:val="922"/>
    <w:next w:val="922"/>
    <w:link w:val="753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53">
    <w:name w:val="Heading 4 Char"/>
    <w:link w:val="75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54">
    <w:name w:val="Heading 5"/>
    <w:basedOn w:val="922"/>
    <w:next w:val="922"/>
    <w:link w:val="755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55">
    <w:name w:val="Heading 5 Char"/>
    <w:link w:val="75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56">
    <w:name w:val="Heading 6"/>
    <w:basedOn w:val="922"/>
    <w:next w:val="922"/>
    <w:link w:val="757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57">
    <w:name w:val="Heading 6 Char"/>
    <w:link w:val="75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58">
    <w:name w:val="Heading 7"/>
    <w:basedOn w:val="922"/>
    <w:next w:val="922"/>
    <w:link w:val="759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59">
    <w:name w:val="Heading 7 Char"/>
    <w:link w:val="75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60">
    <w:name w:val="Heading 8"/>
    <w:basedOn w:val="922"/>
    <w:next w:val="922"/>
    <w:link w:val="76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61">
    <w:name w:val="Heading 8 Char"/>
    <w:link w:val="76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62">
    <w:name w:val="Heading 9"/>
    <w:basedOn w:val="922"/>
    <w:next w:val="922"/>
    <w:link w:val="763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63">
    <w:name w:val="Heading 9 Char"/>
    <w:link w:val="76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64">
    <w:name w:val="Title"/>
    <w:basedOn w:val="922"/>
    <w:next w:val="922"/>
    <w:link w:val="76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5">
    <w:name w:val="Title Char"/>
    <w:link w:val="764"/>
    <w:uiPriority w:val="10"/>
    <w:rPr>
      <w:sz w:val="48"/>
      <w:szCs w:val="48"/>
    </w:rPr>
  </w:style>
  <w:style w:type="paragraph" w:styleId="766">
    <w:name w:val="Subtitle"/>
    <w:basedOn w:val="922"/>
    <w:next w:val="922"/>
    <w:link w:val="767"/>
    <w:uiPriority w:val="11"/>
    <w:qFormat/>
    <w:pPr>
      <w:spacing w:before="200" w:after="200"/>
    </w:pPr>
    <w:rPr>
      <w:sz w:val="24"/>
      <w:szCs w:val="24"/>
    </w:rPr>
  </w:style>
  <w:style w:type="character" w:styleId="767">
    <w:name w:val="Subtitle Char"/>
    <w:link w:val="766"/>
    <w:uiPriority w:val="11"/>
    <w:rPr>
      <w:sz w:val="24"/>
      <w:szCs w:val="24"/>
    </w:rPr>
  </w:style>
  <w:style w:type="paragraph" w:styleId="768">
    <w:name w:val="Quote"/>
    <w:basedOn w:val="922"/>
    <w:next w:val="922"/>
    <w:link w:val="769"/>
    <w:uiPriority w:val="29"/>
    <w:qFormat/>
    <w:pPr>
      <w:ind w:left="720" w:right="720"/>
    </w:pPr>
    <w:rPr>
      <w:i/>
    </w:rPr>
  </w:style>
  <w:style w:type="character" w:styleId="769">
    <w:name w:val="Quote Char"/>
    <w:link w:val="768"/>
    <w:uiPriority w:val="29"/>
    <w:rPr>
      <w:i/>
    </w:rPr>
  </w:style>
  <w:style w:type="paragraph" w:styleId="770">
    <w:name w:val="Intense Quote"/>
    <w:basedOn w:val="922"/>
    <w:next w:val="922"/>
    <w:link w:val="77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1">
    <w:name w:val="Intense Quote Char"/>
    <w:link w:val="770"/>
    <w:uiPriority w:val="30"/>
    <w:rPr>
      <w:i/>
    </w:rPr>
  </w:style>
  <w:style w:type="paragraph" w:styleId="772">
    <w:name w:val="Header"/>
    <w:basedOn w:val="922"/>
    <w:link w:val="77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3">
    <w:name w:val="Header Char"/>
    <w:link w:val="772"/>
    <w:uiPriority w:val="99"/>
  </w:style>
  <w:style w:type="paragraph" w:styleId="774">
    <w:name w:val="Footer"/>
    <w:basedOn w:val="922"/>
    <w:link w:val="7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5">
    <w:name w:val="Footer Char"/>
    <w:link w:val="774"/>
    <w:uiPriority w:val="99"/>
  </w:style>
  <w:style w:type="paragraph" w:styleId="776">
    <w:name w:val="Caption"/>
    <w:basedOn w:val="922"/>
    <w:next w:val="922"/>
    <w:link w:val="77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7">
    <w:name w:val="Caption Char"/>
    <w:link w:val="776"/>
    <w:uiPriority w:val="35"/>
    <w:rPr>
      <w:b/>
      <w:bCs/>
      <w:color w:val="4f81bd" w:themeColor="accent1"/>
      <w:sz w:val="18"/>
      <w:szCs w:val="18"/>
    </w:rPr>
  </w:style>
  <w:style w:type="table" w:styleId="778">
    <w:name w:val="Table Grid"/>
    <w:basedOn w:val="92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9">
    <w:name w:val="Table Grid Light"/>
    <w:basedOn w:val="9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>
    <w:name w:val="Plain Table 1"/>
    <w:basedOn w:val="9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1">
    <w:name w:val="Plain Table 2"/>
    <w:basedOn w:val="9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2">
    <w:name w:val="Plain Table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3">
    <w:name w:val="Plain Table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Plain Table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5">
    <w:name w:val="Grid Table 1 Light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4"/>
    <w:basedOn w:val="9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7">
    <w:name w:val="Grid Table 4 - Accent 1"/>
    <w:basedOn w:val="9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8">
    <w:name w:val="Grid Table 4 - Accent 2"/>
    <w:basedOn w:val="9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9">
    <w:name w:val="Grid Table 4 - Accent 3"/>
    <w:basedOn w:val="9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0">
    <w:name w:val="Grid Table 4 - Accent 4"/>
    <w:basedOn w:val="9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1">
    <w:name w:val="Grid Table 4 - Accent 5"/>
    <w:basedOn w:val="9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2">
    <w:name w:val="Grid Table 4 - Accent 6"/>
    <w:basedOn w:val="9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3">
    <w:name w:val="Grid Table 5 Dark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4">
    <w:name w:val="Grid Table 5 Dark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15">
    <w:name w:val="Grid Table 5 Dark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17">
    <w:name w:val="Grid Table 5 Dark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18">
    <w:name w:val="Grid Table 5 Dark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20">
    <w:name w:val="Grid Table 6 Colorful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21">
    <w:name w:val="Grid Table 6 Colorful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22">
    <w:name w:val="Grid Table 6 Colorful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23">
    <w:name w:val="Grid Table 6 Colorful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24">
    <w:name w:val="Grid Table 6 Colorful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25">
    <w:name w:val="Grid Table 6 Colorful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6">
    <w:name w:val="Grid Table 6 Colorful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27">
    <w:name w:val="Grid Table 7 Colorful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2">
    <w:name w:val="List Table 2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3">
    <w:name w:val="List Table 2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4">
    <w:name w:val="List Table 2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5">
    <w:name w:val="List Table 2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6">
    <w:name w:val="List Table 2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7">
    <w:name w:val="List Table 2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8">
    <w:name w:val="List Table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5 Dark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3">
    <w:name w:val="List Table 5 Dark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4">
    <w:name w:val="List Table 5 Dark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5">
    <w:name w:val="List Table 5 Dark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6">
    <w:name w:val="List Table 5 Dark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7">
    <w:name w:val="List Table 5 Dark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8">
    <w:name w:val="List Table 5 Dark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69">
    <w:name w:val="List Table 6 Colorful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0">
    <w:name w:val="List Table 6 Colorful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1">
    <w:name w:val="List Table 6 Colorful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2">
    <w:name w:val="List Table 6 Colorful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3">
    <w:name w:val="List Table 6 Colorful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4">
    <w:name w:val="List Table 6 Colorful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5">
    <w:name w:val="List Table 6 Colorful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6">
    <w:name w:val="List Table 7 Colorful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77">
    <w:name w:val="List Table 7 Colorful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78">
    <w:name w:val="List Table 7 Colorful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79">
    <w:name w:val="List Table 7 Colorful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80">
    <w:name w:val="List Table 7 Colorful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81">
    <w:name w:val="List Table 7 Colorful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82">
    <w:name w:val="List Table 7 Colorful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83">
    <w:name w:val="Lined - Accent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4">
    <w:name w:val="Lined - Accent 1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85">
    <w:name w:val="Lined - Accent 2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6">
    <w:name w:val="Lined - Accent 3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7">
    <w:name w:val="Lined - Accent 4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8">
    <w:name w:val="Lined - Accent 5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89">
    <w:name w:val="Lined - Accent 6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0">
    <w:name w:val="Bordered &amp; Lined - Accent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1">
    <w:name w:val="Bordered &amp; Lined - Accent 1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92">
    <w:name w:val="Bordered &amp; Lined - Accent 2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93">
    <w:name w:val="Bordered &amp; Lined - Accent 3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4">
    <w:name w:val="Bordered &amp; Lined - Accent 4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5">
    <w:name w:val="Bordered &amp; Lined - Accent 5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96">
    <w:name w:val="Bordered &amp; Lined - Accent 6"/>
    <w:basedOn w:val="9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7">
    <w:name w:val="Bordered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8">
    <w:name w:val="Bordered - Accent 1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9">
    <w:name w:val="Bordered - Accent 2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0">
    <w:name w:val="Bordered - Accent 3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1">
    <w:name w:val="Bordered - Accent 4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2">
    <w:name w:val="Bordered - Accent 5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3">
    <w:name w:val="Bordered - Accent 6"/>
    <w:basedOn w:val="9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4">
    <w:name w:val="Hyperlink"/>
    <w:uiPriority w:val="99"/>
    <w:unhideWhenUsed/>
    <w:rPr>
      <w:color w:val="0000ff" w:themeColor="hyperlink"/>
      <w:u w:val="single"/>
    </w:rPr>
  </w:style>
  <w:style w:type="paragraph" w:styleId="905">
    <w:name w:val="footnote text"/>
    <w:basedOn w:val="922"/>
    <w:link w:val="906"/>
    <w:uiPriority w:val="99"/>
    <w:semiHidden/>
    <w:unhideWhenUsed/>
    <w:pPr>
      <w:spacing w:after="40" w:line="240" w:lineRule="auto"/>
    </w:pPr>
    <w:rPr>
      <w:sz w:val="18"/>
    </w:rPr>
  </w:style>
  <w:style w:type="character" w:styleId="906">
    <w:name w:val="Footnote Text Char"/>
    <w:link w:val="905"/>
    <w:uiPriority w:val="99"/>
    <w:rPr>
      <w:sz w:val="18"/>
    </w:rPr>
  </w:style>
  <w:style w:type="character" w:styleId="907">
    <w:name w:val="footnote reference"/>
    <w:uiPriority w:val="99"/>
    <w:unhideWhenUsed/>
    <w:rPr>
      <w:vertAlign w:val="superscript"/>
    </w:rPr>
  </w:style>
  <w:style w:type="paragraph" w:styleId="908">
    <w:name w:val="endnote text"/>
    <w:basedOn w:val="922"/>
    <w:link w:val="909"/>
    <w:uiPriority w:val="99"/>
    <w:semiHidden/>
    <w:unhideWhenUsed/>
    <w:pPr>
      <w:spacing w:after="0" w:line="240" w:lineRule="auto"/>
    </w:pPr>
    <w:rPr>
      <w:sz w:val="20"/>
    </w:rPr>
  </w:style>
  <w:style w:type="character" w:styleId="909">
    <w:name w:val="Endnote Text Char"/>
    <w:link w:val="908"/>
    <w:uiPriority w:val="99"/>
    <w:rPr>
      <w:sz w:val="20"/>
    </w:rPr>
  </w:style>
  <w:style w:type="character" w:styleId="910">
    <w:name w:val="endnote reference"/>
    <w:uiPriority w:val="99"/>
    <w:semiHidden/>
    <w:unhideWhenUsed/>
    <w:rPr>
      <w:vertAlign w:val="superscript"/>
    </w:rPr>
  </w:style>
  <w:style w:type="paragraph" w:styleId="911">
    <w:name w:val="toc 1"/>
    <w:basedOn w:val="922"/>
    <w:next w:val="922"/>
    <w:uiPriority w:val="39"/>
    <w:unhideWhenUsed/>
    <w:pPr>
      <w:ind w:left="0" w:right="0" w:firstLine="0"/>
      <w:spacing w:after="57"/>
    </w:pPr>
  </w:style>
  <w:style w:type="paragraph" w:styleId="912">
    <w:name w:val="toc 2"/>
    <w:basedOn w:val="922"/>
    <w:next w:val="922"/>
    <w:uiPriority w:val="39"/>
    <w:unhideWhenUsed/>
    <w:pPr>
      <w:ind w:left="283" w:right="0" w:firstLine="0"/>
      <w:spacing w:after="57"/>
    </w:pPr>
  </w:style>
  <w:style w:type="paragraph" w:styleId="913">
    <w:name w:val="toc 3"/>
    <w:basedOn w:val="922"/>
    <w:next w:val="922"/>
    <w:uiPriority w:val="39"/>
    <w:unhideWhenUsed/>
    <w:pPr>
      <w:ind w:left="567" w:right="0" w:firstLine="0"/>
      <w:spacing w:after="57"/>
    </w:pPr>
  </w:style>
  <w:style w:type="paragraph" w:styleId="914">
    <w:name w:val="toc 4"/>
    <w:basedOn w:val="922"/>
    <w:next w:val="922"/>
    <w:uiPriority w:val="39"/>
    <w:unhideWhenUsed/>
    <w:pPr>
      <w:ind w:left="850" w:right="0" w:firstLine="0"/>
      <w:spacing w:after="57"/>
    </w:pPr>
  </w:style>
  <w:style w:type="paragraph" w:styleId="915">
    <w:name w:val="toc 5"/>
    <w:basedOn w:val="922"/>
    <w:next w:val="922"/>
    <w:uiPriority w:val="39"/>
    <w:unhideWhenUsed/>
    <w:pPr>
      <w:ind w:left="1134" w:right="0" w:firstLine="0"/>
      <w:spacing w:after="57"/>
    </w:pPr>
  </w:style>
  <w:style w:type="paragraph" w:styleId="916">
    <w:name w:val="toc 6"/>
    <w:basedOn w:val="922"/>
    <w:next w:val="922"/>
    <w:uiPriority w:val="39"/>
    <w:unhideWhenUsed/>
    <w:pPr>
      <w:ind w:left="1417" w:right="0" w:firstLine="0"/>
      <w:spacing w:after="57"/>
    </w:pPr>
  </w:style>
  <w:style w:type="paragraph" w:styleId="917">
    <w:name w:val="toc 7"/>
    <w:basedOn w:val="922"/>
    <w:next w:val="922"/>
    <w:uiPriority w:val="39"/>
    <w:unhideWhenUsed/>
    <w:pPr>
      <w:ind w:left="1701" w:right="0" w:firstLine="0"/>
      <w:spacing w:after="57"/>
    </w:pPr>
  </w:style>
  <w:style w:type="paragraph" w:styleId="918">
    <w:name w:val="toc 8"/>
    <w:basedOn w:val="922"/>
    <w:next w:val="922"/>
    <w:uiPriority w:val="39"/>
    <w:unhideWhenUsed/>
    <w:pPr>
      <w:ind w:left="1984" w:right="0" w:firstLine="0"/>
      <w:spacing w:after="57"/>
    </w:pPr>
  </w:style>
  <w:style w:type="paragraph" w:styleId="919">
    <w:name w:val="toc 9"/>
    <w:basedOn w:val="922"/>
    <w:next w:val="922"/>
    <w:uiPriority w:val="39"/>
    <w:unhideWhenUsed/>
    <w:pPr>
      <w:ind w:left="2268" w:right="0" w:firstLine="0"/>
      <w:spacing w:after="57"/>
    </w:pPr>
  </w:style>
  <w:style w:type="paragraph" w:styleId="920">
    <w:name w:val="TOC Heading"/>
    <w:uiPriority w:val="39"/>
    <w:unhideWhenUsed/>
  </w:style>
  <w:style w:type="paragraph" w:styleId="921">
    <w:name w:val="table of figures"/>
    <w:basedOn w:val="922"/>
    <w:next w:val="922"/>
    <w:uiPriority w:val="99"/>
    <w:unhideWhenUsed/>
    <w:pPr>
      <w:spacing w:after="0" w:afterAutospacing="0"/>
    </w:pPr>
  </w:style>
  <w:style w:type="paragraph" w:styleId="922" w:default="1">
    <w:name w:val="Normal"/>
    <w:qFormat/>
  </w:style>
  <w:style w:type="table" w:styleId="9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4" w:default="1">
    <w:name w:val="No List"/>
    <w:uiPriority w:val="99"/>
    <w:semiHidden/>
    <w:unhideWhenUsed/>
  </w:style>
  <w:style w:type="paragraph" w:styleId="925">
    <w:name w:val="No Spacing"/>
    <w:basedOn w:val="922"/>
    <w:uiPriority w:val="1"/>
    <w:qFormat/>
    <w:pPr>
      <w:spacing w:after="0" w:line="240" w:lineRule="auto"/>
    </w:pPr>
  </w:style>
  <w:style w:type="paragraph" w:styleId="926">
    <w:name w:val="List Paragraph"/>
    <w:basedOn w:val="922"/>
    <w:uiPriority w:val="34"/>
    <w:qFormat/>
    <w:pPr>
      <w:contextualSpacing/>
      <w:ind w:left="720"/>
    </w:pPr>
  </w:style>
  <w:style w:type="character" w:styleId="927" w:default="1">
    <w:name w:val="Default Paragraph Font"/>
    <w:uiPriority w:val="1"/>
    <w:semiHidden/>
    <w:unhideWhenUsed/>
  </w:style>
  <w:style w:type="table" w:styleId="928" w:customStyle="1">
    <w:name w:val="StGen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zh-CN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28" w:type="dxa"/>
        <w:top w:w="0" w:type="dxa"/>
        <w:right w:w="2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929" w:customStyle="1">
    <w:name w:val="Table Paragraph"/>
    <w:link w:val="768"/>
    <w:pPr>
      <w:contextualSpacing w:val="0"/>
      <w:ind w:left="107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30" w:customStyle="1">
    <w:name w:val="МТ Основной текст"/>
    <w:qFormat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76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31" w:customStyle="1">
    <w:name w:val="ds-markdown-paragraph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932" w:customStyle="1">
    <w:name w:val="ConsPlusNormal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cs="Times New Roman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33" w:customStyle="1">
    <w:name w:val="Standard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ahoma" w:cs="Noto Sans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ответа на запрос разъяснений 0173100008326000052</dc:title>
  <dc:subject/>
  <dc:creator>Королев В.А.</dc:creator>
  <cp:keywords/>
  <dc:description/>
  <cp:lastModifiedBy>armashovama</cp:lastModifiedBy>
  <cp:revision>31</cp:revision>
  <dcterms:modified xsi:type="dcterms:W3CDTF">2026-10-12T14:39:08Z</dcterms:modified>
</cp:coreProperties>
</file>