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Ответ на запрос от 12.10.2026 № 192369 на разъяснение извещения об осуществлении закупки по Федеральному закону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от 05.04.2013 № 44-ФЗ «О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и муниципальных нужд» № </w:t>
      </w:r>
      <w:hyperlink r:id="rId12" w:tooltip="https://zakupki.gov.ru/epz/order/notice/ea20/view/documents.html?regNumber=0173100008324000054#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0173100008326000053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  (Оказание услуг по 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хническому сопровождению и обеспечению эксплуатации государственной информационной системы «Автоматизация процессов предоставления государственных услуг и осуществления государственных функций» Минэнерго России  (ГИС «Цифровые госуслуги Минэнерго России»)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в 2027-2028 гг.).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750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35"/>
        <w:gridCol w:w="10177"/>
        <w:tblGridChange w:id="0">
          <w:tblGrid>
            <w:gridCol w:w="425"/>
            <w:gridCol w:w="4535"/>
            <w:gridCol w:w="10177"/>
          </w:tblGrid>
        </w:tblGridChange>
      </w:tblGrid>
      <w:tr>
        <w:trPr/>
        <w:tblPrEx/>
        <w:tc>
          <w:tcPr>
            <w:tcW w:w="425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pStyle w:val="89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br/>
              <w:t xml:space="preserve">п/п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4535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Вопрос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0177" w:type="dxa"/>
            <w:shd w:val="clear" w:color="d9d9d9" w:themeColor="background1" w:themeShade="D9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Ответ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rPr>
          <w:trHeight w:val="889"/>
        </w:trPr>
        <w:tblPrEx/>
        <w:tc>
          <w:tcPr>
            <w:tcW w:w="42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Какие права на ПО ГИС ЦГУ принадлежат заказчику и в какие сроки исполнителю передаются исходный код, дистрибутивы и документация?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</w:tcPr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Заказчик об</w:t>
            </w:r>
            <w:r>
              <w:rPr>
                <w:rFonts w:ascii="Times New Roman" w:hAnsi="Times New Roman" w:eastAsia="Times New Roman" w:cs="Times New Roman"/>
              </w:rPr>
              <w:t xml:space="preserve">ладает исключительными правами на государственную информационную систему «Автоматизация процессов предоставления государственных услуг и осуществления государственных функций» Минэнерго России  (ГИС «Цифровые госуслуги Минэнерго России») (далее – ГИС ЦГУ).</w:t>
            </w:r>
          </w:p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Предоставление исходного кода и дистрибутивов ГИС ЦГУ не предусмотрено Техническим заданием, так как система уже развернута на серверах Заказчика и введена в эксплуатацию. </w:t>
            </w:r>
          </w:p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highlight w:val="white"/>
                <w:lang w:eastAsia="ru-RU"/>
              </w:rPr>
              <w:t xml:space="preserve">При необходимости такие данные могут быть предоставлены в целях развертывания Исполнителем тестового стенда на серверах Исполнителя в соответствии с пунктом 3.1.5 Технического задания</w:t>
            </w:r>
            <w:r>
              <w:rPr>
                <w:rFonts w:ascii="Times New Roman" w:hAnsi="Times New Roman" w:eastAsia="Times New Roman" w:cs="Times New Roma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711"/>
        </w:trPr>
        <w:tblPrEx/>
        <w:tc>
          <w:tcPr>
            <w:tcW w:w="425" w:type="dxa"/>
            <w:noWrap w:val="false"/>
            <w:textDirection w:val="lrTb"/>
            <w:tcPrChange w:id="1" w:author="ДЦР6" w:date="2026-10-13T14:17:00Z">
              <w:tcPr>
                <w:tcW w:w="425" w:type="dxa"/>
              </w:tcPr>
            </w:tcPrChange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  <w:tcPrChange w:id="2" w:author="ДЦР6" w:date="2026-10-13T14:17:00Z">
              <w:tcPr>
                <w:tcW w:w="4535" w:type="dxa"/>
              </w:tcPr>
            </w:tcPrChange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Входит ли ИИ-ассистент в объект сопровождения и какие функции он выполняет?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  <w:tcPrChange w:id="3" w:author="ДЦР6" w:date="2026-10-13T14:17:00Z">
              <w:tcPr>
                <w:tcW w:w="10177" w:type="dxa"/>
              </w:tcPr>
            </w:tcPrChange>
          </w:tcPr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Да, функционал ИИ-ассистента входит в объект сопровождения как часть развиваемых модулей ГИС ЦГУ (в частности, </w:t>
            </w:r>
            <w:r>
              <w:rPr>
                <w:rFonts w:ascii="Times New Roman" w:hAnsi="Times New Roman" w:eastAsia="Times New Roman" w:cs="Times New Roman"/>
              </w:rPr>
              <w:t xml:space="preserve">Модуля ведения и управления реестрами</w:t>
            </w:r>
            <w:r>
              <w:rPr>
                <w:rFonts w:ascii="Times New Roman" w:hAnsi="Times New Roman" w:eastAsia="Times New Roman" w:cs="Times New Roman"/>
              </w:rPr>
              <w:t xml:space="preserve">), а его аппаратная часть (сервер ИИ-ассистента) явно указана в составе виртуальных машин ГИС ЦГУ (Таблица 1, п. </w:t>
            </w:r>
            <w:r>
              <w:rPr>
                <w:rFonts w:ascii="Times New Roman" w:hAnsi="Times New Roman" w:eastAsia="Times New Roman" w:cs="Times New Roman"/>
              </w:rPr>
              <w:t xml:space="preserve">2.6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Технического задания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</w:p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Функции ИИ-ассистента, реализовываются в соответствии с государственным контрактом </w:t>
            </w:r>
            <w:r>
              <w:rPr>
                <w:rFonts w:ascii="Times New Roman" w:hAnsi="Times New Roman" w:eastAsia="Times New Roman" w:cs="Times New Roman"/>
              </w:rPr>
              <w:br/>
              <w:t xml:space="preserve">от 26.05.2026  № 0173100008326000036/К/14/СМП на выполнение работ по развитию государственной информационной системы «Автоматизация процессов предоставления государственных услуг </w:t>
            </w:r>
            <w:r>
              <w:rPr>
                <w:rFonts w:ascii="Times New Roman" w:hAnsi="Times New Roman" w:eastAsia="Times New Roman" w:cs="Times New Roman"/>
              </w:rPr>
              <w:br/>
              <w:t xml:space="preserve">и осуществления государственных функций» (ГИС «Цифровые госуслуги Минэнерго России</w:t>
            </w:r>
            <w:r>
              <w:rPr>
                <w:rFonts w:ascii="Times New Roman" w:hAnsi="Times New Roman" w:eastAsia="Times New Roman" w:cs="Times New Roman"/>
              </w:rPr>
              <w:t xml:space="preserve">»)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  <w:br/>
              <w:t xml:space="preserve">и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включают: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1. </w:t>
            </w:r>
            <w:r>
              <w:rPr>
                <w:rFonts w:ascii="Times New Roman" w:hAnsi="Times New Roman" w:eastAsia="Times New Roman" w:cs="Times New Roman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</w:rPr>
              <w:t xml:space="preserve">нализ и сравнение сведений из представленных планов перехода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субъектов критической информационной инфраструктуры Российской Федерации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на преимущественное применение доверенных программно-аппаратных комплексов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со сведениями реестра, выявление несоответствий и формирование рекомендаций о соответствии или несоответствии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с указанием выявленных фрагментов данных.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2.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нализ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соответстви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планов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перехода на доверенные программн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о-аппаратные комплексы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установленной форме.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 Анализ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достижени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целевого значения доли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доверенн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ых программно-аппаратных комплексов </w:t>
              <w:br/>
              <w:t xml:space="preserve">в плане перехода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в размере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100 процентов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Распознавание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</w:rPr>
              <w:t xml:space="preserve">PDF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заявлений по государственной услуге «Утверждение графика транспортировки нефти по магистральным трубопроводам за пределы территории Российской Федерации по направлениям отгрузки»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Техническая поддержка включает обеспечение стабильности работы данного функционала </w:t>
            </w:r>
            <w:r>
              <w:rPr>
                <w:rFonts w:ascii="Times New Roman" w:hAnsi="Times New Roman" w:eastAsia="Times New Roman" w:cs="Times New Roman"/>
              </w:rPr>
              <w:br/>
              <w:t xml:space="preserve">в составе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83"/>
        </w:trPr>
        <w:tblPrEx/>
        <w:tc>
          <w:tcPr>
            <w:tcW w:w="42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Каков предельный объём работ по Таблице 5 и по переводу видов сведений СМЭВ за этап?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</w:tcPr>
          <w:p>
            <w:pPr>
              <w:ind w:left="142" w:right="199" w:firstLine="42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Предельный объём работ по Таблице 5 Технического задания не установлен в количественном выражении. 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Создание новой бизнес-логики или новых интеграций не относится к технической поддержке и не входит в предмет данного контракта.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699"/>
        </w:trPr>
        <w:tblPrEx/>
        <w:tc>
          <w:tcPr>
            <w:tcW w:w="42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Исключается ли из расчёта доступности простой по вине инфраструктуры заказчика и смежных систем?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</w:tcPr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Формула расчета доступности в п. 8.</w:t>
            </w:r>
            <w:r>
              <w:rPr>
                <w:rFonts w:ascii="Times New Roman" w:hAnsi="Times New Roman" w:eastAsia="Times New Roman" w:cs="Times New Roman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Технического задания оперирует общим «временем недоступности системы (ВН)». Однако распределение ответственности регламентировано </w:t>
            </w:r>
            <w:r>
              <w:rPr>
                <w:rFonts w:ascii="Times New Roman" w:hAnsi="Times New Roman" w:eastAsia="Times New Roman" w:cs="Times New Roman"/>
              </w:rPr>
              <w:t xml:space="preserve">Таблицей 3 Технического задания.</w:t>
            </w:r>
            <w:r>
              <w:rPr>
                <w:rFonts w:ascii="Times New Roman" w:hAnsi="Times New Roman" w:eastAsia="Times New Roman" w:cs="Times New Roman"/>
              </w:rPr>
              <w:t xml:space="preserve"> В частности, при сбое </w:t>
            </w:r>
            <w:r>
              <w:rPr>
                <w:rFonts w:ascii="Times New Roman" w:hAnsi="Times New Roman" w:eastAsia="Times New Roman" w:cs="Times New Roman"/>
              </w:rPr>
              <w:t xml:space="preserve">ГИС ЦГУ</w:t>
            </w:r>
            <w:r>
              <w:rPr>
                <w:rFonts w:ascii="Times New Roman" w:hAnsi="Times New Roman" w:eastAsia="Times New Roman" w:cs="Times New Roman"/>
              </w:rPr>
              <w:t xml:space="preserve"> на уровне сервера (инфраструктуры) работы по восстановлению работоспособности выполняет Заказчик, а Исполнитель участвует в части проверки работоспособности.</w:t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Следовательно, периоды недоступности, возни</w:t>
            </w:r>
            <w:r>
              <w:rPr>
                <w:rFonts w:ascii="Times New Roman" w:hAnsi="Times New Roman" w:eastAsia="Times New Roman" w:cs="Times New Roman"/>
              </w:rPr>
              <w:t xml:space="preserve">кшие исключительно по вине инфраструктуры Заказчика или внешних смежных систем, при условии, что Исполнитель своевременно зафиксировал данный факт, уведомил Заказчика и выполнил свои обязанности по диагностике и проверке работоспособности со своей сторон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ы 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(Таблица 1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Технического задания)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не учитываются</w:t>
            </w:r>
            <w:r>
              <w:rPr>
                <w:rFonts w:ascii="Times New Roman" w:hAnsi="Times New Roman" w:eastAsia="Times New Roman" w:cs="Times New Roman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rPr>
          <w:trHeight w:val="557"/>
        </w:trPr>
        <w:tblPrEx/>
        <w:tc>
          <w:tcPr>
            <w:tcW w:w="42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Как согласуется режим 24×7 из п. 3.1.2 с приёмом запросов только в рабочее время?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</w:tcPr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Режим 24×7 в п. 3.1.2 Технического задания относится к функционированию самой ГИС ЦГУ, а не к режиму приёма запросов службой технической поддержки.</w:t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Режим приёма запросов установлен разделом 6 Технического задания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840"/>
        </w:trPr>
        <w:tblPrEx/>
        <w:tc>
          <w:tcPr>
            <w:tcW w:w="42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535" w:type="dxa"/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Предусмотрен ли переходный период или передача дел от текущего исполнителя?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177" w:type="dxa"/>
            <w:noWrap w:val="false"/>
            <w:textDirection w:val="lrTb"/>
          </w:tcPr>
          <w:p>
            <w:pPr>
              <w:ind w:left="142" w:right="199" w:firstLine="425"/>
              <w:jc w:val="both"/>
            </w:pPr>
            <w:r>
              <w:rPr>
                <w:rFonts w:ascii="Times New Roman" w:hAnsi="Times New Roman" w:eastAsia="Times New Roman" w:cs="Times New Roman"/>
              </w:rPr>
              <w:t xml:space="preserve">Техническим заданием не предусмотрен специальный «переходный период» или процедура прямой передачи дел от текущего Исполнителя новому Исполнителю с участием Заказчика в качестве посредника.</w:t>
            </w:r>
          </w:p>
          <w:p>
            <w:pPr>
              <w:ind w:left="142" w:right="199" w:firstLine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</w:rPr>
              <w:t xml:space="preserve">остановлении Правительства Российской Федерации от 6 июля 2015 г. № 676 «О требованиях к порядку создания, развития, ввода в эксплуа</w:t>
            </w:r>
            <w:r>
              <w:rPr>
                <w:rFonts w:ascii="Times New Roman" w:hAnsi="Times New Roman" w:eastAsia="Times New Roman" w:cs="Times New Roman"/>
              </w:rPr>
              <w:t xml:space="preserve">тацию, эксплуатации и вывода из эксплуатации государственных информационных систем и дальнейшего хранения содержащейся в их базах данных информации» не содержится требования о наличии подготовительного (ознакомительного) этапа в рамках эксплуатации систем.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5020405040202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  <w:jc w:val="center"/>
      <w:rPr>
        <w:rFonts w:ascii="Times New Roman" w:hAnsi="Times New Roman" w:cs="Times New Roman"/>
        <w:sz w:val="28"/>
        <w:szCs w:val="28"/>
      </w:rPr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8"/>
        <w:szCs w:val="28"/>
      </w:rPr>
      <w:t xml:space="preserve">1</w:t>
    </w:r>
    <w:r>
      <w:rPr>
        <w:rFonts w:ascii="Times New Roman" w:hAnsi="Times New Roman" w:eastAsia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42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"/>
      <w:lvlJc w:val="left"/>
      <w:pPr>
        <w:ind w:left="2149" w:hanging="360"/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"/>
      <w:lvlJc w:val="left"/>
      <w:pPr>
        <w:ind w:left="3217" w:hanging="708"/>
      </w:pPr>
      <w:rPr>
        <w:rFonts w:hint="default" w:ascii="Symbol" w:hAnsi="Symbol" w:cs="Times New Roman" w:eastAsiaTheme="minorHAnsi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</w:pPr>
      <w:rPr>
        <w:rFonts w:ascii="Times New Roman" w:hAnsi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3589" w:hanging="360"/>
      </w:pPr>
      <w:rPr>
        <w:rFonts w:ascii="Noto Sans Symbols" w:hAnsi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749" w:hanging="360"/>
      </w:pPr>
      <w:rPr>
        <w:rFonts w:ascii="Noto Sans Symbols" w:hAnsi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7" w:default="1">
    <w:name w:val="Normal"/>
    <w:qFormat/>
  </w:style>
  <w:style w:type="paragraph" w:styleId="698">
    <w:name w:val="Heading 1"/>
    <w:basedOn w:val="697"/>
    <w:next w:val="697"/>
    <w:link w:val="727"/>
    <w:uiPriority w:val="9"/>
    <w:qFormat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9">
    <w:name w:val="Heading 2"/>
    <w:basedOn w:val="697"/>
    <w:next w:val="697"/>
    <w:link w:val="728"/>
    <w:uiPriority w:val="9"/>
    <w:unhideWhenUsed/>
    <w:qFormat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700">
    <w:name w:val="Heading 3"/>
    <w:basedOn w:val="697"/>
    <w:next w:val="697"/>
    <w:link w:val="729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1">
    <w:name w:val="Heading 4"/>
    <w:basedOn w:val="697"/>
    <w:next w:val="697"/>
    <w:link w:val="730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2">
    <w:name w:val="Heading 5"/>
    <w:basedOn w:val="697"/>
    <w:next w:val="697"/>
    <w:link w:val="731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697"/>
    <w:next w:val="697"/>
    <w:link w:val="732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04">
    <w:name w:val="Heading 7"/>
    <w:basedOn w:val="697"/>
    <w:next w:val="697"/>
    <w:link w:val="733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5">
    <w:name w:val="Heading 8"/>
    <w:basedOn w:val="697"/>
    <w:next w:val="697"/>
    <w:link w:val="734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706">
    <w:name w:val="Heading 9"/>
    <w:basedOn w:val="697"/>
    <w:next w:val="697"/>
    <w:link w:val="735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Heading 1 Char"/>
    <w:basedOn w:val="707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Heading 2 Char"/>
    <w:basedOn w:val="707"/>
    <w:uiPriority w:val="9"/>
    <w:rPr>
      <w:rFonts w:ascii="Arial" w:hAnsi="Arial" w:eastAsia="Arial" w:cs="Arial"/>
      <w:sz w:val="34"/>
    </w:rPr>
  </w:style>
  <w:style w:type="character" w:styleId="712" w:customStyle="1">
    <w:name w:val="Heading 3 Char"/>
    <w:basedOn w:val="707"/>
    <w:uiPriority w:val="9"/>
    <w:rPr>
      <w:rFonts w:ascii="Arial" w:hAnsi="Arial" w:eastAsia="Arial" w:cs="Arial"/>
      <w:sz w:val="30"/>
      <w:szCs w:val="30"/>
    </w:rPr>
  </w:style>
  <w:style w:type="character" w:styleId="713" w:customStyle="1">
    <w:name w:val="Heading 4 Char"/>
    <w:basedOn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14" w:customStyle="1">
    <w:name w:val="Heading 5 Char"/>
    <w:basedOn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15" w:customStyle="1">
    <w:name w:val="Heading 6 Char"/>
    <w:basedOn w:val="707"/>
    <w:uiPriority w:val="9"/>
    <w:rPr>
      <w:rFonts w:ascii="Arial" w:hAnsi="Arial" w:eastAsia="Arial" w:cs="Arial"/>
      <w:b/>
      <w:bCs/>
      <w:sz w:val="22"/>
      <w:szCs w:val="22"/>
    </w:rPr>
  </w:style>
  <w:style w:type="character" w:styleId="716" w:customStyle="1">
    <w:name w:val="Heading 7 Char"/>
    <w:basedOn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7" w:customStyle="1">
    <w:name w:val="Heading 8 Char"/>
    <w:basedOn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18" w:customStyle="1">
    <w:name w:val="Heading 9 Char"/>
    <w:basedOn w:val="707"/>
    <w:uiPriority w:val="9"/>
    <w:rPr>
      <w:rFonts w:ascii="Arial" w:hAnsi="Arial" w:eastAsia="Arial" w:cs="Arial"/>
      <w:i/>
      <w:iCs/>
      <w:sz w:val="21"/>
      <w:szCs w:val="21"/>
    </w:rPr>
  </w:style>
  <w:style w:type="character" w:styleId="719" w:customStyle="1">
    <w:name w:val="Title Char"/>
    <w:basedOn w:val="707"/>
    <w:uiPriority w:val="10"/>
    <w:rPr>
      <w:sz w:val="48"/>
      <w:szCs w:val="48"/>
    </w:rPr>
  </w:style>
  <w:style w:type="character" w:styleId="720" w:customStyle="1">
    <w:name w:val="Subtitle Char"/>
    <w:basedOn w:val="707"/>
    <w:uiPriority w:val="11"/>
    <w:rPr>
      <w:sz w:val="24"/>
      <w:szCs w:val="24"/>
    </w:rPr>
  </w:style>
  <w:style w:type="character" w:styleId="721" w:customStyle="1">
    <w:name w:val="Quote Char"/>
    <w:uiPriority w:val="29"/>
    <w:rPr>
      <w:i/>
    </w:rPr>
  </w:style>
  <w:style w:type="character" w:styleId="722" w:customStyle="1">
    <w:name w:val="Intense Quote Char"/>
    <w:uiPriority w:val="30"/>
    <w:rPr>
      <w:i/>
    </w:rPr>
  </w:style>
  <w:style w:type="character" w:styleId="723" w:customStyle="1">
    <w:name w:val="Header Char"/>
    <w:basedOn w:val="707"/>
    <w:uiPriority w:val="99"/>
  </w:style>
  <w:style w:type="character" w:styleId="724" w:customStyle="1">
    <w:name w:val="Caption Char"/>
    <w:uiPriority w:val="35"/>
  </w:style>
  <w:style w:type="character" w:styleId="725" w:customStyle="1">
    <w:name w:val="Footnote Text Char"/>
    <w:uiPriority w:val="99"/>
    <w:rPr>
      <w:sz w:val="18"/>
    </w:rPr>
  </w:style>
  <w:style w:type="character" w:styleId="726" w:customStyle="1">
    <w:name w:val="Endnote Text Char"/>
    <w:uiPriority w:val="99"/>
    <w:rPr>
      <w:sz w:val="20"/>
    </w:rPr>
  </w:style>
  <w:style w:type="character" w:styleId="727" w:customStyle="1">
    <w:name w:val="Заголовок 1 Знак"/>
    <w:link w:val="698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Заголовок 2 Знак"/>
    <w:link w:val="699"/>
    <w:uiPriority w:val="9"/>
    <w:rPr>
      <w:rFonts w:ascii="Arial" w:hAnsi="Arial" w:eastAsia="Arial" w:cs="Arial"/>
      <w:sz w:val="34"/>
    </w:rPr>
  </w:style>
  <w:style w:type="character" w:styleId="729" w:customStyle="1">
    <w:name w:val="Заголовок 3 Знак"/>
    <w:link w:val="700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Заголовок 4 Знак"/>
    <w:link w:val="701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Заголовок 5 Знак"/>
    <w:link w:val="702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Заголовок 6 Знак"/>
    <w:link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Заголовок 7 Знак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Заголовок 8 Знак"/>
    <w:link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Заголовок 9 Знак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Title"/>
    <w:basedOn w:val="697"/>
    <w:next w:val="697"/>
    <w:link w:val="737"/>
    <w:uiPriority w:val="10"/>
    <w:qFormat/>
    <w:pPr>
      <w:spacing w:before="300"/>
      <w:contextualSpacing/>
    </w:pPr>
    <w:rPr>
      <w:sz w:val="48"/>
      <w:szCs w:val="48"/>
    </w:rPr>
  </w:style>
  <w:style w:type="character" w:styleId="737" w:customStyle="1">
    <w:name w:val="Заголовок Знак"/>
    <w:link w:val="736"/>
    <w:uiPriority w:val="10"/>
    <w:rPr>
      <w:sz w:val="48"/>
      <w:szCs w:val="48"/>
    </w:rPr>
  </w:style>
  <w:style w:type="paragraph" w:styleId="738">
    <w:name w:val="Subtitle"/>
    <w:basedOn w:val="697"/>
    <w:next w:val="697"/>
    <w:link w:val="739"/>
    <w:uiPriority w:val="11"/>
    <w:qFormat/>
    <w:pPr>
      <w:spacing w:before="200"/>
    </w:pPr>
    <w:rPr>
      <w:sz w:val="24"/>
      <w:szCs w:val="24"/>
    </w:rPr>
  </w:style>
  <w:style w:type="character" w:styleId="739" w:customStyle="1">
    <w:name w:val="Подзаголовок Знак"/>
    <w:link w:val="738"/>
    <w:uiPriority w:val="11"/>
    <w:rPr>
      <w:sz w:val="24"/>
      <w:szCs w:val="24"/>
    </w:rPr>
  </w:style>
  <w:style w:type="paragraph" w:styleId="740">
    <w:name w:val="Quote"/>
    <w:basedOn w:val="697"/>
    <w:next w:val="697"/>
    <w:link w:val="741"/>
    <w:uiPriority w:val="29"/>
    <w:qFormat/>
    <w:pPr>
      <w:ind w:left="720" w:right="720"/>
    </w:pPr>
    <w:rPr>
      <w:i/>
    </w:rPr>
  </w:style>
  <w:style w:type="character" w:styleId="741" w:customStyle="1">
    <w:name w:val="Цитата 2 Знак"/>
    <w:link w:val="740"/>
    <w:uiPriority w:val="29"/>
    <w:rPr>
      <w:i/>
    </w:rPr>
  </w:style>
  <w:style w:type="paragraph" w:styleId="742">
    <w:name w:val="Intense Quote"/>
    <w:basedOn w:val="697"/>
    <w:next w:val="697"/>
    <w:link w:val="74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43" w:customStyle="1">
    <w:name w:val="Выделенная цитата Знак"/>
    <w:link w:val="742"/>
    <w:uiPriority w:val="30"/>
    <w:rPr>
      <w:i/>
    </w:rPr>
  </w:style>
  <w:style w:type="paragraph" w:styleId="744">
    <w:name w:val="Header"/>
    <w:basedOn w:val="697"/>
    <w:link w:val="74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45" w:customStyle="1">
    <w:name w:val="Верхний колонтитул Знак"/>
    <w:link w:val="744"/>
    <w:uiPriority w:val="99"/>
  </w:style>
  <w:style w:type="paragraph" w:styleId="746">
    <w:name w:val="Footer"/>
    <w:basedOn w:val="697"/>
    <w:link w:val="74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47" w:customStyle="1">
    <w:name w:val="Footer Char"/>
    <w:uiPriority w:val="99"/>
  </w:style>
  <w:style w:type="paragraph" w:styleId="748">
    <w:name w:val="Caption"/>
    <w:basedOn w:val="697"/>
    <w:next w:val="697"/>
    <w:link w:val="72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9" w:customStyle="1">
    <w:name w:val="Нижний колонтитул Знак"/>
    <w:link w:val="746"/>
    <w:uiPriority w:val="99"/>
  </w:style>
  <w:style w:type="table" w:styleId="750">
    <w:name w:val="Table Grid"/>
    <w:basedOn w:val="70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1" w:customStyle="1">
    <w:name w:val="Table Grid Light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2">
    <w:name w:val="Plain Table 1"/>
    <w:basedOn w:val="70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70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57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5" w:customStyle="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6" w:customStyle="1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7" w:customStyle="1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8" w:customStyle="1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69" w:customStyle="1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0" w:customStyle="1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1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2" w:customStyle="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3" w:customStyle="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4" w:customStyle="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5" w:customStyle="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6" w:customStyle="1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7" w:customStyle="1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78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0" w:customStyle="1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1" w:customStyle="1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2" w:customStyle="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3" w:customStyle="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4" w:customStyle="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5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86" w:customStyle="1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787" w:customStyle="1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788" w:customStyle="1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789" w:customStyle="1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790" w:customStyle="1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791" w:customStyle="1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792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4" w:customStyle="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5" w:customStyle="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6" w:customStyle="1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7" w:customStyle="1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8" w:customStyle="1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9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0" w:customStyle="1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1" w:customStyle="1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2" w:customStyle="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3" w:customStyle="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4" w:customStyle="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5" w:customStyle="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06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2" w:customStyle="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3" w:customStyle="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4" w:customStyle="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5" w:customStyle="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6" w:customStyle="1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7" w:customStyle="1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8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9" w:customStyle="1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0" w:customStyle="1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1" w:customStyle="1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2" w:customStyle="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3" w:customStyle="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4" w:customStyle="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55" w:customStyle="1">
    <w:name w:val="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 &amp; 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Bordered &amp; 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Bordered &amp; 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Bordered &amp; 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Bordered &amp; 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Bordered &amp; 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Bordered &amp; 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0" w:customStyle="1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1" w:customStyle="1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2" w:customStyle="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3" w:customStyle="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4" w:customStyle="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5" w:customStyle="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6">
    <w:name w:val="Hyperlink"/>
    <w:uiPriority w:val="99"/>
    <w:unhideWhenUsed/>
    <w:rPr>
      <w:color w:val="0563c1" w:themeColor="hyperlink"/>
      <w:u w:val="single"/>
    </w:rPr>
  </w:style>
  <w:style w:type="paragraph" w:styleId="877">
    <w:name w:val="footnote text"/>
    <w:basedOn w:val="697"/>
    <w:link w:val="878"/>
    <w:uiPriority w:val="99"/>
    <w:semiHidden/>
    <w:unhideWhenUsed/>
    <w:pPr>
      <w:spacing w:after="40" w:line="240" w:lineRule="auto"/>
    </w:pPr>
    <w:rPr>
      <w:sz w:val="18"/>
    </w:rPr>
  </w:style>
  <w:style w:type="character" w:styleId="878" w:customStyle="1">
    <w:name w:val="Текст сноски Знак"/>
    <w:link w:val="877"/>
    <w:uiPriority w:val="99"/>
    <w:rPr>
      <w:sz w:val="18"/>
    </w:rPr>
  </w:style>
  <w:style w:type="character" w:styleId="879">
    <w:name w:val="footnote reference"/>
    <w:uiPriority w:val="99"/>
    <w:unhideWhenUsed/>
    <w:rPr>
      <w:vertAlign w:val="superscript"/>
    </w:rPr>
  </w:style>
  <w:style w:type="paragraph" w:styleId="880">
    <w:name w:val="endnote text"/>
    <w:basedOn w:val="697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 w:customStyle="1">
    <w:name w:val="Текст концевой сноски Знак"/>
    <w:link w:val="880"/>
    <w:uiPriority w:val="99"/>
    <w:rPr>
      <w:sz w:val="20"/>
    </w:rPr>
  </w:style>
  <w:style w:type="character" w:styleId="882">
    <w:name w:val="endnote reference"/>
    <w:uiPriority w:val="99"/>
    <w:semiHidden/>
    <w:unhideWhenUsed/>
    <w:rPr>
      <w:vertAlign w:val="superscript"/>
    </w:rPr>
  </w:style>
  <w:style w:type="paragraph" w:styleId="883">
    <w:name w:val="toc 1"/>
    <w:basedOn w:val="697"/>
    <w:next w:val="697"/>
    <w:uiPriority w:val="39"/>
    <w:unhideWhenUsed/>
    <w:pPr>
      <w:spacing w:after="57"/>
    </w:pPr>
  </w:style>
  <w:style w:type="paragraph" w:styleId="884">
    <w:name w:val="toc 2"/>
    <w:basedOn w:val="697"/>
    <w:next w:val="697"/>
    <w:uiPriority w:val="39"/>
    <w:unhideWhenUsed/>
    <w:pPr>
      <w:spacing w:after="57"/>
      <w:ind w:left="283"/>
    </w:pPr>
  </w:style>
  <w:style w:type="paragraph" w:styleId="885">
    <w:name w:val="toc 3"/>
    <w:basedOn w:val="697"/>
    <w:next w:val="697"/>
    <w:uiPriority w:val="39"/>
    <w:unhideWhenUsed/>
    <w:pPr>
      <w:spacing w:after="57"/>
      <w:ind w:left="567"/>
    </w:pPr>
  </w:style>
  <w:style w:type="paragraph" w:styleId="886">
    <w:name w:val="toc 4"/>
    <w:basedOn w:val="697"/>
    <w:next w:val="697"/>
    <w:uiPriority w:val="39"/>
    <w:unhideWhenUsed/>
    <w:pPr>
      <w:spacing w:after="57"/>
      <w:ind w:left="850"/>
    </w:pPr>
  </w:style>
  <w:style w:type="paragraph" w:styleId="887">
    <w:name w:val="toc 5"/>
    <w:basedOn w:val="697"/>
    <w:next w:val="697"/>
    <w:uiPriority w:val="39"/>
    <w:unhideWhenUsed/>
    <w:pPr>
      <w:spacing w:after="57"/>
      <w:ind w:left="1134"/>
    </w:pPr>
  </w:style>
  <w:style w:type="paragraph" w:styleId="888">
    <w:name w:val="toc 6"/>
    <w:basedOn w:val="697"/>
    <w:next w:val="697"/>
    <w:uiPriority w:val="39"/>
    <w:unhideWhenUsed/>
    <w:pPr>
      <w:spacing w:after="57"/>
      <w:ind w:left="1417"/>
    </w:pPr>
  </w:style>
  <w:style w:type="paragraph" w:styleId="889">
    <w:name w:val="toc 7"/>
    <w:basedOn w:val="697"/>
    <w:next w:val="697"/>
    <w:uiPriority w:val="39"/>
    <w:unhideWhenUsed/>
    <w:pPr>
      <w:spacing w:after="57"/>
      <w:ind w:left="1701"/>
    </w:pPr>
  </w:style>
  <w:style w:type="paragraph" w:styleId="890">
    <w:name w:val="toc 8"/>
    <w:basedOn w:val="697"/>
    <w:next w:val="697"/>
    <w:uiPriority w:val="39"/>
    <w:unhideWhenUsed/>
    <w:pPr>
      <w:spacing w:after="57"/>
      <w:ind w:left="1984"/>
    </w:pPr>
  </w:style>
  <w:style w:type="paragraph" w:styleId="891">
    <w:name w:val="toc 9"/>
    <w:basedOn w:val="697"/>
    <w:next w:val="697"/>
    <w:uiPriority w:val="39"/>
    <w:unhideWhenUsed/>
    <w:pPr>
      <w:spacing w:after="57"/>
      <w:ind w:left="2268"/>
    </w:pPr>
  </w:style>
  <w:style w:type="paragraph" w:styleId="892">
    <w:name w:val="TOC Heading"/>
    <w:uiPriority w:val="39"/>
    <w:unhideWhenUsed/>
  </w:style>
  <w:style w:type="paragraph" w:styleId="893">
    <w:name w:val="table of figures"/>
    <w:basedOn w:val="697"/>
    <w:next w:val="697"/>
    <w:uiPriority w:val="99"/>
    <w:unhideWhenUsed/>
    <w:pPr>
      <w:spacing w:after="0"/>
    </w:pPr>
  </w:style>
  <w:style w:type="paragraph" w:styleId="894">
    <w:name w:val="No Spacing"/>
    <w:basedOn w:val="697"/>
    <w:uiPriority w:val="1"/>
    <w:qFormat/>
    <w:pPr>
      <w:spacing w:after="0" w:line="240" w:lineRule="auto"/>
    </w:pPr>
  </w:style>
  <w:style w:type="paragraph" w:styleId="895">
    <w:name w:val="List Paragraph"/>
    <w:basedOn w:val="697"/>
    <w:uiPriority w:val="34"/>
    <w:qFormat/>
    <w:pPr>
      <w:ind w:left="720"/>
      <w:contextualSpacing/>
    </w:pPr>
  </w:style>
  <w:style w:type="table" w:styleId="896" w:customStyle="1">
    <w:name w:val="Table Normal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W w:w="0" w:type="auto"/>
    </w:tcPr>
  </w:style>
  <w:style w:type="paragraph" w:styleId="897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s://zakupki.gov.ru/epz/order/notice/ea20/view/documents.html?regNumber=017310000832400005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ДЦР4</dc:creator>
  <cp:lastModifiedBy>savichav</cp:lastModifiedBy>
  <cp:revision>6</cp:revision>
  <dcterms:created xsi:type="dcterms:W3CDTF">2026-10-13T11:27:00Z</dcterms:created>
  <dcterms:modified xsi:type="dcterms:W3CDTF">2026-10-13T13:23:30Z</dcterms:modified>
</cp:coreProperties>
</file>