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15024" w:type="dxa"/>
        <w:tblInd w:w="142" w:type="dxa"/>
        <w:tblLayout w:type="fixed"/>
        <w:tblCellMar>
          <w:left w:w="0" w:type="dxa"/>
          <w:right w:w="0" w:type="dxa"/>
        </w:tblCellMar>
        <w:tblLook w:val="04A0" w:firstRow="1" w:lastRow="0" w:firstColumn="1" w:lastColumn="0" w:noHBand="0" w:noVBand="1"/>
      </w:tblPr>
      <w:tblGrid>
        <w:gridCol w:w="15024"/>
      </w:tblGrid>
      <w:tr>
        <w:tblPrEx/>
        <w:trPr>
          <w:trHeight w:val="425"/>
        </w:trPr>
        <w:tc>
          <w:tcPr>
            <w:tcW w:w="15024" w:type="dxa"/>
            <w:vAlign w:val="center"/>
            <w:vMerge w:val="restart"/>
            <w:textDirection w:val="lrTb"/>
            <w:noWrap w:val="false"/>
          </w:tcPr>
          <w:p>
            <w:pPr>
              <w:pStyle w:val="737"/>
              <w:jc w:val="right"/>
              <w:rPr>
                <w:rFonts w:ascii="Times New Roman" w:hAnsi="Times New Roman"/>
                <w:b/>
                <w:bCs/>
                <w:i/>
                <w:color w:val="000000" w:themeColor="text1"/>
                <w:sz w:val="32"/>
                <w:szCs w:val="32"/>
              </w:rPr>
            </w:pPr>
            <w:r>
              <w:rPr>
                <w:rFonts w:ascii="Times New Roman" w:hAnsi="Times New Roman"/>
                <w:b/>
                <w:i/>
                <w:color w:val="000000" w:themeColor="text1"/>
                <w:sz w:val="24"/>
                <w:szCs w:val="24"/>
              </w:rPr>
              <w:t xml:space="preserve">Приложение № 5 к извещению о проведении </w:t>
            </w:r>
            <w:r>
              <w:rPr>
                <w:rFonts w:ascii="Times New Roman" w:hAnsi="Times New Roman"/>
                <w:b/>
                <w:bCs/>
                <w:i/>
                <w:color w:val="000000" w:themeColor="text1"/>
                <w:sz w:val="32"/>
                <w:szCs w:val="32"/>
              </w:rPr>
            </w:r>
            <w:r>
              <w:rPr>
                <w:rFonts w:ascii="Times New Roman" w:hAnsi="Times New Roman"/>
                <w:b/>
                <w:bCs/>
                <w:i/>
                <w:color w:val="000000" w:themeColor="text1"/>
                <w:sz w:val="32"/>
                <w:szCs w:val="32"/>
              </w:rPr>
            </w:r>
          </w:p>
          <w:p>
            <w:pPr>
              <w:pStyle w:val="737"/>
              <w:jc w:val="right"/>
              <w:tabs>
                <w:tab w:val="left" w:pos="15591" w:leader="none"/>
              </w:tabs>
              <w:rPr>
                <w:sz w:val="36"/>
                <w:szCs w:val="36"/>
              </w:rPr>
            </w:pPr>
            <w:r>
              <w:rPr>
                <w:rFonts w:ascii="Times New Roman" w:hAnsi="Times New Roman"/>
                <w:b/>
                <w:i/>
                <w:color w:val="000000" w:themeColor="text1"/>
                <w:sz w:val="24"/>
                <w:szCs w:val="24"/>
              </w:rPr>
              <w:t xml:space="preserve">открытого конкурса в электронной форме</w:t>
            </w:r>
            <w:r>
              <w:rPr>
                <w:sz w:val="36"/>
                <w:szCs w:val="36"/>
              </w:rPr>
            </w:r>
            <w:r>
              <w:rPr>
                <w:sz w:val="36"/>
                <w:szCs w:val="36"/>
              </w:rPr>
            </w:r>
          </w:p>
        </w:tc>
      </w:tr>
      <w:tr>
        <w:tblPrEx/>
        <w:trPr>
          <w:trHeight w:val="486"/>
        </w:trPr>
        <w:tc>
          <w:tcPr>
            <w:tcW w:w="15024" w:type="dxa"/>
            <w:vAlign w:val="center"/>
            <w:textDirection w:val="lrTb"/>
            <w:noWrap w:val="false"/>
          </w:tcPr>
          <w:p>
            <w:pPr>
              <w:jc w:val="center"/>
              <w:spacing w:after="0" w:line="240" w:lineRule="auto"/>
              <w:rPr>
                <w:rFonts w:ascii="Times New Roman" w:hAnsi="Times New Roman"/>
                <w:b w:val="0"/>
                <w:bCs w:val="0"/>
                <w:sz w:val="20"/>
                <w:szCs w:val="20"/>
              </w:rPr>
            </w:pPr>
            <w:r>
              <w:rPr>
                <w:rFonts w:ascii="Times New Roman" w:hAnsi="Times New Roman"/>
                <w:b w:val="0"/>
                <w:bCs w:val="0"/>
                <w:sz w:val="20"/>
                <w:szCs w:val="20"/>
              </w:rPr>
              <w:t xml:space="preserve">ПОРЯДОК</w:t>
            </w:r>
            <w:r>
              <w:rPr>
                <w:rFonts w:ascii="Times New Roman" w:hAnsi="Times New Roman"/>
                <w:b w:val="0"/>
                <w:bCs w:val="0"/>
                <w:sz w:val="20"/>
                <w:szCs w:val="20"/>
              </w:rPr>
            </w:r>
            <w:r>
              <w:rPr>
                <w:rFonts w:ascii="Times New Roman" w:hAnsi="Times New Roman"/>
                <w:b w:val="0"/>
                <w:bCs w:val="0"/>
                <w:sz w:val="20"/>
                <w:szCs w:val="20"/>
              </w:rPr>
            </w:r>
          </w:p>
          <w:p>
            <w:pPr>
              <w:jc w:val="center"/>
              <w:spacing w:after="0" w:line="240" w:lineRule="auto"/>
              <w:rPr>
                <w:rFonts w:ascii="Times New Roman" w:hAnsi="Times New Roman"/>
                <w:b/>
                <w:bCs/>
                <w:sz w:val="20"/>
                <w:szCs w:val="20"/>
                <w:highlight w:val="none"/>
              </w:rPr>
            </w:pPr>
            <w:r>
              <w:rPr>
                <w:rFonts w:ascii="Times New Roman" w:hAnsi="Times New Roman"/>
                <w:b w:val="0"/>
                <w:bCs w:val="0"/>
                <w:sz w:val="20"/>
                <w:szCs w:val="20"/>
              </w:rPr>
              <w:t xml:space="preserve">рассмотрения и оценки заявок на участие в конкурсе</w:t>
            </w:r>
            <w:r>
              <w:rPr>
                <w:rFonts w:ascii="Times New Roman" w:hAnsi="Times New Roman"/>
                <w:b/>
                <w:bCs/>
                <w:sz w:val="20"/>
                <w:szCs w:val="20"/>
                <w:highlight w:val="none"/>
              </w:rPr>
            </w:r>
            <w:r>
              <w:rPr>
                <w:rFonts w:ascii="Times New Roman" w:hAnsi="Times New Roman"/>
                <w:b/>
                <w:bCs/>
                <w:sz w:val="20"/>
                <w:szCs w:val="20"/>
                <w:highlight w:val="none"/>
              </w:rPr>
            </w:r>
          </w:p>
          <w:p>
            <w:pPr>
              <w:jc w:val="center"/>
              <w:spacing w:after="0" w:line="240" w:lineRule="auto"/>
              <w:rPr>
                <w:rFonts w:ascii="Times New Roman" w:hAnsi="Times New Roman"/>
                <w:b/>
                <w:bCs/>
                <w:sz w:val="20"/>
                <w:szCs w:val="20"/>
                <w:highlight w:val="none"/>
              </w:rPr>
            </w:pPr>
            <w:r>
              <w:rPr>
                <w:rFonts w:ascii="Times New Roman" w:hAnsi="Times New Roman"/>
                <w:b/>
                <w:sz w:val="20"/>
                <w:szCs w:val="20"/>
                <w:highlight w:val="none"/>
              </w:rPr>
            </w:r>
            <w:r>
              <w:rPr>
                <w:rFonts w:ascii="Times New Roman" w:hAnsi="Times New Roman"/>
                <w:b/>
                <w:bCs/>
                <w:sz w:val="20"/>
                <w:szCs w:val="20"/>
                <w:highlight w:val="none"/>
              </w:rPr>
            </w:r>
            <w:r>
              <w:rPr>
                <w:rFonts w:ascii="Times New Roman" w:hAnsi="Times New Roman"/>
                <w:b/>
                <w:bCs/>
                <w:sz w:val="20"/>
                <w:szCs w:val="20"/>
                <w:highlight w:val="none"/>
              </w:rPr>
            </w:r>
          </w:p>
        </w:tc>
      </w:tr>
      <w:tr>
        <w:tblPrEx/>
        <w:trPr>
          <w:trHeight w:val="283"/>
        </w:trPr>
        <w:tc>
          <w:tcPr>
            <w:tcW w:w="15024" w:type="dxa"/>
            <w:textDirection w:val="lrTb"/>
            <w:noWrap w:val="false"/>
          </w:tcPr>
          <w:p>
            <w:pPr>
              <w:jc w:val="center"/>
              <w:spacing w:after="0" w:line="240" w:lineRule="auto"/>
              <w:rPr>
                <w:rFonts w:ascii="Times New Roman" w:hAnsi="Times New Roman"/>
                <w:b/>
                <w:sz w:val="20"/>
                <w:szCs w:val="20"/>
              </w:rPr>
            </w:pPr>
            <w:r>
              <w:rPr>
                <w:rFonts w:ascii="Times New Roman" w:hAnsi="Times New Roman"/>
                <w:b/>
                <w:sz w:val="20"/>
                <w:szCs w:val="20"/>
              </w:rPr>
              <w:t xml:space="preserve">I. Информация о заказчике и закупке товаров, работ, услуг для обеспечения государственных и муниципальных нужд (далее - закупка)</w:t>
            </w:r>
            <w:r>
              <w:rPr>
                <w:rFonts w:ascii="Times New Roman" w:hAnsi="Times New Roman"/>
                <w:b/>
                <w:sz w:val="20"/>
                <w:szCs w:val="20"/>
              </w:rPr>
            </w:r>
            <w:r>
              <w:rPr>
                <w:rFonts w:ascii="Times New Roman" w:hAnsi="Times New Roman"/>
                <w:b/>
                <w:sz w:val="20"/>
                <w:szCs w:val="20"/>
              </w:rPr>
            </w:r>
          </w:p>
        </w:tc>
      </w:tr>
    </w:tbl>
    <w:p>
      <w:pPr>
        <w:jc w:val="both"/>
        <w:spacing w:after="0" w:line="240" w:lineRule="auto"/>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r>
      <w:r>
        <w:rPr>
          <w:rFonts w:ascii="Times New Roman" w:hAnsi="Times New Roman"/>
          <w:sz w:val="24"/>
          <w:szCs w:val="24"/>
        </w:rPr>
      </w:r>
    </w:p>
    <w:tbl>
      <w:tblPr>
        <w:tblW w:w="4962" w:type="pct"/>
        <w:tblInd w:w="142" w:type="dxa"/>
        <w:tblLayout w:type="fixed"/>
        <w:tblCellMar>
          <w:left w:w="0" w:type="dxa"/>
          <w:right w:w="0" w:type="dxa"/>
        </w:tblCellMar>
        <w:tblLook w:val="04A0" w:firstRow="1" w:lastRow="0" w:firstColumn="1" w:lastColumn="0" w:noHBand="0" w:noVBand="1"/>
      </w:tblPr>
      <w:tblGrid>
        <w:gridCol w:w="5405"/>
        <w:gridCol w:w="7351"/>
        <w:gridCol w:w="1134"/>
        <w:gridCol w:w="1134"/>
      </w:tblGrid>
      <w:tr>
        <w:tblPrEx/>
        <w:trPr>
          <w:trHeight w:val="283"/>
        </w:trPr>
        <w:tc>
          <w:tcPr>
            <w:tcW w:w="5405"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W w:w="7351"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W w:w="1134" w:type="dxa"/>
            <w:textDirection w:val="lrTb"/>
            <w:noWrap w:val="false"/>
          </w:tcPr>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Borders>
              <w:bottom w:val="single" w:color="000000" w:sz="8" w:space="0"/>
            </w:tcBorders>
            <w:tcW w:w="1134" w:type="dxa"/>
            <w:textDirection w:val="lrTb"/>
            <w:noWrap w:val="false"/>
          </w:tcPr>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r>
      <w:tr>
        <w:tblPrEx/>
        <w:trPr>
          <w:trHeight w:val="283"/>
        </w:trPr>
        <w:tc>
          <w:tcPr>
            <w:tcW w:w="5405"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W w:w="7351"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Borders>
              <w:right w:val="single" w:color="000000" w:sz="8" w:space="0"/>
            </w:tcBorders>
            <w:tcW w:w="1134" w:type="dxa"/>
            <w:textDirection w:val="lrTb"/>
            <w:noWrap w:val="false"/>
          </w:tcPr>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Borders>
              <w:top w:val="single" w:color="000000" w:sz="8" w:space="0"/>
              <w:left w:val="single" w:color="000000" w:sz="8" w:space="0"/>
              <w:bottom w:val="single" w:color="000000" w:sz="8" w:space="0"/>
              <w:right w:val="single" w:color="000000" w:sz="8" w:space="0"/>
            </w:tcBorders>
            <w:tcW w:w="1134" w:type="dxa"/>
            <w:vAlign w:val="center"/>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Коды</w:t>
            </w:r>
            <w:r>
              <w:rPr>
                <w:rFonts w:ascii="Times New Roman" w:hAnsi="Times New Roman"/>
                <w:sz w:val="20"/>
                <w:szCs w:val="20"/>
              </w:rPr>
            </w:r>
            <w:r>
              <w:rPr>
                <w:rFonts w:ascii="Times New Roman" w:hAnsi="Times New Roman"/>
                <w:sz w:val="20"/>
                <w:szCs w:val="20"/>
              </w:rPr>
            </w:r>
          </w:p>
        </w:tc>
      </w:tr>
      <w:tr>
        <w:tblPrEx/>
        <w:trPr>
          <w:trHeight w:val="283"/>
        </w:trPr>
        <w:tc>
          <w:tcPr>
            <w:tcW w:w="5405"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t xml:space="preserve">Полное наименование</w:t>
            </w:r>
            <w:r>
              <w:rPr>
                <w:rFonts w:ascii="Times New Roman" w:hAnsi="Times New Roman"/>
                <w:sz w:val="20"/>
                <w:szCs w:val="20"/>
              </w:rPr>
            </w:r>
            <w:r>
              <w:rPr>
                <w:rFonts w:ascii="Times New Roman" w:hAnsi="Times New Roman"/>
                <w:sz w:val="20"/>
                <w:szCs w:val="20"/>
              </w:rPr>
            </w:r>
          </w:p>
        </w:tc>
        <w:tc>
          <w:tcPr>
            <w:tcW w:w="7351"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t xml:space="preserve">Министерство энергетики Российской Федерации</w:t>
            </w:r>
            <w:r>
              <w:rPr>
                <w:rFonts w:ascii="Times New Roman" w:hAnsi="Times New Roman"/>
                <w:sz w:val="20"/>
                <w:szCs w:val="20"/>
              </w:rPr>
            </w:r>
            <w:r>
              <w:rPr>
                <w:rFonts w:ascii="Times New Roman" w:hAnsi="Times New Roman"/>
                <w:sz w:val="20"/>
                <w:szCs w:val="20"/>
              </w:rPr>
            </w:r>
          </w:p>
        </w:tc>
        <w:tc>
          <w:tcPr>
            <w:tcBorders>
              <w:right w:val="single" w:color="000000" w:sz="8" w:space="0"/>
            </w:tcBorders>
            <w:tcW w:w="1134" w:type="dxa"/>
            <w:vAlign w:val="top"/>
            <w:textDirection w:val="lrTb"/>
            <w:noWrap w:val="false"/>
          </w:tcPr>
          <w:p>
            <w:pPr>
              <w:jc w:val="right"/>
              <w:spacing w:after="0" w:line="240" w:lineRule="auto"/>
              <w:rPr>
                <w:rFonts w:ascii="Times New Roman" w:hAnsi="Times New Roman"/>
                <w:sz w:val="20"/>
                <w:szCs w:val="20"/>
              </w:rPr>
            </w:pPr>
            <w:r>
              <w:rPr>
                <w:rFonts w:ascii="Times New Roman" w:hAnsi="Times New Roman"/>
                <w:sz w:val="20"/>
                <w:szCs w:val="20"/>
              </w:rPr>
              <w:t xml:space="preserve">ИНН</w:t>
            </w:r>
            <w:r>
              <w:rPr>
                <w:rFonts w:ascii="Times New Roman" w:hAnsi="Times New Roman"/>
                <w:sz w:val="20"/>
                <w:szCs w:val="20"/>
              </w:rPr>
            </w:r>
            <w:r>
              <w:rPr>
                <w:rFonts w:ascii="Times New Roman" w:hAnsi="Times New Roman"/>
                <w:sz w:val="20"/>
                <w:szCs w:val="20"/>
              </w:rPr>
            </w:r>
          </w:p>
        </w:tc>
        <w:tc>
          <w:tcPr>
            <w:tcBorders>
              <w:top w:val="single" w:color="000000" w:sz="8" w:space="0"/>
              <w:left w:val="single" w:color="000000" w:sz="8" w:space="0"/>
              <w:bottom w:val="single" w:color="000000" w:sz="8" w:space="0"/>
              <w:right w:val="single" w:color="000000" w:sz="8" w:space="0"/>
            </w:tcBorders>
            <w:tcW w:w="1134" w:type="dxa"/>
            <w:vAlign w:val="top"/>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7705847529</w:t>
            </w:r>
            <w:r>
              <w:rPr>
                <w:rFonts w:ascii="Times New Roman" w:hAnsi="Times New Roman"/>
                <w:sz w:val="20"/>
                <w:szCs w:val="20"/>
              </w:rPr>
            </w:r>
            <w:r>
              <w:rPr>
                <w:rFonts w:ascii="Times New Roman" w:hAnsi="Times New Roman"/>
                <w:sz w:val="20"/>
                <w:szCs w:val="20"/>
              </w:rPr>
            </w:r>
          </w:p>
        </w:tc>
      </w:tr>
      <w:tr>
        <w:tblPrEx/>
        <w:trPr>
          <w:trHeight w:val="283"/>
        </w:trPr>
        <w:tc>
          <w:tcPr>
            <w:tcW w:w="5405"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Borders>
              <w:bottom w:val="single" w:color="000000" w:sz="8" w:space="0"/>
            </w:tcBorders>
            <w:tcW w:w="7351"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Borders>
              <w:right w:val="single" w:color="000000" w:sz="8" w:space="0"/>
            </w:tcBorders>
            <w:tcW w:w="1134" w:type="dxa"/>
            <w:vAlign w:val="top"/>
            <w:textDirection w:val="lrTb"/>
            <w:noWrap w:val="false"/>
          </w:tcPr>
          <w:p>
            <w:pPr>
              <w:jc w:val="right"/>
              <w:spacing w:after="0" w:line="240" w:lineRule="auto"/>
              <w:rPr>
                <w:rFonts w:ascii="Times New Roman" w:hAnsi="Times New Roman"/>
                <w:sz w:val="20"/>
                <w:szCs w:val="20"/>
              </w:rPr>
            </w:pPr>
            <w:r>
              <w:rPr>
                <w:rFonts w:ascii="Times New Roman" w:hAnsi="Times New Roman"/>
                <w:sz w:val="20"/>
                <w:szCs w:val="20"/>
              </w:rPr>
              <w:t xml:space="preserve">КПП</w:t>
            </w:r>
            <w:r>
              <w:rPr>
                <w:rFonts w:ascii="Times New Roman" w:hAnsi="Times New Roman"/>
                <w:sz w:val="20"/>
                <w:szCs w:val="20"/>
              </w:rPr>
            </w:r>
            <w:r>
              <w:rPr>
                <w:rFonts w:ascii="Times New Roman" w:hAnsi="Times New Roman"/>
                <w:sz w:val="20"/>
                <w:szCs w:val="20"/>
              </w:rPr>
            </w:r>
          </w:p>
        </w:tc>
        <w:tc>
          <w:tcPr>
            <w:tcBorders>
              <w:top w:val="single" w:color="000000" w:sz="8" w:space="0"/>
              <w:left w:val="single" w:color="000000" w:sz="8" w:space="0"/>
              <w:bottom w:val="single" w:color="000000" w:sz="8" w:space="0"/>
              <w:right w:val="single" w:color="000000" w:sz="8" w:space="0"/>
            </w:tcBorders>
            <w:tcW w:w="1134" w:type="dxa"/>
            <w:vAlign w:val="top"/>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770501001</w:t>
            </w:r>
            <w:r>
              <w:rPr>
                <w:rFonts w:ascii="Times New Roman" w:hAnsi="Times New Roman"/>
                <w:sz w:val="20"/>
                <w:szCs w:val="20"/>
              </w:rPr>
            </w:r>
            <w:r>
              <w:rPr>
                <w:rFonts w:ascii="Times New Roman" w:hAnsi="Times New Roman"/>
                <w:sz w:val="20"/>
                <w:szCs w:val="20"/>
              </w:rPr>
            </w:r>
          </w:p>
        </w:tc>
      </w:tr>
      <w:tr>
        <w:tblPrEx/>
        <w:trPr>
          <w:trHeight w:val="510"/>
        </w:trPr>
        <w:tc>
          <w:tcPr>
            <w:tcW w:w="5405" w:type="dxa"/>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t xml:space="preserve">Место нахождения, телефон, адрес электронной почты</w:t>
            </w:r>
            <w:r>
              <w:rPr>
                <w:rFonts w:ascii="Times New Roman" w:hAnsi="Times New Roman"/>
                <w:sz w:val="20"/>
                <w:szCs w:val="20"/>
              </w:rPr>
            </w:r>
            <w:r>
              <w:rPr>
                <w:rFonts w:ascii="Times New Roman" w:hAnsi="Times New Roman"/>
                <w:sz w:val="20"/>
                <w:szCs w:val="20"/>
              </w:rPr>
            </w:r>
          </w:p>
        </w:tc>
        <w:tc>
          <w:tcPr>
            <w:tcBorders>
              <w:top w:val="single" w:color="000000" w:sz="8" w:space="0"/>
              <w:bottom w:val="single" w:color="000000" w:sz="8" w:space="0"/>
            </w:tcBorders>
            <w:tcW w:w="7351" w:type="dxa"/>
            <w:textDirection w:val="lrTb"/>
            <w:noWrap w:val="false"/>
          </w:tcPr>
          <w:p>
            <w:pPr>
              <w:jc w:val="both"/>
              <w:spacing w:after="0" w:line="240" w:lineRule="auto"/>
              <w:rPr>
                <w:rFonts w:ascii="Times New Roman" w:hAnsi="Times New Roman" w:cs="Times New Roman"/>
              </w:rPr>
            </w:pPr>
            <w:r>
              <w:rPr>
                <w:rFonts w:ascii="Times New Roman" w:hAnsi="Times New Roman"/>
                <w:sz w:val="20"/>
                <w:szCs w:val="20"/>
              </w:rPr>
              <w:t xml:space="preserve">Адрес: Российская Федерация, 107996, ГСП-6, г. Москва, ул. Щепкина</w:t>
            </w:r>
            <w:r>
              <w:rPr>
                <w:rFonts w:ascii="Times New Roman" w:hAnsi="Times New Roman" w:eastAsia="Times New Roman" w:cs="Times New Roman"/>
                <w:sz w:val="20"/>
                <w:szCs w:val="20"/>
              </w:rPr>
              <w:t xml:space="preserve">, д.42, стр.1,2</w:t>
            </w:r>
            <w:r>
              <w:rPr>
                <w:rFonts w:ascii="Times New Roman" w:hAnsi="Times New Roman" w:cs="Times New Roman"/>
              </w:rPr>
            </w:r>
            <w:r>
              <w:rPr>
                <w:rFonts w:ascii="Times New Roman" w:hAnsi="Times New Roman" w:cs="Times New Roman"/>
              </w:rPr>
            </w:r>
          </w:p>
          <w:p>
            <w:pPr>
              <w:jc w:val="both"/>
              <w:spacing w:after="0" w:line="240" w:lineRule="auto"/>
              <w:rPr>
                <w:rFonts w:ascii="Times New Roman" w:hAnsi="Times New Roman" w:cs="Times New Roman"/>
                <w:sz w:val="20"/>
                <w:szCs w:val="20"/>
              </w:rPr>
            </w:pPr>
            <w:r>
              <w:rPr>
                <w:rFonts w:ascii="Times New Roman" w:hAnsi="Times New Roman" w:eastAsia="Times New Roman" w:cs="Times New Roman"/>
                <w:sz w:val="20"/>
                <w:szCs w:val="20"/>
              </w:rPr>
              <w:t xml:space="preserve">Телефон: +7 (495) 631-98-58, </w:t>
            </w:r>
            <w:r>
              <w:rPr>
                <w:rFonts w:ascii="Times New Roman" w:hAnsi="Times New Roman" w:eastAsia="Times New Roman" w:cs="Times New Roman"/>
                <w:sz w:val="20"/>
                <w:szCs w:val="20"/>
              </w:rPr>
              <w:t xml:space="preserve">e-mail</w:t>
            </w:r>
            <w:r>
              <w:rPr>
                <w:rFonts w:ascii="Times New Roman" w:hAnsi="Times New Roman" w:eastAsia="Times New Roman" w:cs="Times New Roman"/>
                <w:sz w:val="20"/>
                <w:szCs w:val="20"/>
              </w:rPr>
              <w:t xml:space="preserve">: minenergo@minenergo.gov.ru</w:t>
            </w:r>
            <w:r>
              <w:rPr>
                <w:rFonts w:ascii="Times New Roman" w:hAnsi="Times New Roman" w:cs="Times New Roman"/>
                <w:sz w:val="20"/>
                <w:szCs w:val="20"/>
              </w:rPr>
            </w:r>
            <w:r>
              <w:rPr>
                <w:rFonts w:ascii="Times New Roman" w:hAnsi="Times New Roman" w:cs="Times New Roman"/>
                <w:sz w:val="20"/>
                <w:szCs w:val="20"/>
              </w:rPr>
            </w:r>
          </w:p>
        </w:tc>
        <w:tc>
          <w:tcPr>
            <w:tcBorders>
              <w:right w:val="single" w:color="000000" w:sz="8" w:space="0"/>
            </w:tcBorders>
            <w:tcW w:w="1134" w:type="dxa"/>
            <w:vAlign w:val="top"/>
            <w:textDirection w:val="lrTb"/>
            <w:noWrap w:val="false"/>
          </w:tcPr>
          <w:p>
            <w:pPr>
              <w:jc w:val="right"/>
              <w:spacing w:after="0" w:line="240" w:lineRule="auto"/>
              <w:rPr>
                <w:rFonts w:ascii="Times New Roman" w:hAnsi="Times New Roman"/>
                <w:sz w:val="20"/>
                <w:szCs w:val="20"/>
              </w:rPr>
            </w:pPr>
            <w:r>
              <w:rPr>
                <w:rFonts w:ascii="Times New Roman" w:hAnsi="Times New Roman"/>
                <w:sz w:val="20"/>
                <w:szCs w:val="20"/>
              </w:rPr>
              <w:t xml:space="preserve">по ОКТМО</w:t>
            </w:r>
            <w:r>
              <w:rPr>
                <w:rFonts w:ascii="Times New Roman" w:hAnsi="Times New Roman"/>
                <w:sz w:val="20"/>
                <w:szCs w:val="20"/>
              </w:rPr>
            </w:r>
            <w:r>
              <w:rPr>
                <w:rFonts w:ascii="Times New Roman" w:hAnsi="Times New Roman"/>
                <w:sz w:val="20"/>
                <w:szCs w:val="20"/>
              </w:rPr>
            </w:r>
          </w:p>
        </w:tc>
        <w:tc>
          <w:tcPr>
            <w:tcBorders>
              <w:top w:val="single" w:color="000000" w:sz="8" w:space="0"/>
              <w:left w:val="single" w:color="000000" w:sz="8" w:space="0"/>
              <w:bottom w:val="single" w:color="000000" w:sz="8" w:space="0"/>
              <w:right w:val="single" w:color="000000" w:sz="8" w:space="0"/>
            </w:tcBorders>
            <w:tcW w:w="1134" w:type="dxa"/>
            <w:vAlign w:val="top"/>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45381000</w:t>
            </w:r>
            <w:r>
              <w:rPr>
                <w:rFonts w:ascii="Times New Roman" w:hAnsi="Times New Roman"/>
                <w:sz w:val="20"/>
                <w:szCs w:val="20"/>
              </w:rPr>
            </w:r>
            <w:r>
              <w:rPr>
                <w:rFonts w:ascii="Times New Roman" w:hAnsi="Times New Roman"/>
                <w:sz w:val="20"/>
                <w:szCs w:val="20"/>
              </w:rPr>
            </w:r>
          </w:p>
        </w:tc>
      </w:tr>
      <w:tr>
        <w:tblPrEx/>
        <w:trPr>
          <w:trHeight w:val="964"/>
        </w:trPr>
        <w:tc>
          <w:tcPr>
            <w:tcW w:w="5405" w:type="dxa"/>
            <w:vAlign w:val="center"/>
            <w:textDirection w:val="lrTb"/>
            <w:noWrap w:val="false"/>
          </w:tcPr>
          <w:p>
            <w:pPr>
              <w:jc w:val="both"/>
              <w:spacing w:after="0" w:line="240" w:lineRule="auto"/>
              <w:rPr>
                <w:rFonts w:ascii="Times New Roman" w:hAnsi="Times New Roman"/>
                <w:sz w:val="20"/>
                <w:szCs w:val="20"/>
              </w:rPr>
            </w:pPr>
            <w:r>
              <w:rPr>
                <w:rFonts w:ascii="Times New Roman" w:hAnsi="Times New Roman"/>
                <w:sz w:val="20"/>
                <w:szCs w:val="20"/>
              </w:rPr>
              <w:t xml:space="preserve">Наименование объекта закупки</w:t>
            </w:r>
            <w:r>
              <w:rPr>
                <w:rFonts w:ascii="Times New Roman" w:hAnsi="Times New Roman"/>
                <w:sz w:val="20"/>
                <w:szCs w:val="20"/>
              </w:rPr>
            </w:r>
            <w:r>
              <w:rPr>
                <w:rFonts w:ascii="Times New Roman" w:hAnsi="Times New Roman"/>
                <w:sz w:val="20"/>
                <w:szCs w:val="20"/>
              </w:rPr>
            </w:r>
          </w:p>
        </w:tc>
        <w:tc>
          <w:tcPr>
            <w:tcBorders>
              <w:top w:val="single" w:color="000000" w:sz="8" w:space="0"/>
              <w:bottom w:val="single" w:color="000000" w:sz="8" w:space="0"/>
            </w:tcBorders>
            <w:tcW w:w="7351" w:type="dxa"/>
            <w:textDirection w:val="lrTb"/>
            <w:noWrap w:val="false"/>
          </w:tcPr>
          <w:p>
            <w:pPr>
              <w:jc w:val="both"/>
              <w:spacing w:after="0" w:line="240" w:lineRule="auto"/>
              <w:rPr>
                <w:rFonts w:ascii="Times New Roman" w:hAnsi="Times New Roman"/>
                <w:sz w:val="20"/>
                <w:szCs w:val="20"/>
                <w:highlight w:val="none"/>
              </w:rPr>
            </w:pPr>
            <w:r>
              <w:rPr>
                <w:rFonts w:ascii="Times New Roman" w:hAnsi="Times New Roman"/>
                <w:sz w:val="20"/>
                <w:szCs w:val="20"/>
                <w:highlight w:val="none"/>
              </w:rPr>
              <w:t xml:space="preserve">О</w:t>
            </w:r>
            <w:r>
              <w:rPr>
                <w:rFonts w:ascii="Times New Roman" w:hAnsi="Times New Roman"/>
                <w:sz w:val="20"/>
                <w:szCs w:val="20"/>
                <w:highlight w:val="none"/>
              </w:rPr>
              <w:t xml:space="preserve">казание услуг по техническому сопровождению и обеспечению эксплуатации государственной информационной системы «Автоматизация процессов предоставления государственных услуг и осуществления государственных функций» Минэнерго России (ГИС «Цифровые госуслуги М</w:t>
            </w:r>
            <w:r>
              <w:rPr>
                <w:rFonts w:ascii="Times New Roman" w:hAnsi="Times New Roman"/>
                <w:sz w:val="20"/>
                <w:szCs w:val="20"/>
                <w:highlight w:val="none"/>
              </w:rPr>
              <w:t xml:space="preserve">инэнерго России») в 2027-2028 гг.</w:t>
            </w:r>
            <w:r>
              <w:rPr>
                <w:rFonts w:ascii="Times New Roman" w:hAnsi="Times New Roman"/>
                <w:sz w:val="20"/>
                <w:szCs w:val="20"/>
                <w:highlight w:val="none"/>
              </w:rPr>
            </w:r>
            <w:r>
              <w:rPr>
                <w:rFonts w:ascii="Times New Roman" w:hAnsi="Times New Roman"/>
                <w:sz w:val="20"/>
                <w:szCs w:val="20"/>
                <w:highlight w:val="none"/>
              </w:rPr>
            </w:r>
          </w:p>
        </w:tc>
        <w:tc>
          <w:tcPr>
            <w:gridSpan w:val="2"/>
            <w:tcBorders>
              <w:top w:val="single" w:color="000000" w:sz="8" w:space="0"/>
              <w:bottom w:val="single" w:color="000000" w:sz="8" w:space="0"/>
              <w:right w:val="single" w:color="000000" w:sz="8" w:space="0"/>
            </w:tcBorders>
            <w:tcW w:w="2268" w:type="dxa"/>
            <w:textDirection w:val="lrTb"/>
            <w:noWrap w:val="false"/>
          </w:tcPr>
          <w:p>
            <w:pP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r>
    </w:tbl>
    <w:p>
      <w:pPr>
        <w:jc w:val="both"/>
        <w:spacing w:after="0" w:line="240" w:lineRule="auto"/>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r>
      <w:r>
        <w:rPr>
          <w:rFonts w:ascii="Times New Roman" w:hAnsi="Times New Roman"/>
          <w:sz w:val="24"/>
          <w:szCs w:val="24"/>
        </w:rPr>
      </w:r>
    </w:p>
    <w:tbl>
      <w:tblPr>
        <w:tblW w:w="15024" w:type="dxa"/>
        <w:tblInd w:w="142" w:type="dxa"/>
        <w:tblLayout w:type="fixed"/>
        <w:tblCellMar>
          <w:left w:w="0" w:type="dxa"/>
          <w:right w:w="0" w:type="dxa"/>
        </w:tblCellMar>
        <w:tblLook w:val="04A0" w:firstRow="1" w:lastRow="0" w:firstColumn="1" w:lastColumn="0" w:noHBand="0" w:noVBand="1"/>
      </w:tblPr>
      <w:tblGrid>
        <w:gridCol w:w="15024"/>
      </w:tblGrid>
      <w:tr>
        <w:tblPrEx/>
        <w:trPr>
          <w:trHeight w:val="283"/>
        </w:trPr>
        <w:tc>
          <w:tcPr>
            <w:tcW w:w="15024" w:type="dxa"/>
            <w:textDirection w:val="lrTb"/>
            <w:noWrap w:val="false"/>
          </w:tcPr>
          <w:p>
            <w:pPr>
              <w:jc w:val="center"/>
              <w:spacing w:after="0" w:line="240" w:lineRule="auto"/>
              <w:rPr>
                <w:rFonts w:ascii="Times New Roman" w:hAnsi="Times New Roman"/>
                <w:b/>
                <w:sz w:val="20"/>
                <w:szCs w:val="20"/>
              </w:rPr>
            </w:pPr>
            <w:r>
              <w:rPr>
                <w:rFonts w:ascii="Times New Roman" w:hAnsi="Times New Roman"/>
                <w:b/>
                <w:sz w:val="20"/>
                <w:szCs w:val="20"/>
              </w:rPr>
              <w:t xml:space="preserve">II. Критерии и показатели оценки заявок на участие в закупке</w:t>
            </w:r>
            <w:r>
              <w:rPr>
                <w:rFonts w:ascii="Times New Roman" w:hAnsi="Times New Roman"/>
                <w:b/>
                <w:sz w:val="20"/>
                <w:szCs w:val="20"/>
              </w:rPr>
            </w:r>
            <w:r>
              <w:rPr>
                <w:rFonts w:ascii="Times New Roman" w:hAnsi="Times New Roman"/>
                <w:b/>
                <w:sz w:val="20"/>
                <w:szCs w:val="20"/>
              </w:rPr>
            </w:r>
          </w:p>
        </w:tc>
      </w:tr>
    </w:tbl>
    <w:p>
      <w:pPr>
        <w:jc w:val="both"/>
        <w:spacing w:after="0" w:line="240" w:lineRule="auto"/>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r>
      <w:r>
        <w:rPr>
          <w:rFonts w:ascii="Times New Roman" w:hAnsi="Times New Roman"/>
          <w:sz w:val="24"/>
          <w:szCs w:val="24"/>
        </w:rPr>
      </w:r>
    </w:p>
    <w:tbl>
      <w:tblPr>
        <w:tblW w:w="4962" w:type="pct"/>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283"/>
        <w:gridCol w:w="2410"/>
        <w:gridCol w:w="1134"/>
        <w:gridCol w:w="1417"/>
        <w:gridCol w:w="1134"/>
        <w:gridCol w:w="1843"/>
        <w:gridCol w:w="1134"/>
        <w:gridCol w:w="5669"/>
      </w:tblGrid>
      <w:tr>
        <w:tblPrEx/>
        <w:trPr/>
        <w:tc>
          <w:tcPr>
            <w:tcMar>
              <w:left w:w="28" w:type="dxa"/>
              <w:top w:w="0" w:type="dxa"/>
              <w:right w:w="28" w:type="dxa"/>
              <w:bottom w:w="0" w:type="dxa"/>
            </w:tcMar>
            <w:tcW w:w="283"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2410"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Критерий оценки</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1134"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Значимость критерия оценки, процентов</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1417"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Показатель оценки</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1134"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Значимость показателя оценки, процентов</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1843"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Показатель оценки, детализирующий показатель оценки</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1134"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Значимость показателя, детализирующего показатель оценки, процентов</w:t>
            </w:r>
            <w:r>
              <w:rPr>
                <w:rFonts w:ascii="Times New Roman" w:hAnsi="Times New Roman"/>
                <w:b/>
                <w:bCs/>
                <w:sz w:val="20"/>
                <w:szCs w:val="20"/>
              </w:rPr>
            </w:r>
            <w:r>
              <w:rPr>
                <w:rFonts w:ascii="Times New Roman" w:hAnsi="Times New Roman"/>
                <w:b/>
                <w:bCs/>
                <w:sz w:val="20"/>
                <w:szCs w:val="20"/>
              </w:rPr>
            </w:r>
          </w:p>
        </w:tc>
        <w:tc>
          <w:tcPr>
            <w:tcMar>
              <w:left w:w="28" w:type="dxa"/>
              <w:top w:w="0" w:type="dxa"/>
              <w:right w:w="28" w:type="dxa"/>
              <w:bottom w:w="0" w:type="dxa"/>
            </w:tcMar>
            <w:tcW w:w="5669" w:type="dxa"/>
            <w:textDirection w:val="lrTb"/>
            <w:noWrap w:val="false"/>
          </w:tcPr>
          <w:p>
            <w:pPr>
              <w:jc w:val="center"/>
              <w:spacing w:after="0" w:line="240" w:lineRule="auto"/>
              <w:rPr>
                <w:rFonts w:ascii="Times New Roman" w:hAnsi="Times New Roman"/>
                <w:b/>
                <w:bCs/>
                <w:sz w:val="20"/>
                <w:szCs w:val="20"/>
              </w:rPr>
            </w:pPr>
            <w:r>
              <w:rPr>
                <w:rFonts w:ascii="Times New Roman" w:hAnsi="Times New Roman"/>
                <w:b/>
                <w:bCs/>
                <w:sz w:val="20"/>
                <w:szCs w:val="20"/>
              </w:rPr>
              <w:t xml:space="preserve">Формула оценки или шкала оценки</w:t>
            </w:r>
            <w:r>
              <w:rPr>
                <w:rFonts w:ascii="Times New Roman" w:hAnsi="Times New Roman"/>
                <w:b/>
                <w:bCs/>
                <w:sz w:val="20"/>
                <w:szCs w:val="20"/>
              </w:rPr>
            </w:r>
            <w:r>
              <w:rPr>
                <w:rFonts w:ascii="Times New Roman" w:hAnsi="Times New Roman"/>
                <w:b/>
                <w:bCs/>
                <w:sz w:val="20"/>
                <w:szCs w:val="20"/>
              </w:rPr>
            </w:r>
          </w:p>
        </w:tc>
      </w:tr>
      <w:tr>
        <w:tblPrEx/>
        <w:trPr>
          <w:trHeight w:val="709"/>
        </w:trPr>
        <w:tc>
          <w:tcPr>
            <w:tcMar>
              <w:left w:w="28" w:type="dxa"/>
              <w:top w:w="0" w:type="dxa"/>
              <w:right w:w="28" w:type="dxa"/>
              <w:bottom w:w="0" w:type="dxa"/>
            </w:tcMar>
            <w:tcW w:w="283"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1.</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2410"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Цена контракта, сумма цен единиц товара, работы, услуги</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1134"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30</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1417"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1134"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1843"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1134"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t xml:space="preserve">–</w:t>
            </w:r>
            <w:r>
              <w:rPr>
                <w:rFonts w:ascii="Times New Roman" w:hAnsi="Times New Roman"/>
                <w:sz w:val="20"/>
                <w:szCs w:val="20"/>
              </w:rPr>
            </w:r>
            <w:r>
              <w:rPr>
                <w:rFonts w:ascii="Times New Roman" w:hAnsi="Times New Roman"/>
                <w:sz w:val="20"/>
                <w:szCs w:val="20"/>
              </w:rPr>
            </w:r>
          </w:p>
        </w:tc>
        <w:tc>
          <w:tcPr>
            <w:tcMar>
              <w:left w:w="28" w:type="dxa"/>
              <w:top w:w="0" w:type="dxa"/>
              <w:right w:w="28" w:type="dxa"/>
              <w:bottom w:w="0" w:type="dxa"/>
            </w:tcMar>
            <w:tcW w:w="5669" w:type="dxa"/>
            <w:vMerge w:val="restart"/>
            <w:textDirection w:val="lrTb"/>
            <w:noWrap w:val="false"/>
          </w:tcPr>
          <w:p>
            <w:pPr>
              <w:pStyle w:val="910"/>
              <w:ind w:left="0" w:right="0" w:firstLine="425"/>
              <w:jc w:val="both"/>
              <w:spacing w:line="276" w:lineRule="auto"/>
              <w:rPr>
                <w:rFonts w:ascii="Times New Roman" w:hAnsi="Times New Roman" w:cs="Times New Roman"/>
              </w:rPr>
            </w:pPr>
            <w:r>
              <w:rPr>
                <w:rFonts w:ascii="Times New Roman" w:hAnsi="Times New Roman" w:cs="Times New Roman"/>
              </w:rPr>
              <w:t xml:space="preserve">1.1 Оценка заявок осуществляется по формуле, предусмотренной пунктами 9 или 10 Положения об оценке заявок на участие в закупке то</w:t>
            </w:r>
            <w:r>
              <w:rPr>
                <w:rFonts w:ascii="Times New Roman" w:hAnsi="Times New Roman" w:cs="Times New Roman"/>
              </w:rPr>
              <w:t xml:space="preserve">вар</w:t>
            </w:r>
            <w:r>
              <w:rPr>
                <w:rFonts w:ascii="Times New Roman" w:hAnsi="Times New Roman" w:cs="Times New Roman"/>
              </w:rPr>
              <w:t xml:space="preserve">ов, работ, услуг для обеспечения государственных и муниципальных нужд, утвержденного постановлением Правительства Российской Федерации </w:t>
              <w:br/>
              <w:t xml:space="preserve">от 31.12.2021 № 2604 «Об оценке заявок на участие в закупке товаров, работ, услуг для обеспечения государственных </w:t>
              <w:br/>
              <w:t xml:space="preserve">и му</w:t>
            </w:r>
            <w:r>
              <w:rPr>
                <w:rFonts w:ascii="Times New Roman" w:hAnsi="Times New Roman" w:cs="Times New Roman"/>
              </w:rPr>
              <w:t xml:space="preserve">ни</w:t>
            </w:r>
            <w:r>
              <w:rPr>
                <w:rFonts w:ascii="Times New Roman" w:hAnsi="Times New Roman" w:cs="Times New Roman"/>
              </w:rPr>
              <w:t xml:space="preserve">ципальных нужд, внесении изменений в пункт 4 постановления Правительства Российской Федерации </w:t>
              <w:br/>
              <w:t xml:space="preserve">от 20.12.2021 № 2369 и признании утратившими силу некоторых актов и отдельных положений некоторых актов Правительства Российской Федерации» (далее – Положение):</w:t>
            </w:r>
            <w:r>
              <w:rPr>
                <w:rFonts w:ascii="Times New Roman" w:hAnsi="Times New Roman" w:cs="Times New Roman"/>
              </w:rPr>
            </w:r>
            <w:r>
              <w:rPr>
                <w:rFonts w:ascii="Times New Roman" w:hAnsi="Times New Roman" w:cs="Times New Roman"/>
              </w:rPr>
            </w:r>
          </w:p>
          <w:p>
            <w:pPr>
              <w:pStyle w:val="910"/>
              <w:ind w:left="0" w:right="0" w:firstLine="425"/>
              <w:jc w:val="both"/>
              <w:spacing w:line="276" w:lineRule="auto"/>
              <w:rPr>
                <w:highlight w:val="none"/>
              </w:rPr>
            </w:pPr>
            <w:r>
              <w:rPr>
                <w:rFonts w:ascii="Times New Roman" w:hAnsi="Times New Roman" w:cs="Times New Roman"/>
                <w:highlight w:val="none"/>
              </w:rPr>
            </w:r>
            <w:r>
              <w:rPr>
                <w:rFonts w:ascii="Times New Roman" w:hAnsi="Times New Roman" w:cs="Times New Roman"/>
                <w:color w:val="000000" w:themeColor="text1"/>
              </w:rPr>
              <w:t xml:space="preserve">а) за исключением случаев, предусмотренных подпунктом «б» настоящего пункта и пунктом 10 настоящего Положения, – </w:t>
              <w:br/>
              <w:t xml:space="preserve">по формуле:</w:t>
            </w:r>
            <w:r>
              <w:rPr>
                <w:highlight w:val="none"/>
              </w:rPr>
            </w:r>
            <w:r>
              <w:rPr>
                <w:highlight w:val="none"/>
              </w:rPr>
            </w:r>
          </w:p>
          <w:p>
            <w:pPr>
              <w:pStyle w:val="910"/>
              <w:ind w:left="0" w:right="0" w:firstLine="0"/>
              <w:jc w:val="left"/>
              <w:spacing w:line="276" w:lineRule="auto"/>
              <w:rPr>
                <w:rFonts w:ascii="Times New Roman" w:hAnsi="Times New Roman" w:cs="Times New Roman"/>
                <w:color w:val="000000" w:themeColor="text1"/>
                <w:highlight w:val="none"/>
              </w:rPr>
            </w:pPr>
            <w:r>
              <w:rPr>
                <w:rFonts w:ascii="Times New Roman" w:hAnsi="Times New Roman" w:cs="Times New Roman"/>
                <w:color w:val="000000" w:themeColor="text1"/>
                <w:highlight w:val="none"/>
              </w:rPr>
            </w:r>
            <m:oMathPara>
              <m:oMathParaPr>
                <m:jc m:val="center"/>
              </m:oMathParaPr>
              <m:oMath>
                <m:sSub>
                  <m:sSubPr>
                    <m:ctrlPr>
                      <w:rPr>
                        <w:rFonts w:ascii="Cambria Math" w:hAnsi="Cambria Math" w:eastAsia="Cambria Math" w:cs="Cambria Math"/>
                        <w:bCs/>
                        <w:i/>
                        <w:color w:val="000000" w:themeColor="text1"/>
                        <w:sz w:val="22"/>
                        <w:szCs w:val="22"/>
                      </w:rPr>
                    </m:ctrlPr>
                  </m:sSubPr>
                  <m:e>
                    <m:r>
                      <w:rPr>
                        <w:rFonts w:ascii="Cambria Math" w:hAnsi="Cambria Math"/>
                        <w:color w:val="000000" w:themeColor="text1"/>
                        <w:sz w:val="22"/>
                        <w:szCs w:val="22"/>
                        <w:lang w:val="ru-RU"/>
                      </w:rPr>
                      <m:rPr/>
                      <m:t>БЦ</m:t>
                    </m:r>
                  </m:e>
                  <m:sub>
                    <m:r>
                      <w:rPr>
                        <w:rFonts w:ascii="Cambria Math" w:hAnsi="Cambria Math"/>
                        <w:color w:val="000000" w:themeColor="text1"/>
                        <w:sz w:val="22"/>
                        <w:szCs w:val="22"/>
                        <w:lang w:val="ru-RU"/>
                      </w:rPr>
                      <m:rPr/>
                      <m:t>i</m:t>
                    </m:r>
                  </m:sub>
                </m:sSub>
                <m:r>
                  <w:rPr>
                    <w:rFonts w:ascii="Cambria Math" w:hAnsi="Cambria Math"/>
                    <w:color w:val="000000" w:themeColor="text1"/>
                    <w:sz w:val="22"/>
                    <w:szCs w:val="22"/>
                    <w:lang w:val="ru-RU"/>
                  </w:rPr>
                  <m:rPr/>
                  <m:t>=100-</m:t>
                </m:r>
                <m:d>
                  <m:dPr>
                    <m:ctrlPr>
                      <w:rPr>
                        <w:rFonts w:ascii="Cambria Math" w:hAnsi="Cambria Math" w:eastAsia="Cambria Math" w:cs="Cambria Math"/>
                        <w:bCs/>
                        <w:i/>
                        <w:color w:val="000000" w:themeColor="text1"/>
                        <w:sz w:val="22"/>
                        <w:szCs w:val="22"/>
                        <w:lang w:val="en-US"/>
                      </w:rPr>
                    </m:ctrlPr>
                  </m:dPr>
                  <m:e>
                    <m:f>
                      <m:fPr>
                        <m:ctrlPr>
                          <w:rPr>
                            <w:rFonts w:ascii="Cambria Math" w:hAnsi="Cambria Math" w:eastAsia="Cambria Math" w:cs="Cambria Math"/>
                            <w:bCs/>
                            <w:i/>
                            <w:color w:val="000000" w:themeColor="text1"/>
                            <w:sz w:val="22"/>
                            <w:szCs w:val="22"/>
                          </w:rPr>
                        </m:ctrlPr>
                      </m:fPr>
                      <m:num>
                        <m:sSub>
                          <m:sSubPr>
                            <m:ctrlPr>
                              <w:rPr>
                                <w:rFonts w:ascii="Cambria Math" w:hAnsi="Cambria Math" w:eastAsia="Cambria Math" w:cs="Cambria Math"/>
                                <w:bCs/>
                                <w:i/>
                                <w:color w:val="000000" w:themeColor="text1"/>
                                <w:sz w:val="22"/>
                                <w:szCs w:val="22"/>
                              </w:rPr>
                            </m:ctrlPr>
                          </m:sSubPr>
                          <m:e>
                            <m:r>
                              <w:rPr>
                                <w:rFonts w:ascii="Cambria Math" w:hAnsi="Cambria Math"/>
                                <w:color w:val="000000" w:themeColor="text1"/>
                                <w:sz w:val="22"/>
                                <w:szCs w:val="22"/>
                                <w:lang w:val="ru-RU"/>
                              </w:rPr>
                              <m:rPr/>
                              <m:t>Ц</m:t>
                            </m:r>
                          </m:e>
                          <m:sub>
                            <m:r>
                              <w:rPr>
                                <w:rFonts w:ascii="Cambria Math" w:hAnsi="Cambria Math"/>
                                <w:color w:val="000000" w:themeColor="text1"/>
                                <w:sz w:val="22"/>
                                <w:szCs w:val="22"/>
                                <w:lang w:val="ru-RU"/>
                              </w:rPr>
                              <m:rPr/>
                              <m:t>i</m:t>
                            </m:r>
                          </m:sub>
                        </m:sSub>
                        <m:r>
                          <w:rPr>
                            <w:rFonts w:ascii="Cambria Math" w:hAnsi="Cambria Math"/>
                            <w:color w:val="000000" w:themeColor="text1"/>
                            <w:sz w:val="22"/>
                            <w:szCs w:val="22"/>
                            <w:lang w:val="ru-RU"/>
                          </w:rPr>
                          <m:rPr/>
                          <m:t>-</m:t>
                        </m:r>
                        <m:sSub>
                          <m:sSubPr>
                            <m:ctrlPr>
                              <w:rPr>
                                <w:rFonts w:ascii="Cambria Math" w:hAnsi="Cambria Math" w:eastAsia="Cambria Math" w:cs="Cambria Math"/>
                                <w:bCs/>
                                <w:i/>
                                <w:color w:val="000000" w:themeColor="text1"/>
                                <w:sz w:val="22"/>
                                <w:szCs w:val="22"/>
                              </w:rPr>
                            </m:ctrlPr>
                          </m:sSubPr>
                          <m:e>
                            <m:r>
                              <w:rPr>
                                <w:rFonts w:ascii="Cambria Math" w:hAnsi="Cambria Math"/>
                                <w:color w:val="000000" w:themeColor="text1"/>
                                <w:sz w:val="22"/>
                                <w:szCs w:val="22"/>
                                <w:lang w:val="ru-RU"/>
                              </w:rPr>
                              <m:rPr/>
                              <m:t>Ц</m:t>
                            </m:r>
                          </m:e>
                          <m:sub>
                            <m:r>
                              <w:rPr>
                                <w:rFonts w:ascii="Cambria Math" w:hAnsi="Cambria Math"/>
                                <w:color w:val="000000" w:themeColor="text1"/>
                                <w:sz w:val="22"/>
                                <w:szCs w:val="22"/>
                                <w:lang w:val="ru-RU"/>
                              </w:rPr>
                              <m:rPr>
                                <m:sty m:val="i"/>
                              </m:rPr>
                              <m:t>л</m:t>
                            </m:r>
                          </m:sub>
                        </m:sSub>
                      </m:num>
                      <m:den>
                        <m:sSub>
                          <m:sSubPr>
                            <m:ctrlPr>
                              <w:rPr>
                                <w:rFonts w:ascii="Cambria Math" w:hAnsi="Cambria Math" w:eastAsia="Cambria Math" w:cs="Cambria Math"/>
                                <w:bCs/>
                                <w:i/>
                                <w:color w:val="000000" w:themeColor="text1"/>
                                <w:sz w:val="22"/>
                                <w:szCs w:val="22"/>
                              </w:rPr>
                            </m:ctrlPr>
                          </m:sSubPr>
                          <m:e>
                            <m:r>
                              <w:rPr>
                                <w:rFonts w:ascii="Cambria Math" w:hAnsi="Cambria Math"/>
                                <w:color w:val="000000" w:themeColor="text1"/>
                                <w:sz w:val="22"/>
                                <w:szCs w:val="22"/>
                                <w:lang w:val="ru-RU"/>
                              </w:rPr>
                              <m:rPr/>
                              <m:t>Ц</m:t>
                            </m:r>
                          </m:e>
                          <m:sub>
                            <m:r>
                              <w:rPr>
                                <w:rFonts w:ascii="Cambria Math" w:hAnsi="Cambria Math"/>
                                <w:color w:val="000000" w:themeColor="text1"/>
                                <w:sz w:val="22"/>
                                <w:szCs w:val="22"/>
                                <w:lang w:val="ru-RU"/>
                              </w:rPr>
                              <m:rPr/>
                              <m:t>л</m:t>
                            </m:r>
                          </m:sub>
                        </m:sSub>
                      </m:den>
                    </m:f>
                  </m:e>
                </m:d>
                <m:r>
                  <w:rPr>
                    <w:rFonts w:ascii="Cambria Math" w:hAnsi="Cambria Math"/>
                    <w:color w:val="000000" w:themeColor="text1"/>
                    <w:sz w:val="22"/>
                    <w:szCs w:val="22"/>
                    <w:lang w:val="ru-RU"/>
                  </w:rPr>
                  <m:rPr/>
                  <m:t>×100,</m:t>
                </m:r>
              </m:oMath>
            </m:oMathPara>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910"/>
              <w:ind w:left="0" w:right="0" w:firstLine="425"/>
              <w:jc w:val="both"/>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где:</w:t>
            </w:r>
            <w:r>
              <w:rPr>
                <w:rFonts w:ascii="Times New Roman" w:hAnsi="Times New Roman" w:cs="Times New Roman"/>
                <w:color w:val="000000" w:themeColor="text1"/>
              </w:rPr>
            </w:r>
            <w:r>
              <w:rPr>
                <w:rFonts w:ascii="Times New Roman" w:hAnsi="Times New Roman" w:cs="Times New Roman"/>
                <w:color w:val="000000" w:themeColor="text1"/>
              </w:rPr>
            </w:r>
          </w:p>
          <w:p>
            <w:pPr>
              <w:pStyle w:val="910"/>
              <w:ind w:left="0" w:right="0" w:firstLine="425"/>
              <w:jc w:val="both"/>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Ц</w:t>
            </w:r>
            <w:r>
              <w:rPr>
                <w:rFonts w:ascii="Times New Roman" w:hAnsi="Times New Roman" w:cs="Times New Roman"/>
                <w:color w:val="000000" w:themeColor="text1"/>
                <w:vertAlign w:val="subscript"/>
              </w:rPr>
              <w:t xml:space="preserve">i</w:t>
            </w:r>
            <w:r>
              <w:rPr>
                <w:rFonts w:ascii="Times New Roman" w:hAnsi="Times New Roman"/>
                <w:i/>
                <w:iCs/>
                <w:color w:val="000000" w:themeColor="text1"/>
                <w:sz w:val="20"/>
                <w:szCs w:val="20"/>
                <w:vertAlign w:val="baseline"/>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Pr>
                <w:rFonts w:ascii="Times New Roman" w:hAnsi="Times New Roman" w:cs="Times New Roman"/>
                <w:color w:val="000000" w:themeColor="text1"/>
              </w:rPr>
              <w:t xml:space="preserve">предложение участника закупки о цене контракта, </w:t>
              <w:br/>
              <w:t xml:space="preserve">или о сумме цен всех контрактов, зак</w:t>
            </w:r>
            <w:r>
              <w:rPr>
                <w:rFonts w:ascii="Times New Roman" w:hAnsi="Times New Roman" w:cs="Times New Roman"/>
                <w:color w:val="000000" w:themeColor="text1"/>
              </w:rPr>
              <w:t xml:space="preserve">лю</w:t>
            </w:r>
            <w:r>
              <w:rPr>
                <w:rFonts w:ascii="Times New Roman" w:hAnsi="Times New Roman" w:cs="Times New Roman"/>
                <w:color w:val="000000" w:themeColor="text1"/>
              </w:rPr>
              <w:t xml:space="preserve">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от 05.04.2013 № 44-ФЗ, в том числе </w:t>
              <w:br/>
              <w:t xml:space="preserve">при прове</w:t>
            </w:r>
            <w:r>
              <w:rPr>
                <w:rFonts w:ascii="Times New Roman" w:hAnsi="Times New Roman" w:cs="Times New Roman"/>
                <w:color w:val="000000" w:themeColor="text1"/>
              </w:rPr>
              <w:t xml:space="preserve">де</w:t>
            </w:r>
            <w:r>
              <w:rPr>
                <w:rFonts w:ascii="Times New Roman" w:hAnsi="Times New Roman" w:cs="Times New Roman"/>
                <w:color w:val="000000" w:themeColor="text1"/>
              </w:rPr>
              <w:t xml:space="preserve">нии в этом случае совместного конкурса), заявка (часть заявки) которого подлежит в соответствии с Федеральным законом от 05.04.2013 № 44-ФЗ оценке по критерию оценки «цена контракта, сумма цен единиц товара, работы, услуги» </w:t>
              <w:br/>
              <w:t xml:space="preserve">(далее – ценовое предложение);</w:t>
            </w:r>
            <w:r>
              <w:rPr>
                <w:rFonts w:ascii="Times New Roman" w:hAnsi="Times New Roman" w:cs="Times New Roman"/>
                <w:color w:val="000000" w:themeColor="text1"/>
              </w:rPr>
            </w:r>
            <w:r>
              <w:rPr>
                <w:rFonts w:ascii="Times New Roman" w:hAnsi="Times New Roman" w:cs="Times New Roman"/>
                <w:color w:val="000000" w:themeColor="text1"/>
              </w:rPr>
            </w:r>
          </w:p>
          <w:p>
            <w:pPr>
              <w:pStyle w:val="910"/>
              <w:ind w:left="0" w:right="0" w:firstLine="425"/>
              <w:jc w:val="both"/>
              <w:spacing w:line="276" w:lineRule="auto"/>
              <w:rPr>
                <w:rFonts w:ascii="Times New Roman" w:hAnsi="Times New Roman" w:cs="Times New Roman"/>
                <w:color w:val="000000" w:themeColor="text1"/>
                <w:highlight w:val="none"/>
              </w:rPr>
            </w:pPr>
            <w:r>
              <w:rPr>
                <w:rFonts w:ascii="Times New Roman" w:hAnsi="Times New Roman" w:cs="Times New Roman"/>
                <w:color w:val="000000" w:themeColor="text1"/>
              </w:rPr>
              <w:t xml:space="preserve">Ц</w:t>
            </w:r>
            <w:r>
              <w:rPr>
                <w:rFonts w:ascii="Times New Roman" w:hAnsi="Times New Roman" w:cs="Times New Roman"/>
                <w:color w:val="000000" w:themeColor="text1"/>
                <w:vertAlign w:val="subscript"/>
              </w:rPr>
              <w:t xml:space="preserve">л</w:t>
            </w:r>
            <w:r>
              <w:rPr>
                <w:rFonts w:ascii="Times New Roman" w:hAnsi="Times New Roman" w:cs="Times New Roman"/>
                <w:color w:val="000000" w:themeColor="text1"/>
                <w:vertAlign w:val="subscript"/>
              </w:rPr>
              <w:t xml:space="preserve"> </w:t>
            </w:r>
            <w:r>
              <w:rPr>
                <w:rFonts w:ascii="Times New Roman" w:hAnsi="Times New Roman" w:cs="Times New Roman"/>
                <w:color w:val="000000" w:themeColor="text1"/>
              </w:rPr>
              <w:t xml:space="preserve">–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r>
          </w:p>
          <w:p>
            <w:pPr>
              <w:pStyle w:val="910"/>
              <w:ind w:left="0" w:right="0" w:firstLine="425"/>
              <w:jc w:val="both"/>
              <w:spacing w:line="276" w:lineRule="auto"/>
              <w:rPr>
                <w:rFonts w:ascii="Times New Roman" w:hAnsi="Times New Roman" w:cs="Times New Roman"/>
                <w:color w:val="000000" w:themeColor="text1"/>
              </w:rPr>
            </w:pPr>
            <w:r>
              <w:rPr>
                <w:rFonts w:ascii="Times New Roman" w:hAnsi="Times New Roman" w:cs="Times New Roman"/>
                <w:color w:val="000000" w:themeColor="text1"/>
                <w:highlight w:val="none"/>
              </w:rPr>
            </w:r>
            <w:r>
              <w:rPr>
                <w:rFonts w:ascii="Times New Roman" w:hAnsi="Times New Roman" w:cs="Times New Roman"/>
                <w:color w:val="000000" w:themeColor="text1"/>
                <w:highlight w:val="none"/>
              </w:rPr>
              <w:t xml:space="preserve">б</w:t>
            </w:r>
            <w:r>
              <w:rPr>
                <w:rFonts w:ascii="Times New Roman" w:hAnsi="Times New Roman" w:cs="Times New Roman"/>
                <w:color w:val="000000" w:themeColor="text1"/>
                <w:highlight w:val="none"/>
              </w:rPr>
              <w:t xml:space="preserve">)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w:t>
            </w:r>
            <w:r>
              <w:rPr>
                <w:rFonts w:ascii="Times New Roman" w:hAnsi="Times New Roman" w:cs="Times New Roman"/>
                <w:color w:val="000000" w:themeColor="text1"/>
                <w:highlight w:val="none"/>
              </w:rPr>
              <w:t xml:space="preserve">н единиц товара, работы, услуги» всем заявкам, подлежащим в соответствии </w:t>
              <w:br/>
              <w:t xml:space="preserve">с Федеральным законом оценке по указанному критерию оценки (БЦ</w:t>
            </w:r>
            <w:r>
              <w:rPr>
                <w:rFonts w:ascii="Times New Roman" w:hAnsi="Times New Roman" w:cs="Times New Roman"/>
                <w:color w:val="000000" w:themeColor="text1"/>
                <w:highlight w:val="none"/>
                <w:vertAlign w:val="subscript"/>
              </w:rPr>
              <w:t xml:space="preserve">i</w:t>
            </w:r>
            <w:r>
              <w:rPr>
                <w:rFonts w:ascii="Times New Roman" w:hAnsi="Times New Roman" w:cs="Times New Roman"/>
                <w:color w:val="000000" w:themeColor="text1"/>
                <w:highlight w:val="none"/>
              </w:rPr>
              <w:t xml:space="preserve">), определяется по формуле:</w:t>
            </w:r>
            <w:r>
              <w:rPr>
                <w:rFonts w:ascii="Times New Roman" w:hAnsi="Times New Roman" w:cs="Times New Roman"/>
                <w:color w:val="000000" w:themeColor="text1"/>
              </w:rPr>
            </w:r>
            <w:r>
              <w:rPr>
                <w:rFonts w:ascii="Times New Roman" w:hAnsi="Times New Roman" w:cs="Times New Roman"/>
                <w:color w:val="000000" w:themeColor="text1"/>
              </w:rPr>
            </w:r>
          </w:p>
          <w:p>
            <w:pPr>
              <w:spacing w:after="0" w:line="276" w:lineRule="auto"/>
              <w:widowControl w:val="off"/>
              <w:rPr>
                <w:rFonts w:ascii="Times New Roman" w:hAnsi="Times New Roman" w:cs="Times New Roman"/>
                <w:color w:val="000000" w:themeColor="text1"/>
                <w:sz w:val="16"/>
                <w:szCs w:val="16"/>
              </w:rPr>
            </w:pPr>
            <w:r>
              <w:rPr>
                <w:bCs/>
                <w:color w:val="000000" w:themeColor="text1"/>
                <w:sz w:val="16"/>
                <w:szCs w:val="16"/>
                <w:highlight w:val="none"/>
              </w:rPr>
            </w:r>
            <w:r>
              <w:rPr>
                <w:rFonts w:ascii="Times New Roman" w:hAnsi="Times New Roman" w:cs="Times New Roman"/>
                <w:color w:val="000000" w:themeColor="text1"/>
                <w:sz w:val="16"/>
                <w:szCs w:val="16"/>
              </w:rPr>
            </w:r>
            <w:r>
              <w:rPr>
                <w:rFonts w:ascii="Times New Roman" w:hAnsi="Times New Roman" w:cs="Times New Roman"/>
                <w:color w:val="000000" w:themeColor="text1"/>
                <w:sz w:val="16"/>
                <w:szCs w:val="16"/>
              </w:rPr>
            </w:r>
          </w:p>
          <w:p>
            <w:pPr>
              <w:spacing w:after="0" w:line="276" w:lineRule="auto"/>
              <w:widowControl w:val="off"/>
              <w:rPr>
                <w:color w:val="000000" w:themeColor="text1"/>
                <w:sz w:val="22"/>
                <w:szCs w:val="22"/>
                <w:highlight w:val="none"/>
              </w:rPr>
            </w:pPr>
            <w:r>
              <w:rPr>
                <w:color w:val="000000" w:themeColor="text1"/>
                <w:lang w:val="ru-RU"/>
              </w:rPr>
            </w:r>
            <w:r>
              <w:rPr>
                <w:rFonts w:ascii="Times New Roman" w:hAnsi="Times New Roman" w:cs="Times New Roman"/>
                <w:bCs/>
                <w:color w:val="000000" w:themeColor="text1"/>
                <w:sz w:val="22"/>
                <w:szCs w:val="22"/>
              </w:rPr>
            </w:r>
            <m:oMathPara>
              <m:oMathParaPr>
                <m:jc m:val="center"/>
              </m:oMathParaPr>
              <m:oMath>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БЦ</m:t>
                    </m:r>
                  </m:e>
                  <m:sub>
                    <m:r>
                      <w:rPr>
                        <w:rFonts w:ascii="Cambria Math" w:hAnsi="Cambria Math"/>
                        <w:color w:val="000000" w:themeColor="text1"/>
                        <w:sz w:val="22"/>
                        <w:szCs w:val="22"/>
                        <w:lang w:val="en-US"/>
                      </w:rPr>
                      <m:rPr/>
                      <m:t>i</m:t>
                    </m:r>
                  </m:sub>
                </m:sSub>
                <m:r>
                  <w:rPr>
                    <w:rFonts w:ascii="Cambria Math" w:hAnsi="Cambria Math"/>
                    <w:color w:val="000000" w:themeColor="text1"/>
                    <w:sz w:val="22"/>
                    <w:szCs w:val="22"/>
                    <w:lang w:val="en-US"/>
                  </w:rPr>
                  <m:rPr/>
                  <m:t>=</m:t>
                </m:r>
                <m:d>
                  <m:dPr>
                    <m:ctrlPr>
                      <w:rPr>
                        <w:rFonts w:ascii="Cambria Math" w:hAnsi="Cambria Math"/>
                        <w:i/>
                        <w:color w:val="000000" w:themeColor="text1"/>
                        <w:sz w:val="22"/>
                        <w:szCs w:val="22"/>
                        <w:lang w:val="en-US"/>
                      </w:rPr>
                    </m:ctrlPr>
                  </m:dPr>
                  <m:e>
                    <m:sSub>
                      <m:sSubPr>
                        <m:ctrlPr>
                          <w:rPr>
                            <w:rFonts w:ascii="Cambria Math" w:hAnsi="Cambria Math"/>
                            <w:bCs/>
                            <w:i/>
                            <w:color w:val="000000" w:themeColor="text1"/>
                            <w:sz w:val="22"/>
                            <w:szCs w:val="22"/>
                          </w:rPr>
                        </m:ctrlPr>
                      </m:sSubPr>
                      <m:e>
                        <m:r>
                          <w:rPr>
                            <w:rFonts w:hint="default" w:ascii="Cambria Math" w:hAnsi="Cambria Math" w:eastAsia="Cambria Math" w:cs="Cambria Math"/>
                          </w:rPr>
                          <m:rPr/>
                          <m:t>Ц</m:t>
                        </m:r>
                      </m:e>
                      <m:sub>
                        <m:r>
                          <w:rPr>
                            <w:rFonts w:ascii="Cambria Math" w:hAnsi="Cambria Math"/>
                            <w:color w:val="000000" w:themeColor="text1"/>
                            <w:sz w:val="22"/>
                            <w:szCs w:val="22"/>
                          </w:rPr>
                          <m:rPr/>
                          <m:t>нач</m:t>
                        </m:r>
                      </m:sub>
                    </m:sSub>
                    <m:r>
                      <w:rPr>
                        <w:rFonts w:ascii="Cambria Math" w:hAnsi="Cambria Math"/>
                        <w:color w:val="000000" w:themeColor="text1"/>
                        <w:sz w:val="22"/>
                        <w:szCs w:val="22"/>
                        <w:lang w:val="en-US"/>
                      </w:rPr>
                      <m:rPr/>
                      <m:t>-</m:t>
                    </m:r>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Ц</m:t>
                        </m:r>
                      </m:e>
                      <m:sub>
                        <m:r>
                          <w:rPr>
                            <w:rFonts w:ascii="Cambria Math" w:hAnsi="Cambria Math"/>
                            <w:color w:val="000000" w:themeColor="text1"/>
                            <w:sz w:val="22"/>
                            <w:szCs w:val="22"/>
                          </w:rPr>
                          <m:rPr/>
                          <m:t>i</m:t>
                        </m:r>
                      </m:sub>
                    </m:sSub>
                  </m:e>
                </m:d>
                <m:r>
                  <w:rPr>
                    <w:rFonts w:ascii="Cambria Math" w:hAnsi="Cambria Math"/>
                    <w:color w:val="000000" w:themeColor="text1"/>
                    <w:sz w:val="22"/>
                    <w:szCs w:val="22"/>
                    <w:lang w:val="en-US"/>
                  </w:rPr>
                  <m:rPr/>
                  <m:t>× </m:t>
                </m:r>
                <m:f>
                  <m:fPr>
                    <m:ctrlPr>
                      <w:rPr>
                        <w:rFonts w:ascii="Cambria Math" w:hAnsi="Cambria Math"/>
                        <w:bCs/>
                        <w:i/>
                        <w:color w:val="000000" w:themeColor="text1"/>
                        <w:sz w:val="22"/>
                        <w:szCs w:val="22"/>
                        <w:lang w:val="en-US"/>
                      </w:rPr>
                    </m:ctrlPr>
                  </m:fPr>
                  <m:num>
                    <m:r>
                      <w:rPr>
                        <w:rFonts w:ascii="Cambria Math" w:hAnsi="Cambria Math"/>
                        <w:color w:val="000000" w:themeColor="text1"/>
                        <w:sz w:val="22"/>
                        <w:szCs w:val="22"/>
                        <w:lang w:val="en-US"/>
                      </w:rPr>
                      <m:rPr/>
                      <m:t>100</m:t>
                    </m:r>
                  </m:num>
                  <m:den>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Ц</m:t>
                        </m:r>
                      </m:e>
                      <m:sub>
                        <m:r>
                          <w:rPr>
                            <w:rFonts w:ascii="Cambria Math" w:hAnsi="Cambria Math"/>
                            <w:color w:val="000000" w:themeColor="text1"/>
                            <w:sz w:val="22"/>
                            <w:szCs w:val="22"/>
                          </w:rPr>
                          <m:rPr/>
                          <m:t>нач</m:t>
                        </m:r>
                      </m:sub>
                    </m:sSub>
                    <m:r>
                      <w:rPr>
                        <w:rFonts w:ascii="Cambria Math" w:hAnsi="Cambria Math"/>
                        <w:color w:val="000000" w:themeColor="text1"/>
                        <w:sz w:val="22"/>
                        <w:szCs w:val="22"/>
                        <w:lang w:val="en-US"/>
                      </w:rPr>
                      <m:rPr/>
                      <m:t>-</m:t>
                    </m:r>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Ц</m:t>
                        </m:r>
                      </m:e>
                      <m:sub>
                        <m:r>
                          <w:rPr>
                            <w:rFonts w:ascii="Cambria Math" w:hAnsi="Cambria Math"/>
                            <w:color w:val="000000" w:themeColor="text1"/>
                            <w:sz w:val="22"/>
                            <w:szCs w:val="22"/>
                          </w:rPr>
                          <m:rPr/>
                          <m:t>л</m:t>
                        </m:r>
                      </m:sub>
                    </m:sSub>
                  </m:den>
                </m:f>
                <m:r>
                  <w:rPr>
                    <w:rFonts w:ascii="Cambria Math" w:hAnsi="Cambria Math"/>
                    <w:color w:val="000000" w:themeColor="text1"/>
                    <w:sz w:val="22"/>
                    <w:szCs w:val="22"/>
                    <w:lang w:val="en-US"/>
                  </w:rPr>
                  <m:rPr/>
                  <m:t>,</m:t>
                </m:r>
              </m:oMath>
            </m:oMathPara>
            <w:r>
              <w:rPr>
                <w:color w:val="000000" w:themeColor="text1"/>
                <w:sz w:val="22"/>
                <w:szCs w:val="22"/>
                <w:highlight w:val="none"/>
              </w:rPr>
            </w:r>
            <w:r>
              <w:rPr>
                <w:color w:val="000000" w:themeColor="text1"/>
                <w:sz w:val="22"/>
                <w:szCs w:val="22"/>
                <w:highlight w:val="none"/>
              </w:rPr>
            </w:r>
          </w:p>
          <w:p>
            <w:pPr>
              <w:pStyle w:val="737"/>
              <w:ind w:left="0" w:right="0" w:firstLine="425"/>
              <w:jc w:val="both"/>
              <w:spacing w:line="276" w:lineRule="auto"/>
              <w:rPr>
                <w:rFonts w:ascii="Times New Roman" w:hAnsi="Times New Roman"/>
                <w:bCs w:val="0"/>
                <w:i w:val="0"/>
                <w:color w:val="000000" w:themeColor="text1"/>
                <w:sz w:val="20"/>
                <w:szCs w:val="20"/>
              </w:rPr>
              <w:suppressLineNumbers w:val="0"/>
            </w:pPr>
            <w:r>
              <w:rPr>
                <w:rFonts w:ascii="Times New Roman" w:hAnsi="Times New Roman"/>
                <w:bCs/>
                <w:i w:val="0"/>
                <w:iCs w:val="0"/>
                <w:color w:val="000000" w:themeColor="text1"/>
                <w:sz w:val="20"/>
                <w:szCs w:val="20"/>
                <w:highlight w:val="none"/>
              </w:rPr>
            </w:r>
            <w:r>
              <w:rPr>
                <w:rFonts w:ascii="Times New Roman" w:hAnsi="Times New Roman"/>
                <w:bCs w:val="0"/>
                <w:i w:val="0"/>
                <w:color w:val="000000" w:themeColor="text1"/>
                <w:sz w:val="20"/>
                <w:szCs w:val="20"/>
              </w:rPr>
            </w:r>
            <w:r>
              <w:rPr>
                <w:rFonts w:ascii="Times New Roman" w:hAnsi="Times New Roman"/>
                <w:bCs w:val="0"/>
                <w:i w:val="0"/>
                <w:color w:val="000000" w:themeColor="text1"/>
                <w:sz w:val="20"/>
                <w:szCs w:val="20"/>
              </w:rPr>
            </w:r>
          </w:p>
          <w:p>
            <w:pPr>
              <w:pStyle w:val="737"/>
              <w:ind w:left="0" w:right="0" w:firstLine="425"/>
              <w:jc w:val="both"/>
              <w:spacing w:line="276" w:lineRule="auto"/>
              <w:rPr>
                <w:rFonts w:ascii="Times New Roman" w:hAnsi="Times New Roman"/>
                <w:bCs w:val="0"/>
                <w:i w:val="0"/>
                <w:color w:val="000000" w:themeColor="text1"/>
                <w:sz w:val="20"/>
                <w:szCs w:val="20"/>
                <w:highlight w:val="none"/>
              </w:rPr>
              <w:suppressLineNumbers w:val="0"/>
            </w:pPr>
            <w:r>
              <w:rPr>
                <w:rFonts w:ascii="Times New Roman" w:hAnsi="Times New Roman"/>
                <w:bCs/>
                <w:i w:val="0"/>
                <w:iCs w:val="0"/>
                <w:color w:val="000000" w:themeColor="text1"/>
                <w:sz w:val="20"/>
                <w:szCs w:val="20"/>
              </w:rPr>
              <w:t xml:space="preserve">где: </w:t>
            </w:r>
            <w:r>
              <w:rPr>
                <w:rFonts w:ascii="Times New Roman" w:hAnsi="Times New Roman"/>
                <w:bCs w:val="0"/>
                <w:i w:val="0"/>
                <w:color w:val="000000" w:themeColor="text1"/>
                <w:sz w:val="20"/>
                <w:szCs w:val="20"/>
                <w:highlight w:val="none"/>
              </w:rPr>
            </w:r>
            <w:r>
              <w:rPr>
                <w:rFonts w:ascii="Times New Roman" w:hAnsi="Times New Roman"/>
                <w:bCs w:val="0"/>
                <w:i w:val="0"/>
                <w:color w:val="000000" w:themeColor="text1"/>
                <w:sz w:val="20"/>
                <w:szCs w:val="20"/>
                <w:highlight w:val="none"/>
              </w:rPr>
            </w:r>
          </w:p>
          <w:p>
            <w:pPr>
              <w:pStyle w:val="737"/>
              <w:ind w:left="0" w:right="0" w:firstLine="425"/>
              <w:jc w:val="both"/>
              <w:spacing w:line="276" w:lineRule="auto"/>
              <w:rPr>
                <w:rFonts w:ascii="Times New Roman" w:hAnsi="Times New Roman"/>
                <w:bCs w:val="0"/>
                <w:i w:val="0"/>
                <w:color w:val="000000" w:themeColor="text1"/>
                <w:sz w:val="20"/>
                <w:szCs w:val="20"/>
              </w:rPr>
              <w:suppressLineNumbers w:val="0"/>
            </w:pPr>
            <w:r>
              <w:rPr>
                <w:rFonts w:ascii="Times New Roman" w:hAnsi="Times New Roman"/>
                <w:bCs/>
                <w:i w:val="0"/>
                <w:iCs w:val="0"/>
                <w:color w:val="000000" w:themeColor="text1"/>
                <w:sz w:val="20"/>
                <w:szCs w:val="20"/>
              </w:rPr>
              <w:t xml:space="preserve">Ц</w:t>
            </w:r>
            <w:r>
              <w:rPr>
                <w:rFonts w:ascii="Times New Roman" w:hAnsi="Times New Roman"/>
                <w:bCs/>
                <w:i w:val="0"/>
                <w:iCs w:val="0"/>
                <w:color w:val="000000" w:themeColor="text1"/>
                <w:sz w:val="20"/>
                <w:szCs w:val="20"/>
                <w:vertAlign w:val="subscript"/>
              </w:rPr>
              <w:t xml:space="preserve">нач</w:t>
            </w:r>
            <w:r>
              <w:rPr>
                <w:rFonts w:ascii="Times New Roman" w:hAnsi="Times New Roman"/>
                <w:bCs/>
                <w:i w:val="0"/>
                <w:iCs w:val="0"/>
                <w:color w:val="000000" w:themeColor="text1"/>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w:t>
            </w:r>
            <w:r>
              <w:rPr>
                <w:rFonts w:ascii="Times New Roman" w:hAnsi="Times New Roman"/>
                <w:bCs/>
                <w:i w:val="0"/>
                <w:iCs w:val="0"/>
                <w:color w:val="000000" w:themeColor="text1"/>
                <w:sz w:val="20"/>
                <w:szCs w:val="20"/>
              </w:rPr>
              <w:t xml:space="preserve">абот, услуг (в случае, предусмотренном частью 24 статьи 22 Федерального закона, в том числе при проведении </w:t>
              <w:br/>
              <w:t xml:space="preserve">в таком случае совместного конкурса).</w:t>
            </w:r>
            <w:r>
              <w:rPr>
                <w:rFonts w:ascii="Times New Roman" w:hAnsi="Times New Roman"/>
                <w:bCs w:val="0"/>
                <w:i w:val="0"/>
                <w:color w:val="000000" w:themeColor="text1"/>
                <w:sz w:val="20"/>
                <w:szCs w:val="20"/>
              </w:rPr>
            </w:r>
            <w:r>
              <w:rPr>
                <w:rFonts w:ascii="Times New Roman" w:hAnsi="Times New Roman"/>
                <w:bCs w:val="0"/>
                <w:i w:val="0"/>
                <w:color w:val="000000" w:themeColor="text1"/>
                <w:sz w:val="20"/>
                <w:szCs w:val="20"/>
              </w:rPr>
            </w:r>
          </w:p>
          <w:p>
            <w:pPr>
              <w:pStyle w:val="737"/>
              <w:ind w:left="0" w:right="0" w:firstLine="425"/>
              <w:jc w:val="both"/>
              <w:spacing w:line="276" w:lineRule="auto"/>
              <w:rPr>
                <w:color w:val="000000" w:themeColor="text1"/>
              </w:rPr>
              <w:suppressLineNumbers w:val="0"/>
            </w:pPr>
            <w:r>
              <w:rPr>
                <w:rFonts w:ascii="Times New Roman" w:hAnsi="Times New Roman"/>
                <w:bCs/>
                <w:i w:val="0"/>
                <w:iCs w:val="0"/>
                <w:color w:val="000000" w:themeColor="text1"/>
                <w:sz w:val="20"/>
                <w:szCs w:val="20"/>
              </w:rPr>
              <w:t xml:space="preserve">1</w:t>
            </w:r>
            <w:r>
              <w:rPr>
                <w:rFonts w:ascii="Times New Roman" w:hAnsi="Times New Roman"/>
                <w:bCs/>
                <w:i w:val="0"/>
                <w:iCs w:val="0"/>
                <w:color w:val="000000" w:themeColor="text1"/>
                <w:sz w:val="20"/>
                <w:szCs w:val="20"/>
              </w:rPr>
              <w:t xml:space="preserve">.</w:t>
            </w:r>
            <w:r>
              <w:rPr>
                <w:rFonts w:ascii="Times New Roman" w:hAnsi="Times New Roman"/>
                <w:bCs/>
                <w:i w:val="0"/>
                <w:iCs w:val="0"/>
                <w:color w:val="000000" w:themeColor="text1"/>
                <w:sz w:val="20"/>
                <w:szCs w:val="20"/>
              </w:rPr>
              <w:t xml:space="preserve">2 Если при проведении процедуры подачи предложений </w:t>
              <w:br/>
              <w:t xml:space="preserve">о цене контракта либо о сумме цен единиц товара, работы, услуги (в случае, предусмотренном частью 24 статьи 22 Федерального закона) в соответствии с Федеральным законом подано ценовое предложение, предусм</w:t>
            </w:r>
            <w:r>
              <w:rPr>
                <w:rFonts w:ascii="Times New Roman" w:hAnsi="Times New Roman"/>
                <w:bCs/>
                <w:i w:val="0"/>
                <w:iCs w:val="0"/>
                <w:color w:val="000000" w:themeColor="text1"/>
                <w:sz w:val="20"/>
                <w:szCs w:val="20"/>
              </w:rPr>
              <w:t xml:space="preserve">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w:t>
            </w:r>
            <w:r>
              <w:rPr>
                <w:rFonts w:ascii="Times New Roman" w:hAnsi="Times New Roman"/>
                <w:bCs/>
                <w:i w:val="0"/>
                <w:iCs w:val="0"/>
                <w:color w:val="000000" w:themeColor="text1"/>
                <w:sz w:val="20"/>
                <w:szCs w:val="20"/>
                <w:vertAlign w:val="subscript"/>
              </w:rPr>
              <w:t xml:space="preserve">i</w:t>
            </w:r>
            <w:r>
              <w:rPr>
                <w:rFonts w:ascii="Times New Roman" w:hAnsi="Times New Roman"/>
                <w:bCs/>
                <w:i w:val="0"/>
                <w:iCs w:val="0"/>
                <w:color w:val="000000" w:themeColor="text1"/>
                <w:sz w:val="20"/>
                <w:szCs w:val="20"/>
              </w:rPr>
              <w:t xml:space="preserve">) определяется в следующем порядке:</w:t>
            </w:r>
            <w:r>
              <w:rPr>
                <w:color w:val="000000" w:themeColor="text1"/>
              </w:rPr>
            </w:r>
            <w:r>
              <w:rPr>
                <w:color w:val="000000" w:themeColor="text1"/>
              </w:rPr>
            </w:r>
          </w:p>
          <w:p>
            <w:pPr>
              <w:pStyle w:val="737"/>
              <w:ind w:left="0" w:right="0" w:firstLine="425"/>
              <w:jc w:val="both"/>
              <w:spacing w:line="276" w:lineRule="auto"/>
              <w:rPr>
                <w:color w:val="000000" w:themeColor="text1"/>
              </w:rPr>
              <w:suppressLineNumbers w:val="0"/>
            </w:pPr>
            <w:r>
              <w:rPr>
                <w:rFonts w:ascii="Times New Roman" w:hAnsi="Times New Roman"/>
                <w:bCs/>
                <w:i w:val="0"/>
                <w:iCs w:val="0"/>
                <w:color w:val="000000" w:themeColor="text1"/>
                <w:sz w:val="20"/>
                <w:szCs w:val="20"/>
              </w:rPr>
              <w:t xml:space="preserve">а</w:t>
            </w:r>
            <w:r>
              <w:rPr>
                <w:rFonts w:ascii="Times New Roman" w:hAnsi="Times New Roman"/>
                <w:bCs/>
                <w:i w:val="0"/>
                <w:iCs w:val="0"/>
                <w:color w:val="000000" w:themeColor="text1"/>
                <w:sz w:val="20"/>
                <w:szCs w:val="20"/>
              </w:rPr>
              <w:t xml:space="preserve">) для подлежащей в соответствии с Федеральным законом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w:t>
            </w:r>
            <w:r>
              <w:rPr>
                <w:rFonts w:ascii="Times New Roman" w:hAnsi="Times New Roman"/>
                <w:bCs/>
                <w:i w:val="0"/>
                <w:iCs w:val="0"/>
                <w:color w:val="000000" w:themeColor="text1"/>
                <w:sz w:val="20"/>
                <w:szCs w:val="20"/>
              </w:rPr>
              <w:t xml:space="preserve">луги» значение количества баллов </w:t>
              <w:br/>
              <w:t xml:space="preserve">по указанному критерию оценки (БЦ</w:t>
            </w:r>
            <w:r>
              <w:rPr>
                <w:rFonts w:ascii="Times New Roman" w:hAnsi="Times New Roman"/>
                <w:bCs/>
                <w:i w:val="0"/>
                <w:iCs w:val="0"/>
                <w:color w:val="000000" w:themeColor="text1"/>
                <w:sz w:val="20"/>
                <w:szCs w:val="20"/>
                <w:vertAlign w:val="subscript"/>
              </w:rPr>
              <w:t xml:space="preserve">i</w:t>
            </w:r>
            <w:r>
              <w:rPr>
                <w:rFonts w:ascii="Times New Roman" w:hAnsi="Times New Roman"/>
                <w:bCs/>
                <w:i w:val="0"/>
                <w:iCs w:val="0"/>
                <w:color w:val="000000" w:themeColor="text1"/>
                <w:sz w:val="20"/>
                <w:szCs w:val="20"/>
              </w:rPr>
              <w:t xml:space="preserve">) определяется по формуле:</w:t>
            </w:r>
            <w:r>
              <w:rPr>
                <w:color w:val="000000" w:themeColor="text1"/>
              </w:rPr>
            </w:r>
            <w:r>
              <w:rPr>
                <w:color w:val="000000" w:themeColor="text1"/>
              </w:rPr>
            </w:r>
          </w:p>
          <w:p>
            <w:pPr>
              <w:pStyle w:val="737"/>
              <w:ind w:left="0" w:right="0" w:firstLine="425"/>
              <w:jc w:val="both"/>
              <w:spacing w:line="276" w:lineRule="auto"/>
              <w:suppressLineNumbers w:val="0"/>
            </w:pPr>
            <w:r>
              <w:rPr>
                <w:rFonts w:ascii="Times New Roman" w:hAnsi="Times New Roman"/>
                <w:bCs/>
                <w:i w:val="0"/>
                <w:iCs w:val="0"/>
                <w:color w:val="ff0000"/>
                <w:sz w:val="20"/>
                <w:szCs w:val="20"/>
              </w:rPr>
            </w:r>
            <w:r>
              <w:rPr>
                <w:rFonts w:ascii="Times New Roman" w:hAnsi="Times New Roman"/>
                <w:bCs/>
                <w:i w:val="0"/>
                <w:iCs w:val="0"/>
                <w:color w:val="ff0000"/>
                <w:sz w:val="20"/>
                <w:szCs w:val="20"/>
              </w:rPr>
            </w:r>
            <w:r/>
          </w:p>
          <w:p>
            <w:pPr>
              <w:pStyle w:val="737"/>
              <w:ind w:left="0" w:right="0" w:firstLine="0"/>
              <w:jc w:val="center"/>
              <w:spacing w:line="276" w:lineRule="auto"/>
              <w:rPr>
                <w:highlight w:val="none"/>
              </w:rPr>
              <w:suppressLineNumbers w:val="0"/>
            </w:pPr>
            <w:r>
              <w:rPr>
                <w:rFonts w:ascii="Times New Roman" w:hAnsi="Times New Roman"/>
                <w:bCs/>
                <w:i w:val="0"/>
                <w:iCs w:val="0"/>
                <w:color w:val="ff0000"/>
                <w:sz w:val="20"/>
                <w:szCs w:val="20"/>
              </w:rPr>
            </w:r>
            <m:oMathPara>
              <m:oMathParaPr>
                <m:jc m:val="center"/>
              </m:oMathParaPr>
              <m:oMath>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БЦ</m:t>
                    </m:r>
                  </m:e>
                  <m:sub>
                    <m:r>
                      <w:rPr>
                        <w:rFonts w:ascii="Cambria Math" w:hAnsi="Cambria Math"/>
                        <w:color w:val="000000" w:themeColor="text1"/>
                        <w:sz w:val="22"/>
                        <w:szCs w:val="22"/>
                        <w:lang w:val="en-US"/>
                      </w:rPr>
                      <m:rPr/>
                      <m:t>i</m:t>
                    </m:r>
                  </m:sub>
                </m:sSub>
                <m:r>
                  <w:rPr>
                    <w:rFonts w:ascii="Cambria Math" w:hAnsi="Cambria Math"/>
                    <w:color w:val="000000" w:themeColor="text1"/>
                    <w:sz w:val="22"/>
                    <w:szCs w:val="22"/>
                    <w:lang w:val="en-US"/>
                  </w:rPr>
                  <m:rPr/>
                  <m:t>=100-</m:t>
                </m:r>
                <m:d>
                  <m:dPr>
                    <m:ctrlPr>
                      <w:rPr>
                        <w:rFonts w:ascii="Cambria Math" w:hAnsi="Cambria Math"/>
                        <w:bCs/>
                        <w:i/>
                        <w:color w:val="000000" w:themeColor="text1"/>
                        <w:sz w:val="22"/>
                        <w:szCs w:val="22"/>
                        <w:lang w:val="en-US"/>
                      </w:rPr>
                    </m:ctrlPr>
                  </m:dPr>
                  <m:e>
                    <m:f>
                      <m:fPr>
                        <m:ctrlPr>
                          <w:rPr>
                            <w:rFonts w:ascii="Cambria Math" w:hAnsi="Cambria Math"/>
                            <w:bCs/>
                            <w:i/>
                            <w:color w:val="000000" w:themeColor="text1"/>
                            <w:sz w:val="22"/>
                            <w:szCs w:val="22"/>
                          </w:rPr>
                        </m:ctrlPr>
                      </m:fPr>
                      <m:num>
                        <m:sSub>
                          <m:sSubPr>
                            <m:ctrlPr/>
                          </m:sSubPr>
                          <m:e>
                            <m:r>
                              <w:rPr>
                                <w:rFonts w:ascii="Cambria Math" w:hAnsi="Cambria Math" w:eastAsia="Cambria Math" w:cs="Cambria Math"/>
                              </w:rPr>
                              <m:rPr/>
                              <m:t>Ц</m:t>
                            </m:r>
                          </m:e>
                          <m:sub>
                            <m:r>
                              <w:rPr>
                                <w:rFonts w:ascii="Cambria Math" w:hAnsi="Cambria Math" w:eastAsia="Cambria Math" w:cs="Cambria Math"/>
                              </w:rPr>
                              <m:rPr/>
                              <m:t>i</m:t>
                            </m:r>
                          </m:sub>
                        </m:sSub>
                        <m:r>
                          <w:rPr>
                            <w:rFonts w:ascii="Cambria Math" w:hAnsi="Cambria Math" w:eastAsia="Cambria Math" w:cs="Cambria Math"/>
                          </w:rPr>
                          <m:rPr/>
                          <m:t>+</m:t>
                        </m:r>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Ц</m:t>
                            </m:r>
                          </m:e>
                          <m:sub>
                            <m:r>
                              <w:rPr>
                                <w:rFonts w:ascii="Cambria Math" w:hAnsi="Cambria Math"/>
                                <w:color w:val="000000" w:themeColor="text1"/>
                                <w:sz w:val="22"/>
                                <w:szCs w:val="22"/>
                                <w:lang w:val="en-US"/>
                              </w:rPr>
                              <m:rPr/>
                              <m:t>л</m:t>
                            </m:r>
                          </m:sub>
                        </m:sSub>
                      </m:num>
                      <m:den>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Ц</m:t>
                            </m:r>
                          </m:e>
                          <m:sub>
                            <m:r>
                              <w:rPr>
                                <w:rFonts w:ascii="Cambria Math" w:hAnsi="Cambria Math"/>
                                <w:color w:val="000000" w:themeColor="text1"/>
                                <w:sz w:val="22"/>
                                <w:szCs w:val="22"/>
                              </w:rPr>
                              <m:rPr/>
                              <m:t>нач</m:t>
                            </m:r>
                          </m:sub>
                        </m:sSub>
                        <m:r>
                          <w:rPr>
                            <w:rFonts w:ascii="Cambria Math" w:hAnsi="Cambria Math"/>
                            <w:color w:val="000000" w:themeColor="text1"/>
                            <w:sz w:val="22"/>
                            <w:szCs w:val="22"/>
                            <w:lang w:val="en-US"/>
                          </w:rPr>
                          <m:rPr/>
                          <m:t>+</m:t>
                        </m:r>
                        <m:sSub>
                          <m:sSubPr>
                            <m:ctrlPr>
                              <w:rPr>
                                <w:rFonts w:ascii="Cambria Math" w:hAnsi="Cambria Math"/>
                                <w:bCs/>
                                <w:i/>
                                <w:color w:val="000000" w:themeColor="text1"/>
                                <w:sz w:val="22"/>
                                <w:szCs w:val="22"/>
                              </w:rPr>
                            </m:ctrlPr>
                          </m:sSubPr>
                          <m:e>
                            <m:r>
                              <w:rPr>
                                <w:rFonts w:ascii="Cambria Math" w:hAnsi="Cambria Math"/>
                                <w:color w:val="000000" w:themeColor="text1"/>
                                <w:sz w:val="22"/>
                                <w:szCs w:val="22"/>
                              </w:rPr>
                              <m:rPr/>
                              <m:t>Ц</m:t>
                            </m:r>
                          </m:e>
                          <m:sub>
                            <m:r>
                              <w:rPr>
                                <w:rFonts w:ascii="Cambria Math" w:hAnsi="Cambria Math"/>
                                <w:color w:val="000000" w:themeColor="text1"/>
                                <w:sz w:val="22"/>
                                <w:szCs w:val="22"/>
                              </w:rPr>
                              <m:rPr/>
                              <m:t>л</m:t>
                            </m:r>
                          </m:sub>
                        </m:sSub>
                      </m:den>
                    </m:f>
                  </m:e>
                </m:d>
                <m:r>
                  <w:rPr>
                    <w:rFonts w:ascii="Cambria Math" w:hAnsi="Cambria Math"/>
                    <w:color w:val="000000" w:themeColor="text1"/>
                    <w:sz w:val="22"/>
                    <w:szCs w:val="22"/>
                    <w:lang w:val="en-US"/>
                  </w:rPr>
                  <m:rPr/>
                  <m:t>×100,</m:t>
                </m:r>
              </m:oMath>
            </m:oMathPara>
            <w:r>
              <w:rPr>
                <w:highlight w:val="none"/>
              </w:rPr>
            </w:r>
            <w:r>
              <w:rPr>
                <w:highlight w:val="none"/>
              </w:rPr>
            </w:r>
          </w:p>
          <w:p>
            <w:pPr>
              <w:pStyle w:val="737"/>
              <w:ind w:left="0" w:right="0" w:firstLine="425"/>
              <w:jc w:val="center"/>
              <w:spacing w:line="276" w:lineRule="auto"/>
              <w:rPr>
                <w:rFonts w:ascii="Times New Roman" w:hAnsi="Times New Roman"/>
                <w:bCs w:val="0"/>
                <w:i w:val="0"/>
                <w:color w:val="ff0000"/>
                <w:sz w:val="20"/>
                <w:szCs w:val="20"/>
              </w:rPr>
              <w:suppressLineNumbers w:val="0"/>
            </w:pPr>
            <w:r>
              <w:rPr>
                <w:highlight w:val="none"/>
              </w:rPr>
            </w:r>
            <w:r>
              <w:rPr>
                <w:rFonts w:ascii="Times New Roman" w:hAnsi="Times New Roman"/>
                <w:bCs w:val="0"/>
                <w:i w:val="0"/>
                <w:color w:val="ff0000"/>
                <w:sz w:val="20"/>
                <w:szCs w:val="20"/>
              </w:rPr>
            </w:r>
            <w:r>
              <w:rPr>
                <w:rFonts w:ascii="Times New Roman" w:hAnsi="Times New Roman"/>
                <w:bCs w:val="0"/>
                <w:i w:val="0"/>
                <w:color w:val="ff0000"/>
                <w:sz w:val="20"/>
                <w:szCs w:val="20"/>
              </w:rPr>
            </w:r>
          </w:p>
          <w:p>
            <w:pPr>
              <w:pStyle w:val="737"/>
              <w:ind w:left="0" w:right="0" w:firstLine="425"/>
              <w:jc w:val="both"/>
              <w:spacing w:line="276" w:lineRule="auto"/>
              <w:rPr>
                <w:rFonts w:ascii="Times New Roman" w:hAnsi="Times New Roman"/>
                <w:i w:val="0"/>
                <w:color w:val="000000" w:themeColor="text1"/>
                <w:sz w:val="20"/>
                <w:szCs w:val="20"/>
                <w:highlight w:val="none"/>
              </w:rPr>
              <w:suppressLineNumbers w:val="0"/>
            </w:pPr>
            <w:r>
              <w:rPr>
                <w:rFonts w:ascii="Times New Roman" w:hAnsi="Times New Roman"/>
                <w:bCs/>
                <w:i w:val="0"/>
                <w:iCs w:val="0"/>
                <w:color w:val="000000" w:themeColor="text1"/>
                <w:sz w:val="20"/>
                <w:szCs w:val="20"/>
              </w:rPr>
              <w:t xml:space="preserve">б</w:t>
            </w:r>
            <w:r>
              <w:rPr>
                <w:rFonts w:ascii="Times New Roman" w:hAnsi="Times New Roman"/>
                <w:bCs/>
                <w:i w:val="0"/>
                <w:iCs w:val="0"/>
                <w:color w:val="000000" w:themeColor="text1"/>
                <w:sz w:val="20"/>
                <w:szCs w:val="20"/>
              </w:rPr>
              <w:t xml:space="preserve">) для подлежащей в соответствии с Федеральным законом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w:t>
            </w:r>
            <w:r>
              <w:rPr>
                <w:rFonts w:ascii="Times New Roman" w:hAnsi="Times New Roman"/>
                <w:bCs/>
                <w:i w:val="0"/>
                <w:iCs w:val="0"/>
                <w:color w:val="000000" w:themeColor="text1"/>
                <w:sz w:val="20"/>
                <w:szCs w:val="20"/>
              </w:rPr>
              <w:t xml:space="preserve">и» значение количества баллов </w:t>
              <w:br/>
              <w:t xml:space="preserve">по указанному критерию оценки (БЦ</w:t>
            </w:r>
            <w:r>
              <w:rPr>
                <w:rFonts w:ascii="Times New Roman" w:hAnsi="Times New Roman"/>
                <w:bCs/>
                <w:i w:val="0"/>
                <w:iCs w:val="0"/>
                <w:color w:val="000000" w:themeColor="text1"/>
                <w:sz w:val="20"/>
                <w:szCs w:val="20"/>
                <w:vertAlign w:val="subscript"/>
              </w:rPr>
              <w:t xml:space="preserve">i</w:t>
            </w:r>
            <w:r>
              <w:rPr>
                <w:rFonts w:ascii="Times New Roman" w:hAnsi="Times New Roman"/>
                <w:bCs/>
                <w:i w:val="0"/>
                <w:iCs w:val="0"/>
                <w:color w:val="000000" w:themeColor="text1"/>
                <w:sz w:val="20"/>
                <w:szCs w:val="20"/>
              </w:rPr>
              <w:t xml:space="preserve">) определяется по формуле:</w:t>
            </w:r>
            <w:r>
              <w:rPr>
                <w:rFonts w:ascii="Times New Roman" w:hAnsi="Times New Roman"/>
                <w:i w:val="0"/>
                <w:color w:val="000000" w:themeColor="text1"/>
                <w:sz w:val="20"/>
                <w:szCs w:val="20"/>
                <w:highlight w:val="none"/>
              </w:rPr>
            </w:r>
            <w:r>
              <w:rPr>
                <w:rFonts w:ascii="Times New Roman" w:hAnsi="Times New Roman"/>
                <w:i w:val="0"/>
                <w:color w:val="000000" w:themeColor="text1"/>
                <w:sz w:val="20"/>
                <w:szCs w:val="20"/>
                <w:highlight w:val="none"/>
              </w:rPr>
            </w:r>
          </w:p>
          <w:p>
            <w:pPr>
              <w:pStyle w:val="737"/>
              <w:ind w:left="0" w:right="0" w:firstLine="425"/>
              <w:jc w:val="both"/>
              <w:spacing w:line="276" w:lineRule="auto"/>
              <w:rPr>
                <w:rFonts w:ascii="Times New Roman" w:hAnsi="Times New Roman"/>
                <w:bCs w:val="0"/>
                <w:i w:val="0"/>
                <w:color w:val="ff0000"/>
                <w:sz w:val="20"/>
                <w:szCs w:val="20"/>
                <w:highlight w:val="none"/>
              </w:rPr>
              <w:suppressLineNumbers w:val="0"/>
            </w:pPr>
            <w:r>
              <w:rPr>
                <w:rFonts w:ascii="Times New Roman" w:hAnsi="Times New Roman"/>
                <w:bCs/>
                <w:i w:val="0"/>
                <w:iCs w:val="0"/>
                <w:color w:val="ff0000"/>
                <w:sz w:val="20"/>
                <w:szCs w:val="20"/>
                <w:highlight w:val="none"/>
              </w:rPr>
            </w:r>
            <w:r>
              <w:rPr>
                <w:rFonts w:ascii="Times New Roman" w:hAnsi="Times New Roman"/>
                <w:bCs w:val="0"/>
                <w:i w:val="0"/>
                <w:color w:val="ff0000"/>
                <w:sz w:val="20"/>
                <w:szCs w:val="20"/>
                <w:highlight w:val="none"/>
              </w:rPr>
            </w:r>
            <w:r>
              <w:rPr>
                <w:rFonts w:ascii="Times New Roman" w:hAnsi="Times New Roman"/>
                <w:bCs w:val="0"/>
                <w:i w:val="0"/>
                <w:color w:val="ff0000"/>
                <w:sz w:val="20"/>
                <w:szCs w:val="20"/>
                <w:highlight w:val="none"/>
              </w:rPr>
            </w:r>
          </w:p>
          <w:p>
            <w:pPr>
              <w:pStyle w:val="737"/>
              <w:ind w:left="0" w:right="0" w:firstLine="0"/>
              <w:jc w:val="center"/>
              <w:spacing w:line="276" w:lineRule="auto"/>
              <w:rPr>
                <w:rFonts w:ascii="Times New Roman" w:hAnsi="Times New Roman"/>
                <w:bCs w:val="0"/>
                <w:i w:val="0"/>
                <w:color w:val="ff0000"/>
                <w:sz w:val="20"/>
                <w:szCs w:val="20"/>
              </w:rPr>
              <w:suppressLineNumbers w:val="0"/>
            </w:pPr>
            <w:r>
              <w:rPr>
                <w:rFonts w:ascii="Times New Roman" w:hAnsi="Times New Roman"/>
                <w:bCs/>
                <w:i w:val="0"/>
                <w:iCs w:val="0"/>
                <w:color w:val="ff0000"/>
                <w:sz w:val="20"/>
                <w:szCs w:val="20"/>
                <w:highlight w:val="none"/>
              </w:rPr>
            </w:r>
            <m:oMathPara>
              <m:oMathParaPr>
                <m:jc m:val="center"/>
              </m:oMathParaPr>
              <m:oMath>
                <m:sSub>
                  <m:sSubPr>
                    <m:ctrlPr>
                      <w:rPr>
                        <w:rFonts w:ascii="Cambria Math" w:hAnsi="Cambria Math" w:eastAsia="Cambria Math" w:cs="Cambria Math"/>
                        <w:bCs/>
                        <w:i/>
                        <w:color w:val="000000" w:themeColor="text1"/>
                        <w:sz w:val="22"/>
                        <w:szCs w:val="22"/>
                      </w:rPr>
                    </m:ctrlPr>
                  </m:sSubPr>
                  <m:e>
                    <m:r>
                      <w:rPr>
                        <w:rFonts w:hint="default" w:ascii="Cambria Math" w:hAnsi="Cambria Math" w:eastAsia="Cambria Math" w:cs="Cambria Math"/>
                        <w:color w:val="000000" w:themeColor="text1"/>
                        <w:sz w:val="22"/>
                        <w:szCs w:val="22"/>
                      </w:rPr>
                      <m:rPr/>
                      <m:t>БЦ</m:t>
                    </m:r>
                  </m:e>
                  <m:sub>
                    <m:r>
                      <w:rPr>
                        <w:rFonts w:hint="default" w:ascii="Cambria Math" w:hAnsi="Cambria Math" w:eastAsia="Cambria Math" w:cs="Cambria Math"/>
                        <w:color w:val="000000" w:themeColor="text1"/>
                        <w:sz w:val="22"/>
                        <w:szCs w:val="22"/>
                        <w:lang w:val="en-US"/>
                      </w:rPr>
                      <m:rPr/>
                      <m:t>i</m:t>
                    </m:r>
                  </m:sub>
                </m:sSub>
                <m:r>
                  <w:rPr>
                    <w:rFonts w:hint="default" w:ascii="Cambria Math" w:hAnsi="Cambria Math" w:eastAsia="Cambria Math" w:cs="Cambria Math"/>
                    <w:color w:val="000000" w:themeColor="text1"/>
                    <w:sz w:val="22"/>
                    <w:szCs w:val="22"/>
                    <w:lang w:val="en-US"/>
                  </w:rPr>
                  <m:rPr/>
                  <m:t>=10</m:t>
                </m:r>
                <m:r>
                  <w:rPr>
                    <w:rFonts w:hint="default" w:ascii="Cambria Math" w:hAnsi="Cambria Math" w:eastAsia="Cambria Math" w:cs="Cambria Math"/>
                    <w:color w:val="000000" w:themeColor="text1"/>
                    <w:sz w:val="22"/>
                    <w:szCs w:val="22"/>
                    <w:lang w:val="en-US"/>
                  </w:rPr>
                  <m:rPr/>
                  <m:t>0-</m:t>
                </m:r>
                <m:d>
                  <m:dPr>
                    <m:ctrlPr>
                      <w:rPr>
                        <w:rFonts w:ascii="Cambria Math" w:hAnsi="Cambria Math" w:eastAsia="Cambria Math" w:cs="Cambria Math"/>
                        <w:bCs/>
                        <w:i/>
                        <w:color w:val="000000" w:themeColor="text1"/>
                        <w:sz w:val="22"/>
                        <w:szCs w:val="22"/>
                        <w:lang w:val="en-US"/>
                      </w:rPr>
                    </m:ctrlPr>
                  </m:dPr>
                  <m:e>
                    <m:f>
                      <m:fPr>
                        <m:ctrlPr>
                          <w:rPr>
                            <w:rFonts w:ascii="Cambria Math" w:hAnsi="Cambria Math" w:eastAsia="Cambria Math" w:cs="Cambria Math"/>
                            <w:bCs/>
                            <w:i/>
                            <w:color w:val="000000" w:themeColor="text1"/>
                            <w:sz w:val="22"/>
                            <w:szCs w:val="22"/>
                          </w:rPr>
                        </m:ctrlPr>
                      </m:fPr>
                      <m:num>
                        <m:sSub>
                          <m:sSubPr>
                            <m:ctrlPr>
                              <w:rPr>
                                <w:rFonts w:ascii="Cambria Math" w:hAnsi="Cambria Math" w:eastAsia="Cambria Math" w:cs="Cambria Math"/>
                                <w:bCs/>
                                <w:i/>
                                <w:color w:val="000000" w:themeColor="text1"/>
                                <w:sz w:val="22"/>
                                <w:szCs w:val="22"/>
                              </w:rPr>
                            </m:ctrlPr>
                          </m:sSubPr>
                          <m:e>
                            <m:r>
                              <w:rPr>
                                <w:rFonts w:hint="default" w:ascii="Cambria Math" w:hAnsi="Cambria Math" w:eastAsia="Cambria Math" w:cs="Cambria Math"/>
                                <w:color w:val="000000" w:themeColor="text1"/>
                                <w:sz w:val="22"/>
                                <w:szCs w:val="22"/>
                              </w:rPr>
                              <m:rPr/>
                              <m:t>Ц</m:t>
                            </m:r>
                          </m:e>
                          <m:sub>
                            <m:r>
                              <w:rPr>
                                <w:rFonts w:hint="default" w:ascii="Cambria Math" w:hAnsi="Cambria Math" w:eastAsia="Cambria Math" w:cs="Cambria Math"/>
                                <w:color w:val="000000" w:themeColor="text1"/>
                                <w:sz w:val="22"/>
                                <w:szCs w:val="22"/>
                              </w:rPr>
                              <m:rPr/>
                              <m:t>л</m:t>
                            </m:r>
                          </m:sub>
                        </m:sSub>
                        <m:r>
                          <w:rPr>
                            <w:rFonts w:hint="default" w:ascii="Cambria Math" w:hAnsi="Cambria Math" w:eastAsia="Cambria Math" w:cs="Cambria Math"/>
                            <w:color w:val="000000" w:themeColor="text1"/>
                            <w:sz w:val="22"/>
                            <w:szCs w:val="22"/>
                          </w:rPr>
                          <m:rPr/>
                          <m:t>-</m:t>
                        </m:r>
                        <m:sSub>
                          <m:sSubPr>
                            <m:ctrlPr>
                              <w:rPr>
                                <w:rFonts w:ascii="Cambria Math" w:hAnsi="Cambria Math" w:eastAsia="Cambria Math" w:cs="Cambria Math"/>
                                <w:bCs/>
                                <w:i/>
                                <w:color w:val="000000" w:themeColor="text1"/>
                                <w:sz w:val="22"/>
                                <w:szCs w:val="22"/>
                              </w:rPr>
                            </m:ctrlPr>
                          </m:sSubPr>
                          <m:e>
                            <m:r>
                              <w:rPr>
                                <w:rFonts w:hint="default" w:ascii="Cambria Math" w:hAnsi="Cambria Math" w:eastAsia="Cambria Math" w:cs="Cambria Math"/>
                                <w:color w:val="000000" w:themeColor="text1"/>
                                <w:sz w:val="22"/>
                                <w:szCs w:val="22"/>
                              </w:rPr>
                              <m:rPr/>
                              <m:t>Ц</m:t>
                            </m:r>
                          </m:e>
                          <m:sub>
                            <m:r>
                              <w:rPr>
                                <w:rFonts w:hint="default" w:ascii="Cambria Math" w:hAnsi="Cambria Math" w:eastAsia="Cambria Math" w:cs="Cambria Math"/>
                                <w:color w:val="000000" w:themeColor="text1"/>
                                <w:sz w:val="22"/>
                                <w:szCs w:val="22"/>
                                <w:lang w:val="en-US"/>
                              </w:rPr>
                              <m:rPr/>
                              <m:t>i</m:t>
                            </m:r>
                          </m:sub>
                        </m:sSub>
                      </m:num>
                      <m:den>
                        <m:sSub>
                          <m:sSubPr>
                            <m:ctrlPr>
                              <w:rPr>
                                <w:rFonts w:ascii="Cambria Math" w:hAnsi="Cambria Math" w:eastAsia="Cambria Math" w:cs="Cambria Math"/>
                                <w:bCs/>
                                <w:i/>
                                <w:color w:val="000000" w:themeColor="text1"/>
                                <w:sz w:val="22"/>
                                <w:szCs w:val="22"/>
                              </w:rPr>
                            </m:ctrlPr>
                          </m:sSubPr>
                          <m:e>
                            <m:r>
                              <w:rPr>
                                <w:rFonts w:hint="default" w:ascii="Cambria Math" w:hAnsi="Cambria Math" w:eastAsia="Cambria Math" w:cs="Cambria Math"/>
                                <w:color w:val="000000" w:themeColor="text1"/>
                                <w:sz w:val="22"/>
                                <w:szCs w:val="22"/>
                              </w:rPr>
                              <m:rPr>
                                <m:sty m:val="i"/>
                              </m:rPr>
                              <m:t>Ц</m:t>
                            </m:r>
                          </m:e>
                          <m:sub>
                            <m:r>
                              <w:rPr>
                                <w:rFonts w:hint="default" w:ascii="Cambria Math" w:hAnsi="Cambria Math" w:eastAsia="Cambria Math" w:cs="Cambria Math"/>
                                <w:color w:val="000000" w:themeColor="text1"/>
                                <w:sz w:val="22"/>
                                <w:szCs w:val="22"/>
                              </w:rPr>
                              <m:rPr>
                                <m:sty m:val="i"/>
                              </m:rPr>
                              <m:t>н</m:t>
                            </m:r>
                            <m:r>
                              <w:rPr>
                                <w:rFonts w:hint="default" w:ascii="Cambria Math" w:hAnsi="Cambria Math" w:eastAsia="Cambria Math" w:cs="Cambria Math"/>
                                <w:color w:val="000000" w:themeColor="text1"/>
                                <w:sz w:val="22"/>
                                <w:szCs w:val="22"/>
                              </w:rPr>
                              <m:rPr>
                                <m:sty m:val="p"/>
                              </m:rPr>
                              <m:t>ач</m:t>
                            </m:r>
                          </m:sub>
                        </m:sSub>
                        <m:r>
                          <w:rPr>
                            <w:rFonts w:hint="default" w:ascii="Cambria Math" w:hAnsi="Cambria Math" w:eastAsia="Cambria Math" w:cs="Cambria Math"/>
                            <w:color w:val="000000" w:themeColor="text1"/>
                            <w:sz w:val="22"/>
                            <w:szCs w:val="22"/>
                            <w:lang w:val="en-US"/>
                          </w:rPr>
                          <m:rPr/>
                          <m:t>+</m:t>
                        </m:r>
                        <m:sSub>
                          <m:sSubPr>
                            <m:ctrlPr>
                              <w:rPr>
                                <w:rFonts w:ascii="Cambria Math" w:hAnsi="Cambria Math" w:eastAsia="Cambria Math" w:cs="Cambria Math"/>
                                <w:bCs/>
                                <w:i/>
                                <w:color w:val="000000" w:themeColor="text1"/>
                                <w:sz w:val="22"/>
                                <w:szCs w:val="22"/>
                              </w:rPr>
                            </m:ctrlPr>
                          </m:sSubPr>
                          <m:e>
                            <m:r>
                              <w:rPr>
                                <w:rFonts w:hint="default" w:ascii="Cambria Math" w:hAnsi="Cambria Math" w:eastAsia="Cambria Math" w:cs="Cambria Math"/>
                                <w:color w:val="000000" w:themeColor="text1"/>
                                <w:sz w:val="22"/>
                                <w:szCs w:val="22"/>
                              </w:rPr>
                              <m:rPr/>
                              <m:t>Ц</m:t>
                            </m:r>
                          </m:e>
                          <m:sub>
                            <m:r>
                              <w:rPr>
                                <w:rFonts w:hint="default" w:ascii="Cambria Math" w:hAnsi="Cambria Math" w:eastAsia="Cambria Math" w:cs="Cambria Math"/>
                                <w:color w:val="000000" w:themeColor="text1"/>
                                <w:sz w:val="22"/>
                                <w:szCs w:val="22"/>
                              </w:rPr>
                              <m:rPr/>
                              <m:t>л</m:t>
                            </m:r>
                          </m:sub>
                        </m:sSub>
                      </m:den>
                    </m:f>
                  </m:e>
                </m:d>
                <m:r>
                  <w:rPr>
                    <w:rFonts w:hint="default" w:ascii="Cambria Math" w:hAnsi="Cambria Math" w:eastAsia="Cambria Math" w:cs="Cambria Math"/>
                    <w:color w:val="000000" w:themeColor="text1"/>
                    <w:sz w:val="22"/>
                    <w:szCs w:val="22"/>
                    <w:lang w:val="en-US"/>
                  </w:rPr>
                  <m:rPr/>
                  <m:t>×100.</m:t>
                </m:r>
              </m:oMath>
            </m:oMathPara>
            <w:r>
              <w:rPr>
                <w:rFonts w:ascii="Times New Roman" w:hAnsi="Times New Roman"/>
                <w:bCs w:val="0"/>
                <w:i w:val="0"/>
                <w:color w:val="ff0000"/>
                <w:sz w:val="20"/>
                <w:szCs w:val="20"/>
              </w:rPr>
            </w:r>
            <w:r>
              <w:rPr>
                <w:rFonts w:ascii="Times New Roman" w:hAnsi="Times New Roman"/>
                <w:bCs w:val="0"/>
                <w:i w:val="0"/>
                <w:color w:val="ff0000"/>
                <w:sz w:val="20"/>
                <w:szCs w:val="20"/>
              </w:rPr>
            </w:r>
          </w:p>
          <w:p>
            <w:pPr>
              <w:pStyle w:val="737"/>
              <w:ind w:left="0" w:right="0" w:firstLine="425"/>
              <w:jc w:val="both"/>
              <w:rPr>
                <w:rFonts w:ascii="Times New Roman" w:hAnsi="Times New Roman"/>
                <w:bCs/>
                <w:i w:val="0"/>
                <w:iCs w:val="0"/>
                <w:color w:val="ff0000"/>
                <w:sz w:val="20"/>
                <w:szCs w:val="20"/>
              </w:rPr>
              <w:suppressLineNumbers w:val="0"/>
            </w:pPr>
            <w:r>
              <w:rPr>
                <w:rFonts w:ascii="Times New Roman" w:hAnsi="Times New Roman"/>
                <w:bCs/>
                <w:i w:val="0"/>
                <w:iCs w:val="0"/>
                <w:color w:val="ff0000"/>
                <w:sz w:val="20"/>
                <w:szCs w:val="20"/>
              </w:rPr>
            </w:r>
            <w:r>
              <w:rPr>
                <w:rFonts w:ascii="Times New Roman" w:hAnsi="Times New Roman"/>
                <w:bCs/>
                <w:i w:val="0"/>
                <w:iCs w:val="0"/>
                <w:color w:val="ff0000"/>
                <w:sz w:val="20"/>
                <w:szCs w:val="20"/>
              </w:rPr>
            </w:r>
            <w:r>
              <w:rPr>
                <w:rFonts w:ascii="Times New Roman" w:hAnsi="Times New Roman"/>
                <w:bCs/>
                <w:i w:val="0"/>
                <w:iCs w:val="0"/>
                <w:color w:val="ff0000"/>
                <w:sz w:val="20"/>
                <w:szCs w:val="20"/>
              </w:rPr>
            </w:r>
          </w:p>
        </w:tc>
      </w:tr>
      <w:tr>
        <w:tblPrEx/>
        <w:trPr>
          <w:trHeight w:val="488"/>
        </w:trPr>
        <w:tc>
          <w:tcPr>
            <w:tcBorders>
              <w:left w:val="single" w:color="auto" w:sz="4" w:space="0"/>
              <w:right w:val="single" w:color="auto" w:sz="4" w:space="0"/>
            </w:tcBorders>
            <w:tcMar>
              <w:left w:w="57" w:type="dxa"/>
              <w:top w:w="0" w:type="dxa"/>
              <w:right w:w="57" w:type="dxa"/>
              <w:bottom w:w="0" w:type="dxa"/>
            </w:tcMar>
            <w:tcW w:w="283"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2.</w:t>
            </w:r>
            <w:r>
              <w:rPr>
                <w:rFonts w:ascii="Times New Roman" w:hAnsi="Times New Roman"/>
                <w:sz w:val="20"/>
                <w:szCs w:val="20"/>
              </w:rPr>
            </w:r>
            <w:r>
              <w:rPr>
                <w:rFonts w:ascii="Times New Roman" w:hAnsi="Times New Roman"/>
                <w:sz w:val="20"/>
                <w:szCs w:val="20"/>
              </w:rPr>
            </w:r>
          </w:p>
          <w:p>
            <w:pPr>
              <w:jc w:val="center"/>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tc>
        <w:tc>
          <w:tcPr>
            <w:tcBorders>
              <w:left w:val="single" w:color="auto" w:sz="4" w:space="0"/>
              <w:right w:val="single" w:color="auto" w:sz="4" w:space="0"/>
            </w:tcBorders>
            <w:tcMar>
              <w:left w:w="57" w:type="dxa"/>
              <w:top w:w="0" w:type="dxa"/>
              <w:right w:w="57" w:type="dxa"/>
              <w:bottom w:w="0" w:type="dxa"/>
            </w:tcMar>
            <w:tcW w:w="2410"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Квалификация участников закупки, в том числе наличие </w:t>
            </w:r>
            <w:r>
              <w:rPr>
                <w:rFonts w:ascii="Times New Roman" w:hAnsi="Times New Roman"/>
                <w:sz w:val="20"/>
                <w:szCs w:val="20"/>
              </w:rPr>
              <w:t xml:space="preserve">у </w:t>
            </w:r>
            <w:r>
              <w:rPr>
                <w:rFonts w:ascii="Times New Roman" w:hAnsi="Times New Roman"/>
                <w:sz w:val="20"/>
                <w:szCs w:val="20"/>
              </w:rPr>
              <w:t xml:space="preserve">них финансовых ресурсов, оборудования и других материальных ресурсов </w:t>
              <w:br/>
              <w:t xml:space="preserve">на праве собственности или ином законном основании, опыта работы, связанного с предметом контракта, и деловой репутации,специалистов </w:t>
              <w:br/>
              <w:t xml:space="preserve">и иных работников определенного уровня квалификации</w:t>
            </w:r>
            <w:r>
              <w:rPr>
                <w:rFonts w:ascii="Times New Roman" w:hAnsi="Times New Roman"/>
                <w:sz w:val="20"/>
                <w:szCs w:val="20"/>
              </w:rPr>
            </w:r>
            <w:r>
              <w:rPr>
                <w:rFonts w:ascii="Times New Roman" w:hAnsi="Times New Roman"/>
                <w:sz w:val="20"/>
                <w:szCs w:val="20"/>
              </w:rPr>
            </w:r>
          </w:p>
        </w:tc>
        <w:tc>
          <w:tcPr>
            <w:tcBorders>
              <w:left w:val="single" w:color="auto" w:sz="4" w:space="0"/>
              <w:right w:val="single" w:color="auto" w:sz="4" w:space="0"/>
            </w:tcBorders>
            <w:tcMar>
              <w:left w:w="57" w:type="dxa"/>
              <w:top w:w="0" w:type="dxa"/>
              <w:right w:w="57" w:type="dxa"/>
              <w:bottom w:w="0" w:type="dxa"/>
            </w:tcMar>
            <w:tcW w:w="1134"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70</w:t>
            </w:r>
            <w:r>
              <w:rPr>
                <w:rFonts w:ascii="Times New Roman" w:hAnsi="Times New Roman"/>
                <w:sz w:val="20"/>
                <w:szCs w:val="20"/>
              </w:rPr>
            </w:r>
            <w:r>
              <w:rPr>
                <w:rFonts w:ascii="Times New Roman" w:hAnsi="Times New Roman"/>
                <w:sz w:val="20"/>
                <w:szCs w:val="20"/>
              </w:rPr>
            </w:r>
          </w:p>
        </w:tc>
        <w:tc>
          <w:tcPr>
            <w:tcBorders>
              <w:left w:val="single" w:color="auto" w:sz="4" w:space="0"/>
              <w:right w:val="single" w:color="auto" w:sz="4" w:space="0"/>
            </w:tcBorders>
            <w:tcMar>
              <w:left w:w="57" w:type="dxa"/>
              <w:top w:w="0" w:type="dxa"/>
              <w:right w:w="57" w:type="dxa"/>
              <w:bottom w:w="0" w:type="dxa"/>
            </w:tcMar>
            <w:tcW w:w="1417"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Наличие </w:t>
              <w:br/>
              <w:t xml:space="preserve">у участников закупки опыта, связанного </w:t>
              <w:br/>
              <w:t xml:space="preserve">с предметом контракта</w:t>
            </w:r>
            <w:r>
              <w:rPr>
                <w:rFonts w:ascii="Times New Roman" w:hAnsi="Times New Roman"/>
                <w:sz w:val="20"/>
                <w:szCs w:val="20"/>
              </w:rPr>
            </w:r>
            <w:r>
              <w:rPr>
                <w:rFonts w:ascii="Times New Roman" w:hAnsi="Times New Roman"/>
                <w:sz w:val="20"/>
                <w:szCs w:val="20"/>
              </w:rPr>
            </w:r>
          </w:p>
        </w:tc>
        <w:tc>
          <w:tcPr>
            <w:tcBorders>
              <w:left w:val="single" w:color="auto" w:sz="4" w:space="0"/>
              <w:right w:val="single" w:color="auto" w:sz="4" w:space="0"/>
            </w:tcBorders>
            <w:tcMar>
              <w:left w:w="57" w:type="dxa"/>
              <w:top w:w="0" w:type="dxa"/>
              <w:right w:w="57" w:type="dxa"/>
              <w:bottom w:w="0" w:type="dxa"/>
            </w:tcMar>
            <w:tcW w:w="1134" w:type="dxa"/>
            <w:vMerge w:val="restart"/>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100</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843" w:type="dxa"/>
            <w:textDirection w:val="lrTb"/>
            <w:noWrap w:val="false"/>
          </w:tcPr>
          <w:p>
            <w:pPr>
              <w:pStyle w:val="737"/>
              <w:jc w:val="center"/>
              <w:rPr>
                <w:rFonts w:ascii="Times New Roman" w:hAnsi="Times New Roman"/>
                <w:sz w:val="20"/>
                <w:szCs w:val="20"/>
              </w:rPr>
            </w:pPr>
            <w:r>
              <w:rPr>
                <w:rFonts w:ascii="Times New Roman" w:hAnsi="Times New Roman"/>
                <w:sz w:val="20"/>
                <w:szCs w:val="20"/>
              </w:rPr>
              <w:t xml:space="preserve">Характеристика квалификации участников закупки № 1.</w:t>
            </w:r>
            <w:r>
              <w:rPr>
                <w:rFonts w:ascii="Times New Roman" w:hAnsi="Times New Roman"/>
                <w:sz w:val="20"/>
                <w:szCs w:val="20"/>
              </w:rPr>
            </w:r>
            <w:r>
              <w:rPr>
                <w:rFonts w:ascii="Times New Roman" w:hAnsi="Times New Roman"/>
                <w:sz w:val="20"/>
                <w:szCs w:val="20"/>
              </w:rPr>
            </w:r>
          </w:p>
          <w:p>
            <w:pPr>
              <w:pStyle w:val="737"/>
              <w:jc w:val="center"/>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737"/>
              <w:jc w:val="center"/>
              <w:rPr>
                <w:rFonts w:ascii="Times New Roman" w:hAnsi="Times New Roman"/>
                <w:b/>
                <w:bCs/>
                <w:sz w:val="20"/>
                <w:szCs w:val="20"/>
              </w:rPr>
            </w:pPr>
            <w:r>
              <w:rPr>
                <w:rFonts w:ascii="Times New Roman" w:hAnsi="Times New Roman"/>
                <w:b/>
                <w:bCs/>
                <w:sz w:val="20"/>
                <w:szCs w:val="20"/>
              </w:rPr>
              <w:t xml:space="preserve">Общее количество исполненных участником закупки договоров</w:t>
            </w:r>
            <w:r>
              <w:rPr>
                <w:rFonts w:ascii="Times New Roman" w:hAnsi="Times New Roman"/>
                <w:b/>
                <w:bCs/>
                <w:sz w:val="20"/>
                <w:szCs w:val="20"/>
              </w:rPr>
            </w:r>
            <w:r>
              <w:rPr>
                <w:rFonts w:ascii="Times New Roman" w:hAnsi="Times New Roman"/>
                <w:b/>
                <w:bCs/>
                <w:sz w:val="20"/>
                <w:szCs w:val="20"/>
              </w:rPr>
            </w:r>
          </w:p>
          <w:p>
            <w:pPr>
              <w:pStyle w:val="737"/>
              <w:jc w:val="center"/>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737"/>
              <w:jc w:val="center"/>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737"/>
              <w:jc w:val="center"/>
              <w:rPr>
                <w:rFonts w:ascii="Times New Roman" w:hAnsi="Times New Roman"/>
              </w:rPr>
            </w:pPr>
            <w:r>
              <w:rPr>
                <w:rFonts w:ascii="Times New Roman" w:hAnsi="Times New Roman"/>
                <w:sz w:val="20"/>
                <w:szCs w:val="20"/>
              </w:rPr>
              <w:t xml:space="preserve">Единица измерения:</w:t>
              <w:br/>
              <w:t xml:space="preserve">Штука </w:t>
              <w:br/>
              <w:t xml:space="preserve">(Код 796 по ОК </w:t>
            </w:r>
            <w:r>
              <w:rPr>
                <w:rFonts w:ascii="Times New Roman" w:hAnsi="Times New Roman"/>
                <w:sz w:val="20"/>
                <w:szCs w:val="20"/>
              </w:rPr>
              <w:t xml:space="preserve">015-94</w:t>
            </w:r>
            <w:r>
              <w:rPr>
                <w:rFonts w:ascii="Times New Roman" w:hAnsi="Times New Roman"/>
                <w:sz w:val="20"/>
                <w:szCs w:val="20"/>
              </w:rPr>
              <w:t xml:space="preserve"> </w:t>
              <w:br/>
              <w:t xml:space="preserve">(МК </w:t>
            </w:r>
            <w:r>
              <w:rPr>
                <w:rFonts w:ascii="Times New Roman" w:hAnsi="Times New Roman"/>
                <w:sz w:val="20"/>
                <w:szCs w:val="20"/>
              </w:rPr>
              <w:t xml:space="preserve">002-97</w:t>
            </w:r>
            <w:r>
              <w:rPr>
                <w:rFonts w:ascii="Times New Roman" w:hAnsi="Times New Roman"/>
                <w:sz w:val="20"/>
                <w:szCs w:val="20"/>
              </w:rPr>
              <w:t xml:space="preserve">)</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134" w:type="dxa"/>
            <w:textDirection w:val="lrTb"/>
            <w:noWrap w:val="false"/>
          </w:tcPr>
          <w:p>
            <w:pPr>
              <w:jc w:val="center"/>
              <w:spacing w:after="0" w:line="240" w:lineRule="auto"/>
              <w:rPr>
                <w:rFonts w:ascii="Times New Roman" w:hAnsi="Times New Roman"/>
                <w:sz w:val="20"/>
                <w:szCs w:val="20"/>
              </w:rPr>
            </w:pPr>
            <w:r>
              <w:rPr>
                <w:rFonts w:ascii="Times New Roman" w:hAnsi="Times New Roman"/>
                <w:sz w:val="20"/>
                <w:szCs w:val="20"/>
              </w:rPr>
              <w:t xml:space="preserve">100</w:t>
            </w:r>
            <w:r>
              <w:rPr>
                <w:rFonts w:ascii="Times New Roman" w:hAnsi="Times New Roman"/>
                <w:sz w:val="20"/>
                <w:szCs w:val="20"/>
              </w:rPr>
            </w:r>
            <w:r>
              <w:rPr>
                <w:rFonts w:ascii="Times New Roman" w:hAnsi="Times New Roman"/>
                <w:sz w:val="20"/>
                <w:szCs w:val="20"/>
              </w:rPr>
            </w:r>
          </w:p>
          <w:p>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668" w:type="dxa"/>
            <w:textDirection w:val="lrTb"/>
            <w:noWrap w:val="false"/>
          </w:tcPr>
          <w:p>
            <w:pPr>
              <w:pStyle w:val="737"/>
              <w:ind w:left="0" w:right="0" w:firstLine="425"/>
              <w:jc w:val="both"/>
              <w:spacing w:line="276" w:lineRule="auto"/>
              <w:rPr>
                <w:rFonts w:ascii="Times New Roman" w:hAnsi="Times New Roman"/>
                <w:color w:val="000000" w:themeColor="text1"/>
                <w:sz w:val="20"/>
                <w:szCs w:val="20"/>
              </w:rPr>
            </w:pPr>
            <w:r>
              <w:rPr>
                <w:rFonts w:ascii="Times New Roman" w:hAnsi="Times New Roman"/>
                <w:color w:val="000000" w:themeColor="text1"/>
                <w:sz w:val="20"/>
                <w:szCs w:val="20"/>
              </w:rPr>
              <w:t xml:space="preserve">Оценка заявок осуществляется с учетом требований </w:t>
              <w:br/>
              <w:t xml:space="preserve">к подтверждающим документам, указанным в разделе III, </w:t>
              <w:br/>
              <w:t xml:space="preserve">и рассчитывается по формуле, предусмотренной </w:t>
            </w:r>
            <w:r>
              <w:rPr>
                <w:rFonts w:ascii="Times New Roman" w:hAnsi="Times New Roman"/>
                <w:color w:val="000000" w:themeColor="text1"/>
                <w:sz w:val="20"/>
                <w:szCs w:val="20"/>
              </w:rPr>
              <w:t xml:space="preserve">пп</w:t>
            </w:r>
            <w:r>
              <w:rPr>
                <w:rFonts w:ascii="Times New Roman" w:hAnsi="Times New Roman"/>
                <w:color w:val="000000" w:themeColor="text1"/>
                <w:sz w:val="20"/>
                <w:szCs w:val="20"/>
              </w:rPr>
              <w:t xml:space="preserve">. «е» п. 20 Положения с учетом п. 26 Положения, для случаев, если лучшим является наибольшее значение характеристики объекта закупки</w:t>
            </w:r>
            <w:r>
              <w:rPr>
                <w:rFonts w:ascii="Times New Roman" w:hAnsi="Times New Roman"/>
                <w:color w:val="000000" w:themeColor="text1"/>
                <w:sz w:val="20"/>
                <w:szCs w:val="20"/>
              </w:rPr>
            </w:r>
            <w:r>
              <w:rPr>
                <w:rFonts w:ascii="Times New Roman" w:hAnsi="Times New Roman"/>
                <w:color w:val="000000" w:themeColor="text1"/>
                <w:sz w:val="20"/>
                <w:szCs w:val="20"/>
              </w:rPr>
            </w:r>
          </w:p>
          <w:p>
            <w:pPr>
              <w:pStyle w:val="737"/>
              <w:ind w:left="0" w:right="0" w:firstLine="0"/>
              <w:jc w:val="both"/>
              <w:spacing w:line="276" w:lineRule="auto"/>
              <w:rPr>
                <w:rFonts w:ascii="Times New Roman" w:hAnsi="Times New Roman"/>
                <w:color w:val="000000" w:themeColor="text1"/>
                <w:sz w:val="20"/>
                <w:szCs w:val="20"/>
              </w:rPr>
            </w:pPr>
            <w:r>
              <w:rPr>
                <w:rFonts w:ascii="Times New Roman" w:hAnsi="Times New Roman"/>
                <w:color w:val="000000" w:themeColor="text1"/>
                <w:sz w:val="20"/>
                <w:szCs w:val="20"/>
              </w:rPr>
              <w:t xml:space="preserve">и установлено предельное максимальное значение характеристики:</w:t>
            </w:r>
            <w:r>
              <w:rPr>
                <w:rFonts w:ascii="Times New Roman" w:hAnsi="Times New Roman"/>
                <w:color w:val="000000" w:themeColor="text1"/>
                <w:sz w:val="20"/>
                <w:szCs w:val="20"/>
              </w:rPr>
            </w:r>
            <w:r>
              <w:rPr>
                <w:rFonts w:ascii="Times New Roman" w:hAnsi="Times New Roman"/>
                <w:color w:val="000000" w:themeColor="text1"/>
                <w:sz w:val="20"/>
                <w:szCs w:val="20"/>
              </w:rPr>
            </w:r>
          </w:p>
          <w:p>
            <w:pPr>
              <w:jc w:val="both"/>
              <w:spacing w:after="0" w:line="240" w:lineRule="auto"/>
              <w:rPr>
                <w:rFonts w:ascii="Times New Roman" w:hAnsi="Times New Roman"/>
                <w:bCs/>
                <w:i/>
                <w:color w:val="000000" w:themeColor="text1"/>
                <w:sz w:val="24"/>
                <w:szCs w:val="24"/>
              </w:rPr>
            </w:pPr>
            <w:r>
              <w:rPr>
                <w:rFonts w:ascii="Times New Roman" w:hAnsi="Times New Roman"/>
                <w:i/>
                <w:color w:val="000000" w:themeColor="text1"/>
                <w:sz w:val="24"/>
                <w:szCs w:val="24"/>
                <w:highlight w:val="none"/>
                <w:lang w:val="en-US"/>
              </w:rPr>
            </w:r>
            <w:r>
              <w:rPr>
                <w:rFonts w:ascii="Times New Roman" w:hAnsi="Times New Roman"/>
                <w:bCs/>
                <w:i/>
                <w:color w:val="000000" w:themeColor="text1"/>
                <w:sz w:val="24"/>
                <w:szCs w:val="24"/>
              </w:rPr>
            </w:r>
            <w:r>
              <w:rPr>
                <w:rFonts w:ascii="Times New Roman" w:hAnsi="Times New Roman"/>
                <w:bCs/>
                <w:i/>
                <w:color w:val="000000" w:themeColor="text1"/>
                <w:sz w:val="24"/>
                <w:szCs w:val="24"/>
              </w:rPr>
            </w:r>
          </w:p>
          <w:p>
            <w:pPr>
              <w:jc w:val="both"/>
              <w:spacing w:after="0" w:line="240" w:lineRule="auto"/>
              <w:rPr>
                <w:rFonts w:ascii="Times New Roman" w:hAnsi="Times New Roman"/>
                <w:bCs/>
                <w:i/>
                <w:color w:val="ff0000"/>
                <w:sz w:val="24"/>
                <w:szCs w:val="24"/>
                <w:highlight w:val="none"/>
              </w:rPr>
            </w:pPr>
            <w:r>
              <w:rPr>
                <w:color w:val="000000" w:themeColor="text1"/>
              </w:rPr>
            </w:r>
            <m:oMathPara>
              <m:oMathParaPr/>
              <m:oMath>
                <m:sSub>
                  <m:sSubPr>
                    <m:ctrlPr>
                      <w:rPr>
                        <w:rFonts w:ascii="Cambria Math" w:hAnsi="Cambria Math" w:eastAsia="Cambria Math" w:cs="Cambria Math"/>
                        <w:i/>
                        <w:color w:val="000000" w:themeColor="text1"/>
                        <w:sz w:val="24"/>
                        <w:szCs w:val="24"/>
                      </w:rPr>
                    </m:ctrlPr>
                  </m:sSubPr>
                  <m:e>
                    <m:r>
                      <w:rPr>
                        <w:rFonts w:ascii="Cambria Math" w:hAnsi="Cambria Math" w:eastAsia="Cambria Math" w:cs="Cambria Math"/>
                        <w:color w:val="000000" w:themeColor="text1"/>
                        <w:sz w:val="24"/>
                        <w:szCs w:val="24"/>
                      </w:rPr>
                      <m:rPr/>
                      <m:t>БХ</m:t>
                    </m:r>
                  </m:e>
                  <m:sub>
                    <m:r>
                      <w:rPr>
                        <w:rFonts w:ascii="Cambria Math" w:hAnsi="Cambria Math" w:eastAsia="Cambria Math" w:cs="Cambria Math"/>
                        <w:color w:val="000000" w:themeColor="text1"/>
                        <w:sz w:val="24"/>
                        <w:szCs w:val="24"/>
                        <w:lang w:val="en-US"/>
                      </w:rPr>
                      <m:rPr/>
                      <m:t>i</m:t>
                    </m:r>
                  </m:sub>
                </m:sSub>
                <m:r>
                  <w:rPr>
                    <w:rFonts w:ascii="Cambria Math" w:hAnsi="Cambria Math" w:eastAsia="Cambria Math" w:cs="Cambria Math"/>
                    <w:color w:val="000000" w:themeColor="text1"/>
                    <w:sz w:val="24"/>
                    <w:szCs w:val="24"/>
                  </w:rPr>
                  <m:rPr/>
                  <m:t>=(</m:t>
                </m:r>
                <m:sSub>
                  <m:sSubPr>
                    <m:ctrlPr>
                      <w:rPr>
                        <w:rFonts w:ascii="Cambria Math" w:hAnsi="Cambria Math" w:eastAsia="Cambria Math" w:cs="Cambria Math"/>
                        <w:i/>
                        <w:color w:val="000000" w:themeColor="text1"/>
                        <w:sz w:val="24"/>
                        <w:szCs w:val="24"/>
                      </w:rPr>
                    </m:ctrlPr>
                  </m:sSubPr>
                  <m:e>
                    <m:r>
                      <w:rPr>
                        <w:rFonts w:ascii="Cambria Math" w:hAnsi="Cambria Math"/>
                        <w:color w:val="000000" w:themeColor="text1"/>
                        <w:sz w:val="24"/>
                        <w:szCs w:val="24"/>
                        <w:lang w:val="en-US"/>
                      </w:rPr>
                      <m:rPr/>
                      <m:t>X</m:t>
                    </m:r>
                  </m:e>
                  <m:sub>
                    <m:r>
                      <w:rPr>
                        <w:rFonts w:ascii="Cambria Math" w:hAnsi="Cambria Math"/>
                        <w:color w:val="000000" w:themeColor="text1"/>
                        <w:sz w:val="24"/>
                        <w:szCs w:val="24"/>
                        <w:lang w:val="en-US"/>
                      </w:rPr>
                      <m:rPr/>
                      <m:t>i </m:t>
                    </m:r>
                  </m:sub>
                </m:sSub>
                <m:r>
                  <w:rPr>
                    <w:rFonts w:ascii="Cambria Math" w:hAnsi="Cambria Math"/>
                    <w:color w:val="000000" w:themeColor="text1"/>
                    <w:sz w:val="24"/>
                    <w:szCs w:val="24"/>
                  </w:rPr>
                  <m:rPr/>
                  <m:t>-</m:t>
                </m:r>
                <m:sSub>
                  <m:sSubPr>
                    <m:ctrlPr>
                      <w:rPr>
                        <w:rFonts w:ascii="Cambria Math" w:hAnsi="Cambria Math" w:eastAsia="Cambria Math" w:cs="Cambria Math"/>
                        <w:i/>
                        <w:color w:val="000000" w:themeColor="text1"/>
                        <w:sz w:val="24"/>
                        <w:szCs w:val="24"/>
                      </w:rPr>
                    </m:ctrlPr>
                  </m:sSubPr>
                  <m:e>
                    <m:r>
                      <w:rPr>
                        <w:rFonts w:ascii="Cambria Math" w:hAnsi="Cambria Math"/>
                        <w:color w:val="000000" w:themeColor="text1"/>
                        <w:sz w:val="24"/>
                        <w:szCs w:val="24"/>
                        <w:lang w:val="en-US"/>
                      </w:rPr>
                      <m:rPr/>
                      <m:t>X</m:t>
                    </m:r>
                  </m:e>
                  <m:sub>
                    <m:r>
                      <w:rPr>
                        <w:rFonts w:ascii="Cambria Math" w:hAnsi="Cambria Math"/>
                        <w:color w:val="000000" w:themeColor="text1"/>
                        <w:sz w:val="24"/>
                        <w:szCs w:val="24"/>
                        <w:lang w:val="en-US"/>
                      </w:rPr>
                      <m:rPr/>
                      <m:t>m</m:t>
                    </m:r>
                    <m:r>
                      <w:rPr>
                        <w:rFonts w:ascii="Cambria Math" w:hAnsi="Cambria Math"/>
                        <w:color w:val="000000" w:themeColor="text1"/>
                        <w:sz w:val="24"/>
                        <w:szCs w:val="24"/>
                        <w:lang w:val="en-US"/>
                      </w:rPr>
                      <m:rPr/>
                      <m:t>in</m:t>
                    </m:r>
                    <m:r>
                      <w:rPr>
                        <w:rFonts w:ascii="Cambria Math" w:hAnsi="Cambria Math"/>
                        <w:color w:val="000000" w:themeColor="text1"/>
                        <w:sz w:val="24"/>
                        <w:szCs w:val="24"/>
                        <w:lang w:val="en-US"/>
                      </w:rPr>
                      <m:rPr/>
                      <m:t> </m:t>
                    </m:r>
                  </m:sub>
                </m:sSub>
                <m:r>
                  <w:rPr>
                    <w:rFonts w:ascii="Cambria Math" w:hAnsi="Cambria Math"/>
                    <w:color w:val="000000" w:themeColor="text1"/>
                    <w:sz w:val="24"/>
                    <w:szCs w:val="24"/>
                  </w:rPr>
                  <m:rPr/>
                  <m:t>)×</m:t>
                </m:r>
                <m:f>
                  <m:fPr>
                    <m:ctrlPr>
                      <w:rPr>
                        <w:rFonts w:ascii="Cambria Math" w:hAnsi="Cambria Math" w:eastAsia="Cambria Math" w:cs="Cambria Math"/>
                        <w:i/>
                        <w:color w:val="000000" w:themeColor="text1"/>
                        <w:sz w:val="24"/>
                        <w:szCs w:val="24"/>
                      </w:rPr>
                    </m:ctrlPr>
                  </m:fPr>
                  <m:num>
                    <m:r>
                      <w:rPr>
                        <w:rFonts w:ascii="Cambria Math" w:hAnsi="Cambria Math"/>
                        <w:color w:val="000000" w:themeColor="text1"/>
                        <w:sz w:val="24"/>
                        <w:szCs w:val="24"/>
                      </w:rPr>
                      <m:rPr/>
                      <m:t>1</m:t>
                    </m:r>
                    <m:r>
                      <w:rPr>
                        <w:rFonts w:ascii="Cambria Math" w:hAnsi="Cambria Math"/>
                        <w:color w:val="000000" w:themeColor="text1"/>
                        <w:sz w:val="24"/>
                        <w:szCs w:val="24"/>
                        <w:lang w:val="en-US"/>
                      </w:rPr>
                      <m:rPr/>
                      <m:t>00</m:t>
                    </m:r>
                  </m:num>
                  <m:den>
                    <m:r>
                      <w:rPr>
                        <w:rFonts w:ascii="Cambria Math" w:hAnsi="Cambria Math"/>
                        <w:color w:val="000000" w:themeColor="text1"/>
                        <w:sz w:val="24"/>
                        <w:szCs w:val="24"/>
                      </w:rPr>
                      <m:rPr/>
                      <m:t>X</m:t>
                    </m:r>
                    <m:m>
                      <m:mPr>
                        <m:baseJc m:val="center"/>
                        <m:cGp/>
                        <m:cGpRule/>
                        <m:cSp/>
                        <m:mcs>
                          <m:mc>
                            <m:mcPr>
                              <m:mcJc m:val="center"/>
                              <m:count m:val="1"/>
                            </m:mcPr>
                          </m:mc>
                        </m:mcs>
                        <m:plcHide m:val="off"/>
                        <m:rSp/>
                        <m:rSpRule/>
                        <m:ctrlPr>
                          <w:rPr>
                            <w:rFonts w:ascii="Cambria Math" w:hAnsi="Cambria Math" w:eastAsia="Cambria Math" w:cs="Cambria Math"/>
                            <w:i/>
                            <w:color w:val="000000" w:themeColor="text1"/>
                            <w:sz w:val="24"/>
                          </w:rPr>
                        </m:ctrlPr>
                      </m:mPr>
                      <m:mr>
                        <m:e>
                          <m:r>
                            <w:rPr>
                              <w:rFonts w:ascii="Cambria Math" w:hAnsi="Cambria Math" w:eastAsia="Cambria Math" w:cs="Cambria Math"/>
                              <w:color w:val="000000" w:themeColor="text1"/>
                            </w:rPr>
                            <m:rPr/>
                            <m:t>пред</m:t>
                          </m:r>
                        </m:e>
                      </m:mr>
                      <m:mr>
                        <m:e>
                          <m:r>
                            <w:rPr>
                              <w:rFonts w:ascii="Cambria Math" w:hAnsi="Cambria Math" w:eastAsia="Cambria Math" w:cs="Cambria Math"/>
                            </w:rPr>
                            <m:rPr/>
                            <m:t>ma</m:t>
                          </m:r>
                          <m:r>
                            <w:rPr>
                              <w:rFonts w:hint="default" w:ascii="Cambria Math" w:hAnsi="Cambria Math" w:eastAsia="Cambria Math" w:cs="Cambria Math"/>
                              <w:color w:val="000000" w:themeColor="text1"/>
                              <w:sz w:val="24"/>
                              <w:szCs w:val="24"/>
                            </w:rPr>
                            <m:rPr>
                              <m:sty m:val="i"/>
                            </m:rPr>
                            <m:t>x</m:t>
                          </m:r>
                        </m:e>
                      </m:mr>
                    </m:m>
                    <m:r>
                      <w:rPr>
                        <w:rFonts w:ascii="Cambria Math" w:hAnsi="Cambria Math"/>
                        <w:color w:val="000000" w:themeColor="text1"/>
                        <w:sz w:val="24"/>
                        <w:szCs w:val="24"/>
                      </w:rPr>
                      <m:rPr/>
                      <m:t>-</m:t>
                    </m:r>
                    <m:sSub>
                      <m:sSubPr>
                        <m:ctrlPr>
                          <w:rPr>
                            <w:rFonts w:ascii="Cambria Math" w:hAnsi="Cambria Math" w:eastAsia="Cambria Math" w:cs="Cambria Math"/>
                            <w:i/>
                            <w:color w:val="000000" w:themeColor="text1"/>
                            <w:sz w:val="24"/>
                          </w:rPr>
                        </m:ctrlPr>
                      </m:sSubPr>
                      <m:e>
                        <m:r>
                          <w:rPr>
                            <w:rFonts w:hint="default" w:ascii="Cambria Math" w:hAnsi="Cambria Math" w:eastAsia="Cambria Math" w:cs="Cambria Math"/>
                            <w:color w:val="000000" w:themeColor="text1"/>
                            <w:sz w:val="24"/>
                            <w:szCs w:val="24"/>
                          </w:rPr>
                          <m:rPr>
                            <m:sty m:val="i"/>
                          </m:rPr>
                          <m:t>X</m:t>
                        </m:r>
                      </m:e>
                      <m:sub>
                        <m:r>
                          <w:rPr>
                            <w:rFonts w:hint="default" w:ascii="Cambria Math" w:hAnsi="Cambria Math" w:eastAsia="Cambria Math" w:cs="Cambria Math"/>
                            <w:color w:val="000000" w:themeColor="text1"/>
                            <w:sz w:val="24"/>
                            <w:szCs w:val="24"/>
                          </w:rPr>
                          <m:rPr>
                            <m:sty m:val="i"/>
                          </m:rPr>
                          <m:t>min</m:t>
                        </m:r>
                      </m:sub>
                    </m:sSub>
                  </m:den>
                </m:f>
              </m:oMath>
            </m:oMathPara>
            <w:r>
              <w:rPr>
                <w:rFonts w:ascii="Times New Roman" w:hAnsi="Times New Roman"/>
                <w:bCs/>
                <w:i/>
                <w:color w:val="ff0000"/>
                <w:sz w:val="24"/>
                <w:szCs w:val="24"/>
                <w:highlight w:val="none"/>
              </w:rPr>
            </w:r>
            <w:r>
              <w:rPr>
                <w:rFonts w:ascii="Times New Roman" w:hAnsi="Times New Roman"/>
                <w:bCs/>
                <w:i/>
                <w:color w:val="ff0000"/>
                <w:sz w:val="24"/>
                <w:szCs w:val="24"/>
                <w:highlight w:val="none"/>
              </w:rPr>
            </w:r>
          </w:p>
          <w:p>
            <w:pPr>
              <w:pStyle w:val="737"/>
              <w:ind w:left="0" w:right="0" w:firstLine="425"/>
              <w:jc w:val="both"/>
              <w:spacing w:before="57" w:beforeAutospacing="0"/>
              <w:rPr>
                <w:rFonts w:ascii="Times New Roman" w:hAnsi="Times New Roman"/>
                <w:color w:val="000000" w:themeColor="text1"/>
                <w:sz w:val="20"/>
                <w:szCs w:val="20"/>
                <w:highlight w:val="none"/>
              </w:rPr>
              <w:suppressLineNumbers w:val="0"/>
            </w:pPr>
            <w:r>
              <w:rPr>
                <w:rFonts w:ascii="Times New Roman" w:hAnsi="Times New Roman"/>
                <w:color w:val="000000" w:themeColor="text1"/>
                <w:sz w:val="20"/>
                <w:szCs w:val="20"/>
              </w:rPr>
              <w:t xml:space="preserve">где:</w:t>
            </w:r>
            <w:r>
              <w:rPr>
                <w:rFonts w:ascii="Times New Roman" w:hAnsi="Times New Roman"/>
                <w:color w:val="000000" w:themeColor="text1"/>
                <w:sz w:val="20"/>
                <w:szCs w:val="20"/>
                <w:highlight w:val="none"/>
              </w:rPr>
            </w:r>
            <w:r>
              <w:rPr>
                <w:rFonts w:ascii="Times New Roman" w:hAnsi="Times New Roman"/>
                <w:color w:val="000000" w:themeColor="text1"/>
                <w:sz w:val="20"/>
                <w:szCs w:val="20"/>
                <w:highlight w:val="none"/>
              </w:rPr>
            </w:r>
          </w:p>
          <w:p>
            <w:pPr>
              <w:pStyle w:val="737"/>
              <w:ind w:left="0" w:right="0" w:firstLine="425"/>
              <w:jc w:val="both"/>
              <w:spacing w:before="57" w:beforeAutospacing="0"/>
              <w:rPr>
                <w:rFonts w:ascii="Times New Roman" w:hAnsi="Times New Roman"/>
                <w:color w:val="000000" w:themeColor="text1"/>
                <w:sz w:val="20"/>
                <w:szCs w:val="20"/>
              </w:rPr>
              <w:suppressLineNumbers w:val="0"/>
            </w:pPr>
            <w:r>
              <w:rPr>
                <w:rFonts w:ascii="Times New Roman" w:hAnsi="Times New Roman"/>
                <w:color w:val="000000" w:themeColor="text1"/>
                <w:sz w:val="20"/>
                <w:szCs w:val="20"/>
              </w:rPr>
            </w:r>
            <m:oMath>
              <m:sSub>
                <m:sSubPr>
                  <m:ctrlPr>
                    <w:rPr>
                      <w:rFonts w:ascii="Cambria Math" w:hAnsi="Cambria Math" w:eastAsia="Cambria Math" w:cs="Cambria Math"/>
                      <w:i/>
                      <w:color w:val="000000" w:themeColor="text1"/>
                      <w:sz w:val="20"/>
                      <w:szCs w:val="24"/>
                    </w:rPr>
                  </m:ctrlPr>
                </m:sSubPr>
                <m:e>
                  <m:r>
                    <w:rPr>
                      <w:rFonts w:ascii="Cambria Math" w:hAnsi="Cambria Math" w:eastAsia="Cambria Math" w:cs="Cambria Math"/>
                      <w:color w:val="000000" w:themeColor="text1"/>
                      <w:sz w:val="20"/>
                      <w:szCs w:val="20"/>
                    </w:rPr>
                    <m:rPr/>
                    <m:t>БХ</m:t>
                  </m:r>
                </m:e>
                <m:sub>
                  <m:r>
                    <w:rPr>
                      <w:rFonts w:ascii="Cambria Math" w:hAnsi="Cambria Math" w:eastAsia="Cambria Math" w:cs="Cambria Math"/>
                      <w:color w:val="000000" w:themeColor="text1"/>
                      <w:sz w:val="20"/>
                      <w:szCs w:val="20"/>
                      <w:lang w:val="en-US"/>
                    </w:rPr>
                    <m:rPr/>
                    <m:t>i</m:t>
                  </m:r>
                </m:sub>
              </m:sSub>
            </m:oMath>
            <w:r>
              <w:rPr>
                <w:rFonts w:ascii="Times New Roman" w:hAnsi="Times New Roman"/>
                <w:i/>
                <w:iCs/>
                <w:color w:val="000000" w:themeColor="text1"/>
                <w:sz w:val="20"/>
                <w:szCs w:val="20"/>
                <w:vertAlign w:val="baseline"/>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значение количества баллов по детализирующему показателю, присваиваемых заявке;</w:t>
            </w:r>
            <w:r>
              <w:rPr>
                <w:rFonts w:ascii="Times New Roman" w:hAnsi="Times New Roman"/>
                <w:color w:val="000000" w:themeColor="text1"/>
                <w:sz w:val="20"/>
                <w:szCs w:val="20"/>
              </w:rPr>
            </w:r>
            <w:r>
              <w:rPr>
                <w:rFonts w:ascii="Times New Roman" w:hAnsi="Times New Roman"/>
                <w:color w:val="000000" w:themeColor="text1"/>
                <w:sz w:val="20"/>
                <w:szCs w:val="20"/>
              </w:rPr>
            </w:r>
          </w:p>
          <w:p>
            <w:pPr>
              <w:pStyle w:val="737"/>
              <w:ind w:left="0" w:right="0" w:firstLine="425"/>
              <w:jc w:val="both"/>
              <w:spacing w:before="57" w:beforeAutospacing="0"/>
              <w:rPr>
                <w:rFonts w:ascii="Times New Roman" w:hAnsi="Times New Roman"/>
                <w:color w:val="000000" w:themeColor="text1"/>
                <w:sz w:val="20"/>
                <w:szCs w:val="20"/>
              </w:rPr>
              <w:suppressLineNumbers w:val="0"/>
            </w:pPr>
            <w:r>
              <w:rPr>
                <w:rFonts w:ascii="Times New Roman" w:hAnsi="Times New Roman"/>
                <w:i w:val="0"/>
                <w:iCs w:val="0"/>
                <w:color w:val="000000" w:themeColor="text1"/>
                <w:sz w:val="20"/>
                <w:szCs w:val="20"/>
              </w:rPr>
            </w:r>
            <m:oMath>
              <m:sSub>
                <m:sSubPr>
                  <m:ctrlPr>
                    <w:rPr>
                      <w:rFonts w:ascii="Cambria Math" w:hAnsi="Cambria Math" w:eastAsia="Cambria Math" w:cs="Cambria Math"/>
                      <w:i/>
                      <w:color w:val="000000" w:themeColor="text1"/>
                      <w:sz w:val="20"/>
                      <w:szCs w:val="24"/>
                    </w:rPr>
                  </m:ctrlPr>
                </m:sSubPr>
                <m:e>
                  <m:r>
                    <w:rPr>
                      <w:rFonts w:ascii="Cambria Math" w:hAnsi="Cambria Math"/>
                      <w:color w:val="000000" w:themeColor="text1"/>
                      <w:sz w:val="20"/>
                      <w:szCs w:val="20"/>
                      <w:lang w:val="en-US"/>
                    </w:rPr>
                    <m:rPr/>
                    <m:t>X</m:t>
                  </m:r>
                </m:e>
                <m:sub>
                  <m:r>
                    <w:rPr>
                      <w:rFonts w:ascii="Cambria Math" w:hAnsi="Cambria Math"/>
                      <w:color w:val="000000" w:themeColor="text1"/>
                      <w:sz w:val="20"/>
                      <w:szCs w:val="20"/>
                    </w:rPr>
                    <m:rPr/>
                    <m:t>i</m:t>
                  </m:r>
                </m:sub>
              </m:sSub>
            </m:oMath>
            <w:r>
              <w:rPr>
                <w:rFonts w:ascii="Times New Roman" w:hAnsi="Times New Roman"/>
                <w:i/>
                <w:iCs/>
                <w:color w:val="000000" w:themeColor="text1"/>
                <w:sz w:val="20"/>
                <w:szCs w:val="20"/>
                <w:vertAlign w:val="baseline"/>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значение характеристики объекта закупки, содержащееся в предложении участника закупки;</w:t>
            </w:r>
            <w:r>
              <w:rPr>
                <w:rFonts w:ascii="Times New Roman" w:hAnsi="Times New Roman"/>
                <w:color w:val="000000" w:themeColor="text1"/>
                <w:sz w:val="20"/>
                <w:szCs w:val="20"/>
              </w:rPr>
            </w:r>
            <w:r>
              <w:rPr>
                <w:rFonts w:ascii="Times New Roman" w:hAnsi="Times New Roman"/>
                <w:color w:val="000000" w:themeColor="text1"/>
                <w:sz w:val="20"/>
                <w:szCs w:val="20"/>
              </w:rPr>
            </w:r>
          </w:p>
          <w:p>
            <w:pPr>
              <w:pStyle w:val="737"/>
              <w:ind w:left="0" w:right="0" w:firstLine="425"/>
              <w:jc w:val="both"/>
              <w:spacing w:before="57" w:beforeAutospacing="0"/>
              <w:rPr>
                <w:rFonts w:ascii="Times New Roman" w:hAnsi="Times New Roman"/>
                <w:color w:val="000000" w:themeColor="text1"/>
                <w:sz w:val="20"/>
                <w:szCs w:val="20"/>
              </w:rPr>
              <w:suppressLineNumbers w:val="0"/>
            </w:pPr>
            <w:r>
              <w:rPr>
                <w:rFonts w:ascii="Times New Roman" w:hAnsi="Times New Roman"/>
                <w:i w:val="0"/>
                <w:iCs w:val="0"/>
                <w:color w:val="000000" w:themeColor="text1"/>
                <w:sz w:val="20"/>
                <w:szCs w:val="20"/>
              </w:rPr>
            </w:r>
            <m:oMath>
              <m:sSub>
                <m:sSubPr>
                  <m:ctrlPr>
                    <w:rPr>
                      <w:rFonts w:ascii="Cambria Math" w:hAnsi="Cambria Math" w:eastAsia="Cambria Math" w:cs="Cambria Math"/>
                      <w:i/>
                      <w:color w:val="000000" w:themeColor="text1"/>
                      <w:sz w:val="20"/>
                      <w:szCs w:val="24"/>
                    </w:rPr>
                  </m:ctrlPr>
                </m:sSubPr>
                <m:e>
                  <m:r>
                    <w:rPr>
                      <w:rFonts w:ascii="Cambria Math" w:hAnsi="Cambria Math"/>
                      <w:color w:val="000000" w:themeColor="text1"/>
                      <w:sz w:val="20"/>
                      <w:szCs w:val="20"/>
                      <w:lang w:val="en-US"/>
                    </w:rPr>
                    <m:rPr/>
                    <m:t>X</m:t>
                  </m:r>
                </m:e>
                <m:sub>
                  <m:r>
                    <w:rPr>
                      <w:rFonts w:ascii="Cambria Math" w:hAnsi="Cambria Math"/>
                      <w:color w:val="000000" w:themeColor="text1"/>
                      <w:sz w:val="20"/>
                      <w:szCs w:val="20"/>
                    </w:rPr>
                    <m:rPr/>
                    <m:t>m</m:t>
                  </m:r>
                  <m:r>
                    <w:rPr>
                      <w:rFonts w:ascii="Cambria Math" w:hAnsi="Cambria Math"/>
                      <w:color w:val="000000" w:themeColor="text1"/>
                      <w:sz w:val="20"/>
                      <w:szCs w:val="20"/>
                      <w:lang w:val="en-US"/>
                    </w:rPr>
                    <m:rPr/>
                    <m:t>in </m:t>
                  </m:r>
                </m:sub>
              </m:sSub>
            </m:oMath>
            <w:r>
              <w:rPr>
                <w:rFonts w:ascii="Times New Roman" w:hAnsi="Times New Roman"/>
                <w:i/>
                <w:iCs/>
                <w:color w:val="000000" w:themeColor="text1"/>
                <w:sz w:val="20"/>
                <w:szCs w:val="20"/>
                <w:vertAlign w:val="baseline"/>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минимальное значение характеристики, содержащееся в заявках (частях заявок);</w:t>
            </w:r>
            <w:r>
              <w:rPr>
                <w:rFonts w:ascii="Times New Roman" w:hAnsi="Times New Roman"/>
                <w:color w:val="000000" w:themeColor="text1"/>
                <w:sz w:val="20"/>
                <w:szCs w:val="20"/>
              </w:rPr>
            </w:r>
            <w:r>
              <w:rPr>
                <w:rFonts w:ascii="Times New Roman" w:hAnsi="Times New Roman"/>
                <w:color w:val="000000" w:themeColor="text1"/>
                <w:sz w:val="20"/>
                <w:szCs w:val="20"/>
              </w:rPr>
            </w:r>
          </w:p>
          <w:p>
            <w:pPr>
              <w:ind w:left="0" w:right="0" w:firstLine="425"/>
              <w:jc w:val="both"/>
              <w:spacing w:before="57" w:beforeAutospacing="0" w:after="0" w:line="288" w:lineRule="atLeast"/>
              <w:rPr>
                <w:rFonts w:ascii="Times New Roman" w:hAnsi="Times New Roman" w:eastAsia="Times New Roman" w:cs="Times New Roman"/>
                <w:color w:val="000000"/>
                <w:sz w:val="20"/>
                <w:szCs w:val="20"/>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i w:val="0"/>
                <w:iCs w:val="0"/>
                <w:color w:val="ff0000"/>
                <w:sz w:val="20"/>
                <w:szCs w:val="20"/>
              </w:rPr>
            </w:r>
            <m:oMath>
              <m:r>
                <w:rPr>
                  <w:rFonts w:ascii="Cambria Math" w:hAnsi="Cambria Math"/>
                  <w:color w:val="000000" w:themeColor="text1"/>
                  <w:sz w:val="20"/>
                  <w:szCs w:val="20"/>
                </w:rPr>
                <m:rPr/>
                <m:t>X</m:t>
              </m:r>
              <m:m>
                <m:mPr>
                  <m:baseJc m:val="center"/>
                  <m:cGp/>
                  <m:cGpRule/>
                  <m:cSp/>
                  <m:mcs>
                    <m:mc>
                      <m:mcPr>
                        <m:mcJc m:val="center"/>
                        <m:count m:val="1"/>
                      </m:mcPr>
                    </m:mc>
                  </m:mcs>
                  <m:plcHide m:val="off"/>
                  <m:rSp/>
                  <m:rSpRule/>
                  <m:ctrlPr>
                    <w:rPr>
                      <w:rFonts w:ascii="Cambria Math" w:hAnsi="Cambria Math" w:eastAsia="Cambria Math" w:cs="Cambria Math"/>
                      <w:i/>
                      <w:color w:val="000000" w:themeColor="text1"/>
                      <w:sz w:val="20"/>
                    </w:rPr>
                  </m:ctrlPr>
                </m:mPr>
                <m:mr>
                  <m:e>
                    <m:r>
                      <w:rPr>
                        <w:rFonts w:ascii="Cambria Math" w:hAnsi="Cambria Math" w:eastAsia="Cambria Math" w:cs="Cambria Math"/>
                        <w:color w:val="000000" w:themeColor="text1"/>
                        <w:sz w:val="20"/>
                        <w:szCs w:val="20"/>
                      </w:rPr>
                      <m:rPr/>
                      <m:t>пред</m:t>
                    </m:r>
                  </m:e>
                </m:mr>
                <m:mr>
                  <m:e>
                    <m:r>
                      <w:rPr>
                        <w:rFonts w:hint="default" w:ascii="Cambria Math" w:hAnsi="Cambria Math" w:eastAsia="Cambria Math" w:cs="Cambria Math"/>
                        <w:color w:val="000000" w:themeColor="text1"/>
                        <w:sz w:val="20"/>
                        <w:szCs w:val="20"/>
                      </w:rPr>
                      <m:rPr>
                        <m:sty m:val="i"/>
                      </m:rPr>
                      <m:t>max</m:t>
                    </m:r>
                  </m:e>
                </m:mr>
              </m:m>
            </m:oMath>
            <w:r>
              <w:rPr>
                <w:rFonts w:ascii="Times New Roman" w:hAnsi="Times New Roman"/>
                <w:i/>
                <w:iCs/>
                <w:color w:val="000000" w:themeColor="text1"/>
                <w:sz w:val="14"/>
                <w:szCs w:val="14"/>
                <w:vertAlign w:val="baseline"/>
              </w:rPr>
              <w:t xml:space="preserve"> </w:t>
            </w:r>
            <w:r>
              <w:rPr>
                <w:rFonts w:ascii="Times New Roman" w:hAnsi="Times New Roman"/>
                <w:i/>
                <w:iCs/>
                <w:color w:val="000000" w:themeColor="text1"/>
                <w:sz w:val="20"/>
                <w:szCs w:val="20"/>
                <w:vertAlign w:val="baseline"/>
              </w:rPr>
              <w:t xml:space="preserve"> </w:t>
            </w:r>
            <w:r>
              <w:rPr>
                <w:rFonts w:ascii="Times New Roman" w:hAnsi="Times New Roman"/>
                <w:color w:val="000000" w:themeColor="text1"/>
                <w:sz w:val="20"/>
                <w:szCs w:val="20"/>
              </w:rPr>
              <w:t xml:space="preserve">–  </w:t>
            </w:r>
            <w:r>
              <w:rPr>
                <w:rFonts w:ascii="Times New Roman" w:hAnsi="Times New Roman" w:eastAsia="Times New Roman" w:cs="Times New Roman"/>
                <w:color w:val="000000" w:themeColor="text1"/>
                <w:sz w:val="20"/>
                <w:szCs w:val="18"/>
              </w:rPr>
              <w:t xml:space="preserve">п</w:t>
            </w:r>
            <w:r>
              <w:rPr>
                <w:rFonts w:ascii="Times New Roman" w:hAnsi="Times New Roman" w:eastAsia="Times New Roman" w:cs="Times New Roman"/>
                <w:color w:val="000000"/>
                <w:sz w:val="20"/>
                <w:szCs w:val="18"/>
              </w:rPr>
              <w:t xml:space="preserve">редельное максимальное значение характеристики, установленное заказчиком.</w:t>
            </w:r>
            <w:r>
              <w:rPr>
                <w:rFonts w:ascii="Times New Roman" w:hAnsi="Times New Roman" w:eastAsia="Times New Roman" w:cs="Times New Roman"/>
                <w:color w:val="000000"/>
                <w:sz w:val="20"/>
                <w:szCs w:val="20"/>
                <w:highlight w:val="none"/>
              </w:rPr>
            </w:r>
            <w:r>
              <w:rPr>
                <w:rFonts w:ascii="Times New Roman" w:hAnsi="Times New Roman" w:eastAsia="Times New Roman" w:cs="Times New Roman"/>
                <w:color w:val="000000"/>
                <w:sz w:val="20"/>
                <w:szCs w:val="20"/>
                <w:highlight w:val="none"/>
              </w:rPr>
            </w:r>
          </w:p>
          <w:p>
            <w:pPr>
              <w:ind w:left="0" w:right="0" w:firstLine="425"/>
              <w:jc w:val="both"/>
              <w:spacing w:before="57" w:beforeAutospacing="0" w:after="0" w:line="288" w:lineRule="atLeast"/>
              <w:rPr>
                <w:rFonts w:ascii="Times New Roman" w:hAnsi="Times New Roman" w:eastAsia="Times New Roman" w:cs="Times New Roman"/>
                <w:color w:val="000000"/>
                <w:sz w:val="20"/>
                <w:szCs w:val="20"/>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color w:val="000000"/>
                <w:sz w:val="20"/>
                <w:szCs w:val="18"/>
                <w:highlight w:val="none"/>
              </w:rPr>
            </w:r>
            <m:oMath>
              <m:r>
                <w:rPr>
                  <w:rFonts w:ascii="Cambria Math" w:hAnsi="Cambria Math"/>
                  <w:color w:val="000000" w:themeColor="text1"/>
                  <w:sz w:val="20"/>
                  <w:szCs w:val="20"/>
                </w:rPr>
                <m:rPr/>
                <m:t>X</m:t>
              </m:r>
              <m:m>
                <m:mPr>
                  <m:baseJc m:val="center"/>
                  <m:cGp/>
                  <m:cGpRule/>
                  <m:cSp/>
                  <m:mcs>
                    <m:mc>
                      <m:mcPr>
                        <m:mcJc m:val="center"/>
                        <m:count m:val="1"/>
                      </m:mcPr>
                    </m:mc>
                  </m:mcs>
                  <m:plcHide m:val="off"/>
                  <m:rSp/>
                  <m:rSpRule/>
                  <m:ctrlPr>
                    <w:rPr>
                      <w:rFonts w:ascii="Cambria Math" w:hAnsi="Cambria Math" w:eastAsia="Cambria Math" w:cs="Cambria Math"/>
                      <w:i/>
                      <w:color w:val="000000" w:themeColor="text1"/>
                      <w:sz w:val="20"/>
                    </w:rPr>
                  </m:ctrlPr>
                </m:mPr>
                <m:mr>
                  <m:e>
                    <m:r>
                      <w:rPr>
                        <w:rFonts w:ascii="Cambria Math" w:hAnsi="Cambria Math" w:eastAsia="Cambria Math" w:cs="Cambria Math"/>
                        <w:color w:val="000000" w:themeColor="text1"/>
                        <w:sz w:val="20"/>
                        <w:szCs w:val="20"/>
                      </w:rPr>
                      <m:rPr/>
                      <m:t>пред</m:t>
                    </m:r>
                  </m:e>
                </m:mr>
                <m:mr>
                  <m:e>
                    <m:r>
                      <w:rPr>
                        <w:rFonts w:hint="default" w:ascii="Cambria Math" w:hAnsi="Cambria Math" w:eastAsia="Cambria Math" w:cs="Cambria Math"/>
                        <w:color w:val="000000" w:themeColor="text1"/>
                        <w:sz w:val="20"/>
                        <w:szCs w:val="20"/>
                      </w:rPr>
                      <m:rPr>
                        <m:sty m:val="i"/>
                      </m:rPr>
                      <m:t>max</m:t>
                    </m:r>
                  </m:e>
                </m:mr>
              </m:m>
            </m:oMath>
            <w:r>
              <w:t xml:space="preserve"> =</w:t>
            </w:r>
            <w:r>
              <w:rPr>
                <w:rFonts w:ascii="Times New Roman" w:hAnsi="Times New Roman" w:eastAsia="Times New Roman" w:cs="Times New Roman"/>
                <w:color w:val="000000"/>
                <w:sz w:val="20"/>
                <w:szCs w:val="20"/>
              </w:rPr>
              <w:t xml:space="preserve"> </w:t>
            </w:r>
            <w:r>
              <w:rPr>
                <w:rFonts w:ascii="Times New Roman" w:hAnsi="Times New Roman" w:eastAsia="Times New Roman" w:cs="Times New Roman"/>
                <w:color w:val="000000"/>
                <w:sz w:val="20"/>
                <w:szCs w:val="20"/>
              </w:rPr>
              <w:t xml:space="preserve">35 контрактов (договоров).</w:t>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r>
    </w:tbl>
    <w:p>
      <w:pPr>
        <w:ind w:right="-425"/>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r>
        <w:br w:type="page" w:clear="all"/>
      </w:r>
      <w:r/>
    </w:p>
    <w:tbl>
      <w:tblPr>
        <w:tblW w:w="15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000" w:firstRow="0" w:lastRow="0" w:firstColumn="0" w:lastColumn="0" w:noHBand="0" w:noVBand="0"/>
      </w:tblPr>
      <w:tblGrid>
        <w:gridCol w:w="564"/>
        <w:gridCol w:w="3688"/>
        <w:gridCol w:w="10913"/>
      </w:tblGrid>
      <w:tr>
        <w:tblPrEx/>
        <w:trPr>
          <w:tblHeader/>
        </w:trPr>
        <w:tc>
          <w:tcPr>
            <w:gridSpan w:val="3"/>
            <w:tcBorders>
              <w:top w:val="none" w:color="000000" w:sz="4" w:space="0"/>
              <w:left w:val="none" w:color="000000" w:sz="4" w:space="0"/>
              <w:bottom w:val="single" w:color="000000" w:sz="4" w:space="0"/>
              <w:right w:val="none" w:color="000000" w:sz="4" w:space="0"/>
            </w:tcBorders>
            <w:tcMar>
              <w:left w:w="57" w:type="dxa"/>
              <w:top w:w="0" w:type="dxa"/>
              <w:right w:w="57" w:type="dxa"/>
              <w:bottom w:w="0" w:type="dxa"/>
            </w:tcMar>
            <w:tcW w:w="15165" w:type="dxa"/>
            <w:vMerge w:val="restart"/>
            <w:textDirection w:val="lrTb"/>
            <w:noWrap w:val="false"/>
          </w:tcPr>
          <w:p>
            <w:pPr>
              <w:jc w:val="center"/>
              <w:spacing w:after="0" w:line="240" w:lineRule="auto"/>
              <w:rPr>
                <w:rFonts w:ascii="Times New Roman" w:hAnsi="Times New Roman"/>
                <w:b/>
                <w:sz w:val="20"/>
                <w:szCs w:val="20"/>
              </w:rPr>
            </w:pPr>
            <w:r>
              <w:rPr>
                <w:rFonts w:ascii="Times New Roman" w:hAnsi="Times New Roman" w:cs="Times New Roman" w:eastAsiaTheme="minorEastAsia"/>
                <w:b/>
              </w:rPr>
            </w:r>
            <w:r>
              <w:rPr>
                <w:rFonts w:ascii="Times New Roman" w:hAnsi="Times New Roman" w:cs="Times New Roman" w:eastAsiaTheme="minorEastAsia"/>
                <w:b/>
              </w:rPr>
              <w:tab/>
            </w:r>
            <w:r>
              <w:rPr>
                <w:rFonts w:ascii="Times New Roman" w:hAnsi="Times New Roman"/>
                <w:b/>
                <w:sz w:val="20"/>
                <w:szCs w:val="20"/>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r>
              <w:rPr>
                <w:rFonts w:ascii="Times New Roman" w:hAnsi="Times New Roman"/>
                <w:b/>
                <w:sz w:val="20"/>
                <w:szCs w:val="20"/>
              </w:rPr>
            </w:r>
            <w:r>
              <w:rPr>
                <w:rFonts w:ascii="Times New Roman" w:hAnsi="Times New Roman"/>
                <w:b/>
                <w:sz w:val="20"/>
                <w:szCs w:val="20"/>
              </w:rPr>
            </w:r>
          </w:p>
          <w:p>
            <w:pPr>
              <w:pStyle w:val="737"/>
              <w:jc w:val="left"/>
              <w:tabs>
                <w:tab w:val="left" w:pos="5171" w:leader="none"/>
              </w:tabs>
              <w:rPr>
                <w:rFonts w:ascii="Times New Roman" w:hAnsi="Times New Roman" w:cs="Times New Roman" w:eastAsiaTheme="minorEastAsia"/>
                <w:b/>
                <w:bCs/>
              </w:rPr>
            </w:pPr>
            <w:r>
              <w:rPr>
                <w:rFonts w:ascii="Times New Roman" w:hAnsi="Times New Roman" w:cs="Times New Roman" w:eastAsiaTheme="minorEastAsia"/>
                <w:b/>
              </w:rPr>
            </w:r>
            <w:r>
              <w:rPr>
                <w:rFonts w:ascii="Times New Roman" w:hAnsi="Times New Roman" w:cs="Times New Roman" w:eastAsiaTheme="minorEastAsia"/>
                <w:b/>
                <w:bCs/>
              </w:rPr>
            </w:r>
            <w:r>
              <w:rPr>
                <w:rFonts w:ascii="Times New Roman" w:hAnsi="Times New Roman" w:cs="Times New Roman" w:eastAsiaTheme="minorEastAsia"/>
                <w:b/>
                <w:bCs/>
              </w:rPr>
            </w:r>
          </w:p>
        </w:tc>
      </w:tr>
      <w:tr>
        <w:tblPrEx/>
        <w:trPr>
          <w:tblHeader/>
        </w:trPr>
        <w:tc>
          <w:tcPr>
            <w:tcBorders>
              <w:top w:val="single" w:color="000000" w:sz="4" w:space="0"/>
            </w:tcBorders>
            <w:tcMar>
              <w:left w:w="57" w:type="dxa"/>
              <w:top w:w="0" w:type="dxa"/>
              <w:right w:w="57" w:type="dxa"/>
              <w:bottom w:w="0" w:type="dxa"/>
            </w:tcMar>
            <w:tcW w:w="564" w:type="dxa"/>
            <w:textDirection w:val="lrTb"/>
            <w:noWrap w:val="false"/>
          </w:tcPr>
          <w:p>
            <w:pPr>
              <w:pStyle w:val="737"/>
              <w:jc w:val="center"/>
              <w:rPr>
                <w:rFonts w:ascii="Times New Roman" w:hAnsi="Times New Roman" w:cs="Times New Roman" w:eastAsiaTheme="minorEastAsia"/>
                <w:b/>
                <w:bCs/>
              </w:rPr>
            </w:pPr>
            <w:r>
              <w:rPr>
                <w:rFonts w:ascii="Times New Roman" w:hAnsi="Times New Roman" w:cs="Times New Roman" w:eastAsiaTheme="minorEastAsia"/>
                <w:b/>
                <w:bCs/>
              </w:rPr>
              <w:t xml:space="preserve">№ п/п</w:t>
            </w:r>
            <w:r>
              <w:rPr>
                <w:rFonts w:ascii="Times New Roman" w:hAnsi="Times New Roman" w:cs="Times New Roman" w:eastAsiaTheme="minorEastAsia"/>
                <w:b/>
                <w:bCs/>
              </w:rPr>
            </w:r>
            <w:r>
              <w:rPr>
                <w:rFonts w:ascii="Times New Roman" w:hAnsi="Times New Roman" w:cs="Times New Roman" w:eastAsiaTheme="minorEastAsia"/>
                <w:b/>
                <w:bCs/>
              </w:rPr>
            </w:r>
          </w:p>
        </w:tc>
        <w:tc>
          <w:tcPr>
            <w:tcBorders>
              <w:top w:val="single" w:color="000000" w:sz="4" w:space="0"/>
            </w:tcBorders>
            <w:tcMar>
              <w:left w:w="57" w:type="dxa"/>
              <w:top w:w="0" w:type="dxa"/>
              <w:right w:w="57" w:type="dxa"/>
              <w:bottom w:w="0" w:type="dxa"/>
            </w:tcMar>
            <w:tcW w:w="3688" w:type="dxa"/>
            <w:textDirection w:val="lrTb"/>
            <w:noWrap w:val="false"/>
          </w:tcPr>
          <w:p>
            <w:pPr>
              <w:pStyle w:val="737"/>
              <w:jc w:val="center"/>
              <w:rPr>
                <w:rFonts w:ascii="Times New Roman" w:hAnsi="Times New Roman" w:cs="Times New Roman" w:eastAsiaTheme="minorEastAsia"/>
                <w:b/>
              </w:rPr>
            </w:pPr>
            <w:r>
              <w:rPr>
                <w:rFonts w:ascii="Times New Roman" w:hAnsi="Times New Roman" w:cs="Times New Roman" w:eastAsiaTheme="minorEastAsia"/>
                <w:b/>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tooltip="#P167" w:anchor="P167" w:history="1">
              <w:r>
                <w:rPr>
                  <w:rFonts w:ascii="Times New Roman" w:hAnsi="Times New Roman" w:cs="Times New Roman" w:eastAsiaTheme="minorEastAsia"/>
                  <w:b/>
                </w:rPr>
                <w:t xml:space="preserve">графой 3</w:t>
              </w:r>
            </w:hyperlink>
            <w:r>
              <w:rPr>
                <w:rFonts w:ascii="Times New Roman" w:hAnsi="Times New Roman" w:cs="Times New Roman" w:eastAsiaTheme="minorEastAsia"/>
                <w:b/>
              </w:rPr>
            </w:r>
            <w:r>
              <w:rPr>
                <w:rFonts w:ascii="Times New Roman" w:hAnsi="Times New Roman" w:cs="Times New Roman" w:eastAsiaTheme="minorEastAsia"/>
                <w:b/>
              </w:rPr>
            </w:r>
          </w:p>
        </w:tc>
        <w:tc>
          <w:tcPr>
            <w:tcBorders>
              <w:top w:val="single" w:color="000000" w:sz="4" w:space="0"/>
            </w:tcBorders>
            <w:tcMar>
              <w:left w:w="57" w:type="dxa"/>
              <w:top w:w="0" w:type="dxa"/>
              <w:right w:w="57" w:type="dxa"/>
              <w:bottom w:w="0" w:type="dxa"/>
            </w:tcMar>
            <w:tcW w:w="10913" w:type="dxa"/>
            <w:textDirection w:val="lrTb"/>
            <w:noWrap w:val="false"/>
          </w:tcPr>
          <w:p>
            <w:pPr>
              <w:pStyle w:val="737"/>
              <w:jc w:val="center"/>
              <w:rPr>
                <w:rFonts w:ascii="Times New Roman" w:hAnsi="Times New Roman" w:cs="Times New Roman" w:eastAsiaTheme="minorEastAsia"/>
                <w:b/>
              </w:rPr>
            </w:pPr>
            <w:r>
              <w:rPr>
                <w:rFonts w:ascii="Times New Roman" w:hAnsi="Times New Roman" w:cs="Times New Roman" w:eastAsiaTheme="minorEastAsia"/>
                <w:b/>
              </w:rPr>
              <w:t xml:space="preserve">Положение о применения критерия оценки, показателя оценки, показателя оценки, детализирующего показатель оценки</w:t>
            </w:r>
            <w:r>
              <w:rPr>
                <w:rFonts w:ascii="Times New Roman" w:hAnsi="Times New Roman" w:cs="Times New Roman" w:eastAsiaTheme="minorEastAsia"/>
                <w:b/>
              </w:rPr>
            </w:r>
            <w:r>
              <w:rPr>
                <w:rFonts w:ascii="Times New Roman" w:hAnsi="Times New Roman" w:cs="Times New Roman" w:eastAsiaTheme="minorEastAsia"/>
                <w:b/>
              </w:rPr>
            </w:r>
          </w:p>
        </w:tc>
      </w:tr>
      <w:tr>
        <w:tblPrEx/>
        <w:trPr>
          <w:tblHeader/>
        </w:trPr>
        <w:tc>
          <w:tcPr>
            <w:tcMar>
              <w:left w:w="57" w:type="dxa"/>
              <w:top w:w="0" w:type="dxa"/>
              <w:right w:w="57" w:type="dxa"/>
              <w:bottom w:w="0" w:type="dxa"/>
            </w:tcMar>
            <w:tcW w:w="564" w:type="dxa"/>
            <w:textDirection w:val="lrTb"/>
            <w:noWrap w:val="false"/>
          </w:tcPr>
          <w:p>
            <w:pPr>
              <w:pStyle w:val="737"/>
              <w:jc w:val="center"/>
              <w:rPr>
                <w:rFonts w:ascii="Times New Roman" w:hAnsi="Times New Roman" w:cs="Times New Roman" w:eastAsiaTheme="minorEastAsia"/>
              </w:rPr>
            </w:pPr>
            <w:r>
              <w:rPr>
                <w:rFonts w:ascii="Times New Roman" w:hAnsi="Times New Roman" w:cs="Times New Roman" w:eastAsiaTheme="minorEastAsia"/>
              </w:rPr>
              <w:t xml:space="preserve">1</w:t>
            </w:r>
            <w:r>
              <w:rPr>
                <w:rFonts w:ascii="Times New Roman" w:hAnsi="Times New Roman" w:cs="Times New Roman" w:eastAsiaTheme="minorEastAsia"/>
              </w:rPr>
            </w:r>
            <w:r>
              <w:rPr>
                <w:rFonts w:ascii="Times New Roman" w:hAnsi="Times New Roman" w:cs="Times New Roman" w:eastAsiaTheme="minorEastAsia"/>
              </w:rPr>
            </w:r>
          </w:p>
        </w:tc>
        <w:tc>
          <w:tcPr>
            <w:tcMar>
              <w:left w:w="57" w:type="dxa"/>
              <w:top w:w="0" w:type="dxa"/>
              <w:right w:w="57" w:type="dxa"/>
              <w:bottom w:w="0" w:type="dxa"/>
            </w:tcMar>
            <w:tcW w:w="3688" w:type="dxa"/>
            <w:textDirection w:val="lrTb"/>
            <w:noWrap w:val="false"/>
          </w:tcPr>
          <w:p>
            <w:pPr>
              <w:pStyle w:val="737"/>
              <w:jc w:val="center"/>
              <w:rPr>
                <w:rFonts w:ascii="Times New Roman" w:hAnsi="Times New Roman" w:cs="Times New Roman" w:eastAsiaTheme="minorEastAsia"/>
              </w:rPr>
            </w:pPr>
            <w:r>
              <w:rPr>
                <w:rFonts w:ascii="Times New Roman" w:hAnsi="Times New Roman" w:cs="Times New Roman" w:eastAsiaTheme="minorEastAsia"/>
              </w:rPr>
              <w:t xml:space="preserve">2</w:t>
            </w:r>
            <w:r>
              <w:rPr>
                <w:rFonts w:ascii="Times New Roman" w:hAnsi="Times New Roman" w:cs="Times New Roman" w:eastAsiaTheme="minorEastAsia"/>
              </w:rPr>
            </w:r>
            <w:r>
              <w:rPr>
                <w:rFonts w:ascii="Times New Roman" w:hAnsi="Times New Roman" w:cs="Times New Roman" w:eastAsiaTheme="minorEastAsia"/>
              </w:rPr>
            </w:r>
          </w:p>
        </w:tc>
        <w:tc>
          <w:tcPr>
            <w:tcMar>
              <w:left w:w="57" w:type="dxa"/>
              <w:top w:w="0" w:type="dxa"/>
              <w:right w:w="57" w:type="dxa"/>
              <w:bottom w:w="0" w:type="dxa"/>
            </w:tcMar>
            <w:tcW w:w="10913" w:type="dxa"/>
            <w:textDirection w:val="lrTb"/>
            <w:noWrap w:val="false"/>
          </w:tcPr>
          <w:p>
            <w:pPr>
              <w:pStyle w:val="737"/>
              <w:jc w:val="center"/>
              <w:rPr>
                <w:rFonts w:ascii="Times New Roman" w:hAnsi="Times New Roman" w:cs="Times New Roman" w:eastAsiaTheme="minorEastAsia"/>
              </w:rPr>
            </w:pPr>
            <w:r>
              <w:rPr>
                <w:rFonts w:ascii="Times New Roman" w:hAnsi="Times New Roman" w:cs="Times New Roman" w:eastAsiaTheme="minorEastAsia"/>
              </w:rPr>
              <w:t xml:space="preserve">3</w:t>
            </w:r>
            <w:r>
              <w:rPr>
                <w:rFonts w:ascii="Times New Roman" w:hAnsi="Times New Roman" w:cs="Times New Roman" w:eastAsiaTheme="minorEastAsia"/>
              </w:rPr>
            </w:r>
            <w:r>
              <w:rPr>
                <w:rFonts w:ascii="Times New Roman" w:hAnsi="Times New Roman" w:cs="Times New Roman" w:eastAsiaTheme="minorEastAsia"/>
              </w:rPr>
            </w:r>
          </w:p>
        </w:tc>
      </w:tr>
      <w:tr>
        <w:tblPrEx/>
        <w:trPr>
          <w:trHeight w:val="686"/>
        </w:trPr>
        <w:tc>
          <w:tcPr>
            <w:tcMar>
              <w:left w:w="57" w:type="dxa"/>
              <w:top w:w="0" w:type="dxa"/>
              <w:right w:w="57" w:type="dxa"/>
              <w:bottom w:w="0" w:type="dxa"/>
            </w:tcMar>
            <w:tcW w:w="564" w:type="dxa"/>
            <w:textDirection w:val="lrTb"/>
            <w:noWrap w:val="false"/>
          </w:tcPr>
          <w:p>
            <w:pPr>
              <w:pStyle w:val="737"/>
              <w:jc w:val="center"/>
              <w:rPr>
                <w:rFonts w:ascii="Times New Roman" w:hAnsi="Times New Roman"/>
                <w:sz w:val="20"/>
                <w:szCs w:val="20"/>
              </w:rPr>
            </w:pPr>
            <w:r>
              <w:rPr>
                <w:rFonts w:ascii="Times New Roman" w:hAnsi="Times New Roman"/>
                <w:sz w:val="20"/>
                <w:szCs w:val="20"/>
              </w:rPr>
              <w:t xml:space="preserve">1</w:t>
            </w:r>
            <w:r>
              <w:rPr>
                <w:rFonts w:ascii="Times New Roman" w:hAnsi="Times New Roman"/>
                <w:sz w:val="20"/>
                <w:szCs w:val="20"/>
              </w:rPr>
            </w:r>
            <w:r>
              <w:rPr>
                <w:rFonts w:ascii="Times New Roman" w:hAnsi="Times New Roman"/>
                <w:sz w:val="20"/>
                <w:szCs w:val="20"/>
              </w:rPr>
            </w:r>
          </w:p>
        </w:tc>
        <w:tc>
          <w:tcPr>
            <w:tcMar>
              <w:left w:w="57" w:type="dxa"/>
              <w:top w:w="0" w:type="dxa"/>
              <w:right w:w="57" w:type="dxa"/>
              <w:bottom w:w="0" w:type="dxa"/>
            </w:tcMar>
            <w:tcW w:w="3688"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Критерий:</w:t>
            </w:r>
            <w:r>
              <w:rPr>
                <w:rFonts w:ascii="Times New Roman" w:hAnsi="Times New Roman"/>
                <w:sz w:val="20"/>
                <w:szCs w:val="20"/>
              </w:rPr>
              <w:br/>
              <w:t xml:space="preserve">«Цена контракта, сумма цен единиц товара, работы, услуги»</w:t>
            </w:r>
            <w:r>
              <w:rPr>
                <w:rFonts w:ascii="Times New Roman" w:hAnsi="Times New Roman"/>
                <w:sz w:val="20"/>
                <w:szCs w:val="20"/>
              </w:rPr>
            </w:r>
            <w:r>
              <w:rPr>
                <w:rFonts w:ascii="Times New Roman" w:hAnsi="Times New Roman"/>
                <w:sz w:val="20"/>
                <w:szCs w:val="20"/>
              </w:rPr>
            </w:r>
          </w:p>
        </w:tc>
        <w:tc>
          <w:tcPr>
            <w:tcMar>
              <w:left w:w="57" w:type="dxa"/>
              <w:top w:w="0" w:type="dxa"/>
              <w:right w:w="57" w:type="dxa"/>
              <w:bottom w:w="0" w:type="dxa"/>
            </w:tcMar>
            <w:tcW w:w="10913"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Подпункт «а» пункта 3 Положения.</w:t>
            </w:r>
            <w:r>
              <w:rPr>
                <w:rFonts w:ascii="Times New Roman" w:hAnsi="Times New Roman"/>
                <w:sz w:val="20"/>
                <w:szCs w:val="20"/>
              </w:rPr>
            </w:r>
            <w:r>
              <w:rPr>
                <w:rFonts w:ascii="Times New Roman" w:hAnsi="Times New Roman"/>
                <w:sz w:val="20"/>
                <w:szCs w:val="20"/>
              </w:rPr>
            </w:r>
          </w:p>
        </w:tc>
      </w:tr>
      <w:tr>
        <w:tblPrEx/>
        <w:trPr>
          <w:trHeight w:val="470"/>
        </w:trPr>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64" w:type="dxa"/>
            <w:textDirection w:val="lrTb"/>
            <w:noWrap w:val="false"/>
          </w:tcPr>
          <w:p>
            <w:pPr>
              <w:pStyle w:val="737"/>
              <w:jc w:val="center"/>
              <w:rPr>
                <w:rFonts w:ascii="Times New Roman" w:hAnsi="Times New Roman"/>
                <w:sz w:val="20"/>
                <w:szCs w:val="20"/>
              </w:rPr>
            </w:pPr>
            <w:r>
              <w:rPr>
                <w:rFonts w:ascii="Times New Roman" w:hAnsi="Times New Roman"/>
                <w:sz w:val="20"/>
                <w:szCs w:val="20"/>
              </w:rPr>
              <w:t xml:space="preserve">2</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3688"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Критерий:</w:t>
            </w:r>
            <w:r>
              <w:rPr>
                <w:rFonts w:ascii="Times New Roman" w:hAnsi="Times New Roman"/>
                <w:sz w:val="20"/>
                <w:szCs w:val="20"/>
              </w:rPr>
              <w:br/>
              <w:t xml:space="preserve">«Квалификация участников закупки»</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913"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Подпункт «г» пункта 3 Положения.</w:t>
            </w:r>
            <w:r>
              <w:rPr>
                <w:rFonts w:ascii="Times New Roman" w:hAnsi="Times New Roman"/>
                <w:sz w:val="20"/>
                <w:szCs w:val="20"/>
              </w:rPr>
            </w:r>
            <w:r>
              <w:rPr>
                <w:rFonts w:ascii="Times New Roman" w:hAnsi="Times New Roman"/>
                <w:sz w:val="20"/>
                <w:szCs w:val="20"/>
              </w:rPr>
            </w:r>
          </w:p>
        </w:tc>
      </w:tr>
      <w:tr>
        <w:tblPrEx/>
        <w:trPr/>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64" w:type="dxa"/>
            <w:textDirection w:val="lrTb"/>
            <w:noWrap w:val="false"/>
          </w:tcPr>
          <w:p>
            <w:pPr>
              <w:pStyle w:val="737"/>
              <w:jc w:val="center"/>
              <w:rPr>
                <w:rFonts w:ascii="Times New Roman" w:hAnsi="Times New Roman"/>
                <w:sz w:val="20"/>
                <w:szCs w:val="20"/>
              </w:rPr>
            </w:pPr>
            <w:r>
              <w:rPr>
                <w:rFonts w:ascii="Times New Roman" w:hAnsi="Times New Roman"/>
                <w:sz w:val="20"/>
                <w:szCs w:val="20"/>
              </w:rPr>
              <w:t xml:space="preserve">2.1</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3688"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Показатель:</w:t>
            </w:r>
            <w:r>
              <w:rPr>
                <w:rFonts w:ascii="Times New Roman" w:hAnsi="Times New Roman"/>
                <w:sz w:val="20"/>
                <w:szCs w:val="20"/>
              </w:rPr>
              <w:br/>
              <w:t xml:space="preserve">«Наличие у участников закупки опыта выполнения работы, оказания услуги связанного с предметом контракта»</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913"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Подпункт «в» пункта 24 Положения.</w:t>
            </w:r>
            <w:r>
              <w:rPr>
                <w:rFonts w:ascii="Times New Roman" w:hAnsi="Times New Roman"/>
                <w:sz w:val="20"/>
                <w:szCs w:val="20"/>
              </w:rPr>
            </w:r>
            <w:r>
              <w:rPr>
                <w:rFonts w:ascii="Times New Roman" w:hAnsi="Times New Roman"/>
                <w:sz w:val="20"/>
                <w:szCs w:val="20"/>
              </w:rPr>
            </w:r>
          </w:p>
        </w:tc>
      </w:tr>
      <w:tr>
        <w:tblPrEx/>
        <w:trPr>
          <w:trHeight w:val="1649"/>
        </w:trPr>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64" w:type="dxa"/>
            <w:textDirection w:val="lrTb"/>
            <w:noWrap w:val="false"/>
          </w:tcPr>
          <w:p>
            <w:pPr>
              <w:pStyle w:val="737"/>
              <w:jc w:val="center"/>
              <w:rPr>
                <w:rFonts w:ascii="Times New Roman" w:hAnsi="Times New Roman"/>
                <w:sz w:val="20"/>
                <w:szCs w:val="20"/>
              </w:rPr>
            </w:pPr>
            <w:r>
              <w:rPr>
                <w:rFonts w:ascii="Times New Roman" w:hAnsi="Times New Roman"/>
                <w:sz w:val="20"/>
                <w:szCs w:val="20"/>
              </w:rPr>
              <w:t xml:space="preserve">2.1.1</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3688" w:type="dxa"/>
            <w:textDirection w:val="lrTb"/>
            <w:noWrap w:val="false"/>
          </w:tcPr>
          <w:p>
            <w:pPr>
              <w:pStyle w:val="737"/>
              <w:rPr>
                <w:rFonts w:ascii="Times New Roman" w:hAnsi="Times New Roman"/>
                <w:sz w:val="20"/>
                <w:szCs w:val="20"/>
              </w:rPr>
            </w:pPr>
            <w:r>
              <w:rPr>
                <w:rFonts w:ascii="Times New Roman" w:hAnsi="Times New Roman"/>
                <w:sz w:val="20"/>
                <w:szCs w:val="20"/>
              </w:rPr>
              <w:t xml:space="preserve">Детализирующий показатель:</w:t>
            </w:r>
            <w:r>
              <w:rPr>
                <w:rFonts w:ascii="Times New Roman" w:hAnsi="Times New Roman"/>
                <w:sz w:val="20"/>
                <w:szCs w:val="20"/>
              </w:rPr>
              <w:br/>
              <w:t xml:space="preserve">Общее количество исполненных участником закупки договоров</w:t>
            </w:r>
            <w:r>
              <w:rPr>
                <w:rFonts w:ascii="Times New Roman" w:hAnsi="Times New Roman"/>
                <w:sz w:val="20"/>
                <w:szCs w:val="20"/>
              </w:rPr>
            </w:r>
            <w:r>
              <w:rPr>
                <w:rFonts w:ascii="Times New Roman" w:hAnsi="Times New Roman"/>
                <w:sz w:val="20"/>
                <w:szCs w:val="20"/>
              </w:rP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913" w:type="dxa"/>
            <w:textDirection w:val="lrTb"/>
            <w:noWrap w:val="false"/>
          </w:tcPr>
          <w:p>
            <w:pPr>
              <w:pStyle w:val="737"/>
              <w:contextualSpacing w:val="0"/>
              <w:ind w:left="0" w:right="0" w:firstLine="425"/>
              <w:jc w:val="both"/>
              <w:rPr>
                <w:rFonts w:ascii="Times New Roman" w:hAnsi="Times New Roman"/>
                <w:color w:val="000000"/>
                <w:sz w:val="20"/>
                <w:szCs w:val="20"/>
              </w:rPr>
              <w:suppressLineNumbers w:val="0"/>
            </w:pPr>
            <w:r>
              <w:rPr>
                <w:rFonts w:ascii="Times New Roman" w:hAnsi="Times New Roman"/>
                <w:color w:val="000000"/>
                <w:sz w:val="20"/>
                <w:szCs w:val="20"/>
              </w:rPr>
            </w:r>
            <w:r>
              <w:rPr>
                <w:rFonts w:ascii="Times New Roman" w:hAnsi="Times New Roman"/>
                <w:color w:val="000000"/>
                <w:sz w:val="20"/>
                <w:szCs w:val="20"/>
              </w:rPr>
              <w:t xml:space="preserve">Оценивается общее количество предоставленных участником исполненных контрактов (договоров) сопоставимого характера предмету закупки, исчисляемое в штуках по показателю </w:t>
            </w:r>
            <w:r>
              <w:rPr>
                <w:rFonts w:ascii="Times New Roman" w:hAnsi="Times New Roman"/>
                <w:sz w:val="20"/>
                <w:szCs w:val="20"/>
              </w:rPr>
              <w:t xml:space="preserve">БХ</w:t>
            </w:r>
            <w:r>
              <w:rPr>
                <w:rFonts w:ascii="Times New Roman" w:hAnsi="Times New Roman"/>
                <w:i/>
                <w:iCs/>
                <w:sz w:val="20"/>
                <w:szCs w:val="20"/>
                <w:u w:val="none"/>
                <w:vertAlign w:val="subscript"/>
              </w:rPr>
              <w:t xml:space="preserve">i</w:t>
            </w:r>
            <w:r>
              <w:rPr>
                <w:rFonts w:ascii="Times New Roman" w:hAnsi="Times New Roman"/>
                <w:color w:val="000000"/>
                <w:sz w:val="20"/>
                <w:szCs w:val="20"/>
              </w:rPr>
              <w:t xml:space="preserve">.</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color w:val="000000"/>
                <w:sz w:val="20"/>
                <w:szCs w:val="20"/>
                <w:highlight w:val="none"/>
              </w:rPr>
            </w:pPr>
            <w:r>
              <w:rPr>
                <w:rFonts w:ascii="Times New Roman" w:hAnsi="Times New Roman"/>
                <w:color w:val="000000"/>
                <w:sz w:val="20"/>
                <w:szCs w:val="20"/>
              </w:rPr>
            </w:r>
            <w:r>
              <w:rPr>
                <w:rFonts w:ascii="Times New Roman" w:hAnsi="Times New Roman"/>
                <w:color w:val="000000" w:themeColor="text1"/>
                <w:sz w:val="20"/>
                <w:szCs w:val="20"/>
              </w:rPr>
              <w:t xml:space="preserve">Под работами / услугами сопоставимого характера понимается исполнение участником закупки контрактов (договоров) по </w:t>
            </w:r>
            <w:r>
              <w:rPr>
                <w:rFonts w:ascii="Times New Roman" w:hAnsi="Times New Roman"/>
                <w:sz w:val="20"/>
                <w:szCs w:val="20"/>
              </w:rPr>
              <w:t xml:space="preserve">созданию и/или развитию и/или модернизации и/или сопровождению государственных информационных </w:t>
              <w:br/>
              <w:t xml:space="preserve">и/или автоматизированных информационных систем, используемых для предоставления государственных услуг в электронной форме</w:t>
            </w:r>
            <w:r>
              <w:rPr>
                <w:rFonts w:ascii="Times New Roman" w:hAnsi="Times New Roman"/>
                <w:color w:val="000000"/>
                <w:sz w:val="20"/>
                <w:szCs w:val="20"/>
              </w:rPr>
              <w:t xml:space="preserve">.</w:t>
            </w:r>
            <w:r>
              <w:rPr>
                <w:rFonts w:ascii="Times New Roman" w:hAnsi="Times New Roman"/>
                <w:color w:val="000000"/>
                <w:sz w:val="20"/>
                <w:szCs w:val="20"/>
                <w:highlight w:val="none"/>
              </w:rPr>
            </w:r>
            <w:r>
              <w:rPr>
                <w:rFonts w:ascii="Times New Roman" w:hAnsi="Times New Roman"/>
                <w:color w:val="000000"/>
                <w:sz w:val="20"/>
                <w:szCs w:val="20"/>
                <w:highlight w:val="none"/>
              </w:rPr>
            </w:r>
          </w:p>
          <w:p>
            <w:pPr>
              <w:pStyle w:val="737"/>
              <w:ind w:left="0" w:right="0" w:firstLine="425"/>
              <w:jc w:val="both"/>
              <w:rPr>
                <w:rFonts w:ascii="Times New Roman" w:hAnsi="Times New Roman"/>
                <w:color w:val="000000"/>
                <w:sz w:val="20"/>
                <w:szCs w:val="20"/>
                <w:highlight w:val="none"/>
              </w:rPr>
            </w:pPr>
            <w:r>
              <w:rPr>
                <w:rFonts w:ascii="Times New Roman" w:hAnsi="Times New Roman"/>
                <w:color w:val="000000"/>
                <w:sz w:val="20"/>
                <w:szCs w:val="20"/>
                <w:highlight w:val="none"/>
              </w:rPr>
            </w:r>
            <w:r>
              <w:rPr>
                <w:rFonts w:ascii="Times New Roman" w:hAnsi="Times New Roman"/>
                <w:color w:val="000000"/>
                <w:sz w:val="20"/>
                <w:szCs w:val="20"/>
                <w:highlight w:val="none"/>
              </w:rPr>
              <w:t xml:space="preserve">Предельное максимальное количество исполненных участником закупки контрактов (договоров) – 35 (тридцать пять) штук.</w:t>
            </w:r>
            <w:r>
              <w:rPr>
                <w:rFonts w:ascii="Times New Roman" w:hAnsi="Times New Roman"/>
                <w:color w:val="000000"/>
                <w:sz w:val="20"/>
                <w:szCs w:val="20"/>
                <w:highlight w:val="none"/>
              </w:rPr>
            </w:r>
            <w:r>
              <w:rPr>
                <w:rFonts w:ascii="Times New Roman" w:hAnsi="Times New Roman"/>
                <w:color w:val="000000"/>
                <w:sz w:val="20"/>
                <w:szCs w:val="20"/>
                <w:highlight w:val="none"/>
              </w:rPr>
            </w:r>
          </w:p>
          <w:p>
            <w:pPr>
              <w:pStyle w:val="737"/>
              <w:ind w:left="0" w:right="0" w:firstLine="425"/>
              <w:jc w:val="both"/>
              <w:rPr>
                <w:rFonts w:ascii="Times New Roman" w:hAnsi="Times New Roman"/>
                <w:color w:val="000000"/>
                <w:sz w:val="20"/>
                <w:szCs w:val="20"/>
              </w:rPr>
            </w:pPr>
            <w:r>
              <w:rPr>
                <w:rFonts w:ascii="Times New Roman" w:hAnsi="Times New Roman"/>
                <w:color w:val="000000"/>
                <w:sz w:val="20"/>
                <w:szCs w:val="20"/>
                <w:highlight w:val="none"/>
              </w:rPr>
            </w:r>
            <w:r>
              <w:rPr>
                <w:rFonts w:ascii="Times New Roman" w:hAnsi="Times New Roman"/>
                <w:color w:val="000000"/>
                <w:sz w:val="20"/>
                <w:szCs w:val="20"/>
                <w:highlight w:val="none"/>
              </w:rPr>
              <w:t xml:space="preserve">Т</w:t>
            </w:r>
            <w:r>
              <w:rPr>
                <w:rFonts w:ascii="Times New Roman" w:hAnsi="Times New Roman"/>
                <w:color w:val="000000"/>
                <w:sz w:val="20"/>
                <w:szCs w:val="20"/>
                <w:highlight w:val="none"/>
              </w:rPr>
              <w:t xml:space="preserve">ак ка</w:t>
            </w:r>
            <w:r>
              <w:rPr>
                <w:rFonts w:ascii="Times New Roman" w:hAnsi="Times New Roman"/>
                <w:color w:val="000000"/>
                <w:sz w:val="20"/>
                <w:szCs w:val="20"/>
                <w:highlight w:val="none"/>
              </w:rPr>
              <w:t xml:space="preserve">к установлено предельное максимальное значение детализирующего показателя, то предложение участника закупки, содержащее значение детализирующего показателя, которое равно, либо выше предельного максимального значения, установленного заказчиком, баллы по де</w:t>
            </w:r>
            <w:r>
              <w:rPr>
                <w:rFonts w:ascii="Times New Roman" w:hAnsi="Times New Roman"/>
                <w:color w:val="000000"/>
                <w:sz w:val="20"/>
                <w:szCs w:val="20"/>
                <w:highlight w:val="none"/>
              </w:rPr>
              <w:t xml:space="preserve">тализирующему показателю присваиваются в размере, предусмотренном </w:t>
              <w:br/>
              <w:t xml:space="preserve">для соответствующего предельного значения детализирующего показателя (35 контрактов (договоров) – 100 баллов.</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t xml:space="preserve">К оценке принимаются исполненные участником закупки с учетом правопреемства (в случае н</w:t>
            </w:r>
            <w:r>
              <w:rPr>
                <w:rFonts w:ascii="Times New Roman" w:hAnsi="Times New Roman"/>
                <w:color w:val="000000"/>
                <w:sz w:val="20"/>
                <w:szCs w:val="20"/>
              </w:rPr>
              <w:t xml:space="preserve">ал</w:t>
            </w:r>
            <w:r>
              <w:rPr>
                <w:rFonts w:ascii="Times New Roman" w:hAnsi="Times New Roman"/>
                <w:color w:val="000000"/>
                <w:sz w:val="20"/>
                <w:szCs w:val="20"/>
              </w:rPr>
              <w:t xml:space="preserve">и</w:t>
            </w:r>
            <w:r>
              <w:rPr>
                <w:rFonts w:ascii="Times New Roman" w:hAnsi="Times New Roman"/>
                <w:color w:val="000000"/>
                <w:sz w:val="20"/>
                <w:szCs w:val="20"/>
              </w:rPr>
              <w:t xml:space="preserve">чия </w:t>
              <w:br/>
              <w:t xml:space="preserve">в заявке подтверждающего документа) исключительно контракты, заключенные и исполненные в соответствии </w:t>
              <w:br/>
              <w:t xml:space="preserve">с Федеральным законом № 44-ФЗ, и договоры, заключенные и исполненные в соответствии с Федеральным законом </w:t>
              <w:br/>
              <w:t xml:space="preserve">№ 223-ФЗ «О закупках товаров, работ, услу</w:t>
            </w:r>
            <w:r>
              <w:rPr>
                <w:rFonts w:ascii="Times New Roman" w:hAnsi="Times New Roman"/>
                <w:color w:val="000000"/>
                <w:sz w:val="20"/>
                <w:szCs w:val="20"/>
              </w:rPr>
              <w:t xml:space="preserve">г отдельными видами юридических лиц». К оценке принимаются исключительно исполненные контракты/договоры,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t xml:space="preserve">Подтверждением опыта участника Конкурса по выполнению работ/оказанию услуг сопоставимого характера являются представленные участником закупки в составе заявки на участие в Конкурсе следующие документы:</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sz w:val="20"/>
                <w:szCs w:val="20"/>
              </w:rPr>
            </w:pPr>
            <w:r>
              <w:rPr>
                <w:rFonts w:ascii="Times New Roman" w:hAnsi="Times New Roman"/>
                <w:color w:val="000000"/>
                <w:sz w:val="20"/>
                <w:szCs w:val="20"/>
              </w:rPr>
              <w:t xml:space="preserve">– контракты (договоры) в полном объеме и со всеми приложениями;</w:t>
            </w:r>
            <w:r>
              <w:rPr>
                <w:rFonts w:ascii="Times New Roman" w:hAnsi="Times New Roman"/>
                <w:sz w:val="20"/>
                <w:szCs w:val="20"/>
              </w:rPr>
            </w:r>
            <w:r>
              <w:rPr>
                <w:rFonts w:ascii="Times New Roman" w:hAnsi="Times New Roman"/>
                <w:sz w:val="20"/>
                <w:szCs w:val="20"/>
              </w:rPr>
            </w:r>
          </w:p>
          <w:p>
            <w:pPr>
              <w:pStyle w:val="737"/>
              <w:ind w:left="0" w:right="0" w:firstLine="425"/>
              <w:jc w:val="both"/>
              <w:rPr>
                <w:rFonts w:ascii="Times New Roman" w:hAnsi="Times New Roman"/>
                <w:color w:val="000000"/>
                <w:sz w:val="20"/>
                <w:szCs w:val="20"/>
              </w:rPr>
            </w:pPr>
            <w:r>
              <w:rPr>
                <w:rFonts w:ascii="Times New Roman" w:hAnsi="Times New Roman"/>
                <w:color w:val="000000"/>
                <w:sz w:val="20"/>
                <w:szCs w:val="20"/>
              </w:rPr>
              <w:t xml:space="preserve">– акт (акты) выполненных работ, оказанных услуг, составленные при исполнении такого контракта (договора).</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t xml:space="preserve">Последний акт оказанных услуг/выполненных работ, составленный при исполнении контракта / договора, должен </w:t>
              <w:br/>
              <w:t xml:space="preserve">быть подписан не ранее чем за 5 лет до даты окончания срока подачи заявок на участие в настоящем конкурсе.</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sz w:val="20"/>
                <w:szCs w:val="20"/>
              </w:rPr>
            </w:pPr>
            <w:r>
              <w:rPr>
                <w:rFonts w:ascii="Times New Roman" w:hAnsi="Times New Roman"/>
                <w:color w:val="000000"/>
                <w:sz w:val="20"/>
                <w:szCs w:val="20"/>
              </w:rPr>
              <w:t xml:space="preserve">Такие документы направляются в форме электронных документов или в форме электронных образов бумажных документов.</w:t>
            </w:r>
            <w:r>
              <w:rPr>
                <w:rFonts w:ascii="Times New Roman" w:hAnsi="Times New Roman"/>
                <w:sz w:val="20"/>
                <w:szCs w:val="20"/>
              </w:rPr>
            </w:r>
            <w:r>
              <w:rPr>
                <w:rFonts w:ascii="Times New Roman" w:hAnsi="Times New Roman"/>
                <w:sz w:val="20"/>
                <w:szCs w:val="20"/>
              </w:rPr>
            </w:r>
          </w:p>
          <w:p>
            <w:pPr>
              <w:pStyle w:val="737"/>
              <w:ind w:left="0" w:right="0" w:firstLine="425"/>
              <w:jc w:val="both"/>
              <w:rPr>
                <w:rFonts w:ascii="Times New Roman" w:hAnsi="Times New Roman"/>
                <w:color w:val="000000"/>
                <w:sz w:val="20"/>
                <w:szCs w:val="20"/>
              </w:rPr>
              <w:suppressLineNumbers w:val="0"/>
            </w:pPr>
            <w:r>
              <w:rPr>
                <w:rFonts w:ascii="Times New Roman" w:hAnsi="Times New Roman"/>
                <w:color w:val="000000"/>
                <w:sz w:val="20"/>
                <w:szCs w:val="20"/>
              </w:rPr>
            </w:r>
            <w:r>
              <w:rPr>
                <w:rFonts w:ascii="Times New Roman" w:hAnsi="Times New Roman"/>
                <w:color w:val="000000"/>
                <w:sz w:val="20"/>
                <w:szCs w:val="20"/>
              </w:rPr>
              <w:t xml:space="preserve">Если д</w:t>
            </w:r>
            <w:r>
              <w:rPr>
                <w:rFonts w:ascii="Times New Roman" w:hAnsi="Times New Roman"/>
                <w:color w:val="000000"/>
                <w:sz w:val="20"/>
                <w:szCs w:val="20"/>
              </w:rPr>
              <w:t xml:space="preserve">о</w:t>
            </w:r>
            <w:r>
              <w:rPr>
                <w:rFonts w:ascii="Times New Roman" w:hAnsi="Times New Roman"/>
                <w:color w:val="000000"/>
                <w:sz w:val="20"/>
                <w:szCs w:val="20"/>
              </w:rPr>
              <w:t xml:space="preserve">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w:t>
              <w:br/>
              <w:t xml:space="preserve">в единой информационной системе в сфере за</w:t>
            </w:r>
            <w:r>
              <w:rPr>
                <w:rFonts w:ascii="Times New Roman" w:hAnsi="Times New Roman"/>
                <w:color w:val="000000"/>
                <w:sz w:val="20"/>
                <w:szCs w:val="20"/>
              </w:rPr>
              <w:t xml:space="preserve">к</w:t>
            </w:r>
            <w:r>
              <w:rPr>
                <w:rFonts w:ascii="Times New Roman" w:hAnsi="Times New Roman"/>
                <w:color w:val="000000"/>
                <w:sz w:val="20"/>
                <w:szCs w:val="20"/>
              </w:rPr>
              <w:t xml:space="preserve">упок (далее – ЕИС) с размещением указанных документов на официальном сайте ЕИС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r>
              <w:rPr>
                <w:rFonts w:ascii="Times New Roman" w:hAnsi="Times New Roman"/>
                <w:color w:val="000000"/>
                <w:sz w:val="20"/>
                <w:szCs w:val="20"/>
              </w:rPr>
            </w:r>
            <w:r>
              <w:rPr>
                <w:rFonts w:ascii="Times New Roman" w:hAnsi="Times New Roman"/>
                <w:color w:val="000000"/>
                <w:sz w:val="20"/>
                <w:szCs w:val="20"/>
              </w:rPr>
            </w:r>
          </w:p>
          <w:p>
            <w:pPr>
              <w:pStyle w:val="737"/>
              <w:ind w:left="0" w:right="0" w:firstLine="425"/>
              <w:jc w:val="both"/>
              <w:rPr>
                <w:rFonts w:ascii="Times New Roman" w:hAnsi="Times New Roman"/>
                <w:sz w:val="20"/>
                <w:szCs w:val="20"/>
              </w:rPr>
              <w:suppressLineNumbers w:val="0"/>
            </w:pPr>
            <w:r>
              <w:rPr>
                <w:rFonts w:ascii="Times New Roman" w:hAnsi="Times New Roman"/>
                <w:color w:val="000000"/>
                <w:sz w:val="20"/>
                <w:szCs w:val="20"/>
              </w:rPr>
            </w:r>
            <w:r>
              <w:rPr>
                <w:rFonts w:ascii="Times New Roman" w:hAnsi="Times New Roman"/>
                <w:bCs/>
                <w:color w:val="000000" w:themeColor="text1"/>
                <w:sz w:val="20"/>
                <w:szCs w:val="20"/>
              </w:rPr>
              <w:t xml:space="preserve">Участник закупки вправе указать представленные в составе заявки контракты и (или) договоры </w:t>
              <w:br/>
              <w:t xml:space="preserve">и (или) номера реестровых записей из соответствующего реестра в рекомендованной форм</w:t>
            </w:r>
            <w:r>
              <w:rPr>
                <w:rFonts w:ascii="Times New Roman" w:hAnsi="Times New Roman"/>
                <w:color w:val="000000" w:themeColor="text1"/>
                <w:sz w:val="20"/>
                <w:szCs w:val="20"/>
              </w:rPr>
              <w:t xml:space="preserve">е «</w:t>
            </w:r>
            <w:r>
              <w:rPr>
                <w:rFonts w:ascii="Times New Roman" w:hAnsi="Times New Roman"/>
                <w:caps/>
                <w:sz w:val="20"/>
                <w:szCs w:val="20"/>
              </w:rPr>
              <w:t xml:space="preserve">СВЕДЕНИЯ </w:t>
              <w:br/>
              <w:t xml:space="preserve">ОБ ОПЫТЕ УЧАСТНИКА ЗАКУПКИ</w:t>
            </w:r>
            <w:r>
              <w:rPr>
                <w:rFonts w:ascii="Times New Roman" w:hAnsi="Times New Roman"/>
                <w:color w:val="000000" w:themeColor="text1"/>
                <w:sz w:val="20"/>
                <w:szCs w:val="20"/>
              </w:rPr>
              <w:t xml:space="preserve">»</w:t>
            </w:r>
            <w:r>
              <w:rPr>
                <w:rFonts w:ascii="Times New Roman" w:hAnsi="Times New Roman"/>
                <w:bCs/>
                <w:color w:val="000000" w:themeColor="text1"/>
                <w:sz w:val="20"/>
                <w:szCs w:val="20"/>
              </w:rPr>
              <w:t xml:space="preserve"> (приложение 1 к Порядку рассмотрения и оценки заявок на участие </w:t>
              <w:br/>
              <w:t xml:space="preserve">в конкурсе).</w:t>
            </w:r>
            <w:r>
              <w:rPr>
                <w:rFonts w:ascii="Times New Roman" w:hAnsi="Times New Roman"/>
                <w:sz w:val="20"/>
                <w:szCs w:val="20"/>
              </w:rPr>
            </w:r>
            <w:r>
              <w:rPr>
                <w:rFonts w:ascii="Times New Roman" w:hAnsi="Times New Roman"/>
                <w:sz w:val="20"/>
                <w:szCs w:val="20"/>
              </w:rPr>
            </w:r>
          </w:p>
        </w:tc>
      </w:tr>
    </w:tbl>
    <w:p>
      <w:pPr>
        <w:ind w:left="0" w:right="-28" w:firstLine="709"/>
        <w:jc w:val="both"/>
        <w:spacing w:before="240" w:after="0" w:line="240" w:lineRule="auto"/>
        <w:rPr>
          <w:rFonts w:ascii="Times New Roman" w:hAnsi="Times New Roman"/>
          <w:sz w:val="20"/>
          <w:szCs w:val="20"/>
          <w:highlight w:val="none"/>
        </w:rPr>
      </w:pPr>
      <w:r>
        <w:rPr>
          <w:rFonts w:ascii="Times New Roman" w:hAnsi="Times New Roman"/>
          <w:sz w:val="20"/>
          <w:szCs w:val="20"/>
        </w:rPr>
        <w:t xml:space="preserve">В отношении каждого показателя оценки устанавливается значимость показателя оценки. Сумма величин значимости всех применяемых показателей оценки </w:t>
        <w:br/>
        <w:t xml:space="preserve">по критерию оценки составляет 100 проц</w:t>
      </w:r>
      <w:r>
        <w:rPr>
          <w:rFonts w:ascii="Times New Roman" w:hAnsi="Times New Roman"/>
          <w:sz w:val="20"/>
          <w:szCs w:val="20"/>
        </w:rPr>
        <w:t xml:space="preserve">ентов.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w:t>
      </w:r>
      <w:r>
        <w:rPr>
          <w:rFonts w:ascii="Times New Roman" w:hAnsi="Times New Roman"/>
          <w:sz w:val="20"/>
          <w:szCs w:val="20"/>
        </w:rPr>
        <w:t xml:space="preserve">о</w:t>
      </w:r>
      <w:r>
        <w:rPr>
          <w:rFonts w:ascii="Times New Roman" w:hAnsi="Times New Roman"/>
          <w:sz w:val="20"/>
          <w:szCs w:val="20"/>
        </w:rPr>
        <w:t xml:space="preserve">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w:t>
        <w:br/>
        <w:t xml:space="preserve">по осуществлению закупок, и последующего деления на количество таких членов.</w:t>
      </w:r>
      <w:r>
        <w:rPr>
          <w:rFonts w:ascii="Times New Roman" w:hAnsi="Times New Roman"/>
          <w:sz w:val="20"/>
          <w:szCs w:val="20"/>
          <w:highlight w:val="none"/>
        </w:rPr>
      </w:r>
      <w:r>
        <w:rPr>
          <w:rFonts w:ascii="Times New Roman" w:hAnsi="Times New Roman"/>
          <w:sz w:val="20"/>
          <w:szCs w:val="20"/>
          <w:highlight w:val="none"/>
        </w:rPr>
      </w:r>
    </w:p>
    <w:p>
      <w:pPr>
        <w:ind w:left="0" w:right="-28" w:firstLine="709"/>
        <w:jc w:val="both"/>
        <w:spacing w:after="0" w:line="240" w:lineRule="auto"/>
        <w:rPr>
          <w:rFonts w:ascii="Times New Roman" w:hAnsi="Times New Roman"/>
          <w:sz w:val="20"/>
          <w:szCs w:val="20"/>
        </w:rPr>
      </w:pPr>
      <w:r>
        <w:rPr>
          <w:rFonts w:ascii="Times New Roman" w:hAnsi="Times New Roman"/>
          <w:sz w:val="20"/>
          <w:szCs w:val="20"/>
        </w:rPr>
        <w:t xml:space="preserve">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 Оценка заявки</w:t>
      </w:r>
      <w:r>
        <w:rPr>
          <w:rFonts w:ascii="Times New Roman" w:hAnsi="Times New Roman"/>
          <w:sz w:val="20"/>
          <w:szCs w:val="20"/>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Pr>
          <w:rFonts w:ascii="Times New Roman" w:hAnsi="Times New Roman"/>
          <w:sz w:val="20"/>
          <w:szCs w:val="20"/>
        </w:rPr>
        <w:t xml:space="preserve">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r>
        <w:rPr>
          <w:rFonts w:ascii="Times New Roman" w:hAnsi="Times New Roman"/>
          <w:sz w:val="20"/>
          <w:szCs w:val="20"/>
        </w:rPr>
      </w:r>
      <w:r>
        <w:rPr>
          <w:rFonts w:ascii="Times New Roman" w:hAnsi="Times New Roman"/>
          <w:sz w:val="20"/>
          <w:szCs w:val="20"/>
        </w:rPr>
      </w:r>
    </w:p>
    <w:p>
      <w:pPr>
        <w:spacing w:after="0" w:line="240" w:lineRule="auto"/>
        <w:rPr>
          <w:rFonts w:ascii="Times New Roman" w:hAnsi="Times New Roman"/>
          <w:bCs/>
          <w:sz w:val="24"/>
          <w:szCs w:val="24"/>
        </w:rPr>
      </w:pPr>
      <w:r>
        <w:rPr>
          <w:rFonts w:ascii="Times New Roman" w:hAnsi="Times New Roman"/>
          <w:bCs/>
          <w:sz w:val="24"/>
          <w:szCs w:val="24"/>
        </w:rPr>
        <w:br w:type="page" w:clear="all"/>
      </w:r>
      <w:r>
        <w:rPr>
          <w:rFonts w:ascii="Times New Roman" w:hAnsi="Times New Roman"/>
          <w:bCs/>
          <w:sz w:val="24"/>
          <w:szCs w:val="24"/>
        </w:rPr>
      </w:r>
      <w:r>
        <w:rPr>
          <w:rFonts w:ascii="Times New Roman" w:hAnsi="Times New Roman"/>
          <w:bCs/>
          <w:sz w:val="24"/>
          <w:szCs w:val="24"/>
        </w:rPr>
      </w:r>
    </w:p>
    <w:p>
      <w:pPr>
        <w:ind w:left="10772" w:right="-28" w:firstLine="0"/>
        <w:jc w:val="right"/>
        <w:spacing w:after="0" w:line="240" w:lineRule="auto"/>
        <w:rPr>
          <w:rFonts w:ascii="Times New Roman" w:hAnsi="Times New Roman" w:cs="Times New Roman"/>
          <w:b/>
          <w:sz w:val="20"/>
          <w:szCs w:val="20"/>
        </w:rPr>
      </w:pPr>
      <w:r>
        <w:rPr>
          <w:rFonts w:ascii="Times New Roman" w:hAnsi="Times New Roman" w:eastAsia="Times New Roman" w:cs="Times New Roman"/>
          <w:b/>
          <w:sz w:val="24"/>
          <w:szCs w:val="24"/>
        </w:rPr>
        <w:t xml:space="preserve">Приложение</w:t>
      </w:r>
      <w:r>
        <w:rPr>
          <w:rFonts w:ascii="Times New Roman" w:hAnsi="Times New Roman" w:cs="Times New Roman"/>
          <w:b/>
          <w:sz w:val="20"/>
          <w:szCs w:val="20"/>
        </w:rPr>
      </w:r>
      <w:r>
        <w:rPr>
          <w:rFonts w:ascii="Times New Roman" w:hAnsi="Times New Roman" w:cs="Times New Roman"/>
          <w:b/>
          <w:sz w:val="20"/>
          <w:szCs w:val="20"/>
        </w:rPr>
      </w:r>
    </w:p>
    <w:p>
      <w:pPr>
        <w:ind w:left="10772" w:right="-28" w:firstLine="0"/>
        <w:jc w:val="right"/>
        <w:spacing w:after="0" w:line="240" w:lineRule="auto"/>
        <w:rPr>
          <w:rFonts w:ascii="Times New Roman" w:hAnsi="Times New Roman"/>
          <w:b/>
          <w:sz w:val="20"/>
          <w:szCs w:val="20"/>
        </w:rPr>
      </w:pPr>
      <w:r>
        <w:rPr>
          <w:rFonts w:ascii="Times New Roman" w:hAnsi="Times New Roman" w:eastAsia="Times New Roman" w:cs="Times New Roman"/>
          <w:b/>
          <w:sz w:val="24"/>
          <w:szCs w:val="24"/>
        </w:rPr>
        <w:t xml:space="preserve">к Порядку рассмотрения и оценки </w:t>
      </w:r>
      <w:r>
        <w:rPr>
          <w:rFonts w:ascii="Times New Roman" w:hAnsi="Times New Roman" w:eastAsia="Times New Roman" w:cs="Times New Roman"/>
          <w:b/>
          <w:sz w:val="24"/>
          <w:szCs w:val="24"/>
        </w:rPr>
        <w:t xml:space="preserve">заявок на участие в конкурсе</w:t>
      </w:r>
      <w:r>
        <w:rPr>
          <w:rFonts w:ascii="Times New Roman" w:hAnsi="Times New Roman"/>
          <w:b/>
          <w:sz w:val="20"/>
          <w:szCs w:val="20"/>
        </w:rPr>
      </w:r>
      <w:r>
        <w:rPr>
          <w:rFonts w:ascii="Times New Roman" w:hAnsi="Times New Roman"/>
          <w:b/>
          <w:sz w:val="20"/>
          <w:szCs w:val="20"/>
        </w:rPr>
      </w:r>
    </w:p>
    <w:p>
      <w:pPr>
        <w:ind w:right="-425"/>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ind w:right="-425"/>
        <w:jc w:val="center"/>
        <w:spacing w:after="0" w:line="240" w:lineRule="auto"/>
        <w:rPr>
          <w:rFonts w:ascii="Times New Roman" w:hAnsi="Times New Roman"/>
          <w:b/>
          <w:bCs/>
          <w:sz w:val="24"/>
          <w:szCs w:val="24"/>
          <w:highlight w:val="none"/>
        </w:rPr>
      </w:pPr>
      <w:r>
        <w:rPr>
          <w:rFonts w:ascii="Times New Roman" w:hAnsi="Times New Roman"/>
          <w:b/>
          <w:bCs/>
          <w:sz w:val="24"/>
          <w:szCs w:val="24"/>
        </w:rPr>
        <w:t xml:space="preserve">Рекомендованная форма «</w:t>
      </w:r>
      <w:r>
        <w:rPr>
          <w:rFonts w:ascii="Times New Roman" w:hAnsi="Times New Roman"/>
          <w:b/>
          <w:caps/>
          <w:sz w:val="24"/>
          <w:szCs w:val="24"/>
        </w:rPr>
        <w:t xml:space="preserve">СВЕДЕНИЯ ОБ ОПЫТЕ УЧАСТНИКА ЗАКУПКИ</w:t>
      </w:r>
      <w:r>
        <w:rPr>
          <w:rFonts w:ascii="Times New Roman" w:hAnsi="Times New Roman"/>
          <w:b/>
          <w:bCs/>
          <w:sz w:val="24"/>
          <w:szCs w:val="24"/>
        </w:rPr>
        <w:t xml:space="preserve">»</w:t>
      </w:r>
      <w:r>
        <w:rPr>
          <w:rFonts w:ascii="Times New Roman" w:hAnsi="Times New Roman"/>
          <w:b/>
          <w:bCs/>
          <w:sz w:val="24"/>
          <w:szCs w:val="24"/>
          <w:highlight w:val="none"/>
        </w:rPr>
      </w:r>
      <w:r>
        <w:rPr>
          <w:rFonts w:ascii="Times New Roman" w:hAnsi="Times New Roman"/>
          <w:b/>
          <w:bCs/>
          <w:sz w:val="24"/>
          <w:szCs w:val="24"/>
          <w:highlight w:val="none"/>
        </w:rPr>
      </w:r>
    </w:p>
    <w:p>
      <w:pPr>
        <w:ind w:right="-425"/>
        <w:jc w:val="center"/>
        <w:spacing w:after="0" w:line="240" w:lineRule="auto"/>
        <w:rPr>
          <w:rFonts w:ascii="Times New Roman" w:hAnsi="Times New Roman"/>
          <w:sz w:val="20"/>
          <w:szCs w:val="20"/>
        </w:rPr>
      </w:pPr>
      <w:r>
        <w:rPr>
          <w:rFonts w:ascii="Times New Roman" w:hAnsi="Times New Roman"/>
          <w:b/>
          <w:bCs/>
          <w:sz w:val="24"/>
          <w:szCs w:val="24"/>
          <w:highlight w:val="none"/>
        </w:rPr>
      </w:r>
      <w:r>
        <w:rPr>
          <w:rFonts w:ascii="Times New Roman" w:hAnsi="Times New Roman"/>
          <w:sz w:val="20"/>
          <w:szCs w:val="20"/>
        </w:rPr>
      </w:r>
      <w:r>
        <w:rPr>
          <w:rFonts w:ascii="Times New Roman" w:hAnsi="Times New Roman"/>
          <w:sz w:val="20"/>
          <w:szCs w:val="20"/>
        </w:rPr>
      </w:r>
    </w:p>
    <w:tbl>
      <w:tblPr>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25"/>
        <w:gridCol w:w="1843"/>
        <w:gridCol w:w="1276"/>
        <w:gridCol w:w="1559"/>
        <w:gridCol w:w="1417"/>
        <w:gridCol w:w="1701"/>
        <w:gridCol w:w="1701"/>
        <w:gridCol w:w="1843"/>
        <w:gridCol w:w="1984"/>
        <w:gridCol w:w="1389"/>
      </w:tblGrid>
      <w:tr>
        <w:tblPrEx/>
        <w:trPr>
          <w:jc w:val="center"/>
          <w:trHeight w:val="1696"/>
        </w:trPr>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425"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737"/>
              <w:jc w:val="center"/>
              <w:rPr>
                <w:rFonts w:ascii="Times New Roman" w:hAnsi="Times New Roman"/>
                <w:sz w:val="24"/>
                <w:szCs w:val="24"/>
              </w:rPr>
            </w:pPr>
            <w:r>
              <w:rPr>
                <w:rFonts w:ascii="Times New Roman" w:hAnsi="Times New Roman"/>
                <w:sz w:val="24"/>
                <w:szCs w:val="24"/>
              </w:rPr>
              <w:t xml:space="preserve">п/п</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Номер реестровой записи из соответствующего реестра</w:t>
            </w:r>
            <w:r>
              <w:rPr>
                <w:rFonts w:ascii="Times New Roman" w:hAnsi="Times New Roman"/>
                <w:sz w:val="24"/>
                <w:szCs w:val="24"/>
              </w:rPr>
            </w:r>
            <w:r>
              <w:rPr>
                <w:rFonts w:ascii="Times New Roman" w:hAnsi="Times New Roman"/>
                <w:sz w:val="24"/>
                <w:szCs w:val="24"/>
              </w:rPr>
            </w:r>
          </w:p>
          <w:p>
            <w:pPr>
              <w:pStyle w:val="737"/>
              <w:jc w:val="center"/>
              <w:rPr>
                <w:rFonts w:ascii="Times New Roman" w:hAnsi="Times New Roman"/>
                <w:sz w:val="24"/>
                <w:szCs w:val="24"/>
              </w:rPr>
            </w:pPr>
            <w:r>
              <w:rPr>
                <w:rFonts w:ascii="Times New Roman" w:hAnsi="Times New Roman"/>
                <w:sz w:val="24"/>
                <w:szCs w:val="24"/>
              </w:rPr>
              <w:t xml:space="preserve">(при наличии)</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276"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Номер контракта (договора)</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55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Наименование Заказчика </w:t>
              <w:br/>
              <w:t xml:space="preserve">по контракту (договору) </w:t>
              <w:br/>
              <w:t xml:space="preserve">и ИНН</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417"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Дата заключения контракта (договора)</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Наименование предмета контракта (договора)</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Цена контракта (договора)</w:t>
            </w:r>
            <w:r>
              <w:rPr>
                <w:rFonts w:ascii="Times New Roman" w:hAnsi="Times New Roman"/>
                <w:sz w:val="24"/>
                <w:szCs w:val="24"/>
              </w:rPr>
            </w:r>
            <w:r>
              <w:rPr>
                <w:rFonts w:ascii="Times New Roman" w:hAnsi="Times New Roman"/>
                <w:sz w:val="24"/>
                <w:szCs w:val="24"/>
              </w:rPr>
            </w:r>
          </w:p>
          <w:p>
            <w:pPr>
              <w:pStyle w:val="737"/>
              <w:jc w:val="center"/>
              <w:rPr>
                <w:rFonts w:ascii="Times New Roman" w:hAnsi="Times New Roman"/>
                <w:sz w:val="24"/>
                <w:szCs w:val="24"/>
              </w:rPr>
            </w:pPr>
            <w:r>
              <w:rPr>
                <w:rFonts w:ascii="Times New Roman" w:hAnsi="Times New Roman"/>
                <w:sz w:val="24"/>
                <w:szCs w:val="24"/>
              </w:rPr>
              <w:t xml:space="preserve">(рублей)</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Стоимость исполненных обязательств </w:t>
              <w:br/>
              <w:t xml:space="preserve">в стоимостном выражении</w:t>
            </w:r>
            <w:r>
              <w:rPr>
                <w:rFonts w:ascii="Times New Roman" w:hAnsi="Times New Roman"/>
                <w:sz w:val="24"/>
                <w:szCs w:val="24"/>
              </w:rPr>
            </w:r>
            <w:r>
              <w:rPr>
                <w:rFonts w:ascii="Times New Roman" w:hAnsi="Times New Roman"/>
                <w:sz w:val="24"/>
                <w:szCs w:val="24"/>
              </w:rPr>
            </w:r>
          </w:p>
          <w:p>
            <w:pPr>
              <w:pStyle w:val="737"/>
              <w:jc w:val="center"/>
              <w:rPr>
                <w:rFonts w:ascii="Times New Roman" w:hAnsi="Times New Roman"/>
                <w:sz w:val="24"/>
                <w:szCs w:val="24"/>
              </w:rPr>
            </w:pPr>
            <w:r>
              <w:rPr>
                <w:rFonts w:ascii="Times New Roman" w:hAnsi="Times New Roman"/>
                <w:sz w:val="24"/>
                <w:szCs w:val="24"/>
              </w:rPr>
              <w:t xml:space="preserve">(рублей)</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984"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Номер, дата </w:t>
              <w:br/>
              <w:t xml:space="preserve">и сумма документа(</w:t>
            </w:r>
            <w:r>
              <w:rPr>
                <w:rFonts w:ascii="Times New Roman" w:hAnsi="Times New Roman"/>
                <w:sz w:val="24"/>
                <w:szCs w:val="24"/>
              </w:rPr>
              <w:t xml:space="preserve">ов</w:t>
            </w:r>
            <w:r>
              <w:rPr>
                <w:rFonts w:ascii="Times New Roman" w:hAnsi="Times New Roman"/>
                <w:sz w:val="24"/>
                <w:szCs w:val="24"/>
              </w:rPr>
              <w:t xml:space="preserve">), подтверждающего исполнение обязательств</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38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Примечание</w:t>
            </w:r>
            <w:r>
              <w:rPr>
                <w:rFonts w:ascii="Times New Roman" w:hAnsi="Times New Roman"/>
                <w:sz w:val="24"/>
                <w:szCs w:val="24"/>
              </w:rPr>
            </w:r>
            <w:r>
              <w:rPr>
                <w:rFonts w:ascii="Times New Roman" w:hAnsi="Times New Roman"/>
                <w:sz w:val="24"/>
                <w:szCs w:val="24"/>
              </w:rPr>
            </w:r>
          </w:p>
        </w:tc>
      </w:tr>
      <w:tr>
        <w:tblPrEx/>
        <w:trPr>
          <w:jc w:val="center"/>
          <w:trHeight w:val="567"/>
        </w:trPr>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425" w:type="dxa"/>
            <w:vAlign w:val="center"/>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1</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276"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55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417"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984"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38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r>
      <w:tr>
        <w:tblPrEx/>
        <w:trPr>
          <w:jc w:val="center"/>
          <w:trHeight w:val="567"/>
        </w:trPr>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425" w:type="dxa"/>
            <w:vAlign w:val="center"/>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276"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55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417"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984"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38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r>
      <w:tr>
        <w:tblPrEx/>
        <w:trPr>
          <w:jc w:val="center"/>
          <w:trHeight w:val="567"/>
        </w:trPr>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425" w:type="dxa"/>
            <w:vAlign w:val="center"/>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276"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55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417"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984"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38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r>
      <w:tr>
        <w:tblPrEx/>
        <w:trPr>
          <w:jc w:val="center"/>
          <w:trHeight w:val="567"/>
        </w:trPr>
        <w:tc>
          <w:tcPr>
            <w:gridSpan w:val="6"/>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8220" w:type="dxa"/>
            <w:vAlign w:val="center"/>
            <w:textDirection w:val="lrTb"/>
            <w:noWrap w:val="false"/>
          </w:tcPr>
          <w:p>
            <w:pPr>
              <w:pStyle w:val="737"/>
              <w:jc w:val="center"/>
              <w:rPr>
                <w:rFonts w:ascii="Times New Roman" w:hAnsi="Times New Roman"/>
                <w:sz w:val="24"/>
                <w:szCs w:val="24"/>
              </w:rPr>
            </w:pPr>
            <w:r>
              <w:rPr>
                <w:rFonts w:ascii="Times New Roman" w:hAnsi="Times New Roman"/>
                <w:sz w:val="24"/>
                <w:szCs w:val="24"/>
              </w:rPr>
              <w:t xml:space="preserve">Итого:</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701"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843"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984"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single" w:color="000000" w:sz="4" w:space="0"/>
              <w:right w:val="single" w:color="000000" w:sz="4" w:space="0"/>
            </w:tcBorders>
            <w:tcMar>
              <w:left w:w="28" w:type="dxa"/>
              <w:top w:w="0" w:type="dxa"/>
              <w:right w:w="28" w:type="dxa"/>
              <w:bottom w:w="0" w:type="dxa"/>
            </w:tcMar>
            <w:tcW w:w="1389" w:type="dxa"/>
            <w:vAlign w:val="top"/>
            <w:textDirection w:val="lrTb"/>
            <w:noWrap w:val="false"/>
          </w:tcPr>
          <w:p>
            <w:pPr>
              <w:pStyle w:val="737"/>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c>
      </w:tr>
    </w:tbl>
    <w:p>
      <w:pPr>
        <w:ind w:right="-425"/>
        <w:jc w:val="both"/>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sectPr>
      <w:headerReference w:type="default" r:id="rId9"/>
      <w:headerReference w:type="first" r:id="rId10"/>
      <w:footerReference w:type="first" r:id="rId11"/>
      <w:footnotePr>
        <w:numRestart w:val="eachSect"/>
      </w:footnotePr>
      <w:endnotePr/>
      <w:type w:val="nextPage"/>
      <w:pgSz w:w="16838" w:h="11906" w:orient="landscape"/>
      <w:pgMar w:top="1134" w:right="567" w:bottom="1134" w:left="1134" w:header="397" w:footer="0" w:gutter="0"/>
      <w:cols w:num="1" w:sep="0" w:space="709"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803050406030204"/>
  </w:font>
  <w:font w:name="Wingdings">
    <w:panose1 w:val="05010000000000000000"/>
  </w:font>
  <w:font w:name="Courier New">
    <w:panose1 w:val="02070309020205020404"/>
  </w:font>
  <w:font w:name="Symbol">
    <w:panose1 w:val="05010000000000000000"/>
  </w:font>
  <w:font w:name="Segoe UI">
    <w:panose1 w:val="020B0502040504020204"/>
  </w:font>
  <w:font w:name="Arial">
    <w:panose1 w:val="020B06040202020202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4"/>
      <w:jc w:val="center"/>
      <w:rPr>
        <w:rFonts w:ascii="Times New Roman" w:hAnsi="Times New Roman"/>
        <w:sz w:val="28"/>
        <w:szCs w:val="28"/>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sz w:val="24"/>
        <w:szCs w:val="24"/>
      </w:rPr>
      <w:fldChar w:fldCharType="separate"/>
    </w:r>
    <w:r>
      <w:rPr>
        <w:rFonts w:ascii="Times New Roman" w:hAnsi="Times New Roman"/>
        <w:sz w:val="24"/>
        <w:szCs w:val="24"/>
      </w:rPr>
      <w:t xml:space="preserve">8</w:t>
    </w:r>
    <w:r>
      <w:rPr>
        <w:rFonts w:ascii="Times New Roman" w:hAnsi="Times New Roman"/>
        <w:sz w:val="24"/>
        <w:szCs w:val="24"/>
      </w:rPr>
      <w:fldChar w:fldCharType="end"/>
    </w:r>
    <w:r>
      <w:rPr>
        <w:rFonts w:ascii="Times New Roman" w:hAnsi="Times New Roman"/>
        <w:sz w:val="28"/>
        <w:szCs w:val="28"/>
      </w:rPr>
    </w:r>
    <w:r>
      <w:rPr>
        <w:rFonts w:ascii="Times New Roman" w:hAnsi="Times New Roman"/>
        <w:sz w:val="28"/>
        <w:szCs w:val="28"/>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4"/>
      <w:tabs>
        <w:tab w:val="clear" w:pos="4677" w:leader="none"/>
        <w:tab w:val="left" w:pos="8179" w:leader="none"/>
        <w:tab w:val="clear" w:pos="9355"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948" w:hanging="360"/>
      </w:pPr>
      <w:rPr>
        <w:rFonts w:hint="default" w:ascii="Symbol" w:hAnsi="Symbol"/>
      </w:rPr>
    </w:lvl>
    <w:lvl w:ilvl="1">
      <w:start w:val="1"/>
      <w:numFmt w:val="bullet"/>
      <w:isLgl w:val="false"/>
      <w:suff w:val="tab"/>
      <w:lvlText w:val="o"/>
      <w:lvlJc w:val="left"/>
      <w:pPr>
        <w:ind w:left="1668" w:hanging="360"/>
      </w:pPr>
      <w:rPr>
        <w:rFonts w:hint="default" w:ascii="Courier New" w:hAnsi="Courier New" w:cs="Courier New"/>
      </w:rPr>
    </w:lvl>
    <w:lvl w:ilvl="2">
      <w:start w:val="1"/>
      <w:numFmt w:val="bullet"/>
      <w:isLgl w:val="false"/>
      <w:suff w:val="tab"/>
      <w:lvlText w:val=""/>
      <w:lvlJc w:val="left"/>
      <w:pPr>
        <w:ind w:left="2388" w:hanging="360"/>
      </w:pPr>
      <w:rPr>
        <w:rFonts w:hint="default" w:ascii="Wingdings" w:hAnsi="Wingdings"/>
      </w:rPr>
    </w:lvl>
    <w:lvl w:ilvl="3">
      <w:start w:val="1"/>
      <w:numFmt w:val="bullet"/>
      <w:isLgl w:val="false"/>
      <w:suff w:val="tab"/>
      <w:lvlText w:val=""/>
      <w:lvlJc w:val="left"/>
      <w:pPr>
        <w:ind w:left="3108" w:hanging="360"/>
      </w:pPr>
      <w:rPr>
        <w:rFonts w:hint="default" w:ascii="Symbol" w:hAnsi="Symbol"/>
      </w:rPr>
    </w:lvl>
    <w:lvl w:ilvl="4">
      <w:start w:val="1"/>
      <w:numFmt w:val="bullet"/>
      <w:isLgl w:val="false"/>
      <w:suff w:val="tab"/>
      <w:lvlText w:val="o"/>
      <w:lvlJc w:val="left"/>
      <w:pPr>
        <w:ind w:left="3828" w:hanging="360"/>
      </w:pPr>
      <w:rPr>
        <w:rFonts w:hint="default" w:ascii="Courier New" w:hAnsi="Courier New" w:cs="Courier New"/>
      </w:rPr>
    </w:lvl>
    <w:lvl w:ilvl="5">
      <w:start w:val="1"/>
      <w:numFmt w:val="bullet"/>
      <w:isLgl w:val="false"/>
      <w:suff w:val="tab"/>
      <w:lvlText w:val=""/>
      <w:lvlJc w:val="left"/>
      <w:pPr>
        <w:ind w:left="4548" w:hanging="360"/>
      </w:pPr>
      <w:rPr>
        <w:rFonts w:hint="default" w:ascii="Wingdings" w:hAnsi="Wingdings"/>
      </w:rPr>
    </w:lvl>
    <w:lvl w:ilvl="6">
      <w:start w:val="1"/>
      <w:numFmt w:val="bullet"/>
      <w:isLgl w:val="false"/>
      <w:suff w:val="tab"/>
      <w:lvlText w:val=""/>
      <w:lvlJc w:val="left"/>
      <w:pPr>
        <w:ind w:left="5268" w:hanging="360"/>
      </w:pPr>
      <w:rPr>
        <w:rFonts w:hint="default" w:ascii="Symbol" w:hAnsi="Symbol"/>
      </w:rPr>
    </w:lvl>
    <w:lvl w:ilvl="7">
      <w:start w:val="1"/>
      <w:numFmt w:val="bullet"/>
      <w:isLgl w:val="false"/>
      <w:suff w:val="tab"/>
      <w:lvlText w:val="o"/>
      <w:lvlJc w:val="left"/>
      <w:pPr>
        <w:ind w:left="5988" w:hanging="360"/>
      </w:pPr>
      <w:rPr>
        <w:rFonts w:hint="default" w:ascii="Courier New" w:hAnsi="Courier New" w:cs="Courier New"/>
      </w:rPr>
    </w:lvl>
    <w:lvl w:ilvl="8">
      <w:start w:val="1"/>
      <w:numFmt w:val="bullet"/>
      <w:isLgl w:val="false"/>
      <w:suff w:val="tab"/>
      <w:lvlText w:val=""/>
      <w:lvlJc w:val="left"/>
      <w:pPr>
        <w:ind w:left="6708"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1429" w:hanging="360"/>
      </w:pPr>
      <w:rPr>
        <w:b/>
      </w:rPr>
    </w:lvl>
    <w:lvl w:ilvl="1">
      <w:start w:val="1"/>
      <w:numFmt w:val="decimal"/>
      <w:isLgl/>
      <w:suff w:val="tab"/>
      <w:lvlText w:val="%1.%2."/>
      <w:lvlJc w:val="left"/>
      <w:pPr>
        <w:ind w:left="4613" w:hanging="360"/>
      </w:pPr>
      <w:rPr>
        <w:rFonts w:hint="default"/>
        <w:b/>
        <w:i/>
        <w:sz w:val="24"/>
        <w:szCs w:val="24"/>
      </w:rPr>
    </w:lvl>
    <w:lvl w:ilvl="2">
      <w:start w:val="1"/>
      <w:numFmt w:val="decimal"/>
      <w:isLgl/>
      <w:suff w:val="tab"/>
      <w:lvlText w:val="%1.%2.%3."/>
      <w:lvlJc w:val="left"/>
      <w:pPr>
        <w:ind w:left="1789" w:hanging="720"/>
      </w:pPr>
      <w:rPr>
        <w:rFonts w:hint="default"/>
      </w:rPr>
    </w:lvl>
    <w:lvl w:ilvl="3">
      <w:start w:val="1"/>
      <w:numFmt w:val="decimal"/>
      <w:isLgl/>
      <w:suff w:val="tab"/>
      <w:lvlText w:val="%1.%2.%3.%4."/>
      <w:lvlJc w:val="left"/>
      <w:pPr>
        <w:ind w:left="1789" w:hanging="720"/>
      </w:pPr>
      <w:rPr>
        <w:rFonts w:hint="default"/>
      </w:rPr>
    </w:lvl>
    <w:lvl w:ilvl="4">
      <w:start w:val="1"/>
      <w:numFmt w:val="decimal"/>
      <w:isLgl/>
      <w:suff w:val="tab"/>
      <w:lvlText w:val="%1.%2.%3.%4.%5."/>
      <w:lvlJc w:val="left"/>
      <w:pPr>
        <w:ind w:left="2149" w:hanging="1080"/>
      </w:pPr>
      <w:rPr>
        <w:rFonts w:hint="default"/>
      </w:rPr>
    </w:lvl>
    <w:lvl w:ilvl="5">
      <w:start w:val="1"/>
      <w:numFmt w:val="decimal"/>
      <w:isLgl/>
      <w:suff w:val="tab"/>
      <w:lvlText w:val="%1.%2.%3.%4.%5.%6."/>
      <w:lvlJc w:val="left"/>
      <w:pPr>
        <w:ind w:left="2149" w:hanging="1080"/>
      </w:pPr>
      <w:rPr>
        <w:rFonts w:hint="default"/>
      </w:rPr>
    </w:lvl>
    <w:lvl w:ilvl="6">
      <w:start w:val="1"/>
      <w:numFmt w:val="decimal"/>
      <w:isLgl/>
      <w:suff w:val="tab"/>
      <w:lvlText w:val="%1.%2.%3.%4.%5.%6.%7."/>
      <w:lvlJc w:val="left"/>
      <w:pPr>
        <w:ind w:left="2509" w:hanging="1440"/>
      </w:pPr>
      <w:rPr>
        <w:rFonts w:hint="default"/>
      </w:rPr>
    </w:lvl>
    <w:lvl w:ilvl="7">
      <w:start w:val="1"/>
      <w:numFmt w:val="decimal"/>
      <w:isLgl/>
      <w:suff w:val="tab"/>
      <w:lvlText w:val="%1.%2.%3.%4.%5.%6.%7.%8."/>
      <w:lvlJc w:val="left"/>
      <w:pPr>
        <w:ind w:left="2509" w:hanging="1440"/>
      </w:pPr>
      <w:rPr>
        <w:rFonts w:hint="default"/>
      </w:rPr>
    </w:lvl>
    <w:lvl w:ilvl="8">
      <w:start w:val="1"/>
      <w:numFmt w:val="decimal"/>
      <w:isLgl/>
      <w:suff w:val="tab"/>
      <w:lvlText w:val="%1.%2.%3.%4.%5.%6.%7.%8.%9."/>
      <w:lvlJc w:val="left"/>
      <w:pPr>
        <w:ind w:left="2869" w:hanging="1800"/>
      </w:pPr>
      <w:rPr>
        <w:rFonts w:hint="default"/>
      </w:rPr>
    </w:lvl>
  </w:abstractNum>
  <w:abstractNum w:abstractNumId="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eachSect"/>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9" w:default="1">
    <w:name w:val="Normal"/>
    <w:qFormat/>
    <w:pPr>
      <w:spacing w:after="160" w:line="259" w:lineRule="auto"/>
    </w:pPr>
    <w:rPr>
      <w:sz w:val="22"/>
      <w:szCs w:val="22"/>
    </w:rPr>
  </w:style>
  <w:style w:type="paragraph" w:styleId="700">
    <w:name w:val="Heading 1"/>
    <w:basedOn w:val="699"/>
    <w:next w:val="699"/>
    <w:link w:val="727"/>
    <w:uiPriority w:val="9"/>
    <w:qFormat/>
    <w:pPr>
      <w:keepLines/>
      <w:keepNext/>
      <w:spacing w:before="480" w:after="200"/>
      <w:outlineLvl w:val="0"/>
    </w:pPr>
    <w:rPr>
      <w:rFonts w:ascii="Arial" w:hAnsi="Arial" w:eastAsia="Arial" w:cs="Arial"/>
      <w:sz w:val="40"/>
      <w:szCs w:val="40"/>
    </w:rPr>
  </w:style>
  <w:style w:type="paragraph" w:styleId="701">
    <w:name w:val="Heading 2"/>
    <w:basedOn w:val="699"/>
    <w:next w:val="699"/>
    <w:link w:val="728"/>
    <w:uiPriority w:val="9"/>
    <w:unhideWhenUsed/>
    <w:qFormat/>
    <w:pPr>
      <w:keepLines/>
      <w:keepNext/>
      <w:spacing w:before="360" w:after="200"/>
      <w:outlineLvl w:val="1"/>
    </w:pPr>
    <w:rPr>
      <w:rFonts w:ascii="Arial" w:hAnsi="Arial" w:eastAsia="Arial" w:cs="Arial"/>
      <w:sz w:val="34"/>
    </w:rPr>
  </w:style>
  <w:style w:type="paragraph" w:styleId="702">
    <w:name w:val="Heading 3"/>
    <w:basedOn w:val="699"/>
    <w:next w:val="699"/>
    <w:link w:val="729"/>
    <w:uiPriority w:val="9"/>
    <w:unhideWhenUsed/>
    <w:qFormat/>
    <w:pPr>
      <w:keepLines/>
      <w:keepNext/>
      <w:spacing w:before="320" w:after="200"/>
      <w:outlineLvl w:val="2"/>
    </w:pPr>
    <w:rPr>
      <w:rFonts w:ascii="Arial" w:hAnsi="Arial" w:eastAsia="Arial" w:cs="Arial"/>
      <w:sz w:val="30"/>
      <w:szCs w:val="30"/>
    </w:rPr>
  </w:style>
  <w:style w:type="paragraph" w:styleId="703">
    <w:name w:val="Heading 4"/>
    <w:basedOn w:val="699"/>
    <w:next w:val="699"/>
    <w:link w:val="730"/>
    <w:uiPriority w:val="9"/>
    <w:unhideWhenUsed/>
    <w:qFormat/>
    <w:pPr>
      <w:keepLines/>
      <w:keepNext/>
      <w:spacing w:before="320" w:after="200"/>
      <w:outlineLvl w:val="3"/>
    </w:pPr>
    <w:rPr>
      <w:rFonts w:ascii="Arial" w:hAnsi="Arial" w:eastAsia="Arial" w:cs="Arial"/>
      <w:b/>
      <w:bCs/>
      <w:sz w:val="26"/>
      <w:szCs w:val="26"/>
    </w:rPr>
  </w:style>
  <w:style w:type="paragraph" w:styleId="704">
    <w:name w:val="Heading 5"/>
    <w:basedOn w:val="699"/>
    <w:next w:val="699"/>
    <w:link w:val="731"/>
    <w:uiPriority w:val="9"/>
    <w:unhideWhenUsed/>
    <w:qFormat/>
    <w:pPr>
      <w:keepLines/>
      <w:keepNext/>
      <w:spacing w:before="320" w:after="200"/>
      <w:outlineLvl w:val="4"/>
    </w:pPr>
    <w:rPr>
      <w:rFonts w:ascii="Arial" w:hAnsi="Arial" w:eastAsia="Arial" w:cs="Arial"/>
      <w:b/>
      <w:bCs/>
      <w:sz w:val="24"/>
      <w:szCs w:val="24"/>
    </w:rPr>
  </w:style>
  <w:style w:type="paragraph" w:styleId="705">
    <w:name w:val="Heading 6"/>
    <w:basedOn w:val="699"/>
    <w:next w:val="699"/>
    <w:link w:val="732"/>
    <w:uiPriority w:val="9"/>
    <w:unhideWhenUsed/>
    <w:qFormat/>
    <w:pPr>
      <w:keepLines/>
      <w:keepNext/>
      <w:spacing w:before="320" w:after="200"/>
      <w:outlineLvl w:val="5"/>
    </w:pPr>
    <w:rPr>
      <w:rFonts w:ascii="Arial" w:hAnsi="Arial" w:eastAsia="Arial" w:cs="Arial"/>
      <w:b/>
      <w:bCs/>
    </w:rPr>
  </w:style>
  <w:style w:type="paragraph" w:styleId="706">
    <w:name w:val="Heading 7"/>
    <w:basedOn w:val="699"/>
    <w:next w:val="699"/>
    <w:link w:val="733"/>
    <w:uiPriority w:val="9"/>
    <w:unhideWhenUsed/>
    <w:qFormat/>
    <w:pPr>
      <w:keepLines/>
      <w:keepNext/>
      <w:spacing w:before="320" w:after="200"/>
      <w:outlineLvl w:val="6"/>
    </w:pPr>
    <w:rPr>
      <w:rFonts w:ascii="Arial" w:hAnsi="Arial" w:eastAsia="Arial" w:cs="Arial"/>
      <w:b/>
      <w:bCs/>
      <w:i/>
      <w:iCs/>
    </w:rPr>
  </w:style>
  <w:style w:type="paragraph" w:styleId="707">
    <w:name w:val="Heading 8"/>
    <w:basedOn w:val="699"/>
    <w:next w:val="699"/>
    <w:link w:val="734"/>
    <w:uiPriority w:val="9"/>
    <w:unhideWhenUsed/>
    <w:qFormat/>
    <w:pPr>
      <w:keepLines/>
      <w:keepNext/>
      <w:spacing w:before="320" w:after="200"/>
      <w:outlineLvl w:val="7"/>
    </w:pPr>
    <w:rPr>
      <w:rFonts w:ascii="Arial" w:hAnsi="Arial" w:eastAsia="Arial" w:cs="Arial"/>
      <w:i/>
      <w:iCs/>
    </w:rPr>
  </w:style>
  <w:style w:type="paragraph" w:styleId="708">
    <w:name w:val="Heading 9"/>
    <w:basedOn w:val="699"/>
    <w:next w:val="699"/>
    <w:link w:val="735"/>
    <w:uiPriority w:val="9"/>
    <w:unhideWhenUsed/>
    <w:qFormat/>
    <w:pPr>
      <w:keepLines/>
      <w:keepNext/>
      <w:spacing w:before="320" w:after="200"/>
      <w:outlineLvl w:val="8"/>
    </w:pPr>
    <w:rPr>
      <w:rFonts w:ascii="Arial" w:hAnsi="Arial" w:eastAsia="Arial" w:cs="Arial"/>
      <w:i/>
      <w:iCs/>
      <w:sz w:val="21"/>
      <w:szCs w:val="21"/>
    </w:rPr>
  </w:style>
  <w:style w:type="character" w:styleId="709" w:default="1">
    <w:name w:val="Default Paragraph Font"/>
    <w:uiPriority w:val="1"/>
    <w:semiHidden/>
    <w:unhideWhenUsed/>
  </w:style>
  <w:style w:type="table" w:styleId="710" w:default="1">
    <w:name w:val="Normal Table"/>
    <w:uiPriority w:val="99"/>
    <w:semiHidden/>
    <w:unhideWhenUsed/>
    <w:tblPr>
      <w:tblInd w:w="0" w:type="dxa"/>
      <w:tblCellMar>
        <w:left w:w="108" w:type="dxa"/>
        <w:top w:w="0" w:type="dxa"/>
        <w:right w:w="108" w:type="dxa"/>
        <w:bottom w:w="0" w:type="dxa"/>
      </w:tblCellMar>
    </w:tblPr>
  </w:style>
  <w:style w:type="numbering" w:styleId="711" w:default="1">
    <w:name w:val="No List"/>
    <w:uiPriority w:val="99"/>
    <w:semiHidden/>
    <w:unhideWhenUsed/>
  </w:style>
  <w:style w:type="character" w:styleId="712" w:customStyle="1">
    <w:name w:val="Caption Char"/>
    <w:basedOn w:val="709"/>
    <w:uiPriority w:val="35"/>
    <w:rPr>
      <w:b/>
      <w:bCs/>
      <w:color w:val="5b9bd5" w:themeColor="accent1"/>
      <w:sz w:val="18"/>
      <w:szCs w:val="18"/>
    </w:rPr>
  </w:style>
  <w:style w:type="character" w:styleId="713" w:customStyle="1">
    <w:name w:val="Heading 1 Char"/>
    <w:basedOn w:val="709"/>
    <w:uiPriority w:val="9"/>
    <w:rPr>
      <w:rFonts w:ascii="Arial" w:hAnsi="Arial" w:eastAsia="Arial" w:cs="Arial"/>
      <w:sz w:val="40"/>
      <w:szCs w:val="40"/>
    </w:rPr>
  </w:style>
  <w:style w:type="character" w:styleId="714" w:customStyle="1">
    <w:name w:val="Heading 2 Char"/>
    <w:basedOn w:val="709"/>
    <w:uiPriority w:val="9"/>
    <w:rPr>
      <w:rFonts w:ascii="Arial" w:hAnsi="Arial" w:eastAsia="Arial" w:cs="Arial"/>
      <w:sz w:val="34"/>
    </w:rPr>
  </w:style>
  <w:style w:type="character" w:styleId="715" w:customStyle="1">
    <w:name w:val="Heading 3 Char"/>
    <w:basedOn w:val="709"/>
    <w:uiPriority w:val="9"/>
    <w:rPr>
      <w:rFonts w:ascii="Arial" w:hAnsi="Arial" w:eastAsia="Arial" w:cs="Arial"/>
      <w:sz w:val="30"/>
      <w:szCs w:val="30"/>
    </w:rPr>
  </w:style>
  <w:style w:type="character" w:styleId="716" w:customStyle="1">
    <w:name w:val="Heading 4 Char"/>
    <w:basedOn w:val="709"/>
    <w:uiPriority w:val="9"/>
    <w:rPr>
      <w:rFonts w:ascii="Arial" w:hAnsi="Arial" w:eastAsia="Arial" w:cs="Arial"/>
      <w:b/>
      <w:bCs/>
      <w:sz w:val="26"/>
      <w:szCs w:val="26"/>
    </w:rPr>
  </w:style>
  <w:style w:type="character" w:styleId="717" w:customStyle="1">
    <w:name w:val="Heading 5 Char"/>
    <w:basedOn w:val="709"/>
    <w:uiPriority w:val="9"/>
    <w:rPr>
      <w:rFonts w:ascii="Arial" w:hAnsi="Arial" w:eastAsia="Arial" w:cs="Arial"/>
      <w:b/>
      <w:bCs/>
      <w:sz w:val="24"/>
      <w:szCs w:val="24"/>
    </w:rPr>
  </w:style>
  <w:style w:type="character" w:styleId="718" w:customStyle="1">
    <w:name w:val="Heading 6 Char"/>
    <w:basedOn w:val="709"/>
    <w:uiPriority w:val="9"/>
    <w:rPr>
      <w:rFonts w:ascii="Arial" w:hAnsi="Arial" w:eastAsia="Arial" w:cs="Arial"/>
      <w:b/>
      <w:bCs/>
      <w:sz w:val="22"/>
      <w:szCs w:val="22"/>
    </w:rPr>
  </w:style>
  <w:style w:type="character" w:styleId="719" w:customStyle="1">
    <w:name w:val="Heading 7 Char"/>
    <w:basedOn w:val="709"/>
    <w:uiPriority w:val="9"/>
    <w:rPr>
      <w:rFonts w:ascii="Arial" w:hAnsi="Arial" w:eastAsia="Arial" w:cs="Arial"/>
      <w:b/>
      <w:bCs/>
      <w:i/>
      <w:iCs/>
      <w:sz w:val="22"/>
      <w:szCs w:val="22"/>
    </w:rPr>
  </w:style>
  <w:style w:type="character" w:styleId="720" w:customStyle="1">
    <w:name w:val="Heading 8 Char"/>
    <w:basedOn w:val="709"/>
    <w:uiPriority w:val="9"/>
    <w:rPr>
      <w:rFonts w:ascii="Arial" w:hAnsi="Arial" w:eastAsia="Arial" w:cs="Arial"/>
      <w:i/>
      <w:iCs/>
      <w:sz w:val="22"/>
      <w:szCs w:val="22"/>
    </w:rPr>
  </w:style>
  <w:style w:type="character" w:styleId="721" w:customStyle="1">
    <w:name w:val="Heading 9 Char"/>
    <w:basedOn w:val="709"/>
    <w:uiPriority w:val="9"/>
    <w:rPr>
      <w:rFonts w:ascii="Arial" w:hAnsi="Arial" w:eastAsia="Arial" w:cs="Arial"/>
      <w:i/>
      <w:iCs/>
      <w:sz w:val="21"/>
      <w:szCs w:val="21"/>
    </w:rPr>
  </w:style>
  <w:style w:type="character" w:styleId="722" w:customStyle="1">
    <w:name w:val="Title Char"/>
    <w:basedOn w:val="709"/>
    <w:uiPriority w:val="10"/>
    <w:rPr>
      <w:sz w:val="48"/>
      <w:szCs w:val="48"/>
    </w:rPr>
  </w:style>
  <w:style w:type="character" w:styleId="723" w:customStyle="1">
    <w:name w:val="Subtitle Char"/>
    <w:basedOn w:val="709"/>
    <w:uiPriority w:val="11"/>
    <w:rPr>
      <w:sz w:val="24"/>
      <w:szCs w:val="24"/>
    </w:rPr>
  </w:style>
  <w:style w:type="character" w:styleId="724" w:customStyle="1">
    <w:name w:val="Quote Char"/>
    <w:uiPriority w:val="29"/>
    <w:rPr>
      <w:i/>
    </w:rPr>
  </w:style>
  <w:style w:type="character" w:styleId="725" w:customStyle="1">
    <w:name w:val="Intense Quote Char"/>
    <w:uiPriority w:val="30"/>
    <w:rPr>
      <w:i/>
    </w:rPr>
  </w:style>
  <w:style w:type="character" w:styleId="726" w:customStyle="1">
    <w:name w:val="Endnote Text Char"/>
    <w:uiPriority w:val="99"/>
    <w:rPr>
      <w:sz w:val="20"/>
    </w:rPr>
  </w:style>
  <w:style w:type="character" w:styleId="727" w:customStyle="1">
    <w:name w:val="Заголовок 1 Знак"/>
    <w:basedOn w:val="709"/>
    <w:link w:val="700"/>
    <w:uiPriority w:val="9"/>
    <w:rPr>
      <w:rFonts w:ascii="Arial" w:hAnsi="Arial" w:eastAsia="Arial" w:cs="Arial"/>
      <w:sz w:val="40"/>
      <w:szCs w:val="40"/>
    </w:rPr>
  </w:style>
  <w:style w:type="character" w:styleId="728" w:customStyle="1">
    <w:name w:val="Заголовок 2 Знак"/>
    <w:basedOn w:val="709"/>
    <w:link w:val="701"/>
    <w:uiPriority w:val="9"/>
    <w:rPr>
      <w:rFonts w:ascii="Arial" w:hAnsi="Arial" w:eastAsia="Arial" w:cs="Arial"/>
      <w:sz w:val="34"/>
    </w:rPr>
  </w:style>
  <w:style w:type="character" w:styleId="729" w:customStyle="1">
    <w:name w:val="Заголовок 3 Знак"/>
    <w:basedOn w:val="709"/>
    <w:link w:val="702"/>
    <w:uiPriority w:val="9"/>
    <w:rPr>
      <w:rFonts w:ascii="Arial" w:hAnsi="Arial" w:eastAsia="Arial" w:cs="Arial"/>
      <w:sz w:val="30"/>
      <w:szCs w:val="30"/>
    </w:rPr>
  </w:style>
  <w:style w:type="character" w:styleId="730" w:customStyle="1">
    <w:name w:val="Заголовок 4 Знак"/>
    <w:basedOn w:val="709"/>
    <w:link w:val="703"/>
    <w:uiPriority w:val="9"/>
    <w:rPr>
      <w:rFonts w:ascii="Arial" w:hAnsi="Arial" w:eastAsia="Arial" w:cs="Arial"/>
      <w:b/>
      <w:bCs/>
      <w:sz w:val="26"/>
      <w:szCs w:val="26"/>
    </w:rPr>
  </w:style>
  <w:style w:type="character" w:styleId="731" w:customStyle="1">
    <w:name w:val="Заголовок 5 Знак"/>
    <w:basedOn w:val="709"/>
    <w:link w:val="704"/>
    <w:uiPriority w:val="9"/>
    <w:rPr>
      <w:rFonts w:ascii="Arial" w:hAnsi="Arial" w:eastAsia="Arial" w:cs="Arial"/>
      <w:b/>
      <w:bCs/>
      <w:sz w:val="24"/>
      <w:szCs w:val="24"/>
    </w:rPr>
  </w:style>
  <w:style w:type="character" w:styleId="732" w:customStyle="1">
    <w:name w:val="Заголовок 6 Знак"/>
    <w:basedOn w:val="709"/>
    <w:link w:val="705"/>
    <w:uiPriority w:val="9"/>
    <w:rPr>
      <w:rFonts w:ascii="Arial" w:hAnsi="Arial" w:eastAsia="Arial" w:cs="Arial"/>
      <w:b/>
      <w:bCs/>
      <w:sz w:val="22"/>
      <w:szCs w:val="22"/>
    </w:rPr>
  </w:style>
  <w:style w:type="character" w:styleId="733" w:customStyle="1">
    <w:name w:val="Заголовок 7 Знак"/>
    <w:basedOn w:val="709"/>
    <w:link w:val="706"/>
    <w:uiPriority w:val="9"/>
    <w:rPr>
      <w:rFonts w:ascii="Arial" w:hAnsi="Arial" w:eastAsia="Arial" w:cs="Arial"/>
      <w:b/>
      <w:bCs/>
      <w:i/>
      <w:iCs/>
      <w:sz w:val="22"/>
      <w:szCs w:val="22"/>
    </w:rPr>
  </w:style>
  <w:style w:type="character" w:styleId="734" w:customStyle="1">
    <w:name w:val="Заголовок 8 Знак"/>
    <w:basedOn w:val="709"/>
    <w:link w:val="707"/>
    <w:uiPriority w:val="9"/>
    <w:rPr>
      <w:rFonts w:ascii="Arial" w:hAnsi="Arial" w:eastAsia="Arial" w:cs="Arial"/>
      <w:i/>
      <w:iCs/>
      <w:sz w:val="22"/>
      <w:szCs w:val="22"/>
    </w:rPr>
  </w:style>
  <w:style w:type="character" w:styleId="735" w:customStyle="1">
    <w:name w:val="Заголовок 9 Знак"/>
    <w:basedOn w:val="709"/>
    <w:link w:val="708"/>
    <w:uiPriority w:val="9"/>
    <w:rPr>
      <w:rFonts w:ascii="Arial" w:hAnsi="Arial" w:eastAsia="Arial" w:cs="Arial"/>
      <w:i/>
      <w:iCs/>
      <w:sz w:val="21"/>
      <w:szCs w:val="21"/>
    </w:rPr>
  </w:style>
  <w:style w:type="paragraph" w:styleId="736">
    <w:name w:val="List Paragraph"/>
    <w:basedOn w:val="699"/>
    <w:uiPriority w:val="34"/>
    <w:qFormat/>
    <w:pPr>
      <w:contextualSpacing/>
      <w:ind w:left="720"/>
    </w:pPr>
  </w:style>
  <w:style w:type="paragraph" w:styleId="737">
    <w:name w:val="No Spacing"/>
    <w:uiPriority w:val="1"/>
    <w:qFormat/>
  </w:style>
  <w:style w:type="paragraph" w:styleId="738">
    <w:name w:val="Title"/>
    <w:basedOn w:val="699"/>
    <w:next w:val="699"/>
    <w:link w:val="739"/>
    <w:uiPriority w:val="10"/>
    <w:qFormat/>
    <w:pPr>
      <w:contextualSpacing/>
      <w:spacing w:before="300" w:after="200"/>
    </w:pPr>
    <w:rPr>
      <w:sz w:val="48"/>
      <w:szCs w:val="48"/>
    </w:rPr>
  </w:style>
  <w:style w:type="character" w:styleId="739" w:customStyle="1">
    <w:name w:val="Заголовок Знак"/>
    <w:basedOn w:val="709"/>
    <w:link w:val="738"/>
    <w:uiPriority w:val="10"/>
    <w:rPr>
      <w:sz w:val="48"/>
      <w:szCs w:val="48"/>
    </w:rPr>
  </w:style>
  <w:style w:type="paragraph" w:styleId="740">
    <w:name w:val="Subtitle"/>
    <w:basedOn w:val="699"/>
    <w:next w:val="699"/>
    <w:link w:val="741"/>
    <w:uiPriority w:val="11"/>
    <w:qFormat/>
    <w:pPr>
      <w:spacing w:before="200" w:after="200"/>
    </w:pPr>
    <w:rPr>
      <w:sz w:val="24"/>
      <w:szCs w:val="24"/>
    </w:rPr>
  </w:style>
  <w:style w:type="character" w:styleId="741" w:customStyle="1">
    <w:name w:val="Подзаголовок Знак"/>
    <w:basedOn w:val="709"/>
    <w:link w:val="740"/>
    <w:uiPriority w:val="11"/>
    <w:rPr>
      <w:sz w:val="24"/>
      <w:szCs w:val="24"/>
    </w:rPr>
  </w:style>
  <w:style w:type="paragraph" w:styleId="742">
    <w:name w:val="Quote"/>
    <w:basedOn w:val="699"/>
    <w:next w:val="699"/>
    <w:link w:val="743"/>
    <w:uiPriority w:val="29"/>
    <w:qFormat/>
    <w:pPr>
      <w:ind w:left="720" w:right="720"/>
    </w:pPr>
    <w:rPr>
      <w:i/>
    </w:rPr>
  </w:style>
  <w:style w:type="character" w:styleId="743" w:customStyle="1">
    <w:name w:val="Цитата 2 Знак"/>
    <w:link w:val="742"/>
    <w:uiPriority w:val="29"/>
    <w:rPr>
      <w:i/>
    </w:rPr>
  </w:style>
  <w:style w:type="paragraph" w:styleId="744">
    <w:name w:val="Intense Quote"/>
    <w:basedOn w:val="699"/>
    <w:next w:val="699"/>
    <w:link w:val="745"/>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45" w:customStyle="1">
    <w:name w:val="Выделенная цитата Знак"/>
    <w:link w:val="744"/>
    <w:uiPriority w:val="30"/>
    <w:rPr>
      <w:i/>
    </w:rPr>
  </w:style>
  <w:style w:type="character" w:styleId="746" w:customStyle="1">
    <w:name w:val="Header Char"/>
    <w:basedOn w:val="709"/>
    <w:uiPriority w:val="99"/>
  </w:style>
  <w:style w:type="character" w:styleId="747" w:customStyle="1">
    <w:name w:val="Footer Char"/>
    <w:basedOn w:val="709"/>
    <w:uiPriority w:val="99"/>
  </w:style>
  <w:style w:type="paragraph" w:styleId="748">
    <w:name w:val="Caption"/>
    <w:basedOn w:val="699"/>
    <w:next w:val="699"/>
    <w:link w:val="749"/>
    <w:uiPriority w:val="35"/>
    <w:semiHidden/>
    <w:unhideWhenUsed/>
    <w:qFormat/>
    <w:pPr>
      <w:spacing w:line="276" w:lineRule="auto"/>
    </w:pPr>
    <w:rPr>
      <w:b/>
      <w:bCs/>
      <w:color w:val="5b9bd5" w:themeColor="accent1"/>
      <w:sz w:val="18"/>
      <w:szCs w:val="18"/>
    </w:rPr>
  </w:style>
  <w:style w:type="character" w:styleId="749" w:customStyle="1">
    <w:name w:val="Название объекта Знак"/>
    <w:link w:val="748"/>
    <w:uiPriority w:val="99"/>
  </w:style>
  <w:style w:type="table" w:styleId="750">
    <w:name w:val="Table Grid"/>
    <w:basedOn w:val="710"/>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751" w:customStyle="1">
    <w:name w:val="Table Grid Light"/>
    <w:basedOn w:val="710"/>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52">
    <w:name w:val="Plain Table 1"/>
    <w:basedOn w:val="710"/>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3">
    <w:name w:val="Plain Table 2"/>
    <w:basedOn w:val="710"/>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4">
    <w:name w:val="Plain Table 3"/>
    <w:basedOn w:val="710"/>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55">
    <w:name w:val="Plain Table 4"/>
    <w:basedOn w:val="710"/>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6">
    <w:name w:val="Plain Table 5"/>
    <w:basedOn w:val="710"/>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57">
    <w:name w:val="Grid Table 1 Light"/>
    <w:basedOn w:val="710"/>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58" w:customStyle="1">
    <w:name w:val="Grid Table 1 Light - Accent 1"/>
    <w:basedOn w:val="710"/>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759" w:customStyle="1">
    <w:name w:val="Grid Table 1 Light - Accent 2"/>
    <w:basedOn w:val="710"/>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760" w:customStyle="1">
    <w:name w:val="Grid Table 1 Light - Accent 3"/>
    <w:basedOn w:val="710"/>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761" w:customStyle="1">
    <w:name w:val="Grid Table 1 Light - Accent 4"/>
    <w:basedOn w:val="710"/>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762" w:customStyle="1">
    <w:name w:val="Grid Table 1 Light - Accent 5"/>
    <w:basedOn w:val="710"/>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763" w:customStyle="1">
    <w:name w:val="Grid Table 1 Light - Accent 6"/>
    <w:basedOn w:val="710"/>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764">
    <w:name w:val="Grid Table 2"/>
    <w:basedOn w:val="710"/>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65" w:customStyle="1">
    <w:name w:val="Grid Table 2 - Accent 1"/>
    <w:basedOn w:val="710"/>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766" w:customStyle="1">
    <w:name w:val="Grid Table 2 - Accent 2"/>
    <w:basedOn w:val="710"/>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767" w:customStyle="1">
    <w:name w:val="Grid Table 2 - Accent 3"/>
    <w:basedOn w:val="710"/>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768" w:customStyle="1">
    <w:name w:val="Grid Table 2 - Accent 4"/>
    <w:basedOn w:val="710"/>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769" w:customStyle="1">
    <w:name w:val="Grid Table 2 - Accent 5"/>
    <w:basedOn w:val="710"/>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770" w:customStyle="1">
    <w:name w:val="Grid Table 2 - Accent 6"/>
    <w:basedOn w:val="710"/>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771">
    <w:name w:val="Grid Table 3"/>
    <w:basedOn w:val="710"/>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2" w:customStyle="1">
    <w:name w:val="Grid Table 3 - Accent 1"/>
    <w:basedOn w:val="710"/>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3" w:customStyle="1">
    <w:name w:val="Grid Table 3 - Accent 2"/>
    <w:basedOn w:val="710"/>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4" w:customStyle="1">
    <w:name w:val="Grid Table 3 - Accent 3"/>
    <w:basedOn w:val="710"/>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5" w:customStyle="1">
    <w:name w:val="Grid Table 3 - Accent 4"/>
    <w:basedOn w:val="710"/>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6" w:customStyle="1">
    <w:name w:val="Grid Table 3 - Accent 5"/>
    <w:basedOn w:val="710"/>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7" w:customStyle="1">
    <w:name w:val="Grid Table 3 - Accent 6"/>
    <w:basedOn w:val="710"/>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8">
    <w:name w:val="Grid Table 4"/>
    <w:basedOn w:val="710"/>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9" w:customStyle="1">
    <w:name w:val="Grid Table 4 - Accent 1"/>
    <w:basedOn w:val="710"/>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780" w:customStyle="1">
    <w:name w:val="Grid Table 4 - Accent 2"/>
    <w:basedOn w:val="710"/>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781" w:customStyle="1">
    <w:name w:val="Grid Table 4 - Accent 3"/>
    <w:basedOn w:val="710"/>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782" w:customStyle="1">
    <w:name w:val="Grid Table 4 - Accent 4"/>
    <w:basedOn w:val="710"/>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783" w:customStyle="1">
    <w:name w:val="Grid Table 4 - Accent 5"/>
    <w:basedOn w:val="710"/>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784" w:customStyle="1">
    <w:name w:val="Grid Table 4 - Accent 6"/>
    <w:basedOn w:val="710"/>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785">
    <w:name w:val="Grid Table 5 Dark"/>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86" w:customStyle="1">
    <w:name w:val="Grid Table 5 Dark- Accent 1"/>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787" w:customStyle="1">
    <w:name w:val="Grid Table 5 Dark - Accent 2"/>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788" w:customStyle="1">
    <w:name w:val="Grid Table 5 Dark - Accent 3"/>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789" w:customStyle="1">
    <w:name w:val="Grid Table 5 Dark- Accent 4"/>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790" w:customStyle="1">
    <w:name w:val="Grid Table 5 Dark - Accent 5"/>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791" w:customStyle="1">
    <w:name w:val="Grid Table 5 Dark - Accent 6"/>
    <w:basedOn w:val="710"/>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792">
    <w:name w:val="Grid Table 6 Colorful"/>
    <w:basedOn w:val="710"/>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93" w:customStyle="1">
    <w:name w:val="Grid Table 6 Colorful - Accent 1"/>
    <w:basedOn w:val="710"/>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794" w:customStyle="1">
    <w:name w:val="Grid Table 6 Colorful - Accent 2"/>
    <w:basedOn w:val="710"/>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795" w:customStyle="1">
    <w:name w:val="Grid Table 6 Colorful - Accent 3"/>
    <w:basedOn w:val="710"/>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796" w:customStyle="1">
    <w:name w:val="Grid Table 6 Colorful - Accent 4"/>
    <w:basedOn w:val="710"/>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797" w:customStyle="1">
    <w:name w:val="Grid Table 6 Colorful - Accent 5"/>
    <w:basedOn w:val="710"/>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798" w:customStyle="1">
    <w:name w:val="Grid Table 6 Colorful - Accent 6"/>
    <w:basedOn w:val="710"/>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799">
    <w:name w:val="Grid Table 7 Colorful"/>
    <w:basedOn w:val="710"/>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00" w:customStyle="1">
    <w:name w:val="Grid Table 7 Colorful - Accent 1"/>
    <w:basedOn w:val="710"/>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style>
  <w:style w:type="table" w:styleId="801" w:customStyle="1">
    <w:name w:val="Grid Table 7 Colorful - Accent 2"/>
    <w:basedOn w:val="710"/>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02" w:customStyle="1">
    <w:name w:val="Grid Table 7 Colorful - Accent 3"/>
    <w:basedOn w:val="710"/>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03" w:customStyle="1">
    <w:name w:val="Grid Table 7 Colorful - Accent 4"/>
    <w:basedOn w:val="710"/>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04" w:customStyle="1">
    <w:name w:val="Grid Table 7 Colorful - Accent 5"/>
    <w:basedOn w:val="710"/>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style>
  <w:style w:type="table" w:styleId="805" w:customStyle="1">
    <w:name w:val="Grid Table 7 Colorful - Accent 6"/>
    <w:basedOn w:val="710"/>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06">
    <w:name w:val="List Table 1 Light"/>
    <w:basedOn w:val="710"/>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07" w:customStyle="1">
    <w:name w:val="List Table 1 Light - Accent 1"/>
    <w:basedOn w:val="710"/>
    <w:uiPriority w:val="99"/>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808" w:customStyle="1">
    <w:name w:val="List Table 1 Light - Accent 2"/>
    <w:basedOn w:val="710"/>
    <w:uiPriority w:val="99"/>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09" w:customStyle="1">
    <w:name w:val="List Table 1 Light - Accent 3"/>
    <w:basedOn w:val="710"/>
    <w:uiPriority w:val="99"/>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10" w:customStyle="1">
    <w:name w:val="List Table 1 Light - Accent 4"/>
    <w:basedOn w:val="710"/>
    <w:uiPriority w:val="99"/>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11" w:customStyle="1">
    <w:name w:val="List Table 1 Light - Accent 5"/>
    <w:basedOn w:val="710"/>
    <w:uiPriority w:val="99"/>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812" w:customStyle="1">
    <w:name w:val="List Table 1 Light - Accent 6"/>
    <w:basedOn w:val="710"/>
    <w:uiPriority w:val="99"/>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13">
    <w:name w:val="List Table 2"/>
    <w:basedOn w:val="710"/>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14" w:customStyle="1">
    <w:name w:val="List Table 2 - Accent 1"/>
    <w:basedOn w:val="710"/>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815" w:customStyle="1">
    <w:name w:val="List Table 2 - Accent 2"/>
    <w:basedOn w:val="710"/>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16" w:customStyle="1">
    <w:name w:val="List Table 2 - Accent 3"/>
    <w:basedOn w:val="710"/>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17" w:customStyle="1">
    <w:name w:val="List Table 2 - Accent 4"/>
    <w:basedOn w:val="710"/>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18" w:customStyle="1">
    <w:name w:val="List Table 2 - Accent 5"/>
    <w:basedOn w:val="710"/>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819" w:customStyle="1">
    <w:name w:val="List Table 2 - Accent 6"/>
    <w:basedOn w:val="710"/>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20">
    <w:name w:val="List Table 3"/>
    <w:basedOn w:val="710"/>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21" w:customStyle="1">
    <w:name w:val="List Table 3 - Accent 1"/>
    <w:basedOn w:val="710"/>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22" w:customStyle="1">
    <w:name w:val="List Table 3 - Accent 2"/>
    <w:basedOn w:val="710"/>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23" w:customStyle="1">
    <w:name w:val="List Table 3 - Accent 3"/>
    <w:basedOn w:val="710"/>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24" w:customStyle="1">
    <w:name w:val="List Table 3 - Accent 4"/>
    <w:basedOn w:val="710"/>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25" w:customStyle="1">
    <w:name w:val="List Table 3 - Accent 5"/>
    <w:basedOn w:val="710"/>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826" w:customStyle="1">
    <w:name w:val="List Table 3 - Accent 6"/>
    <w:basedOn w:val="710"/>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27">
    <w:name w:val="List Table 4"/>
    <w:basedOn w:val="710"/>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28" w:customStyle="1">
    <w:name w:val="List Table 4 - Accent 1"/>
    <w:basedOn w:val="710"/>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29" w:customStyle="1">
    <w:name w:val="List Table 4 - Accent 2"/>
    <w:basedOn w:val="710"/>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30" w:customStyle="1">
    <w:name w:val="List Table 4 - Accent 3"/>
    <w:basedOn w:val="710"/>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31" w:customStyle="1">
    <w:name w:val="List Table 4 - Accent 4"/>
    <w:basedOn w:val="710"/>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32" w:customStyle="1">
    <w:name w:val="List Table 4 - Accent 5"/>
    <w:basedOn w:val="710"/>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833" w:customStyle="1">
    <w:name w:val="List Table 4 - Accent 6"/>
    <w:basedOn w:val="710"/>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834">
    <w:name w:val="List Table 5 Dark"/>
    <w:basedOn w:val="710"/>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35" w:customStyle="1">
    <w:name w:val="List Table 5 Dark - Accent 1"/>
    <w:basedOn w:val="710"/>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836" w:customStyle="1">
    <w:name w:val="List Table 5 Dark - Accent 2"/>
    <w:basedOn w:val="710"/>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837" w:customStyle="1">
    <w:name w:val="List Table 5 Dark - Accent 3"/>
    <w:basedOn w:val="710"/>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838" w:customStyle="1">
    <w:name w:val="List Table 5 Dark - Accent 4"/>
    <w:basedOn w:val="710"/>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839" w:customStyle="1">
    <w:name w:val="List Table 5 Dark - Accent 5"/>
    <w:basedOn w:val="710"/>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840" w:customStyle="1">
    <w:name w:val="List Table 5 Dark - Accent 6"/>
    <w:basedOn w:val="710"/>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841">
    <w:name w:val="List Table 6 Colorful"/>
    <w:basedOn w:val="710"/>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42" w:customStyle="1">
    <w:name w:val="List Table 6 Colorful - Accent 1"/>
    <w:basedOn w:val="710"/>
    <w:uiPriority w:val="99"/>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843" w:customStyle="1">
    <w:name w:val="List Table 6 Colorful - Accent 2"/>
    <w:basedOn w:val="710"/>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844" w:customStyle="1">
    <w:name w:val="List Table 6 Colorful - Accent 3"/>
    <w:basedOn w:val="710"/>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845" w:customStyle="1">
    <w:name w:val="List Table 6 Colorful - Accent 4"/>
    <w:basedOn w:val="710"/>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846" w:customStyle="1">
    <w:name w:val="List Table 6 Colorful - Accent 5"/>
    <w:basedOn w:val="710"/>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847" w:customStyle="1">
    <w:name w:val="List Table 6 Colorful - Accent 6"/>
    <w:basedOn w:val="710"/>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848">
    <w:name w:val="List Table 7 Colorful"/>
    <w:basedOn w:val="710"/>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49" w:customStyle="1">
    <w:name w:val="List Table 7 Colorful - Accent 1"/>
    <w:basedOn w:val="710"/>
    <w:uiPriority w:val="99"/>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850" w:customStyle="1">
    <w:name w:val="List Table 7 Colorful - Accent 2"/>
    <w:basedOn w:val="710"/>
    <w:uiPriority w:val="99"/>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51" w:customStyle="1">
    <w:name w:val="List Table 7 Colorful - Accent 3"/>
    <w:basedOn w:val="710"/>
    <w:uiPriority w:val="99"/>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852" w:customStyle="1">
    <w:name w:val="List Table 7 Colorful - Accent 4"/>
    <w:basedOn w:val="710"/>
    <w:uiPriority w:val="99"/>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53" w:customStyle="1">
    <w:name w:val="List Table 7 Colorful - Accent 5"/>
    <w:basedOn w:val="710"/>
    <w:uiPriority w:val="99"/>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style>
  <w:style w:type="table" w:styleId="854" w:customStyle="1">
    <w:name w:val="List Table 7 Colorful - Accent 6"/>
    <w:basedOn w:val="710"/>
    <w:uiPriority w:val="99"/>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855" w:customStyle="1">
    <w:name w:val="Lined - Accent"/>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56" w:customStyle="1">
    <w:name w:val="Lined - Accent 1"/>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57" w:customStyle="1">
    <w:name w:val="Lined - Accent 2"/>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58" w:customStyle="1">
    <w:name w:val="Lined - Accent 3"/>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59" w:customStyle="1">
    <w:name w:val="Lined - Accent 4"/>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60" w:customStyle="1">
    <w:name w:val="Lined - Accent 5"/>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61" w:customStyle="1">
    <w:name w:val="Lined - Accent 6"/>
    <w:basedOn w:val="710"/>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62" w:customStyle="1">
    <w:name w:val="Bordered &amp; Lined - Accent"/>
    <w:basedOn w:val="710"/>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63" w:customStyle="1">
    <w:name w:val="Bordered &amp; Lined - Accent 1"/>
    <w:basedOn w:val="710"/>
    <w:uiPriority w:val="99"/>
    <w:rPr>
      <w:color w:val="404040"/>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64" w:customStyle="1">
    <w:name w:val="Bordered &amp; Lined - Accent 2"/>
    <w:basedOn w:val="710"/>
    <w:uiPriority w:val="99"/>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65" w:customStyle="1">
    <w:name w:val="Bordered &amp; Lined - Accent 3"/>
    <w:basedOn w:val="710"/>
    <w:uiPriority w:val="99"/>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66" w:customStyle="1">
    <w:name w:val="Bordered &amp; Lined - Accent 4"/>
    <w:basedOn w:val="710"/>
    <w:uiPriority w:val="99"/>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67" w:customStyle="1">
    <w:name w:val="Bordered &amp; Lined - Accent 5"/>
    <w:basedOn w:val="710"/>
    <w:uiPriority w:val="99"/>
    <w:rPr>
      <w:color w:val="404040"/>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68" w:customStyle="1">
    <w:name w:val="Bordered &amp; Lined - Accent 6"/>
    <w:basedOn w:val="710"/>
    <w:uiPriority w:val="99"/>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69" w:customStyle="1">
    <w:name w:val="Bordered"/>
    <w:basedOn w:val="710"/>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70" w:customStyle="1">
    <w:name w:val="Bordered - Accent 1"/>
    <w:basedOn w:val="710"/>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871" w:customStyle="1">
    <w:name w:val="Bordered - Accent 2"/>
    <w:basedOn w:val="710"/>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872" w:customStyle="1">
    <w:name w:val="Bordered - Accent 3"/>
    <w:basedOn w:val="710"/>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873" w:customStyle="1">
    <w:name w:val="Bordered - Accent 4"/>
    <w:basedOn w:val="710"/>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874" w:customStyle="1">
    <w:name w:val="Bordered - Accent 5"/>
    <w:basedOn w:val="710"/>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875" w:customStyle="1">
    <w:name w:val="Bordered - Accent 6"/>
    <w:basedOn w:val="710"/>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876" w:customStyle="1">
    <w:name w:val="Footnote Text Char"/>
    <w:uiPriority w:val="99"/>
    <w:rPr>
      <w:sz w:val="18"/>
    </w:rPr>
  </w:style>
  <w:style w:type="paragraph" w:styleId="877">
    <w:name w:val="endnote text"/>
    <w:basedOn w:val="699"/>
    <w:link w:val="878"/>
    <w:uiPriority w:val="99"/>
    <w:semiHidden/>
    <w:unhideWhenUsed/>
    <w:pPr>
      <w:spacing w:after="0" w:line="240" w:lineRule="auto"/>
    </w:pPr>
    <w:rPr>
      <w:sz w:val="20"/>
    </w:rPr>
  </w:style>
  <w:style w:type="character" w:styleId="878" w:customStyle="1">
    <w:name w:val="Текст концевой сноски Знак"/>
    <w:link w:val="877"/>
    <w:uiPriority w:val="99"/>
    <w:rPr>
      <w:sz w:val="20"/>
    </w:rPr>
  </w:style>
  <w:style w:type="character" w:styleId="879">
    <w:name w:val="endnote reference"/>
    <w:basedOn w:val="709"/>
    <w:uiPriority w:val="99"/>
    <w:semiHidden/>
    <w:unhideWhenUsed/>
    <w:rPr>
      <w:vertAlign w:val="superscript"/>
    </w:rPr>
  </w:style>
  <w:style w:type="paragraph" w:styleId="880">
    <w:name w:val="toc 1"/>
    <w:basedOn w:val="699"/>
    <w:next w:val="699"/>
    <w:uiPriority w:val="39"/>
    <w:unhideWhenUsed/>
    <w:pPr>
      <w:spacing w:after="57"/>
    </w:pPr>
  </w:style>
  <w:style w:type="paragraph" w:styleId="881">
    <w:name w:val="toc 2"/>
    <w:basedOn w:val="699"/>
    <w:next w:val="699"/>
    <w:uiPriority w:val="39"/>
    <w:unhideWhenUsed/>
    <w:pPr>
      <w:ind w:left="283"/>
      <w:spacing w:after="57"/>
    </w:pPr>
  </w:style>
  <w:style w:type="paragraph" w:styleId="882">
    <w:name w:val="toc 3"/>
    <w:basedOn w:val="699"/>
    <w:next w:val="699"/>
    <w:uiPriority w:val="39"/>
    <w:unhideWhenUsed/>
    <w:pPr>
      <w:ind w:left="567"/>
      <w:spacing w:after="57"/>
    </w:pPr>
  </w:style>
  <w:style w:type="paragraph" w:styleId="883">
    <w:name w:val="toc 4"/>
    <w:basedOn w:val="699"/>
    <w:next w:val="699"/>
    <w:uiPriority w:val="39"/>
    <w:unhideWhenUsed/>
    <w:pPr>
      <w:ind w:left="850"/>
      <w:spacing w:after="57"/>
    </w:pPr>
  </w:style>
  <w:style w:type="paragraph" w:styleId="884">
    <w:name w:val="toc 5"/>
    <w:basedOn w:val="699"/>
    <w:next w:val="699"/>
    <w:uiPriority w:val="39"/>
    <w:unhideWhenUsed/>
    <w:pPr>
      <w:ind w:left="1134"/>
      <w:spacing w:after="57"/>
    </w:pPr>
  </w:style>
  <w:style w:type="paragraph" w:styleId="885">
    <w:name w:val="toc 6"/>
    <w:basedOn w:val="699"/>
    <w:next w:val="699"/>
    <w:uiPriority w:val="39"/>
    <w:unhideWhenUsed/>
    <w:pPr>
      <w:ind w:left="1417"/>
      <w:spacing w:after="57"/>
    </w:pPr>
  </w:style>
  <w:style w:type="paragraph" w:styleId="886">
    <w:name w:val="toc 7"/>
    <w:basedOn w:val="699"/>
    <w:next w:val="699"/>
    <w:uiPriority w:val="39"/>
    <w:unhideWhenUsed/>
    <w:pPr>
      <w:ind w:left="1701"/>
      <w:spacing w:after="57"/>
    </w:pPr>
  </w:style>
  <w:style w:type="paragraph" w:styleId="887">
    <w:name w:val="toc 8"/>
    <w:basedOn w:val="699"/>
    <w:next w:val="699"/>
    <w:uiPriority w:val="39"/>
    <w:unhideWhenUsed/>
    <w:pPr>
      <w:ind w:left="1984"/>
      <w:spacing w:after="57"/>
    </w:pPr>
  </w:style>
  <w:style w:type="paragraph" w:styleId="888">
    <w:name w:val="toc 9"/>
    <w:basedOn w:val="699"/>
    <w:next w:val="699"/>
    <w:uiPriority w:val="39"/>
    <w:unhideWhenUsed/>
    <w:pPr>
      <w:ind w:left="2268"/>
      <w:spacing w:after="57"/>
    </w:pPr>
  </w:style>
  <w:style w:type="paragraph" w:styleId="889">
    <w:name w:val="TOC Heading"/>
    <w:uiPriority w:val="39"/>
    <w:unhideWhenUsed/>
  </w:style>
  <w:style w:type="paragraph" w:styleId="890">
    <w:name w:val="table of figures"/>
    <w:basedOn w:val="699"/>
    <w:next w:val="699"/>
    <w:uiPriority w:val="99"/>
    <w:unhideWhenUsed/>
    <w:pPr>
      <w:spacing w:after="0"/>
    </w:pPr>
  </w:style>
  <w:style w:type="paragraph" w:styleId="891">
    <w:name w:val="footnote text"/>
    <w:basedOn w:val="699"/>
    <w:link w:val="892"/>
    <w:uiPriority w:val="99"/>
    <w:semiHidden/>
    <w:unhideWhenUsed/>
    <w:rPr>
      <w:sz w:val="20"/>
      <w:szCs w:val="20"/>
    </w:rPr>
  </w:style>
  <w:style w:type="character" w:styleId="892" w:customStyle="1">
    <w:name w:val="Текст сноски Знак"/>
    <w:link w:val="891"/>
    <w:uiPriority w:val="99"/>
    <w:semiHidden/>
    <w:rPr>
      <w:sz w:val="20"/>
      <w:szCs w:val="20"/>
    </w:rPr>
  </w:style>
  <w:style w:type="character" w:styleId="893">
    <w:name w:val="footnote reference"/>
    <w:uiPriority w:val="99"/>
    <w:unhideWhenUsed/>
    <w:rPr>
      <w:rFonts w:cs="Times New Roman"/>
      <w:vertAlign w:val="superscript"/>
    </w:rPr>
  </w:style>
  <w:style w:type="paragraph" w:styleId="894">
    <w:name w:val="Header"/>
    <w:basedOn w:val="699"/>
    <w:link w:val="895"/>
    <w:uiPriority w:val="99"/>
    <w:unhideWhenUsed/>
    <w:pPr>
      <w:tabs>
        <w:tab w:val="center" w:pos="4677" w:leader="none"/>
        <w:tab w:val="right" w:pos="9355" w:leader="none"/>
      </w:tabs>
    </w:pPr>
  </w:style>
  <w:style w:type="character" w:styleId="895" w:customStyle="1">
    <w:name w:val="Верхний колонтитул Знак"/>
    <w:basedOn w:val="709"/>
    <w:link w:val="894"/>
    <w:uiPriority w:val="99"/>
  </w:style>
  <w:style w:type="paragraph" w:styleId="896">
    <w:name w:val="Footer"/>
    <w:basedOn w:val="699"/>
    <w:link w:val="897"/>
    <w:uiPriority w:val="99"/>
    <w:unhideWhenUsed/>
    <w:pPr>
      <w:tabs>
        <w:tab w:val="center" w:pos="4677" w:leader="none"/>
        <w:tab w:val="right" w:pos="9355" w:leader="none"/>
      </w:tabs>
    </w:pPr>
  </w:style>
  <w:style w:type="character" w:styleId="897" w:customStyle="1">
    <w:name w:val="Нижний колонтитул Знак"/>
    <w:basedOn w:val="709"/>
    <w:link w:val="896"/>
    <w:uiPriority w:val="99"/>
  </w:style>
  <w:style w:type="paragraph" w:styleId="898">
    <w:name w:val="Balloon Text"/>
    <w:basedOn w:val="699"/>
    <w:link w:val="899"/>
    <w:uiPriority w:val="99"/>
    <w:semiHidden/>
    <w:unhideWhenUsed/>
    <w:pPr>
      <w:spacing w:after="0" w:line="240" w:lineRule="auto"/>
    </w:pPr>
    <w:rPr>
      <w:rFonts w:ascii="Segoe UI" w:hAnsi="Segoe UI" w:cs="Segoe UI"/>
      <w:sz w:val="18"/>
      <w:szCs w:val="18"/>
    </w:rPr>
  </w:style>
  <w:style w:type="character" w:styleId="899" w:customStyle="1">
    <w:name w:val="Текст выноски Знак"/>
    <w:link w:val="898"/>
    <w:uiPriority w:val="99"/>
    <w:semiHidden/>
    <w:rPr>
      <w:rFonts w:ascii="Segoe UI" w:hAnsi="Segoe UI" w:cs="Segoe UI"/>
      <w:sz w:val="18"/>
      <w:szCs w:val="18"/>
    </w:rPr>
  </w:style>
  <w:style w:type="character" w:styleId="900">
    <w:name w:val="annotation reference"/>
    <w:uiPriority w:val="99"/>
    <w:semiHidden/>
    <w:unhideWhenUsed/>
    <w:rPr>
      <w:sz w:val="16"/>
      <w:szCs w:val="16"/>
    </w:rPr>
  </w:style>
  <w:style w:type="paragraph" w:styleId="901">
    <w:name w:val="annotation text"/>
    <w:basedOn w:val="699"/>
    <w:link w:val="902"/>
    <w:uiPriority w:val="99"/>
    <w:semiHidden/>
    <w:unhideWhenUsed/>
    <w:rPr>
      <w:sz w:val="20"/>
      <w:szCs w:val="20"/>
    </w:rPr>
  </w:style>
  <w:style w:type="character" w:styleId="902" w:customStyle="1">
    <w:name w:val="Текст примечания Знак"/>
    <w:basedOn w:val="709"/>
    <w:link w:val="901"/>
    <w:uiPriority w:val="99"/>
    <w:semiHidden/>
  </w:style>
  <w:style w:type="paragraph" w:styleId="903">
    <w:name w:val="annotation subject"/>
    <w:basedOn w:val="901"/>
    <w:next w:val="901"/>
    <w:link w:val="904"/>
    <w:uiPriority w:val="99"/>
    <w:semiHidden/>
    <w:unhideWhenUsed/>
    <w:rPr>
      <w:b/>
      <w:bCs/>
    </w:rPr>
  </w:style>
  <w:style w:type="character" w:styleId="904" w:customStyle="1">
    <w:name w:val="Тема примечания Знак"/>
    <w:link w:val="903"/>
    <w:uiPriority w:val="99"/>
    <w:semiHidden/>
    <w:rPr>
      <w:b/>
      <w:bCs/>
    </w:rPr>
  </w:style>
  <w:style w:type="character" w:styleId="905">
    <w:name w:val="Placeholder Text"/>
    <w:basedOn w:val="709"/>
    <w:uiPriority w:val="99"/>
    <w:semiHidden/>
    <w:rPr>
      <w:color w:val="808080"/>
    </w:rPr>
  </w:style>
  <w:style w:type="paragraph" w:styleId="906">
    <w:name w:val="Normal (Web)"/>
    <w:basedOn w:val="699"/>
    <w:uiPriority w:val="99"/>
    <w:semiHidden/>
    <w:unhideWhenUsed/>
    <w:pPr>
      <w:spacing w:before="100" w:beforeAutospacing="1" w:after="100" w:afterAutospacing="1" w:line="240" w:lineRule="auto"/>
    </w:pPr>
    <w:rPr>
      <w:rFonts w:ascii="Times New Roman" w:hAnsi="Times New Roman"/>
      <w:sz w:val="24"/>
      <w:szCs w:val="24"/>
    </w:rPr>
  </w:style>
  <w:style w:type="paragraph" w:styleId="907">
    <w:name w:val="Revision"/>
    <w:hidden/>
    <w:uiPriority w:val="99"/>
    <w:semiHidden/>
    <w:rPr>
      <w:sz w:val="22"/>
      <w:szCs w:val="22"/>
    </w:rPr>
  </w:style>
  <w:style w:type="character" w:styleId="908">
    <w:name w:val="Hyperlink"/>
    <w:uiPriority w:val="99"/>
    <w:unhideWhenUsed/>
    <w:rPr>
      <w:color w:val="0563c1"/>
      <w:u w:val="single"/>
    </w:rPr>
  </w:style>
  <w:style w:type="character" w:styleId="909" w:customStyle="1">
    <w:name w:val="Неразрешенное упоминание1"/>
    <w:basedOn w:val="709"/>
    <w:uiPriority w:val="99"/>
    <w:semiHidden/>
    <w:unhideWhenUsed/>
    <w:rPr>
      <w:color w:val="605e5c"/>
      <w:shd w:val="clear" w:color="auto" w:fill="e1dfdd"/>
    </w:rPr>
  </w:style>
  <w:style w:type="paragraph" w:styleId="910" w:customStyle="1">
    <w:name w:val="ConsPlusNormal"/>
    <w:pPr>
      <w:ind w:firstLine="720"/>
      <w:jc w:val="center"/>
      <w:widowControl w:val="off"/>
      <w:pBdr>
        <w:top w:val="none" w:color="000000" w:sz="4" w:space="0"/>
        <w:left w:val="none" w:color="000000" w:sz="4" w:space="0"/>
        <w:bottom w:val="none" w:color="000000" w:sz="4" w:space="0"/>
        <w:right w:val="none" w:color="000000" w:sz="4" w:space="0"/>
        <w:between w:val="none" w:color="000000" w:sz="4" w:space="0"/>
      </w:pBdr>
    </w:pPr>
    <w:rPr>
      <w:rFonts w:ascii="Arial" w:hAnsi="Arial" w:cs="Arial"/>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33530-9A19-415D-B015-8DD046BA3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Р7-Офис/2026.2.2.2683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 В.А.</dc:creator>
  <cp:keywords/>
  <dc:description/>
  <cp:lastModifiedBy>repetyukls</cp:lastModifiedBy>
  <cp:revision>22</cp:revision>
  <dcterms:created xsi:type="dcterms:W3CDTF">2026-04-09T13:52:00Z</dcterms:created>
  <dcterms:modified xsi:type="dcterms:W3CDTF">2026-10-06T09:21:10Z</dcterms:modified>
</cp:coreProperties>
</file>