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header6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109"/>
        <w:jc w:val="right"/>
        <w:rPr>
          <w:rFonts w:ascii="Times New Roman" w:hAnsi="Times New Roman"/>
          <w:b/>
          <w:bCs/>
          <w:i/>
          <w:color w:val="000000" w:themeColor="text1"/>
          <w:sz w:val="40"/>
          <w:szCs w:val="40"/>
        </w:rPr>
      </w:pPr>
      <w:r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Приложение № 3 к извещению о проведении </w:t>
      </w:r>
      <w:r>
        <w:rPr>
          <w:rFonts w:ascii="Times New Roman" w:hAnsi="Times New Roman"/>
          <w:b/>
          <w:bCs/>
          <w:i/>
          <w:color w:val="000000" w:themeColor="text1"/>
          <w:sz w:val="40"/>
          <w:szCs w:val="40"/>
        </w:rPr>
      </w:r>
      <w:r>
        <w:rPr>
          <w:rFonts w:ascii="Times New Roman" w:hAnsi="Times New Roman"/>
          <w:b/>
          <w:bCs/>
          <w:i/>
          <w:color w:val="000000" w:themeColor="text1"/>
          <w:sz w:val="40"/>
          <w:szCs w:val="40"/>
        </w:rPr>
      </w:r>
    </w:p>
    <w:p>
      <w:pPr>
        <w:pStyle w:val="1109"/>
        <w:jc w:val="right"/>
        <w:tabs>
          <w:tab w:val="left" w:pos="15591" w:leader="none"/>
        </w:tabs>
        <w:rPr>
          <w:sz w:val="22"/>
          <w:szCs w:val="22"/>
        </w:rPr>
      </w:pPr>
      <w:r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открытого конкурса в электронной форме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1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ТЕХНИЧЕСКОЕ ЗАДАНИЕ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1109"/>
        <w:jc w:val="center"/>
        <w:rPr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на оказание услуг по техническому сопровождению и обеспечению эксплуатации государственной информационной системы </w:t>
        <w:br/>
        <w:t xml:space="preserve">«Автоматизация процессов предоставления государственных услуг </w:t>
        <w:br/>
        <w:t xml:space="preserve">и осуществления государственных функций» Минэнерго России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br/>
        <w:t xml:space="preserve">(ГИС «Цифровые госуслуги Минэнерго России»)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в 202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7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-202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8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гг.</w:t>
      </w:r>
      <w:r>
        <w:rPr>
          <w:highlight w:val="none"/>
        </w:rPr>
      </w:r>
      <w:r>
        <w:rPr>
          <w:highlight w:val="none"/>
        </w:rPr>
      </w:r>
    </w:p>
    <w:p>
      <w:pPr>
        <w:shd w:val="nil" w:color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br w:type="page" w:clear="all"/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109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Содержание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pStyle w:val="1109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pStyle w:val="1109"/>
        <w:ind w:right="-2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Перечень обозначений и сокращений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............................................................................3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1095"/>
        <w:jc w:val="both"/>
        <w:spacing w:line="240" w:lineRule="auto"/>
        <w:tabs>
          <w:tab w:val="left" w:pos="283" w:leader="none"/>
          <w:tab w:val="right" w:pos="10195" w:leader="dot"/>
        </w:tabs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fldChar w:fldCharType="begin"/>
      </w:r>
      <w:r>
        <w:rPr>
          <w:rFonts w:ascii="Times New Roman" w:hAnsi="Times New Roman" w:eastAsia="Times New Roman" w:cs="Times New Roman"/>
          <w:sz w:val="28"/>
          <w:szCs w:val="28"/>
        </w:rPr>
        <w:instrText xml:space="preserve"> TOC \o "1-2" \h \z \u </w:instrText>
      </w:r>
      <w:r>
        <w:rPr>
          <w:rFonts w:ascii="Times New Roman" w:hAnsi="Times New Roman" w:eastAsia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hyperlink w:tooltip="#_Toc1" w:anchor="_Toc1" w:history="1">
        <w:r>
          <w:rPr>
            <w:rFonts w:ascii="Times New Roman" w:hAnsi="Times New Roman" w:eastAsia="Times New Roman" w:cs="Times New Roman" w:eastAsiaTheme="minorHAnsi"/>
            <w:b/>
            <w:bCs/>
            <w:sz w:val="28"/>
            <w:szCs w:val="28"/>
          </w:rPr>
          <w:t xml:space="preserve">1.</w:t>
        </w:r>
        <w:r>
          <w:rPr>
            <w:rFonts w:ascii="Times New Roman" w:hAnsi="Times New Roman" w:eastAsia="Times New Roman" w:cs="Times New Roman"/>
            <w:b/>
            <w:bCs/>
            <w:sz w:val="28"/>
            <w:szCs w:val="28"/>
          </w:rPr>
          <w:tab/>
        </w:r>
        <w:r>
          <w:rPr>
            <w:rStyle w:val="1088"/>
            <w:rFonts w:ascii="Times New Roman" w:hAnsi="Times New Roman" w:eastAsia="Times New Roman" w:cs="Times New Roman"/>
            <w:b/>
            <w:bCs/>
            <w:sz w:val="28"/>
            <w:szCs w:val="28"/>
          </w:rPr>
        </w:r>
        <w:r>
          <w:rPr>
            <w:rStyle w:val="1088"/>
            <w:rFonts w:ascii="Times New Roman" w:hAnsi="Times New Roman" w:eastAsia="Times New Roman" w:cs="Times New Roman"/>
            <w:b/>
            <w:bCs/>
            <w:sz w:val="28"/>
            <w:szCs w:val="28"/>
          </w:rPr>
          <w:t xml:space="preserve">Общие положения</w:t>
        </w:r>
        <w:r>
          <w:rPr>
            <w:rStyle w:val="1088"/>
            <w:rFonts w:ascii="Times New Roman" w:hAnsi="Times New Roman" w:eastAsia="Times New Roman" w:cs="Times New Roman"/>
            <w:b/>
            <w:bCs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ab/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begin"/>
          <w:instrText xml:space="preserve">PAGEREF _Toc1 \h</w:instrText>
          <w:fldChar w:fldCharType="separate"/>
        </w:r>
        <w:r>
          <w:rPr>
            <w:rFonts w:ascii="Times New Roman" w:hAnsi="Times New Roman" w:cs="Times New Roman" w:eastAsiaTheme="minorHAnsi"/>
            <w:b/>
            <w:bCs/>
            <w:sz w:val="28"/>
            <w:szCs w:val="28"/>
          </w:rPr>
          <w:t xml:space="preserve">5</w:t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end"/>
        </w:r>
      </w:hyperlink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1096"/>
        <w:jc w:val="both"/>
        <w:spacing w:line="240" w:lineRule="auto"/>
        <w:tabs>
          <w:tab w:val="left" w:pos="850" w:leader="none"/>
          <w:tab w:val="right" w:pos="10195" w:leader="dot"/>
        </w:tabs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b w:val="0"/>
          <w:bCs w:val="0"/>
        </w:rPr>
      </w:r>
      <w:hyperlink w:tooltip="#_Toc2" w:anchor="_Toc2" w:history="1">
        <w:r>
          <w:rPr>
            <w:rFonts w:ascii="Times New Roman" w:hAnsi="Times New Roman" w:eastAsia="Times New Roman" w:cs="Times New Roman" w:eastAsiaTheme="minorHAnsi"/>
            <w:b w:val="0"/>
            <w:bCs w:val="0"/>
            <w:sz w:val="28"/>
            <w:szCs w:val="28"/>
          </w:rPr>
          <w:t xml:space="preserve">1.1.</w:t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ab/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 xml:space="preserve">Наименование объекта закупки</w:t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ab/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begin"/>
          <w:instrText xml:space="preserve">PAGEREF _Toc2 \h</w:instrText>
          <w:fldChar w:fldCharType="separate"/>
        </w:r>
        <w:r>
          <w:rPr>
            <w:rFonts w:ascii="Times New Roman" w:hAnsi="Times New Roman" w:cs="Times New Roman" w:eastAsiaTheme="minorHAnsi"/>
            <w:b w:val="0"/>
            <w:bCs w:val="0"/>
            <w:sz w:val="28"/>
            <w:szCs w:val="28"/>
          </w:rPr>
          <w:t xml:space="preserve">5</w:t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end"/>
        </w:r>
      </w:hyperlink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1096"/>
        <w:jc w:val="both"/>
        <w:spacing w:line="240" w:lineRule="auto"/>
        <w:tabs>
          <w:tab w:val="left" w:pos="850" w:leader="none"/>
          <w:tab w:val="right" w:pos="10195" w:leader="dot"/>
        </w:tabs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b w:val="0"/>
          <w:bCs w:val="0"/>
        </w:rPr>
      </w:r>
      <w:hyperlink w:tooltip="#_Toc3" w:anchor="_Toc3" w:history="1">
        <w:r>
          <w:rPr>
            <w:rFonts w:ascii="Times New Roman" w:hAnsi="Times New Roman" w:eastAsia="Times New Roman" w:cs="Times New Roman" w:eastAsiaTheme="minorHAnsi"/>
            <w:b w:val="0"/>
            <w:bCs w:val="0"/>
            <w:sz w:val="28"/>
            <w:szCs w:val="28"/>
          </w:rPr>
          <w:t xml:space="preserve">1.2.</w:t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ab/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 xml:space="preserve">Цель, предмет и задачи оказания Услуг</w:t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ab/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begin"/>
          <w:instrText xml:space="preserve">PAGEREF _Toc3 \h</w:instrText>
          <w:fldChar w:fldCharType="separate"/>
        </w:r>
        <w:r>
          <w:rPr>
            <w:rFonts w:ascii="Times New Roman" w:hAnsi="Times New Roman" w:cs="Times New Roman" w:eastAsiaTheme="minorHAnsi"/>
            <w:b w:val="0"/>
            <w:bCs w:val="0"/>
            <w:sz w:val="28"/>
            <w:szCs w:val="28"/>
          </w:rPr>
          <w:t xml:space="preserve">6</w:t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end"/>
        </w:r>
      </w:hyperlink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1096"/>
        <w:jc w:val="both"/>
        <w:spacing w:line="240" w:lineRule="auto"/>
        <w:tabs>
          <w:tab w:val="left" w:pos="850" w:leader="none"/>
          <w:tab w:val="right" w:pos="10195" w:leader="dot"/>
        </w:tabs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b w:val="0"/>
          <w:bCs w:val="0"/>
        </w:rPr>
      </w:r>
      <w:hyperlink w:tooltip="#_Toc4" w:anchor="_Toc4" w:history="1">
        <w:r>
          <w:rPr>
            <w:rFonts w:ascii="Times New Roman" w:hAnsi="Times New Roman" w:eastAsia="Times New Roman" w:cs="Times New Roman" w:eastAsiaTheme="minorHAnsi"/>
            <w:b w:val="0"/>
            <w:bCs w:val="0"/>
            <w:sz w:val="28"/>
            <w:szCs w:val="28"/>
          </w:rPr>
          <w:t xml:space="preserve">1.3.</w:t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ab/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 xml:space="preserve">Источник и порядок финансирования услуг</w:t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ab/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begin"/>
          <w:instrText xml:space="preserve">PAGEREF _Toc4 \h</w:instrText>
          <w:fldChar w:fldCharType="separate"/>
        </w:r>
        <w:r>
          <w:rPr>
            <w:rFonts w:ascii="Times New Roman" w:hAnsi="Times New Roman" w:cs="Times New Roman" w:eastAsiaTheme="minorHAnsi"/>
            <w:b w:val="0"/>
            <w:bCs w:val="0"/>
            <w:sz w:val="28"/>
            <w:szCs w:val="28"/>
          </w:rPr>
          <w:t xml:space="preserve">6</w:t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end"/>
        </w:r>
      </w:hyperlink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1096"/>
        <w:jc w:val="both"/>
        <w:spacing w:line="240" w:lineRule="auto"/>
        <w:tabs>
          <w:tab w:val="left" w:pos="850" w:leader="none"/>
          <w:tab w:val="right" w:pos="10195" w:leader="dot"/>
        </w:tabs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b w:val="0"/>
          <w:bCs w:val="0"/>
        </w:rPr>
      </w:r>
      <w:hyperlink w:tooltip="#_Toc5" w:anchor="_Toc5" w:history="1">
        <w:r>
          <w:rPr>
            <w:rFonts w:ascii="Times New Roman" w:hAnsi="Times New Roman" w:eastAsia="Times New Roman" w:cs="Times New Roman" w:eastAsiaTheme="minorHAnsi"/>
            <w:b w:val="0"/>
            <w:bCs w:val="0"/>
            <w:sz w:val="28"/>
            <w:szCs w:val="28"/>
          </w:rPr>
          <w:t xml:space="preserve">1.4.</w:t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ab/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 xml:space="preserve">Место оказания услуг</w:t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ab/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begin"/>
          <w:instrText xml:space="preserve">PAGEREF _Toc5 \h</w:instrText>
          <w:fldChar w:fldCharType="separate"/>
        </w:r>
        <w:r>
          <w:rPr>
            <w:rFonts w:ascii="Times New Roman" w:hAnsi="Times New Roman" w:cs="Times New Roman" w:eastAsiaTheme="minorHAnsi"/>
            <w:b w:val="0"/>
            <w:bCs w:val="0"/>
            <w:sz w:val="28"/>
            <w:szCs w:val="28"/>
          </w:rPr>
          <w:t xml:space="preserve">7</w:t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end"/>
        </w:r>
      </w:hyperlink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1096"/>
        <w:jc w:val="both"/>
        <w:spacing w:line="240" w:lineRule="auto"/>
        <w:tabs>
          <w:tab w:val="left" w:pos="850" w:leader="none"/>
          <w:tab w:val="right" w:pos="10195" w:leader="dot"/>
        </w:tabs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b w:val="0"/>
          <w:bCs w:val="0"/>
        </w:rPr>
      </w:r>
      <w:hyperlink w:tooltip="#_Toc6" w:anchor="_Toc6" w:history="1">
        <w:r>
          <w:rPr>
            <w:rFonts w:ascii="Times New Roman" w:hAnsi="Times New Roman" w:eastAsia="Times New Roman" w:cs="Times New Roman" w:eastAsiaTheme="minorHAnsi"/>
            <w:b w:val="0"/>
            <w:bCs w:val="0"/>
            <w:sz w:val="28"/>
            <w:szCs w:val="28"/>
          </w:rPr>
          <w:t xml:space="preserve">1.5.</w:t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ab/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 xml:space="preserve">Этапы и сроки оказания услуг</w:t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ab/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begin"/>
          <w:instrText xml:space="preserve">PAGEREF _Toc6 \h</w:instrText>
          <w:fldChar w:fldCharType="separate"/>
        </w:r>
        <w:r>
          <w:rPr>
            <w:rFonts w:ascii="Times New Roman" w:hAnsi="Times New Roman" w:cs="Times New Roman" w:eastAsiaTheme="minorHAnsi"/>
            <w:b w:val="0"/>
            <w:bCs w:val="0"/>
            <w:sz w:val="28"/>
            <w:szCs w:val="28"/>
          </w:rPr>
          <w:t xml:space="preserve">7</w:t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end"/>
        </w:r>
      </w:hyperlink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1096"/>
        <w:jc w:val="both"/>
        <w:spacing w:line="240" w:lineRule="auto"/>
        <w:tabs>
          <w:tab w:val="left" w:pos="850" w:leader="none"/>
          <w:tab w:val="right" w:pos="10195" w:leader="dot"/>
        </w:tabs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b w:val="0"/>
          <w:bCs w:val="0"/>
        </w:rPr>
      </w:r>
      <w:hyperlink w:tooltip="#_Toc7" w:anchor="_Toc7" w:history="1">
        <w:r>
          <w:rPr>
            <w:rFonts w:ascii="Times New Roman" w:hAnsi="Times New Roman" w:eastAsia="Times New Roman" w:cs="Times New Roman" w:eastAsiaTheme="minorHAnsi"/>
            <w:b w:val="0"/>
            <w:bCs w:val="0"/>
            <w:sz w:val="28"/>
            <w:szCs w:val="28"/>
          </w:rPr>
          <w:t xml:space="preserve">1.6.</w:t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ab/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 xml:space="preserve">Перечень нормативных правовых актов, нормативных технических документов, методических материалов</w:t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ab/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begin"/>
          <w:instrText xml:space="preserve">PAGEREF _Toc7 \h</w:instrText>
          <w:fldChar w:fldCharType="separate"/>
        </w:r>
        <w:r>
          <w:rPr>
            <w:rFonts w:ascii="Times New Roman" w:hAnsi="Times New Roman" w:cs="Times New Roman" w:eastAsiaTheme="minorHAnsi"/>
            <w:b w:val="0"/>
            <w:bCs w:val="0"/>
            <w:sz w:val="28"/>
            <w:szCs w:val="28"/>
          </w:rPr>
          <w:t xml:space="preserve">7</w:t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end"/>
        </w:r>
      </w:hyperlink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1095"/>
        <w:jc w:val="both"/>
        <w:spacing w:line="240" w:lineRule="auto"/>
        <w:tabs>
          <w:tab w:val="left" w:pos="283" w:leader="none"/>
          <w:tab w:val="right" w:pos="10195" w:leader="dot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b/>
          <w:bCs/>
        </w:rPr>
      </w:r>
      <w:hyperlink w:tooltip="#_Toc8" w:anchor="_Toc8" w:history="1">
        <w:r>
          <w:rPr>
            <w:rFonts w:ascii="Times New Roman" w:hAnsi="Times New Roman" w:eastAsia="Times New Roman" w:cs="Times New Roman" w:eastAsiaTheme="minorHAnsi"/>
            <w:b/>
            <w:bCs/>
            <w:sz w:val="28"/>
            <w:szCs w:val="28"/>
          </w:rPr>
          <w:t xml:space="preserve">2.</w:t>
        </w:r>
        <w:r>
          <w:rPr>
            <w:rFonts w:ascii="Times New Roman" w:hAnsi="Times New Roman" w:eastAsia="Times New Roman" w:cs="Times New Roman"/>
            <w:b/>
            <w:bCs/>
            <w:sz w:val="28"/>
            <w:szCs w:val="28"/>
          </w:rPr>
          <w:tab/>
        </w:r>
        <w:r>
          <w:rPr>
            <w:rStyle w:val="1088"/>
            <w:rFonts w:ascii="Times New Roman" w:hAnsi="Times New Roman" w:eastAsia="Times New Roman" w:cs="Times New Roman"/>
            <w:b/>
            <w:bCs/>
            <w:sz w:val="28"/>
            <w:szCs w:val="28"/>
          </w:rPr>
        </w:r>
        <w:r>
          <w:rPr>
            <w:rStyle w:val="1088"/>
            <w:rFonts w:ascii="Times New Roman" w:hAnsi="Times New Roman" w:eastAsia="Times New Roman" w:cs="Times New Roman"/>
            <w:b/>
            <w:bCs/>
            <w:sz w:val="28"/>
            <w:szCs w:val="28"/>
          </w:rPr>
          <w:t xml:space="preserve">Состав ГИС ЦГУ подлежащ</w:t>
        </w:r>
        <w:r>
          <w:rPr>
            <w:rStyle w:val="1088"/>
            <w:rFonts w:ascii="Times New Roman" w:hAnsi="Times New Roman" w:eastAsia="Times New Roman" w:cs="Times New Roman"/>
            <w:b/>
            <w:bCs/>
            <w:sz w:val="28"/>
            <w:szCs w:val="28"/>
          </w:rPr>
          <w:t xml:space="preserve">и</w:t>
        </w:r>
        <w:r>
          <w:rPr>
            <w:rStyle w:val="1088"/>
            <w:rFonts w:ascii="Times New Roman" w:hAnsi="Times New Roman" w:eastAsia="Times New Roman" w:cs="Times New Roman"/>
            <w:b/>
            <w:bCs/>
            <w:sz w:val="28"/>
            <w:szCs w:val="28"/>
          </w:rPr>
          <w:t xml:space="preserve">й технической поддержке</w:t>
        </w:r>
        <w:r>
          <w:rPr>
            <w:rStyle w:val="1088"/>
            <w:rFonts w:ascii="Times New Roman" w:hAnsi="Times New Roman" w:eastAsia="Times New Roman" w:cs="Times New Roman"/>
            <w:b/>
            <w:bCs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ab/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begin"/>
          <w:instrText xml:space="preserve">PAGEREF _Toc8 \h</w:instrText>
          <w:fldChar w:fldCharType="separate"/>
        </w:r>
        <w:r>
          <w:rPr>
            <w:rFonts w:ascii="Times New Roman" w:hAnsi="Times New Roman" w:cs="Times New Roman" w:eastAsiaTheme="minorHAnsi"/>
            <w:b/>
            <w:bCs/>
            <w:sz w:val="28"/>
            <w:szCs w:val="28"/>
          </w:rPr>
          <w:t xml:space="preserve">9</w:t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end"/>
        </w:r>
      </w:hyperlink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1096"/>
        <w:jc w:val="both"/>
        <w:spacing w:line="240" w:lineRule="auto"/>
        <w:tabs>
          <w:tab w:val="left" w:pos="850" w:leader="none"/>
          <w:tab w:val="right" w:pos="10195" w:leader="dot"/>
        </w:tabs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b w:val="0"/>
          <w:bCs w:val="0"/>
        </w:rPr>
      </w:r>
      <w:hyperlink w:tooltip="#_Toc9" w:anchor="_Toc9" w:history="1">
        <w:r>
          <w:rPr>
            <w:rFonts w:ascii="Times New Roman" w:hAnsi="Times New Roman" w:eastAsia="Times New Roman" w:cs="Times New Roman" w:eastAsiaTheme="minorHAnsi"/>
            <w:b w:val="0"/>
            <w:bCs w:val="0"/>
            <w:sz w:val="28"/>
            <w:szCs w:val="28"/>
          </w:rPr>
          <w:t xml:space="preserve">2.1.</w:t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ab/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 xml:space="preserve">Назначение ГИС ЦГУ</w:t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ab/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begin"/>
          <w:instrText xml:space="preserve">PAGEREF _Toc9 \h</w:instrText>
          <w:fldChar w:fldCharType="separate"/>
        </w:r>
        <w:r>
          <w:rPr>
            <w:rFonts w:ascii="Times New Roman" w:hAnsi="Times New Roman" w:cs="Times New Roman" w:eastAsiaTheme="minorHAnsi"/>
            <w:b w:val="0"/>
            <w:bCs w:val="0"/>
            <w:sz w:val="28"/>
            <w:szCs w:val="28"/>
          </w:rPr>
          <w:t xml:space="preserve">9</w:t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end"/>
        </w:r>
      </w:hyperlink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1096"/>
        <w:jc w:val="both"/>
        <w:spacing w:line="240" w:lineRule="auto"/>
        <w:tabs>
          <w:tab w:val="left" w:pos="850" w:leader="none"/>
          <w:tab w:val="right" w:pos="10195" w:leader="dot"/>
        </w:tabs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b w:val="0"/>
          <w:bCs w:val="0"/>
        </w:rPr>
      </w:r>
      <w:hyperlink w:tooltip="#_Toc10" w:anchor="_Toc10" w:history="1">
        <w:r>
          <w:rPr>
            <w:rFonts w:ascii="Times New Roman" w:hAnsi="Times New Roman" w:eastAsia="Times New Roman" w:cs="Times New Roman" w:eastAsiaTheme="minorHAnsi"/>
            <w:b w:val="0"/>
            <w:bCs w:val="0"/>
            <w:sz w:val="28"/>
            <w:szCs w:val="28"/>
          </w:rPr>
          <w:t xml:space="preserve">2.2.</w:t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ab/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 xml:space="preserve">Перечень государственных услуг</w:t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 xml:space="preserve"> и </w:t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 xml:space="preserve">государственных </w:t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 xml:space="preserve">функций</w:t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 xml:space="preserve">, процессы оказания которых автоматизированы в ГИС ЦГУ</w:t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ab/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begin"/>
          <w:instrText xml:space="preserve">PAGEREF _Toc10 \h</w:instrText>
          <w:fldChar w:fldCharType="separate"/>
        </w:r>
        <w:r>
          <w:rPr>
            <w:rFonts w:ascii="Times New Roman" w:hAnsi="Times New Roman" w:cs="Times New Roman" w:eastAsiaTheme="minorHAnsi"/>
            <w:b w:val="0"/>
            <w:bCs w:val="0"/>
            <w:sz w:val="28"/>
            <w:szCs w:val="28"/>
          </w:rPr>
          <w:t xml:space="preserve">9</w:t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end"/>
        </w:r>
      </w:hyperlink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1096"/>
        <w:jc w:val="both"/>
        <w:spacing w:line="240" w:lineRule="auto"/>
        <w:tabs>
          <w:tab w:val="left" w:pos="850" w:leader="none"/>
          <w:tab w:val="right" w:pos="10195" w:leader="dot"/>
        </w:tabs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b w:val="0"/>
          <w:bCs w:val="0"/>
        </w:rPr>
      </w:r>
      <w:hyperlink w:tooltip="#_Toc11" w:anchor="_Toc11" w:history="1">
        <w:r>
          <w:rPr>
            <w:rFonts w:ascii="Times New Roman" w:hAnsi="Times New Roman" w:eastAsia="Times New Roman" w:cs="Times New Roman" w:eastAsiaTheme="minorHAnsi"/>
            <w:b w:val="0"/>
            <w:bCs w:val="0"/>
            <w:sz w:val="28"/>
            <w:szCs w:val="28"/>
          </w:rPr>
          <w:t xml:space="preserve">2.3.</w:t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ab/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 xml:space="preserve">Количество пользователей ГИС ЦГУ</w:t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ab/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begin"/>
          <w:instrText xml:space="preserve">PAGEREF _Toc11 \h</w:instrText>
          <w:fldChar w:fldCharType="separate"/>
        </w:r>
        <w:r>
          <w:rPr>
            <w:rFonts w:ascii="Times New Roman" w:hAnsi="Times New Roman" w:cs="Times New Roman" w:eastAsiaTheme="minorHAnsi"/>
            <w:b w:val="0"/>
            <w:bCs w:val="0"/>
            <w:sz w:val="28"/>
            <w:szCs w:val="28"/>
          </w:rPr>
          <w:t xml:space="preserve">12</w:t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end"/>
        </w:r>
      </w:hyperlink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1096"/>
        <w:jc w:val="both"/>
        <w:spacing w:line="240" w:lineRule="auto"/>
        <w:tabs>
          <w:tab w:val="left" w:pos="850" w:leader="none"/>
          <w:tab w:val="right" w:pos="10195" w:leader="dot"/>
        </w:tabs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b w:val="0"/>
          <w:bCs w:val="0"/>
        </w:rPr>
      </w:r>
      <w:hyperlink w:tooltip="#_Toc12" w:anchor="_Toc12" w:history="1">
        <w:r>
          <w:rPr>
            <w:rFonts w:ascii="Times New Roman" w:hAnsi="Times New Roman" w:eastAsia="Times New Roman" w:cs="Times New Roman" w:eastAsiaTheme="minorHAnsi"/>
            <w:b w:val="0"/>
            <w:bCs w:val="0"/>
            <w:sz w:val="28"/>
            <w:szCs w:val="28"/>
          </w:rPr>
          <w:t xml:space="preserve">2.4.</w:t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ab/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 xml:space="preserve">Состав ГИС ЦГУ</w:t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ab/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begin"/>
          <w:instrText xml:space="preserve">PAGEREF _Toc12 \h</w:instrText>
          <w:fldChar w:fldCharType="separate"/>
        </w:r>
        <w:r>
          <w:rPr>
            <w:rFonts w:ascii="Times New Roman" w:hAnsi="Times New Roman" w:cs="Times New Roman" w:eastAsiaTheme="minorHAnsi"/>
            <w:b w:val="0"/>
            <w:bCs w:val="0"/>
            <w:sz w:val="28"/>
            <w:szCs w:val="28"/>
          </w:rPr>
          <w:t xml:space="preserve">12</w:t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end"/>
        </w:r>
      </w:hyperlink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1096"/>
        <w:jc w:val="both"/>
        <w:spacing w:line="240" w:lineRule="auto"/>
        <w:tabs>
          <w:tab w:val="left" w:pos="850" w:leader="none"/>
          <w:tab w:val="right" w:pos="10195" w:leader="dot"/>
        </w:tabs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b w:val="0"/>
          <w:bCs w:val="0"/>
        </w:rPr>
      </w:r>
      <w:hyperlink w:tooltip="#_Toc13" w:anchor="_Toc13" w:history="1">
        <w:r>
          <w:rPr>
            <w:rFonts w:ascii="Times New Roman" w:hAnsi="Times New Roman" w:eastAsia="Times New Roman" w:cs="Times New Roman" w:eastAsiaTheme="minorHAnsi"/>
            <w:b w:val="0"/>
            <w:bCs w:val="0"/>
            <w:sz w:val="28"/>
            <w:szCs w:val="28"/>
          </w:rPr>
          <w:t xml:space="preserve">2.5.</w:t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ab/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 xml:space="preserve">Взаимодействие ГИС ЦГУ с внешними системами</w:t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ab/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begin"/>
          <w:instrText xml:space="preserve">PAGEREF _Toc13 \h</w:instrText>
          <w:fldChar w:fldCharType="separate"/>
        </w:r>
        <w:r>
          <w:rPr>
            <w:rFonts w:ascii="Times New Roman" w:hAnsi="Times New Roman" w:cs="Times New Roman" w:eastAsiaTheme="minorHAnsi"/>
            <w:b w:val="0"/>
            <w:bCs w:val="0"/>
            <w:sz w:val="28"/>
            <w:szCs w:val="28"/>
          </w:rPr>
          <w:t xml:space="preserve">14</w:t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end"/>
        </w:r>
      </w:hyperlink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1096"/>
        <w:jc w:val="both"/>
        <w:spacing w:line="240" w:lineRule="auto"/>
        <w:tabs>
          <w:tab w:val="left" w:pos="850" w:leader="none"/>
          <w:tab w:val="right" w:pos="10195" w:leader="dot"/>
        </w:tabs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b w:val="0"/>
          <w:bCs w:val="0"/>
        </w:rPr>
      </w:r>
      <w:hyperlink w:tooltip="#_Toc14" w:anchor="_Toc14" w:history="1">
        <w:r>
          <w:rPr>
            <w:rFonts w:ascii="Times New Roman" w:hAnsi="Times New Roman" w:eastAsia="Times New Roman" w:cs="Times New Roman" w:eastAsiaTheme="minorHAnsi"/>
            <w:b w:val="0"/>
            <w:bCs w:val="0"/>
            <w:sz w:val="28"/>
            <w:szCs w:val="28"/>
          </w:rPr>
          <w:t xml:space="preserve">2.6.</w:t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ab/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 xml:space="preserve">Аппаратное обеспечение ГИС ЦГУ</w:t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ab/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begin"/>
          <w:instrText xml:space="preserve">PAGEREF _Toc14 \h</w:instrText>
          <w:fldChar w:fldCharType="separate"/>
        </w:r>
        <w:r>
          <w:rPr>
            <w:rFonts w:ascii="Times New Roman" w:hAnsi="Times New Roman" w:cs="Times New Roman" w:eastAsiaTheme="minorHAnsi"/>
            <w:b w:val="0"/>
            <w:bCs w:val="0"/>
            <w:sz w:val="28"/>
            <w:szCs w:val="28"/>
          </w:rPr>
          <w:t xml:space="preserve">15</w:t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end"/>
        </w:r>
      </w:hyperlink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1095"/>
        <w:jc w:val="both"/>
        <w:spacing w:line="240" w:lineRule="auto"/>
        <w:tabs>
          <w:tab w:val="left" w:pos="283" w:leader="none"/>
          <w:tab w:val="right" w:pos="10195" w:leader="dot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b/>
          <w:bCs/>
        </w:rPr>
      </w:r>
      <w:hyperlink w:tooltip="#_Toc15" w:anchor="_Toc15" w:history="1">
        <w:r>
          <w:rPr>
            <w:rFonts w:ascii="Times New Roman" w:hAnsi="Times New Roman" w:eastAsia="Times New Roman" w:cs="Times New Roman" w:eastAsiaTheme="minorHAnsi"/>
            <w:b/>
            <w:bCs/>
            <w:sz w:val="28"/>
            <w:szCs w:val="28"/>
          </w:rPr>
          <w:t xml:space="preserve">3.</w:t>
        </w:r>
        <w:r>
          <w:rPr>
            <w:rFonts w:ascii="Times New Roman" w:hAnsi="Times New Roman" w:eastAsia="Times New Roman" w:cs="Times New Roman"/>
            <w:b/>
            <w:bCs/>
            <w:sz w:val="28"/>
            <w:szCs w:val="28"/>
          </w:rPr>
          <w:tab/>
        </w:r>
        <w:r>
          <w:rPr>
            <w:rStyle w:val="1088"/>
            <w:rFonts w:ascii="Times New Roman" w:hAnsi="Times New Roman" w:eastAsia="Times New Roman" w:cs="Times New Roman"/>
            <w:b/>
            <w:bCs/>
            <w:sz w:val="28"/>
            <w:szCs w:val="28"/>
          </w:rPr>
        </w:r>
        <w:r>
          <w:rPr>
            <w:rStyle w:val="1088"/>
            <w:rFonts w:ascii="Times New Roman" w:hAnsi="Times New Roman" w:eastAsia="Times New Roman" w:cs="Times New Roman"/>
            <w:b/>
            <w:bCs/>
            <w:sz w:val="28"/>
            <w:szCs w:val="28"/>
          </w:rPr>
          <w:t xml:space="preserve">Содержание услуг по технической поддержке ГИС ЦГУ</w:t>
        </w:r>
        <w:r>
          <w:rPr>
            <w:rStyle w:val="1088"/>
            <w:rFonts w:ascii="Times New Roman" w:hAnsi="Times New Roman" w:eastAsia="Times New Roman" w:cs="Times New Roman"/>
            <w:b/>
            <w:bCs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ab/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begin"/>
          <w:instrText xml:space="preserve">PAGEREF _Toc15 \h</w:instrText>
          <w:fldChar w:fldCharType="separate"/>
        </w:r>
        <w:r>
          <w:rPr>
            <w:rFonts w:ascii="Times New Roman" w:hAnsi="Times New Roman" w:cs="Times New Roman" w:eastAsiaTheme="minorHAnsi"/>
            <w:b/>
            <w:bCs/>
            <w:sz w:val="28"/>
            <w:szCs w:val="28"/>
          </w:rPr>
          <w:t xml:space="preserve">15</w:t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end"/>
        </w:r>
      </w:hyperlink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1096"/>
        <w:jc w:val="both"/>
        <w:spacing w:line="240" w:lineRule="auto"/>
        <w:tabs>
          <w:tab w:val="left" w:pos="850" w:leader="none"/>
          <w:tab w:val="right" w:pos="10195" w:leader="dot"/>
        </w:tabs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b w:val="0"/>
          <w:bCs w:val="0"/>
        </w:rPr>
      </w:r>
      <w:hyperlink w:tooltip="#_Toc16" w:anchor="_Toc16" w:history="1"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 xml:space="preserve">3.1.</w:t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ab/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 xml:space="preserve">Услуги по технической поддержке работоспособности ГИС ЦГУ</w:t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ab/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begin"/>
          <w:instrText xml:space="preserve">PAGEREF _Toc16 \h</w:instrText>
          <w:fldChar w:fldCharType="separate"/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 xml:space="preserve">16</w:t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end"/>
        </w:r>
      </w:hyperlink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1096"/>
        <w:jc w:val="both"/>
        <w:spacing w:line="240" w:lineRule="auto"/>
        <w:tabs>
          <w:tab w:val="left" w:pos="850" w:leader="none"/>
          <w:tab w:val="right" w:pos="10195" w:leader="dot"/>
        </w:tabs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b w:val="0"/>
          <w:bCs w:val="0"/>
        </w:rPr>
      </w:r>
      <w:hyperlink w:tooltip="#_Toc27" w:anchor="_Toc27" w:history="1">
        <w:r>
          <w:rPr>
            <w:rFonts w:ascii="Times New Roman" w:hAnsi="Times New Roman" w:eastAsia="Times New Roman" w:cs="Times New Roman" w:eastAsiaTheme="minorHAnsi"/>
            <w:b w:val="0"/>
            <w:bCs w:val="0"/>
            <w:sz w:val="28"/>
            <w:szCs w:val="28"/>
          </w:rPr>
          <w:t xml:space="preserve">3.2.</w:t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ab/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  <w:lang w:eastAsia="ru-RU"/>
          </w:rPr>
          <w:t xml:space="preserve">Поддержка работоспособности видов сведений СМЭВ Минэнерго России включает:</w:t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ab/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begin"/>
          <w:instrText xml:space="preserve">PAGEREF _Toc27 \h</w:instrText>
          <w:fldChar w:fldCharType="separate"/>
        </w:r>
        <w:r>
          <w:rPr>
            <w:rFonts w:ascii="Times New Roman" w:hAnsi="Times New Roman" w:cs="Times New Roman" w:eastAsiaTheme="minorHAnsi"/>
            <w:b w:val="0"/>
            <w:bCs w:val="0"/>
            <w:sz w:val="28"/>
            <w:szCs w:val="28"/>
          </w:rPr>
          <w:t xml:space="preserve">22</w:t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end"/>
        </w:r>
      </w:hyperlink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1096"/>
        <w:jc w:val="both"/>
        <w:spacing w:line="240" w:lineRule="auto"/>
        <w:tabs>
          <w:tab w:val="left" w:pos="850" w:leader="none"/>
          <w:tab w:val="right" w:pos="10195" w:leader="dot"/>
        </w:tabs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b w:val="0"/>
          <w:bCs w:val="0"/>
        </w:rPr>
      </w:r>
      <w:hyperlink w:tooltip="#_Toc29" w:anchor="_Toc29" w:history="1">
        <w:r>
          <w:rPr>
            <w:rFonts w:ascii="Times New Roman" w:hAnsi="Times New Roman" w:eastAsia="Times New Roman" w:cs="Times New Roman" w:eastAsiaTheme="minorHAnsi"/>
            <w:b w:val="0"/>
            <w:bCs w:val="0"/>
            <w:sz w:val="28"/>
            <w:szCs w:val="28"/>
          </w:rPr>
          <w:t xml:space="preserve">3.3.</w:t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ab/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 xml:space="preserve">Информационно-техническое сопровождение пользователей ГИС ЦГУ</w:t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ab/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begin"/>
          <w:instrText xml:space="preserve">PAGEREF _Toc29 \h</w:instrText>
          <w:fldChar w:fldCharType="separate"/>
        </w:r>
        <w:r>
          <w:rPr>
            <w:rFonts w:ascii="Times New Roman" w:hAnsi="Times New Roman" w:cs="Times New Roman" w:eastAsiaTheme="minorHAnsi"/>
            <w:b w:val="0"/>
            <w:bCs w:val="0"/>
            <w:sz w:val="28"/>
            <w:szCs w:val="28"/>
          </w:rPr>
          <w:t xml:space="preserve">22</w:t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end"/>
        </w:r>
      </w:hyperlink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1096"/>
        <w:jc w:val="both"/>
        <w:spacing w:line="240" w:lineRule="auto"/>
        <w:tabs>
          <w:tab w:val="left" w:pos="850" w:leader="none"/>
          <w:tab w:val="right" w:pos="10195" w:leader="dot"/>
        </w:tabs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b w:val="0"/>
          <w:bCs w:val="0"/>
        </w:rPr>
      </w:r>
      <w:hyperlink w:tooltip="#_Toc32" w:anchor="_Toc32" w:history="1">
        <w:r>
          <w:rPr>
            <w:rFonts w:ascii="Times New Roman" w:hAnsi="Times New Roman" w:eastAsia="Times New Roman" w:cs="Times New Roman" w:eastAsiaTheme="minorHAnsi"/>
            <w:b w:val="0"/>
            <w:bCs w:val="0"/>
            <w:sz w:val="28"/>
            <w:szCs w:val="28"/>
          </w:rPr>
          <w:t xml:space="preserve">3.4.</w:t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ab/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  <w:lang w:eastAsia="ru-RU"/>
          </w:rPr>
          <w:t xml:space="preserve">Очное консультирование сотрудников Минэнерго России по работе</w:t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  <w:lang w:eastAsia="ru-RU"/>
          </w:rPr>
          <w:t xml:space="preserve"> </w:t>
          <w:br/>
          <w:t xml:space="preserve">с ГИС ЦГУ</w:t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  <w:highlight w:val="none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ab/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begin"/>
          <w:instrText xml:space="preserve">PAGEREF _Toc32 \h</w:instrText>
          <w:fldChar w:fldCharType="separate"/>
        </w:r>
        <w:r>
          <w:rPr>
            <w:rFonts w:ascii="Times New Roman" w:hAnsi="Times New Roman" w:cs="Times New Roman" w:eastAsiaTheme="minorHAnsi"/>
            <w:b w:val="0"/>
            <w:bCs w:val="0"/>
            <w:sz w:val="28"/>
            <w:szCs w:val="28"/>
          </w:rPr>
          <w:t xml:space="preserve">23</w:t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end"/>
        </w:r>
      </w:hyperlink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1096"/>
        <w:jc w:val="both"/>
        <w:spacing w:line="240" w:lineRule="auto"/>
        <w:tabs>
          <w:tab w:val="left" w:pos="850" w:leader="none"/>
          <w:tab w:val="right" w:pos="10195" w:leader="dot"/>
        </w:tabs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b w:val="0"/>
          <w:bCs w:val="0"/>
        </w:rPr>
      </w:r>
      <w:hyperlink w:tooltip="#_Toc33" w:anchor="_Toc33" w:history="1">
        <w:r>
          <w:rPr>
            <w:rFonts w:ascii="Times New Roman" w:hAnsi="Times New Roman" w:eastAsia="Times New Roman" w:cs="Times New Roman" w:eastAsiaTheme="minorHAnsi"/>
            <w:b w:val="0"/>
            <w:bCs w:val="0"/>
            <w:sz w:val="28"/>
            <w:szCs w:val="28"/>
          </w:rPr>
          <w:t xml:space="preserve">3.5.</w:t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ab/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  <w:lang w:eastAsia="ru-RU"/>
          </w:rPr>
          <w:t xml:space="preserve">Информационная поддержка по вопросам методологии оказания государственных услуг в электронном виде</w:t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ab/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begin"/>
          <w:instrText xml:space="preserve">PAGEREF _Toc33 \h</w:instrText>
          <w:fldChar w:fldCharType="separate"/>
        </w:r>
        <w:r>
          <w:rPr>
            <w:rFonts w:ascii="Times New Roman" w:hAnsi="Times New Roman" w:cs="Times New Roman" w:eastAsiaTheme="minorHAnsi"/>
            <w:b w:val="0"/>
            <w:bCs w:val="0"/>
            <w:sz w:val="28"/>
            <w:szCs w:val="28"/>
          </w:rPr>
          <w:t xml:space="preserve">24</w:t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end"/>
        </w:r>
      </w:hyperlink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1096"/>
        <w:jc w:val="both"/>
        <w:spacing w:line="240" w:lineRule="auto"/>
        <w:tabs>
          <w:tab w:val="left" w:pos="850" w:leader="none"/>
          <w:tab w:val="right" w:pos="10195" w:leader="dot"/>
        </w:tabs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b w:val="0"/>
          <w:bCs w:val="0"/>
        </w:rPr>
      </w:r>
      <w:hyperlink w:tooltip="#_Toc34" w:anchor="_Toc34" w:history="1">
        <w:r>
          <w:rPr>
            <w:rFonts w:ascii="Times New Roman" w:hAnsi="Times New Roman" w:eastAsia="Times New Roman" w:cs="Times New Roman" w:eastAsiaTheme="minorHAnsi"/>
            <w:b w:val="0"/>
            <w:bCs w:val="0"/>
            <w:sz w:val="28"/>
            <w:szCs w:val="28"/>
          </w:rPr>
          <w:t xml:space="preserve">3.6.</w:t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ab/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 xml:space="preserve">Требования к обеспечению информационной безопасности </w:t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 xml:space="preserve"> при технической поддержке ГИС ЦГУ</w:t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ab/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begin"/>
          <w:instrText xml:space="preserve">PAGEREF _Toc34 \h</w:instrText>
          <w:fldChar w:fldCharType="separate"/>
        </w:r>
        <w:r>
          <w:rPr>
            <w:rFonts w:ascii="Times New Roman" w:hAnsi="Times New Roman" w:cs="Times New Roman" w:eastAsiaTheme="minorHAnsi"/>
            <w:b w:val="0"/>
            <w:bCs w:val="0"/>
            <w:sz w:val="28"/>
            <w:szCs w:val="28"/>
          </w:rPr>
          <w:t xml:space="preserve">25</w:t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end"/>
        </w:r>
      </w:hyperlink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1096"/>
        <w:ind w:left="0" w:right="0" w:firstLine="0"/>
        <w:jc w:val="both"/>
        <w:spacing w:line="240" w:lineRule="auto"/>
        <w:tabs>
          <w:tab w:val="left" w:pos="283" w:leader="none"/>
          <w:tab w:val="right" w:pos="10195" w:leader="dot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b/>
          <w:bCs/>
        </w:rPr>
      </w:r>
      <w:hyperlink w:tooltip="#_Toc36" w:anchor="_Toc36" w:history="1">
        <w:r>
          <w:rPr>
            <w:rFonts w:ascii="Times New Roman" w:hAnsi="Times New Roman" w:eastAsia="Times New Roman" w:cs="Times New Roman" w:eastAsiaTheme="minorHAnsi"/>
            <w:b/>
            <w:bCs/>
            <w:sz w:val="28"/>
            <w:szCs w:val="28"/>
          </w:rPr>
          <w:t xml:space="preserve">4.</w:t>
        </w:r>
        <w:r>
          <w:rPr>
            <w:rFonts w:ascii="Times New Roman" w:hAnsi="Times New Roman" w:eastAsia="Times New Roman" w:cs="Times New Roman"/>
            <w:b/>
            <w:bCs/>
            <w:sz w:val="28"/>
            <w:szCs w:val="28"/>
          </w:rPr>
          <w:tab/>
        </w:r>
        <w:r>
          <w:rPr>
            <w:rStyle w:val="1088"/>
            <w:rFonts w:ascii="Times New Roman" w:hAnsi="Times New Roman" w:eastAsia="Times New Roman" w:cs="Times New Roman"/>
            <w:b/>
            <w:bCs/>
            <w:sz w:val="28"/>
            <w:szCs w:val="28"/>
          </w:rPr>
        </w:r>
        <w:r>
          <w:rPr>
            <w:rStyle w:val="1088"/>
            <w:rFonts w:ascii="Times New Roman" w:hAnsi="Times New Roman" w:eastAsia="Times New Roman" w:cs="Times New Roman"/>
            <w:b/>
            <w:bCs/>
            <w:sz w:val="28"/>
            <w:szCs w:val="28"/>
            <w:lang w:eastAsia="ru-RU"/>
          </w:rPr>
          <w:t xml:space="preserve">Требования к организации удаленного подключения</w:t>
        </w:r>
        <w:r>
          <w:rPr>
            <w:rStyle w:val="1088"/>
            <w:rFonts w:ascii="Times New Roman" w:hAnsi="Times New Roman" w:eastAsia="Times New Roman" w:cs="Times New Roman"/>
            <w:b/>
            <w:bCs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ab/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begin"/>
          <w:instrText xml:space="preserve">PAGEREF _Toc36 \h</w:instrText>
          <w:fldChar w:fldCharType="separate"/>
        </w:r>
        <w:r>
          <w:rPr>
            <w:rFonts w:ascii="Times New Roman" w:hAnsi="Times New Roman" w:cs="Times New Roman" w:eastAsiaTheme="minorHAnsi"/>
            <w:b/>
            <w:bCs/>
            <w:sz w:val="28"/>
            <w:szCs w:val="28"/>
          </w:rPr>
          <w:t xml:space="preserve">26</w:t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end"/>
        </w:r>
      </w:hyperlink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1096"/>
        <w:ind w:left="0" w:right="0" w:firstLine="0"/>
        <w:jc w:val="both"/>
        <w:spacing w:line="240" w:lineRule="auto"/>
        <w:tabs>
          <w:tab w:val="left" w:pos="283" w:leader="none"/>
          <w:tab w:val="right" w:pos="10195" w:leader="dot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b/>
          <w:bCs/>
        </w:rPr>
      </w:r>
      <w:hyperlink w:tooltip="#_Toc37" w:anchor="_Toc37" w:history="1">
        <w:r>
          <w:rPr>
            <w:rFonts w:ascii="Times New Roman" w:hAnsi="Times New Roman" w:eastAsia="Times New Roman" w:cs="Times New Roman" w:eastAsiaTheme="minorHAnsi"/>
            <w:b/>
            <w:bCs/>
            <w:sz w:val="28"/>
            <w:szCs w:val="28"/>
          </w:rPr>
          <w:t xml:space="preserve">5.</w:t>
        </w:r>
        <w:r>
          <w:rPr>
            <w:rFonts w:ascii="Times New Roman" w:hAnsi="Times New Roman" w:eastAsia="Times New Roman" w:cs="Times New Roman"/>
            <w:b/>
            <w:bCs/>
            <w:sz w:val="28"/>
            <w:szCs w:val="28"/>
          </w:rPr>
          <w:tab/>
        </w:r>
        <w:r>
          <w:rPr>
            <w:rStyle w:val="1088"/>
            <w:rFonts w:ascii="Times New Roman" w:hAnsi="Times New Roman" w:eastAsia="Times New Roman" w:cs="Times New Roman"/>
            <w:b/>
            <w:bCs/>
            <w:sz w:val="28"/>
            <w:szCs w:val="28"/>
          </w:rPr>
        </w:r>
        <w:r>
          <w:rPr>
            <w:rStyle w:val="1088"/>
            <w:rFonts w:ascii="Times New Roman" w:hAnsi="Times New Roman" w:eastAsia="Times New Roman" w:cs="Times New Roman"/>
            <w:b/>
            <w:bCs/>
            <w:sz w:val="28"/>
            <w:szCs w:val="28"/>
            <w:lang w:eastAsia="ru-RU"/>
          </w:rPr>
          <w:t xml:space="preserve">Требования к обеспечению конфиденциальности информации</w:t>
        </w:r>
        <w:r>
          <w:rPr>
            <w:rStyle w:val="1088"/>
            <w:rFonts w:ascii="Times New Roman" w:hAnsi="Times New Roman" w:eastAsia="Times New Roman" w:cs="Times New Roman"/>
            <w:b/>
            <w:bCs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ab/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begin"/>
          <w:instrText xml:space="preserve">PAGEREF _Toc37 \h</w:instrText>
          <w:fldChar w:fldCharType="separate"/>
        </w:r>
        <w:r>
          <w:rPr>
            <w:rFonts w:ascii="Times New Roman" w:hAnsi="Times New Roman" w:cs="Times New Roman" w:eastAsiaTheme="minorHAnsi"/>
            <w:b/>
            <w:bCs/>
            <w:sz w:val="28"/>
            <w:szCs w:val="28"/>
          </w:rPr>
          <w:t xml:space="preserve">28</w:t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end"/>
        </w:r>
      </w:hyperlink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1095"/>
        <w:jc w:val="both"/>
        <w:spacing w:line="240" w:lineRule="auto"/>
        <w:tabs>
          <w:tab w:val="left" w:pos="283" w:leader="none"/>
          <w:tab w:val="right" w:pos="10195" w:leader="dot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b/>
          <w:bCs/>
        </w:rPr>
      </w:r>
      <w:hyperlink w:tooltip="#_Toc38" w:anchor="_Toc38" w:history="1">
        <w:r>
          <w:rPr>
            <w:rFonts w:ascii="Times New Roman" w:hAnsi="Times New Roman" w:eastAsia="Times New Roman" w:cs="Times New Roman" w:eastAsiaTheme="minorHAnsi"/>
            <w:b/>
            <w:bCs/>
            <w:sz w:val="28"/>
            <w:szCs w:val="28"/>
          </w:rPr>
          <w:t xml:space="preserve">6.</w:t>
        </w:r>
        <w:r>
          <w:rPr>
            <w:rFonts w:ascii="Times New Roman" w:hAnsi="Times New Roman" w:eastAsia="Times New Roman" w:cs="Times New Roman"/>
            <w:b/>
            <w:bCs/>
            <w:sz w:val="28"/>
            <w:szCs w:val="28"/>
          </w:rPr>
          <w:tab/>
        </w:r>
        <w:r>
          <w:rPr>
            <w:rStyle w:val="1088"/>
            <w:rFonts w:ascii="Times New Roman" w:hAnsi="Times New Roman" w:eastAsia="Times New Roman" w:cs="Times New Roman"/>
            <w:b/>
            <w:bCs/>
            <w:sz w:val="28"/>
            <w:szCs w:val="28"/>
          </w:rPr>
        </w:r>
        <w:r>
          <w:rPr>
            <w:rStyle w:val="1088"/>
            <w:rFonts w:ascii="Times New Roman" w:hAnsi="Times New Roman" w:eastAsia="Times New Roman" w:cs="Times New Roman"/>
            <w:b/>
            <w:bCs/>
            <w:sz w:val="28"/>
            <w:szCs w:val="28"/>
          </w:rPr>
          <w:t xml:space="preserve">Требования к режиму приема запросов</w:t>
        </w:r>
        <w:r>
          <w:rPr>
            <w:rStyle w:val="1088"/>
            <w:rFonts w:ascii="Times New Roman" w:hAnsi="Times New Roman" w:eastAsia="Times New Roman" w:cs="Times New Roman"/>
            <w:b/>
            <w:bCs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ab/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begin"/>
          <w:instrText xml:space="preserve">PAGEREF _Toc38 \h</w:instrText>
          <w:fldChar w:fldCharType="separate"/>
        </w:r>
        <w:r>
          <w:rPr>
            <w:rFonts w:ascii="Times New Roman" w:hAnsi="Times New Roman" w:cs="Times New Roman" w:eastAsiaTheme="minorHAnsi"/>
            <w:b/>
            <w:bCs/>
            <w:sz w:val="28"/>
            <w:szCs w:val="28"/>
          </w:rPr>
          <w:t xml:space="preserve">28</w:t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end"/>
        </w:r>
      </w:hyperlink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1095"/>
        <w:jc w:val="both"/>
        <w:spacing w:line="240" w:lineRule="auto"/>
        <w:tabs>
          <w:tab w:val="left" w:pos="283" w:leader="none"/>
          <w:tab w:val="right" w:pos="10195" w:leader="dot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b/>
          <w:bCs/>
        </w:rPr>
      </w:r>
      <w:hyperlink w:tooltip="#_Toc39" w:anchor="_Toc39" w:history="1">
        <w:r>
          <w:rPr>
            <w:rFonts w:ascii="Times New Roman" w:hAnsi="Times New Roman" w:eastAsia="Times New Roman" w:cs="Times New Roman" w:eastAsiaTheme="minorHAnsi"/>
            <w:b/>
            <w:bCs/>
            <w:sz w:val="28"/>
            <w:szCs w:val="28"/>
          </w:rPr>
          <w:t xml:space="preserve">7.</w:t>
        </w:r>
        <w:r>
          <w:rPr>
            <w:rFonts w:ascii="Times New Roman" w:hAnsi="Times New Roman" w:eastAsia="Times New Roman" w:cs="Times New Roman"/>
            <w:b/>
            <w:bCs/>
            <w:sz w:val="28"/>
            <w:szCs w:val="28"/>
          </w:rPr>
          <w:tab/>
        </w:r>
        <w:r>
          <w:rPr>
            <w:rStyle w:val="1088"/>
            <w:rFonts w:ascii="Times New Roman" w:hAnsi="Times New Roman" w:eastAsia="Times New Roman" w:cs="Times New Roman"/>
            <w:b/>
            <w:bCs/>
            <w:sz w:val="28"/>
            <w:szCs w:val="28"/>
          </w:rPr>
        </w:r>
        <w:r>
          <w:rPr>
            <w:rStyle w:val="1088"/>
            <w:rFonts w:ascii="Times New Roman" w:hAnsi="Times New Roman" w:eastAsia="Times New Roman" w:cs="Times New Roman"/>
            <w:b/>
            <w:bCs/>
            <w:sz w:val="28"/>
            <w:szCs w:val="28"/>
          </w:rPr>
          <w:t xml:space="preserve">Требования к отчетным документам</w:t>
        </w:r>
        <w:r>
          <w:rPr>
            <w:rStyle w:val="1088"/>
            <w:rFonts w:ascii="Times New Roman" w:hAnsi="Times New Roman" w:eastAsia="Times New Roman" w:cs="Times New Roman"/>
            <w:b/>
            <w:bCs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ab/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begin"/>
          <w:instrText xml:space="preserve">PAGEREF _Toc39 \h</w:instrText>
          <w:fldChar w:fldCharType="separate"/>
        </w:r>
        <w:r>
          <w:rPr>
            <w:rFonts w:ascii="Times New Roman" w:hAnsi="Times New Roman" w:cs="Times New Roman" w:eastAsiaTheme="minorHAnsi"/>
            <w:b/>
            <w:bCs/>
            <w:sz w:val="28"/>
            <w:szCs w:val="28"/>
          </w:rPr>
          <w:t xml:space="preserve">29</w:t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end"/>
        </w:r>
      </w:hyperlink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1096"/>
        <w:jc w:val="both"/>
        <w:spacing w:line="240" w:lineRule="auto"/>
        <w:tabs>
          <w:tab w:val="left" w:pos="850" w:leader="none"/>
          <w:tab w:val="right" w:pos="10195" w:leader="dot"/>
        </w:tabs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b w:val="0"/>
          <w:bCs w:val="0"/>
        </w:rPr>
      </w:r>
      <w:hyperlink w:tooltip="#_Toc40" w:anchor="_Toc40" w:history="1">
        <w:r>
          <w:rPr>
            <w:rFonts w:ascii="Times New Roman" w:hAnsi="Times New Roman" w:eastAsia="Times New Roman" w:cs="Times New Roman" w:eastAsiaTheme="minorHAnsi"/>
            <w:b w:val="0"/>
            <w:bCs w:val="0"/>
            <w:sz w:val="28"/>
            <w:szCs w:val="28"/>
          </w:rPr>
          <w:t xml:space="preserve">7.1.</w:t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ab/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 xml:space="preserve">Требования к содержанию отчетов</w:t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ab/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begin"/>
          <w:instrText xml:space="preserve">PAGEREF _Toc40 \h</w:instrText>
          <w:fldChar w:fldCharType="separate"/>
        </w:r>
        <w:r>
          <w:rPr>
            <w:rFonts w:ascii="Times New Roman" w:hAnsi="Times New Roman" w:cs="Times New Roman" w:eastAsiaTheme="minorHAnsi"/>
            <w:b w:val="0"/>
            <w:bCs w:val="0"/>
            <w:sz w:val="28"/>
            <w:szCs w:val="28"/>
          </w:rPr>
          <w:t xml:space="preserve">34</w:t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end"/>
        </w:r>
      </w:hyperlink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1096"/>
        <w:ind w:left="0" w:right="0" w:firstLine="0"/>
        <w:jc w:val="both"/>
        <w:spacing w:line="240" w:lineRule="auto"/>
        <w:tabs>
          <w:tab w:val="left" w:pos="283" w:leader="none"/>
          <w:tab w:val="right" w:pos="10195" w:leader="dot"/>
        </w:tabs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b/>
          <w:bCs/>
        </w:rPr>
      </w:r>
      <w:hyperlink w:tooltip="#_Toc41" w:anchor="_Toc41" w:history="1">
        <w:r>
          <w:rPr>
            <w:rFonts w:ascii="Times New Roman" w:hAnsi="Times New Roman" w:eastAsia="Times New Roman" w:cs="Times New Roman" w:eastAsiaTheme="minorHAnsi"/>
            <w:b/>
            <w:bCs/>
            <w:sz w:val="28"/>
            <w:szCs w:val="28"/>
          </w:rPr>
          <w:t xml:space="preserve">8.</w:t>
        </w:r>
        <w:r>
          <w:rPr>
            <w:rFonts w:ascii="Times New Roman" w:hAnsi="Times New Roman" w:eastAsia="Times New Roman" w:cs="Times New Roman"/>
            <w:b/>
            <w:bCs/>
            <w:sz w:val="28"/>
            <w:szCs w:val="28"/>
          </w:rPr>
          <w:tab/>
        </w:r>
        <w:r>
          <w:rPr>
            <w:rStyle w:val="1088"/>
            <w:rFonts w:ascii="Times New Roman" w:hAnsi="Times New Roman" w:eastAsia="Times New Roman" w:cs="Times New Roman"/>
            <w:b/>
            <w:bCs/>
            <w:sz w:val="28"/>
            <w:szCs w:val="28"/>
          </w:rPr>
        </w:r>
        <w:r>
          <w:rPr>
            <w:rStyle w:val="1088"/>
            <w:rFonts w:ascii="Times New Roman" w:hAnsi="Times New Roman" w:eastAsia="Times New Roman" w:cs="Times New Roman"/>
            <w:b/>
            <w:bCs/>
            <w:sz w:val="28"/>
            <w:szCs w:val="28"/>
            <w:highlight w:val="none"/>
          </w:rPr>
          <w:t xml:space="preserve">Гарантии качества услуг</w:t>
        </w:r>
        <w:r>
          <w:rPr>
            <w:rStyle w:val="1088"/>
            <w:rFonts w:ascii="Times New Roman" w:hAnsi="Times New Roman" w:eastAsia="Times New Roman" w:cs="Times New Roman"/>
            <w:b/>
            <w:bCs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ab/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begin"/>
          <w:instrText xml:space="preserve">PAGEREF _Toc41 \h</w:instrText>
          <w:fldChar w:fldCharType="separate"/>
        </w:r>
        <w:r>
          <w:rPr>
            <w:rFonts w:ascii="Times New Roman" w:hAnsi="Times New Roman" w:cs="Times New Roman" w:eastAsiaTheme="minorHAnsi"/>
            <w:b/>
            <w:bCs/>
            <w:sz w:val="28"/>
            <w:szCs w:val="28"/>
          </w:rPr>
          <w:t xml:space="preserve">38</w:t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end"/>
        </w:r>
      </w:hyperlink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1096"/>
        <w:ind w:left="283" w:right="0" w:firstLine="0"/>
        <w:jc w:val="both"/>
        <w:spacing w:line="240" w:lineRule="auto"/>
        <w:tabs>
          <w:tab w:val="left" w:pos="850" w:leader="none"/>
          <w:tab w:val="right" w:pos="10195" w:leader="dot"/>
        </w:tabs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b w:val="0"/>
          <w:bCs w:val="0"/>
        </w:rPr>
      </w:r>
      <w:hyperlink w:tooltip="#_Toc42" w:anchor="_Toc42" w:history="1">
        <w:r>
          <w:rPr>
            <w:rFonts w:ascii="Times New Roman" w:hAnsi="Times New Roman" w:eastAsia="Times New Roman" w:cs="Times New Roman" w:eastAsiaTheme="minorHAnsi"/>
            <w:b w:val="0"/>
            <w:bCs w:val="0"/>
            <w:sz w:val="28"/>
            <w:szCs w:val="28"/>
          </w:rPr>
          <w:t xml:space="preserve">8.1.</w:t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ab/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 xml:space="preserve">Показатели качества услуг:</w:t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ab/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begin"/>
          <w:instrText xml:space="preserve">PAGEREF _Toc42 \h</w:instrText>
          <w:fldChar w:fldCharType="separate"/>
        </w:r>
        <w:r>
          <w:rPr>
            <w:rFonts w:ascii="Times New Roman" w:hAnsi="Times New Roman" w:cs="Times New Roman" w:eastAsiaTheme="minorHAnsi"/>
            <w:b w:val="0"/>
            <w:bCs w:val="0"/>
            <w:sz w:val="28"/>
            <w:szCs w:val="28"/>
          </w:rPr>
          <w:t xml:space="preserve">38</w:t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end"/>
        </w:r>
      </w:hyperlink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1096"/>
        <w:ind w:left="283" w:right="0" w:firstLine="0"/>
        <w:jc w:val="both"/>
        <w:spacing w:line="240" w:lineRule="auto"/>
        <w:tabs>
          <w:tab w:val="left" w:pos="850" w:leader="none"/>
          <w:tab w:val="right" w:pos="10195" w:leader="dot"/>
        </w:tabs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b w:val="0"/>
          <w:bCs w:val="0"/>
        </w:rPr>
      </w:r>
      <w:hyperlink w:tooltip="#_Toc48" w:anchor="_Toc48" w:history="1">
        <w:r>
          <w:rPr>
            <w:rFonts w:ascii="Times New Roman" w:hAnsi="Times New Roman" w:eastAsia="Times New Roman" w:cs="Times New Roman" w:eastAsiaTheme="minorHAnsi"/>
            <w:b w:val="0"/>
            <w:bCs w:val="0"/>
            <w:sz w:val="28"/>
            <w:szCs w:val="28"/>
          </w:rPr>
          <w:t xml:space="preserve">8.2.</w:t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ab/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  <w:highlight w:val="none"/>
          </w:rPr>
          <w:t xml:space="preserve">Условия обеспечения качества услуг</w:t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ab/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begin"/>
          <w:instrText xml:space="preserve">PAGEREF _Toc48 \h</w:instrText>
          <w:fldChar w:fldCharType="separate"/>
        </w:r>
        <w:r>
          <w:rPr>
            <w:rFonts w:ascii="Times New Roman" w:hAnsi="Times New Roman" w:cs="Times New Roman" w:eastAsiaTheme="minorHAnsi"/>
            <w:b w:val="0"/>
            <w:bCs w:val="0"/>
            <w:sz w:val="28"/>
            <w:szCs w:val="28"/>
          </w:rPr>
          <w:t xml:space="preserve">38</w:t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end"/>
        </w:r>
      </w:hyperlink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1096"/>
        <w:ind w:left="283" w:right="0" w:firstLine="0"/>
        <w:jc w:val="both"/>
        <w:spacing w:line="240" w:lineRule="auto"/>
        <w:tabs>
          <w:tab w:val="left" w:pos="850" w:leader="none"/>
          <w:tab w:val="right" w:pos="10195" w:leader="dot"/>
        </w:tabs>
        <w:rPr>
          <w:rFonts w:ascii="Times New Roman" w:hAnsi="Times New Roman" w:cs="Times New Roman"/>
          <w:b w:val="0"/>
          <w:bCs w:val="0"/>
          <w:sz w:val="28"/>
          <w:szCs w:val="28"/>
        </w:rPr>
      </w:pPr>
      <w:r/>
      <w:hyperlink w:tooltip="#_Toc50" w:anchor="_Toc50" w:history="1">
        <w:r>
          <w:rPr>
            <w:rFonts w:ascii="Times New Roman" w:hAnsi="Times New Roman" w:eastAsia="Times New Roman" w:cs="Times New Roman" w:eastAsiaTheme="minorHAnsi"/>
            <w:b w:val="0"/>
            <w:bCs w:val="0"/>
            <w:sz w:val="28"/>
            <w:szCs w:val="28"/>
          </w:rPr>
          <w:t xml:space="preserve">8.3.</w:t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ab/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 xml:space="preserve">Сроки гарантии качества услуг</w:t>
        </w:r>
        <w:r>
          <w:rPr>
            <w:rStyle w:val="1088"/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tab/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begin"/>
          <w:instrText xml:space="preserve">PAGEREF _Toc50 \h</w:instrText>
          <w:fldChar w:fldCharType="separate"/>
        </w:r>
        <w:r>
          <w:rPr>
            <w:rFonts w:ascii="Times New Roman" w:hAnsi="Times New Roman" w:cs="Times New Roman" w:eastAsiaTheme="minorHAnsi"/>
            <w:b w:val="0"/>
            <w:bCs w:val="0"/>
            <w:sz w:val="28"/>
            <w:szCs w:val="28"/>
          </w:rPr>
          <w:t xml:space="preserve">38</w:t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</w:r>
        <w:r>
          <w:rPr>
            <w:rFonts w:ascii="Times New Roman" w:hAnsi="Times New Roman" w:eastAsia="Times New Roman" w:cs="Times New Roman"/>
            <w:b w:val="0"/>
            <w:bCs w:val="0"/>
            <w:sz w:val="28"/>
            <w:szCs w:val="28"/>
          </w:rPr>
          <w:fldChar w:fldCharType="end"/>
        </w:r>
      </w:hyperlink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1109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fldChar w:fldCharType="end"/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Перечень обозначений и сокращений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109"/>
        <w:jc w:val="center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  <w:outlineLvl w:val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настоящем документе применяются следующие обозначения и сокращения: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tbl>
      <w:tblPr>
        <w:tblStyle w:val="1112"/>
        <w:tblW w:w="10205" w:type="dxa"/>
        <w:tblLayout w:type="fixed"/>
        <w:tblLook w:val="04A0" w:firstRow="1" w:lastRow="0" w:firstColumn="1" w:lastColumn="0" w:noHBand="0" w:noVBand="1"/>
      </w:tblPr>
      <w:tblGrid>
        <w:gridCol w:w="2551"/>
        <w:gridCol w:w="7654"/>
      </w:tblGrid>
      <w:tr>
        <w:tblPrEx/>
        <w:trPr>
          <w:trHeight w:val="510"/>
          <w:tblHeader/>
        </w:trPr>
        <w:tc>
          <w:tcPr>
            <w:shd w:val="clear" w:color="ffffff" w:fill="f2f2f2"/>
            <w:tcMar>
              <w:left w:w="57" w:type="dxa"/>
              <w:top w:w="0" w:type="dxa"/>
              <w:right w:w="57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shd w:val="clear" w:color="ffffff" w:fill="f2f2f2"/>
            <w:tcMar>
              <w:left w:w="57" w:type="dxa"/>
              <w:top w:w="0" w:type="dxa"/>
              <w:right w:w="57" w:type="dxa"/>
              <w:bottom w:w="0" w:type="dxa"/>
            </w:tcMar>
            <w:tcW w:w="7654" w:type="dxa"/>
            <w:vAlign w:val="center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Определение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</w:tr>
      <w:tr>
        <w:tblPrEx/>
        <w:trPr>
          <w:trHeight w:val="680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2551" w:type="dxa"/>
            <w:textDirection w:val="lrTb"/>
            <w:noWrap w:val="false"/>
          </w:tcPr>
          <w:p>
            <w:pPr>
              <w:pStyle w:val="110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АРМ администратора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7654" w:type="dxa"/>
            <w:textDirection w:val="lrTb"/>
            <w:noWrap w:val="false"/>
          </w:tcPr>
          <w:p>
            <w:pPr>
              <w:pStyle w:val="11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Автоматизированное рабочее место Администратора.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97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2551" w:type="dxa"/>
            <w:textDirection w:val="lrTb"/>
            <w:noWrap w:val="false"/>
          </w:tcPr>
          <w:p>
            <w:pPr>
              <w:pStyle w:val="110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АРМ пользователя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7654" w:type="dxa"/>
            <w:textDirection w:val="lrTb"/>
            <w:noWrap w:val="false"/>
          </w:tcPr>
          <w:p>
            <w:pPr>
              <w:pStyle w:val="11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Автоматизированное рабочее место Пользователя.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97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2551" w:type="dxa"/>
            <w:textDirection w:val="lrTb"/>
            <w:noWrap w:val="false"/>
          </w:tcPr>
          <w:p>
            <w:pPr>
              <w:pStyle w:val="110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ГОСТ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7654" w:type="dxa"/>
            <w:textDirection w:val="lrTb"/>
            <w:noWrap w:val="false"/>
          </w:tcPr>
          <w:p>
            <w:pPr>
              <w:pStyle w:val="11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Государственный стандарт.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381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2551" w:type="dxa"/>
            <w:textDirection w:val="lrTb"/>
            <w:noWrap w:val="false"/>
          </w:tcPr>
          <w:p>
            <w:pPr>
              <w:pStyle w:val="110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Государственный контракт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7654" w:type="dxa"/>
            <w:textDirection w:val="lrTb"/>
            <w:noWrap w:val="false"/>
          </w:tcPr>
          <w:p>
            <w:pPr>
              <w:pStyle w:val="11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Государственный контракт на оказание услуг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по технич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ес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кому сопровождению и обеспечению эксплуатации государственной информационной системы «Автоматизация процессов предоставления государственных услуг и осуществления государственных функций» Минэнерго России </w:t>
              <w:br/>
              <w:t xml:space="preserve">(ГИС «Цифровые госуслуги Минэнерго России») </w:t>
              <w:br/>
              <w:t xml:space="preserve">в 202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-202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гг.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1417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10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ГИС ЦГУ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7654" w:type="dxa"/>
            <w:vMerge w:val="restart"/>
            <w:textDirection w:val="lrTb"/>
            <w:noWrap w:val="false"/>
          </w:tcPr>
          <w:p>
            <w:pPr>
              <w:pStyle w:val="11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Государственная информационная система «Автоматизация процессов предоставления государственных услуг </w:t>
              <w:br/>
              <w:t xml:space="preserve">и осуществления государственных функций» (ГИС «Цифровые госуслуги Минэнерго России»).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97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10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ДПАК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7654" w:type="dxa"/>
            <w:vMerge w:val="restart"/>
            <w:textDirection w:val="lrTb"/>
            <w:noWrap w:val="false"/>
          </w:tcPr>
          <w:p>
            <w:pPr>
              <w:pStyle w:val="1109"/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Доверенный программно-аппаратный комплекс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4592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2551" w:type="dxa"/>
            <w:textDirection w:val="lrTb"/>
            <w:noWrap w:val="false"/>
          </w:tcPr>
          <w:p>
            <w:pPr>
              <w:pStyle w:val="110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ЕПГУ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7654" w:type="dxa"/>
            <w:textDirection w:val="lrTb"/>
            <w:noWrap w:val="false"/>
          </w:tcPr>
          <w:p>
            <w:pPr>
              <w:pStyle w:val="1109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Федеральная государственная информационная система «Единый портал государственных и муниципальных услуг (функций)»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обеспечивает: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доступ физических лиц и организаций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(далее – заявители) </w:t>
              <w:br/>
              <w:t xml:space="preserve">к сведениям о государственных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 муниципальных услугах, функциях по осуществлению государственного контроля (надзора) и муниципального контроля (далее – функции), содержащимся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 ФРГУ;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предоставление заявителям в электронной форме государственных и муниципальных услуг;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выполнение административных процедур (действий)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br/>
              <w:t xml:space="preserve">в электронной форме при исполнении государственных услуг (функций) в случаях, предусмотренных законодательством Российской Федерации.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97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109"/>
              <w:jc w:val="lef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ЕСИА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7654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Фе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деральная государственная информационная система «Единая система идентификации и аутентификации </w:t>
              <w:br/>
              <w:t xml:space="preserve"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</w:t>
              <w:br/>
              <w:t xml:space="preserve">и муницип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альных услуг в электронной форме».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397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2551" w:type="dxa"/>
            <w:textDirection w:val="lrTb"/>
            <w:noWrap w:val="false"/>
          </w:tcPr>
          <w:p>
            <w:pPr>
              <w:pStyle w:val="110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Заказчик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7654" w:type="dxa"/>
            <w:textDirection w:val="lrTb"/>
            <w:noWrap w:val="false"/>
          </w:tcPr>
          <w:p>
            <w:pPr>
              <w:pStyle w:val="11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Министерство энергетики Российской Федерации.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1020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2551" w:type="dxa"/>
            <w:textDirection w:val="lrTb"/>
            <w:noWrap w:val="false"/>
          </w:tcPr>
          <w:p>
            <w:pPr>
              <w:pStyle w:val="110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Исполнитель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7654" w:type="dxa"/>
            <w:textDirection w:val="lrTb"/>
            <w:noWrap w:val="false"/>
          </w:tcPr>
          <w:p>
            <w:pPr>
              <w:pStyle w:val="1109"/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Организация, оказывающая услуги по техническому сопровождению и обеспечению эксплуатации ГИС ЦГУ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br/>
              <w:t xml:space="preserve">в 202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-202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гг.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1361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2551" w:type="dxa"/>
            <w:textDirection w:val="lrTb"/>
            <w:noWrap w:val="false"/>
          </w:tcPr>
          <w:p>
            <w:pPr>
              <w:pStyle w:val="110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Инцидент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7654" w:type="dxa"/>
            <w:textDirection w:val="lrTb"/>
            <w:noWrap w:val="false"/>
          </w:tcPr>
          <w:p>
            <w:pPr>
              <w:pStyle w:val="1109"/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Событие, не являющееся частью штатного функционирования объекта информационной инфраструктуры, которое привело </w:t>
              <w:br/>
              <w:t xml:space="preserve">к потере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его работоспособности и функциональности,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br/>
              <w:t xml:space="preserve">или частичному прекращению его доступности.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97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10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Контрольная закупка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7654" w:type="dxa"/>
            <w:vMerge w:val="restart"/>
            <w:textDirection w:val="lrTb"/>
            <w:noWrap w:val="false"/>
          </w:tcPr>
          <w:p>
            <w:pPr>
              <w:pStyle w:val="1109"/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Подача тестового заявления по государственной услуге Минэнерго России для контроля доступности интерактивной формы заявления в продуктивном контуре ЕПГУ.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97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10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Модуль ВУР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7654" w:type="dxa"/>
            <w:vMerge w:val="restart"/>
            <w:textDirection w:val="lrTb"/>
            <w:noWrap w:val="false"/>
          </w:tcPr>
          <w:p>
            <w:pPr>
              <w:pStyle w:val="1109"/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Модуль ведения и управления реестрами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97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10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Модуль ИВ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7654" w:type="dxa"/>
            <w:vMerge w:val="restart"/>
            <w:textDirection w:val="lrTb"/>
            <w:noWrap w:val="false"/>
          </w:tcPr>
          <w:p>
            <w:pPr>
              <w:pStyle w:val="1109"/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Модуль интеграционного взаимодействия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97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10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Модуль НСИ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7654" w:type="dxa"/>
            <w:vMerge w:val="restart"/>
            <w:textDirection w:val="lrTb"/>
            <w:noWrap w:val="false"/>
          </w:tcPr>
          <w:p>
            <w:pPr>
              <w:pStyle w:val="1109"/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Модуль учета нормативно-справочной информации.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97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10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Модуль ОО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7654" w:type="dxa"/>
            <w:vMerge w:val="restart"/>
            <w:textDirection w:val="lrTb"/>
            <w:noWrap w:val="false"/>
          </w:tcPr>
          <w:p>
            <w:pPr>
              <w:pStyle w:val="1109"/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Модуль оперативного оповещения.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97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10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Модуль ФО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7654" w:type="dxa"/>
            <w:vMerge w:val="restart"/>
            <w:textDirection w:val="lrTb"/>
            <w:noWrap w:val="false"/>
          </w:tcPr>
          <w:p>
            <w:pPr>
              <w:pStyle w:val="1109"/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Модуль сбора формирования отчетности.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680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10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Модуль УПГУ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7654" w:type="dxa"/>
            <w:vMerge w:val="restart"/>
            <w:textDirection w:val="lrTb"/>
            <w:noWrap w:val="false"/>
          </w:tcPr>
          <w:p>
            <w:pPr>
              <w:pStyle w:val="1109"/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ГИС ЦГУ (модуль) управления процессами предоставления государственных услуг в электронной форме.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97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2551" w:type="dxa"/>
            <w:textDirection w:val="lrTb"/>
            <w:noWrap w:val="false"/>
          </w:tcPr>
          <w:p>
            <w:pPr>
              <w:pStyle w:val="110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7654" w:type="dxa"/>
            <w:textDirection w:val="lrTb"/>
            <w:noWrap w:val="false"/>
          </w:tcPr>
          <w:p>
            <w:pPr>
              <w:pStyle w:val="1109"/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Операционная система.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97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2551" w:type="dxa"/>
            <w:textDirection w:val="lrTb"/>
            <w:noWrap w:val="false"/>
          </w:tcPr>
          <w:p>
            <w:pPr>
              <w:pStyle w:val="110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Парсинг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7654" w:type="dxa"/>
            <w:textDirection w:val="lrTb"/>
            <w:noWrap w:val="false"/>
          </w:tcPr>
          <w:p>
            <w:pPr>
              <w:pStyle w:val="1109"/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Автоматизированный сбор и структурирование информации.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97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2551" w:type="dxa"/>
            <w:textDirection w:val="lrTb"/>
            <w:noWrap w:val="false"/>
          </w:tcPr>
          <w:p>
            <w:pPr>
              <w:pStyle w:val="110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7654" w:type="dxa"/>
            <w:textDirection w:val="lrTb"/>
            <w:noWrap w:val="false"/>
          </w:tcPr>
          <w:p>
            <w:pPr>
              <w:pStyle w:val="1109"/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Программное обеспечение.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1417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109"/>
              <w:jc w:val="lef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Пользователи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7654" w:type="dxa"/>
            <w:vMerge w:val="restart"/>
            <w:textDirection w:val="lrTb"/>
            <w:noWrap w:val="false"/>
          </w:tcPr>
          <w:p>
            <w:pPr>
              <w:pStyle w:val="1109"/>
              <w:ind w:left="0" w:right="0" w:firstLine="0"/>
              <w:jc w:val="both"/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Сотрудники Минэнерго России, уполномоченные </w:t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 соответствии с утвержденными должностными регламентами: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на оказание государственных услуг и осуществление государственных функций;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на формирование общей позиции (свод) по вопросам предоставления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государственных услуг и осуществление государственных функций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>
          <w:trHeight w:val="1361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10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Поставщик данных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7654" w:type="dxa"/>
            <w:vMerge w:val="restart"/>
            <w:textDirection w:val="lrTb"/>
            <w:noWrap w:val="false"/>
          </w:tcPr>
          <w:p>
            <w:pPr>
              <w:pStyle w:val="1109"/>
              <w:jc w:val="both"/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ФОИВ – обладатель информации, располагающий сведениями, необходимыми для предоставления государственной услуги, </w:t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 обеспечивающий их предоставление Потребителю данных </w:t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 соответствии с законодательством Российской Федерации.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1361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10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Потребитель данных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7654" w:type="dxa"/>
            <w:vMerge w:val="restart"/>
            <w:textDirection w:val="lrTb"/>
            <w:noWrap w:val="false"/>
          </w:tcPr>
          <w:p>
            <w:pPr>
              <w:pStyle w:val="1109"/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ФОИВ – получатель информации, ответственный </w:t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за предоставление государственной услуги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 запрашивающий данные, необходимые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для предоставления данной государственной услуги,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у других ведомств.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1361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10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СМЭВ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7654" w:type="dxa"/>
            <w:vMerge w:val="restart"/>
            <w:textDirection w:val="lrTb"/>
            <w:noWrap w:val="false"/>
          </w:tcPr>
          <w:p>
            <w:pPr>
              <w:pStyle w:val="1109"/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Единая система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представляет собой федеральную государственную информационную систему, включающую информационные базы данных, в том числе содержащие сведения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об используемых органами и организациями программных и технических средствах, обеспечивающих возможность доступа через систему взаимодействия </w:t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к их информационным системам (далее – электронные сервисы), о программных и технических средствах, обеспечивающих единый документированный способ взаимодействия информационных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систем органов </w:t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 организаций посредством технологии очередей элек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ронных сообщений, обеспечивающей взаимодействие программ </w:t>
              <w:br/>
              <w:t xml:space="preserve">в асинхронном режиме, не требующей установки между ними прямой связи и гарантирующей получение передаваемых электронных сообщений (далее – единый электронный сервис), и сведения об истории движения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 системе взаимодействия электронных сообщений,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а также программные и технические средства,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беспечивающие взаимодействие, позволяющие осуществлять мониторинг системы взаимодействия, соблюдения процедур, предусмотренных техническими требованиями к взаимодействию информационных систем </w:t>
              <w:br/>
              <w:t xml:space="preserve">в единой системе межведомственного электронного взаимодействия.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97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2551" w:type="dxa"/>
            <w:textDirection w:val="lrTb"/>
            <w:noWrap w:val="false"/>
          </w:tcPr>
          <w:p>
            <w:pPr>
              <w:pStyle w:val="110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СУБД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7654" w:type="dxa"/>
            <w:textDirection w:val="lrTb"/>
            <w:noWrap w:val="false"/>
          </w:tcPr>
          <w:p>
            <w:pPr>
              <w:pStyle w:val="1109"/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Система управления базами данных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1020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2551" w:type="dxa"/>
            <w:textDirection w:val="lrTb"/>
            <w:noWrap w:val="false"/>
          </w:tcPr>
          <w:p>
            <w:pPr>
              <w:pStyle w:val="110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Техническое задание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7654" w:type="dxa"/>
            <w:textDirection w:val="lrTb"/>
            <w:noWrap w:val="false"/>
          </w:tcPr>
          <w:p>
            <w:pPr>
              <w:pStyle w:val="1109"/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Настоящее техническое задание на оказание услуг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br/>
              <w:t xml:space="preserve">по техническому сопровождению и обеспечению эксплуатации ГИС ЦГУ в 202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-202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гг.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97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2551" w:type="dxa"/>
            <w:textDirection w:val="lrTb"/>
            <w:noWrap w:val="false"/>
          </w:tcPr>
          <w:p>
            <w:pPr>
              <w:pStyle w:val="110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ФОИВ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7654" w:type="dxa"/>
            <w:textDirection w:val="lrTb"/>
            <w:noWrap w:val="false"/>
          </w:tcPr>
          <w:p>
            <w:pPr>
              <w:pStyle w:val="1109"/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Федеральный орган исполнительной власти.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680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109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  <w:t xml:space="preserve">Service Desk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7654" w:type="dxa"/>
            <w:vMerge w:val="restart"/>
            <w:textDirection w:val="lrTb"/>
            <w:noWrap w:val="false"/>
          </w:tcPr>
          <w:p>
            <w:pPr>
              <w:pStyle w:val="1109"/>
              <w:jc w:val="both"/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Программа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для автоматизации сервисного и технического обслуживания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Заказчика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</w:r>
          </w:p>
        </w:tc>
      </w:tr>
      <w:tr>
        <w:tblPrEx/>
        <w:trPr>
          <w:trHeight w:val="1020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2551" w:type="dxa"/>
            <w:textDirection w:val="lrTb"/>
            <w:noWrap w:val="false"/>
          </w:tcPr>
          <w:p>
            <w:pPr>
              <w:pStyle w:val="110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  <w:t xml:space="preserve">SQL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7654" w:type="dxa"/>
            <w:textDirection w:val="lrTb"/>
            <w:noWrap w:val="false"/>
          </w:tcPr>
          <w:p>
            <w:pPr>
              <w:pStyle w:val="1109"/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  <w:t xml:space="preserve">Structured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  <w:t xml:space="preserve">Query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  <w:t xml:space="preserve">Language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– декларативный язык программирования, применяемый для создания, модификации </w:t>
              <w:br/>
              <w:t xml:space="preserve">и управления данными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 реляционной базе данных.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1020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2551" w:type="dxa"/>
            <w:textDirection w:val="lrTb"/>
            <w:noWrap w:val="false"/>
          </w:tcPr>
          <w:p>
            <w:pPr>
              <w:pStyle w:val="110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  <w:t xml:space="preserve">W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orkflow»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7654" w:type="dxa"/>
            <w:textDirection w:val="lrTb"/>
            <w:noWrap w:val="false"/>
          </w:tcPr>
          <w:p>
            <w:pPr>
              <w:pStyle w:val="1109"/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Последовательное выполнение действий в рамках рассмотрения заявления и пакетов документов пользователями ГИС ЦГУ в соответствии с их ролевой моделью.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ind w:left="0" w:right="0" w:firstLine="709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"/>
        </w:numPr>
        <w:contextualSpacing/>
        <w:ind w:left="0" w:right="-2" w:firstLine="709"/>
        <w:jc w:val="both"/>
        <w:spacing w:after="0" w:line="276" w:lineRule="auto"/>
        <w:tabs>
          <w:tab w:val="left" w:pos="1134" w:leader="none"/>
        </w:tabs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1" w:name="_Toc1"/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Общие положения</w:t>
      </w:r>
      <w:bookmarkEnd w:id="0"/>
      <w:r/>
      <w:bookmarkEnd w:id="1"/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contextualSpacing/>
        <w:ind w:left="709" w:right="-2" w:firstLine="0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b w:val="0"/>
          <w:bCs w:val="0"/>
          <w:sz w:val="28"/>
          <w:szCs w:val="28"/>
        </w:rPr>
        <w:outlineLvl w:val="0"/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numPr>
          <w:ilvl w:val="1"/>
          <w:numId w:val="1"/>
        </w:numPr>
        <w:contextualSpacing/>
        <w:ind w:left="0" w:right="-2" w:firstLine="709"/>
        <w:jc w:val="both"/>
        <w:keepLines/>
        <w:spacing w:after="0" w:line="276" w:lineRule="auto"/>
        <w:tabs>
          <w:tab w:val="left" w:pos="1276" w:leader="none"/>
        </w:tabs>
        <w:rPr>
          <w:rFonts w:ascii="Times New Roman" w:hAnsi="Times New Roman" w:cs="Times New Roman"/>
          <w:b/>
          <w:sz w:val="28"/>
          <w:szCs w:val="28"/>
        </w:rPr>
        <w:outlineLvl w:val="1"/>
      </w:pPr>
      <w:r/>
      <w:bookmarkStart w:id="2" w:name="_Toc2"/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Объект закупки</w:t>
      </w:r>
      <w:bookmarkEnd w:id="0"/>
      <w:r/>
      <w:bookmarkEnd w:id="2"/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Оказани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е услуг по техническому сопровождению и обеспечению эксплуатации государственной информационной системы «Автоматизация процессов предоставления государственных услуг и осуществления государственных функций» (ГИС «Цифровые госуслуги Минэнерго России») в 202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7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-202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8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 гг (далее – Услуги).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tbl>
      <w:tblPr>
        <w:tblStyle w:val="962"/>
        <w:tblW w:w="10205" w:type="dxa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1134"/>
        <w:gridCol w:w="4110"/>
        <w:gridCol w:w="1559"/>
      </w:tblGrid>
      <w:tr>
        <w:tblPrEx/>
        <w:trPr>
          <w:tblHeader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№ п/п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2835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Наименование объекта закупки, товарный знак, знаки обслуживания, фирменные наименования, патенты, полезные модели, промышленные образцы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Тип объекта закупки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411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Позиции по КТРУ, ОКПД2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Количество (объем) </w:t>
              <w:br/>
              <w:t xml:space="preserve">и единица измерения товара, работы, услуги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56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2835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yellow"/>
              </w:rPr>
            </w:r>
            <w:r>
              <w:rPr>
                <w:rFonts w:hint="eastAsia" w:ascii="Times New Roman" w:hAnsi="Times New Roman" w:eastAsia="Times New Roman" w:cs="Times New Roman"/>
                <w:sz w:val="28"/>
                <w:szCs w:val="28"/>
              </w:rPr>
              <w:t xml:space="preserve">Услуги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  <w:br/>
            </w:r>
            <w:r>
              <w:rPr>
                <w:rFonts w:hint="eastAsia" w:ascii="Times New Roman" w:hAnsi="Times New Roman" w:eastAsia="Times New Roman" w:cs="Times New Roman"/>
                <w:sz w:val="28"/>
                <w:szCs w:val="28"/>
              </w:rPr>
              <w:t xml:space="preserve">по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sz w:val="28"/>
                <w:szCs w:val="28"/>
              </w:rPr>
              <w:t xml:space="preserve">технической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sz w:val="28"/>
                <w:szCs w:val="28"/>
              </w:rPr>
              <w:t xml:space="preserve">поддержке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sz w:val="28"/>
                <w:szCs w:val="28"/>
              </w:rPr>
              <w:t xml:space="preserve">информационных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sz w:val="28"/>
                <w:szCs w:val="28"/>
              </w:rPr>
              <w:t xml:space="preserve">технологий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Услуга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411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yellow"/>
              </w:rPr>
            </w:r>
            <w:r>
              <w:rPr>
                <w:rFonts w:hint="eastAsia" w:ascii="Times New Roman" w:hAnsi="Times New Roman" w:eastAsia="Times New Roman" w:cs="Times New Roman"/>
                <w:sz w:val="28"/>
                <w:szCs w:val="28"/>
              </w:rPr>
              <w:t xml:space="preserve">Услуги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sz w:val="28"/>
                <w:szCs w:val="28"/>
              </w:rPr>
              <w:t xml:space="preserve">по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sz w:val="28"/>
                <w:szCs w:val="28"/>
              </w:rPr>
              <w:t xml:space="preserve">технической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sz w:val="28"/>
                <w:szCs w:val="28"/>
              </w:rPr>
              <w:t xml:space="preserve">поддержке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sz w:val="28"/>
                <w:szCs w:val="28"/>
              </w:rPr>
              <w:t xml:space="preserve">информационных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sz w:val="28"/>
                <w:szCs w:val="28"/>
              </w:rPr>
              <w:t xml:space="preserve">технологий </w:t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(</w:t>
            </w:r>
            <w:hyperlink r:id="rId19" w:tooltip="https://zakupki.gov.ru/epz/ktru/ktruCard/ktru-description.html?itemId=33391&amp;backUrl=" w:history="1">
              <w:r>
                <w:rPr>
                  <w:rFonts w:ascii="Times New Roman" w:hAnsi="Times New Roman" w:eastAsia="Times New Roman" w:cs="Times New Roman"/>
                  <w:sz w:val="28"/>
                  <w:szCs w:val="28"/>
                </w:rPr>
                <w:t xml:space="preserve">62.02.30.000-00000002</w:t>
              </w:r>
            </w:hyperlink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</w:p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hint="eastAsia" w:ascii="Times New Roman" w:hAnsi="Times New Roman" w:eastAsia="Times New Roman" w:cs="Times New Roman"/>
                <w:sz w:val="28"/>
                <w:szCs w:val="28"/>
              </w:rPr>
              <w:t xml:space="preserve">Услуги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sz w:val="28"/>
                <w:szCs w:val="28"/>
              </w:rPr>
              <w:t xml:space="preserve">по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sz w:val="28"/>
                <w:szCs w:val="28"/>
              </w:rPr>
              <w:t xml:space="preserve">технической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sz w:val="28"/>
                <w:szCs w:val="28"/>
              </w:rPr>
              <w:t xml:space="preserve">поддержке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sz w:val="28"/>
                <w:szCs w:val="28"/>
              </w:rPr>
              <w:t xml:space="preserve">информационных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sz w:val="28"/>
                <w:szCs w:val="28"/>
              </w:rPr>
              <w:t xml:space="preserve">технологий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62.02.30.000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 условная единица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(усл. ед.)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r>
          </w:p>
        </w:tc>
      </w:tr>
    </w:tbl>
    <w:p>
      <w:pPr>
        <w:pStyle w:val="1109"/>
        <w:ind w:left="0" w:right="0" w:firstLine="709"/>
        <w:jc w:val="both"/>
        <w:spacing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numPr>
          <w:ilvl w:val="1"/>
          <w:numId w:val="1"/>
        </w:numPr>
        <w:contextualSpacing/>
        <w:ind w:left="0" w:right="-2" w:firstLine="709"/>
        <w:jc w:val="both"/>
        <w:keepLines/>
        <w:spacing w:after="0" w:line="276" w:lineRule="auto"/>
        <w:tabs>
          <w:tab w:val="left" w:pos="1276" w:leader="none"/>
        </w:tabs>
        <w:rPr>
          <w:rFonts w:ascii="Times New Roman" w:hAnsi="Times New Roman" w:cs="Times New Roman"/>
          <w:b/>
          <w:sz w:val="28"/>
          <w:szCs w:val="28"/>
        </w:rPr>
        <w:outlineLvl w:val="1"/>
      </w:pPr>
      <w:r/>
      <w:bookmarkStart w:id="3" w:name="_Toc3"/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Цель, предмет и задачи оказания Услуг</w:t>
      </w:r>
      <w:bookmarkEnd w:id="0"/>
      <w:r/>
      <w:bookmarkEnd w:id="3"/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Целью оказания Услуг является гарантированное поддержание установленных параметров функционирования и эксплуатационной готовности ГИС ЦГУ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с обеспечением доступности не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ниже 99,5%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месяц.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Предметом услуг является техническое сопровождение ГИС ЦГУ. В случаях сбоев и отказов ГИС ЦГУ, должно обеспечиваться оперативное восстановление </w:t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работоспособности.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Услуги направлены на поддержку производственной деятельности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Пользователей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 включают консультирование Пользователей по вопросам использования ГИС ЦГУ.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Для достижения цели оказания Услуг и решения задач Исполнитель должен обеспечить предоставление Услуг в соответствии с: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составом ГИС ЦГУ, подлежащим технической поддержке;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содержанием услуг по технической поддержке ГИС ЦГУ;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требованиями к режиму приема запросов.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случаях сбоев и отказов ГИС ЦГУ Исполнитель должен обеспечивать оперативное восстановление работоспособности.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1"/>
          <w:numId w:val="1"/>
        </w:numPr>
        <w:contextualSpacing/>
        <w:ind w:left="0" w:right="-2" w:firstLine="709"/>
        <w:jc w:val="both"/>
        <w:keepLines/>
        <w:spacing w:after="0" w:line="276" w:lineRule="auto"/>
        <w:tabs>
          <w:tab w:val="left" w:pos="1276" w:leader="none"/>
        </w:tabs>
        <w:rPr>
          <w:rFonts w:ascii="Times New Roman" w:hAnsi="Times New Roman" w:cs="Times New Roman"/>
          <w:b/>
          <w:sz w:val="28"/>
          <w:szCs w:val="28"/>
        </w:rPr>
        <w:outlineLvl w:val="1"/>
      </w:pPr>
      <w:r/>
      <w:bookmarkStart w:id="4" w:name="_Toc4"/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Источник и порядок финансирования услуг</w:t>
      </w:r>
      <w:bookmarkEnd w:id="0"/>
      <w:r/>
      <w:bookmarkEnd w:id="4"/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Источником финансирования является федеральный бюджет Российской Федерации.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109"/>
        <w:ind w:left="0" w:right="0" w:firstLine="709"/>
        <w:jc w:val="both"/>
        <w:spacing w:line="240" w:lineRule="auto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1109"/>
        <w:ind w:left="0" w:right="0" w:firstLine="709"/>
        <w:jc w:val="both"/>
        <w:spacing w:line="240" w:lineRule="auto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numPr>
          <w:ilvl w:val="1"/>
          <w:numId w:val="1"/>
        </w:numPr>
        <w:contextualSpacing/>
        <w:ind w:left="0" w:right="-2" w:firstLine="709"/>
        <w:jc w:val="both"/>
        <w:keepLines/>
        <w:spacing w:after="0" w:line="276" w:lineRule="auto"/>
        <w:tabs>
          <w:tab w:val="left" w:pos="1276" w:leader="none"/>
        </w:tabs>
        <w:rPr>
          <w:rFonts w:ascii="Times New Roman" w:hAnsi="Times New Roman" w:cs="Times New Roman"/>
          <w:b/>
          <w:sz w:val="28"/>
          <w:szCs w:val="28"/>
        </w:rPr>
        <w:outlineLvl w:val="1"/>
      </w:pPr>
      <w:r/>
      <w:bookmarkStart w:id="5" w:name="_Toc5"/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Место оказания услуг</w:t>
      </w:r>
      <w:bookmarkEnd w:id="0"/>
      <w:r/>
      <w:bookmarkEnd w:id="5"/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ar-SA"/>
        </w:rPr>
        <w:t xml:space="preserve">Все услуги оказываются Исполнителем на территории Заказчика по адресу:</w:t>
      </w:r>
      <w:r>
        <w:rPr>
          <w:rFonts w:ascii="Times New Roman" w:hAnsi="Times New Roman" w:eastAsia="Times New Roman" w:cs="Times New Roman"/>
          <w:sz w:val="28"/>
          <w:szCs w:val="28"/>
          <w:lang w:eastAsia="ar-SA"/>
        </w:rPr>
        <w:br/>
        <w:t xml:space="preserve">г. Москва, ул. Щепкина, д. 42, за исключением случаев, когда оказание услуг, может осуществляться посредством предоставления Исполнителю удаленного доступа </w:t>
      </w:r>
      <w:r>
        <w:rPr>
          <w:rFonts w:ascii="Times New Roman" w:hAnsi="Times New Roman" w:eastAsia="Times New Roman" w:cs="Times New Roman"/>
          <w:sz w:val="28"/>
          <w:szCs w:val="28"/>
          <w:lang w:eastAsia="ar-SA"/>
        </w:rPr>
        <w:br/>
        <w:t xml:space="preserve">к системе согласно разделу 4 настоящего Технического задания.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numPr>
          <w:ilvl w:val="1"/>
          <w:numId w:val="1"/>
        </w:numPr>
        <w:contextualSpacing/>
        <w:ind w:left="0" w:right="-2" w:firstLine="709"/>
        <w:jc w:val="both"/>
        <w:keepLines/>
        <w:spacing w:after="0" w:line="276" w:lineRule="auto"/>
        <w:tabs>
          <w:tab w:val="left" w:pos="1276" w:leader="none"/>
        </w:tabs>
        <w:rPr>
          <w:rFonts w:ascii="Times New Roman" w:hAnsi="Times New Roman" w:cs="Times New Roman"/>
          <w:b/>
          <w:sz w:val="28"/>
          <w:szCs w:val="28"/>
        </w:rPr>
        <w:outlineLvl w:val="1"/>
      </w:pPr>
      <w:r/>
      <w:bookmarkStart w:id="6" w:name="_Toc6"/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Этапы и сроки оказания услуг</w:t>
      </w:r>
      <w:bookmarkEnd w:id="0"/>
      <w:r/>
      <w:bookmarkEnd w:id="6"/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 11.12.2026 до 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1.12.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202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8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включительно, поэтапно: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 этап: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11.12.2026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– 31.03.202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 этап: 01.04.202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– 30.06.202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 этап: 01.07.202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– 30.09.202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709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 этап: 01.10.202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10.12.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202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5 этап: 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1.12.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202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– 31.03.202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8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6 этап: 01.04.202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8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– 30.06.202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8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7 этап: 01.07.202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8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29.09.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202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8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709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8 этап: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30.09.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202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8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– 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1.12.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202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8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1"/>
          <w:numId w:val="1"/>
        </w:numPr>
        <w:contextualSpacing/>
        <w:ind w:left="0" w:right="-2" w:firstLine="709"/>
        <w:jc w:val="both"/>
        <w:keepLines/>
        <w:spacing w:after="0" w:line="276" w:lineRule="auto"/>
        <w:tabs>
          <w:tab w:val="left" w:pos="1276" w:leader="none"/>
        </w:tabs>
        <w:rPr>
          <w:rFonts w:ascii="Times New Roman" w:hAnsi="Times New Roman" w:cs="Times New Roman"/>
          <w:b/>
          <w:sz w:val="28"/>
          <w:szCs w:val="28"/>
        </w:rPr>
        <w:outlineLvl w:val="1"/>
      </w:pPr>
      <w:r/>
      <w:bookmarkStart w:id="7" w:name="_Toc7"/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Перечень нормативных правовых актов, нормативных технических документов, методических материалов</w:t>
      </w:r>
      <w:bookmarkEnd w:id="0"/>
      <w:r/>
      <w:bookmarkEnd w:id="7"/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Услуги должны оказываться с учетом следующих нормативными правовыми документов: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Федеральный закон от 27.07.2010 № 210-ФЗ «Об организации предоставления государственных и муниципальных услуг»;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Федеральный закон от 27.07.2006 № 149-ФЗ «Об информации, информационных технологиях и о защите информации»;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Федеральный закон от 26.07.2017 № 187-ФЗ «О безопасности критической информационной инфраструктуры Российской Федерации»;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Федеральный закон от 27.07.2006 № 152-ФЗ «О персональных данных»;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постановление Правительства Российской Федерации от 08.09.2010 № 697 </w:t>
        <w:br/>
        <w:t xml:space="preserve">«О единой системе межведомственного электронного взаимодействия»;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постановление Правительства Российской Федерации от 24.10.2011 № 861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постановление Правительства Российской Федерации от 08.06.20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№ 451 </w:t>
        <w:br/>
        <w:t xml:space="preserve">«Об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</w:t>
        <w:br/>
        <w:t xml:space="preserve">и муниципальных функций в электронной форме»;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постановление Правительства Российской Федерации от 23.06.2021 № 963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«Об утверждении Правил межведомственного информационного взаимодействия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при предоставлении государственных и муниципальных услуг, в том числе рекомендуемых правил организации межведомственного информационного взаимодействия между исполнительными орг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нами государственной власти субъектов Российской Федерации и (или) органами местного самоуправления, </w:t>
        <w:br/>
        <w:t xml:space="preserve">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постановление Правительства Российской Федерации от 28.11.2011 № 977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«О федера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 муниципальных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услуг </w:t>
        <w:br/>
        <w:t xml:space="preserve">в электронной форме»;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постановление Правительства Российской Федерации от 26.03.2016 № 236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«О требованиях к предоставлению в электронной форме государственных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и муниципальных услуг»;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постановление Правительства Российской Федерации от 06.07.2015 № 676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«О требованиях к порядку создания, развития, ввода в эксплуатацию, эксплуатации и вывода из эксплуатации государственных информационных систем, и дальнейшего хранения содержащейся в их базах данных информации»;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постановление Правительства Российской Федерации от 01.11.2012 № 1119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«Об утверждении требований к защите персональных данных при их обработке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в информационных системах персональных данных»;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приказ ФСТЭК России от 11.04.2025 № 117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 утверждении требований </w:t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защите информации, содержащейся в государственных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информационных системах, иных информационных системах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государственных органов, государственных унитарных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предприятий, государственных учреждений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»;</w:t>
      </w:r>
      <w:r/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приказ ФСТЭК России от 21.12.2017 № 235 «Об утверждении Требований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к созданию систем безопасности значимых объектов критической информационной инфраструктуры Российской Федерации и обеспечению их функционирования»;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приказ ФСТЭК России от 25.12.2017 № 239 «Об утверждении Требований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по обеспечению безопасности значимых объектов критической информационной инфраструктуры Российской Федерации»;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приказ ФСБ России от 10.07.2014 № 378 «Об утверждении Состава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и сод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информации, необходимых для выполнения установленных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Правительством Российской Федерации требований к защите персональных данных для каждого из уровней защищенности»;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регламент обеспечен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я предоставления государственных услуг и исполнения государственных функций в электронном виде, опубликованный на информационном портале «Единая система контекстных справок» https://info.gosuslugi.ru/ </w:t>
        <w:br/>
        <w:t xml:space="preserve">в действующей редакции, утвержденный Минцифры России.;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регламент взаимодействия участников информационного обмена и оператора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СМЭВ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при предоставлении информации об обстоятельствах межведомственного информационного обмена, в действующей редакции (</w:t>
      </w:r>
      <w:hyperlink w:history="1">
        <w:r>
          <w:rPr>
            <w:rFonts w:ascii="Times New Roman" w:hAnsi="Times New Roman" w:eastAsia="Times New Roman" w:cs="Times New Roman"/>
            <w:sz w:val="28"/>
            <w:szCs w:val="28"/>
            <w:lang w:val="en-US"/>
          </w:rPr>
          <w:t xml:space="preserve">https</w:t>
        </w:r>
        <w:r>
          <w:rPr>
            <w:rFonts w:ascii="Times New Roman" w:hAnsi="Times New Roman" w:eastAsia="Times New Roman" w:cs="Times New Roman"/>
            <w:sz w:val="28"/>
            <w:szCs w:val="28"/>
          </w:rPr>
          <w:t xml:space="preserve">://</w:t>
        </w:r>
        <w:r>
          <w:rPr>
            <w:rFonts w:ascii="Times New Roman" w:hAnsi="Times New Roman" w:eastAsia="Times New Roman" w:cs="Times New Roman"/>
            <w:sz w:val="28"/>
            <w:szCs w:val="28"/>
            <w:lang w:val="en-US"/>
          </w:rPr>
          <w:t xml:space="preserve">digital</w:t>
        </w:r>
        <w:r>
          <w:rPr>
            <w:rFonts w:ascii="Times New Roman" w:hAnsi="Times New Roman" w:eastAsia="Times New Roman" w:cs="Times New Roman"/>
            <w:sz w:val="28"/>
            <w:szCs w:val="28"/>
          </w:rPr>
          <w:t xml:space="preserve">.</w:t>
        </w:r>
        <w:r>
          <w:rPr>
            <w:rFonts w:ascii="Times New Roman" w:hAnsi="Times New Roman" w:eastAsia="Times New Roman" w:cs="Times New Roman"/>
            <w:sz w:val="28"/>
            <w:szCs w:val="28"/>
            <w:lang w:val="en-US"/>
          </w:rPr>
          <w:t xml:space="preserve">gov</w:t>
        </w:r>
        <w:r>
          <w:rPr>
            <w:rFonts w:ascii="Times New Roman" w:hAnsi="Times New Roman" w:eastAsia="Times New Roman" w:cs="Times New Roman"/>
            <w:sz w:val="28"/>
            <w:szCs w:val="28"/>
          </w:rPr>
          <w:t xml:space="preserve">.</w:t>
        </w:r>
        <w:r>
          <w:rPr>
            <w:rFonts w:ascii="Times New Roman" w:hAnsi="Times New Roman" w:eastAsia="Times New Roman" w:cs="Times New Roman"/>
            <w:sz w:val="28"/>
            <w:szCs w:val="28"/>
            <w:lang w:val="en-US"/>
          </w:rPr>
          <w:t xml:space="preserve">ru</w:t>
        </w:r>
        <w:r>
          <w:rPr>
            <w:rFonts w:ascii="Times New Roman" w:hAnsi="Times New Roman" w:eastAsia="Times New Roman" w:cs="Times New Roman"/>
            <w:sz w:val="28"/>
            <w:szCs w:val="28"/>
          </w:rPr>
          <w:t xml:space="preserve">/</w:t>
        </w:r>
        <w:r>
          <w:rPr>
            <w:rFonts w:ascii="Times New Roman" w:hAnsi="Times New Roman" w:eastAsia="Times New Roman" w:cs="Times New Roman"/>
            <w:sz w:val="28"/>
            <w:szCs w:val="28"/>
            <w:lang w:val="en-US"/>
          </w:rPr>
          <w:t xml:space="preserve">ru</w:t>
        </w:r>
        <w:r>
          <w:rPr>
            <w:rFonts w:ascii="Times New Roman" w:hAnsi="Times New Roman" w:eastAsia="Times New Roman" w:cs="Times New Roman"/>
            <w:sz w:val="28"/>
            <w:szCs w:val="28"/>
          </w:rPr>
          <w:t xml:space="preserve">/</w:t>
        </w:r>
        <w:r>
          <w:rPr>
            <w:rFonts w:ascii="Times New Roman" w:hAnsi="Times New Roman" w:eastAsia="Times New Roman" w:cs="Times New Roman"/>
            <w:sz w:val="28"/>
            <w:szCs w:val="28"/>
            <w:lang w:val="en-US"/>
          </w:rPr>
          <w:t xml:space="preserve">documents</w:t>
        </w:r>
        <w:r>
          <w:rPr>
            <w:rFonts w:ascii="Times New Roman" w:hAnsi="Times New Roman" w:eastAsia="Times New Roman" w:cs="Times New Roman"/>
            <w:sz w:val="28"/>
            <w:szCs w:val="28"/>
          </w:rPr>
          <w:t xml:space="preserve">/3712</w:t>
        </w:r>
      </w:hyperlink>
      <w:r>
        <w:rPr>
          <w:rFonts w:ascii="Times New Roman" w:hAnsi="Times New Roman" w:eastAsia="Times New Roman" w:cs="Times New Roman"/>
          <w:sz w:val="28"/>
          <w:szCs w:val="28"/>
        </w:rPr>
        <w:t xml:space="preserve">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методические рекомендации по работе с СМЭВ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 действующей редакции, опубликованные на информационном портале «Единая система контекстных справок» https://info.gosuslugi.ru/sections/смэв/;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методика оценки уровня критичности уязвимостей программных, программно-аппаратных средств (утв. ФСТЭК России от 28.10.2022);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методика тестирования обновлений безопасности программных, программно-аппаратных средств (утв. ФСТЭК России от 28.10.2022);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правила и процедуры работы в СМЭВ по Методическим рекомендациям версии 3.XX, опубликованных на информационном портале «Единая система контекстных справок» </w:t>
      </w:r>
      <w:hyperlink r:id="rId20" w:tooltip="https://info.gosuslugi.ru/." w:history="1">
        <w:r>
          <w:rPr>
            <w:rStyle w:val="1088"/>
            <w:rFonts w:ascii="Times New Roman" w:hAnsi="Times New Roman" w:eastAsia="Times New Roman" w:cs="Times New Roman"/>
            <w:sz w:val="28"/>
            <w:szCs w:val="28"/>
          </w:rPr>
          <w:t xml:space="preserve">https://info.gosuslugi.ru/.</w:t>
        </w:r>
        <w:r>
          <w:rPr>
            <w:rStyle w:val="1088"/>
            <w:rFonts w:ascii="Times New Roman" w:hAnsi="Times New Roman" w:eastAsia="Times New Roman" w:cs="Times New Roman"/>
            <w:sz w:val="28"/>
            <w:szCs w:val="28"/>
            <w:highlight w:val="none"/>
          </w:rPr>
        </w:r>
      </w:hyperlink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1109"/>
        <w:ind w:left="0" w:right="0"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"/>
        </w:numPr>
        <w:contextualSpacing/>
        <w:ind w:left="0" w:right="-2" w:firstLine="709"/>
        <w:jc w:val="both"/>
        <w:spacing w:after="0" w:line="276" w:lineRule="auto"/>
        <w:tabs>
          <w:tab w:val="left" w:pos="1134" w:leader="none"/>
        </w:tabs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8" w:name="_Toc8"/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Состав ГИС ЦГУ подлежащ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й технической поддержке</w:t>
      </w:r>
      <w:bookmarkEnd w:id="0"/>
      <w:r/>
      <w:bookmarkEnd w:id="8"/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рамках оказания Услуг должн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быть обеспечено техническое сопровождение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и обеспечение эксплуатации ГИС ЦГУ.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1"/>
          <w:numId w:val="1"/>
        </w:numPr>
        <w:contextualSpacing/>
        <w:ind w:left="0" w:right="-2" w:firstLine="709"/>
        <w:jc w:val="both"/>
        <w:keepLines/>
        <w:spacing w:after="0" w:line="276" w:lineRule="auto"/>
        <w:tabs>
          <w:tab w:val="left" w:pos="1276" w:leader="none"/>
        </w:tabs>
        <w:rPr>
          <w:rFonts w:ascii="Times New Roman" w:hAnsi="Times New Roman" w:cs="Times New Roman"/>
          <w:b/>
          <w:sz w:val="28"/>
          <w:szCs w:val="28"/>
        </w:rPr>
        <w:outlineLvl w:val="1"/>
      </w:pPr>
      <w:r/>
      <w:bookmarkStart w:id="9" w:name="_Toc9"/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Назначение ГИС ЦГУ</w:t>
      </w:r>
      <w:bookmarkEnd w:id="0"/>
      <w:r/>
      <w:bookmarkEnd w:id="9"/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Обеспечивает автоматизацию процессов предоставления государственных услуг и осуществления государственных функций Минэнерго России.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109"/>
        <w:ind w:left="0" w:right="0"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1"/>
          <w:numId w:val="1"/>
        </w:numPr>
        <w:contextualSpacing/>
        <w:ind w:left="0" w:right="-2" w:firstLine="709"/>
        <w:jc w:val="both"/>
        <w:keepLines/>
        <w:spacing w:after="0" w:line="276" w:lineRule="auto"/>
        <w:tabs>
          <w:tab w:val="left" w:pos="1276" w:leader="none"/>
        </w:tabs>
        <w:rPr>
          <w:rFonts w:ascii="Times New Roman" w:hAnsi="Times New Roman" w:cs="Times New Roman"/>
          <w:sz w:val="28"/>
          <w:szCs w:val="28"/>
        </w:rPr>
        <w:outlineLvl w:val="1"/>
      </w:pPr>
      <w:r/>
      <w:bookmarkStart w:id="10" w:name="_Toc10"/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Перечень государственных услуг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и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государственных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функций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, процессы оказания которых автоматизированы в ГИС ЦГУ</w:t>
      </w:r>
      <w:bookmarkEnd w:id="0"/>
      <w:r/>
      <w:bookmarkEnd w:id="10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numPr>
          <w:ilvl w:val="0"/>
          <w:numId w:val="3"/>
        </w:numPr>
        <w:ind w:left="0" w:right="0" w:firstLine="709"/>
        <w:jc w:val="both"/>
        <w:spacing w:line="276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Утверждение нормативов удельного расхода топлива при производстве электрической энергии, 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также нормативов удельного расхода топлива </w:t>
        <w:br/>
        <w:t xml:space="preserve">при производстве тепловой энергии источниками тепловой энергии в режиме комбинированной выработки электрической и тепловой энергии с установленной мощностью производства электрической энергии 25 мегаватт и более.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numPr>
          <w:ilvl w:val="0"/>
          <w:numId w:val="3"/>
        </w:numPr>
        <w:ind w:left="0" w:right="0" w:firstLine="709"/>
        <w:jc w:val="both"/>
        <w:spacing w:line="276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Утверждение нормати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вов технологических потерь при передаче тепловой энергии, теплоносителя по тепловым сетям, расположенным в поселениях, муниципальных округах, городских округах с численностью населения пятьсот тысяч человек и более, а также в городах федерального значения.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numPr>
          <w:ilvl w:val="0"/>
          <w:numId w:val="3"/>
        </w:numPr>
        <w:ind w:left="0" w:right="0" w:firstLine="709"/>
        <w:jc w:val="both"/>
        <w:spacing w:line="276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Подтверждение факта получения (производства) при разработке нового морского месторождения углеводородного сырья газа природного в газообразном состоянии, широкой фракции легких углеводородов.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numPr>
          <w:ilvl w:val="0"/>
          <w:numId w:val="3"/>
        </w:numPr>
        <w:ind w:left="0" w:right="0" w:firstLine="709"/>
        <w:jc w:val="both"/>
        <w:spacing w:line="276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Подтверждение планируемых к добыче и вывозу из Российской Федерации объемов продукции (минерального сырья) в связи с исполнением соглашения </w:t>
        <w:br/>
        <w:t xml:space="preserve">о разделе продукции.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numPr>
          <w:ilvl w:val="0"/>
          <w:numId w:val="3"/>
        </w:numPr>
        <w:ind w:left="0" w:right="0" w:firstLine="709"/>
        <w:jc w:val="both"/>
        <w:spacing w:line="276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Подтверждение фактических объемов продукции (минерального сырья), произведенной за отчетный месяц в соответствии с условиями соглашения о разделе продукции.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numPr>
          <w:ilvl w:val="0"/>
          <w:numId w:val="3"/>
        </w:numPr>
        <w:ind w:left="0" w:right="0" w:firstLine="709"/>
        <w:jc w:val="both"/>
        <w:spacing w:line="276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Подтверждение факта выработки стабильного газового конденсата, полученного в результате переработки нестабильного газового конденсата, добытого на месторождении, указанного в примечании 9 к единой Товарной номенклатуре внешнеэкономической деятельности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Евразийского экономического союза, классифицируемого в подсубпозиции 2709 00 100 1, и его физико-химических характеристик.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numPr>
          <w:ilvl w:val="0"/>
          <w:numId w:val="3"/>
        </w:numPr>
        <w:ind w:left="0" w:right="0" w:firstLine="709"/>
        <w:jc w:val="both"/>
        <w:spacing w:line="276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Утверждение нормативов технологических потерь углеводородного сырья при добыче, транспортировке сырья и продуктов его переработки трубопроводным транспортом.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numPr>
          <w:ilvl w:val="0"/>
          <w:numId w:val="3"/>
        </w:numPr>
        <w:ind w:left="0" w:right="0" w:firstLine="709"/>
        <w:jc w:val="both"/>
        <w:spacing w:line="276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Ведение реестра субъектов предпринимательской деятельности, осуществляющих добычу нефти.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numPr>
          <w:ilvl w:val="0"/>
          <w:numId w:val="3"/>
        </w:numPr>
        <w:ind w:left="0" w:right="0" w:firstLine="709"/>
        <w:jc w:val="both"/>
        <w:spacing w:line="276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Выдача лицензий на экспорт газа природного в сжиженном состоянии.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numPr>
          <w:ilvl w:val="0"/>
          <w:numId w:val="3"/>
        </w:numPr>
        <w:contextualSpacing w:val="0"/>
        <w:ind w:left="0" w:right="0" w:firstLine="709"/>
        <w:jc w:val="both"/>
        <w:spacing w:line="276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Ведение реестра проектируемых, строящихся, реконструируемых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br/>
        <w:t xml:space="preserve">и введенных в эксплуатацию нефтеперерабатывающих заводов, расположенных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br/>
        <w:t xml:space="preserve">на территории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numPr>
          <w:ilvl w:val="0"/>
          <w:numId w:val="3"/>
        </w:numPr>
        <w:contextualSpacing w:val="0"/>
        <w:ind w:left="0" w:right="0" w:firstLine="709"/>
        <w:jc w:val="both"/>
        <w:spacing w:line="276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Утверждение графика транспортировки нефти по магистральным трубопроводам за пределы территории Российской Федерации по направлениям отгрузки.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numPr>
          <w:ilvl w:val="0"/>
          <w:numId w:val="3"/>
        </w:numPr>
        <w:contextualSpacing w:val="0"/>
        <w:ind w:left="0" w:right="0" w:firstLine="709"/>
        <w:jc w:val="both"/>
        <w:spacing w:line="276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Проведение экспертизы оснований отказа в выдаче технических условий для подключения нефтеперерабатывающих заводов к магистральным трубопроводам.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numPr>
          <w:ilvl w:val="0"/>
          <w:numId w:val="3"/>
        </w:numPr>
        <w:contextualSpacing w:val="0"/>
        <w:ind w:left="0" w:right="0" w:firstLine="709"/>
        <w:jc w:val="both"/>
        <w:spacing w:line="276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Отнесение объектов электросетевого хозяйства к единой национальной (общероссийской) электрической сети и ведение реестра объектов электросетевого хозяйства, входящих в единую национальную (общероссийскую) электрическую сеть.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numPr>
          <w:ilvl w:val="0"/>
          <w:numId w:val="3"/>
        </w:numPr>
        <w:contextualSpacing w:val="0"/>
        <w:ind w:left="0" w:right="0" w:firstLine="709"/>
        <w:jc w:val="both"/>
        <w:spacing w:line="276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Утверждение нормативов потерь электрической энергии при ее передаче по электрическим сетям.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numPr>
          <w:ilvl w:val="0"/>
          <w:numId w:val="3"/>
        </w:numPr>
        <w:contextualSpacing w:val="0"/>
        <w:ind w:left="0" w:right="0" w:firstLine="709"/>
        <w:jc w:val="both"/>
        <w:spacing w:line="276" w:lineRule="auto"/>
        <w:tabs>
          <w:tab w:val="left" w:pos="1134" w:leader="none"/>
        </w:tabs>
        <w:rPr>
          <w:rFonts w:ascii="Times New Roman" w:hAnsi="Times New Roman" w:cs="Times New Roman"/>
          <w:color w:val="00000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Согласование вывода из эксплуатации объектов электроэнергетики.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109"/>
        <w:numPr>
          <w:ilvl w:val="0"/>
          <w:numId w:val="3"/>
        </w:numPr>
        <w:contextualSpacing w:val="0"/>
        <w:ind w:left="0" w:right="0" w:firstLine="709"/>
        <w:jc w:val="both"/>
        <w:spacing w:line="276" w:lineRule="auto"/>
        <w:tabs>
          <w:tab w:val="left" w:pos="1134" w:leader="none"/>
        </w:tabs>
        <w:rPr>
          <w:rFonts w:ascii="Times New Roman" w:hAnsi="Times New Roman" w:cs="Times New Roman"/>
          <w:color w:val="00000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Предоставление информации, содержащейся в реестре объектов топливно-энергетического комплекса.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109"/>
        <w:numPr>
          <w:ilvl w:val="0"/>
          <w:numId w:val="3"/>
        </w:numPr>
        <w:contextualSpacing w:val="0"/>
        <w:ind w:left="0" w:right="0" w:firstLine="709"/>
        <w:jc w:val="both"/>
        <w:spacing w:line="276" w:lineRule="auto"/>
        <w:tabs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ff0000"/>
          <w:sz w:val="28"/>
          <w:szCs w:val="28"/>
          <w:shd w:val="clear" w:color="auto" w:fill="ffffff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shd w:val="clear" w:color="auto" w:fill="ffffff"/>
        </w:rPr>
        <w:t xml:space="preserve">Пр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shd w:val="clear" w:color="auto" w:fill="ffffff"/>
        </w:rPr>
        <w:t xml:space="preserve">инятие решений об утверждении документации по планировке территории, предназначенной для размещения объектов энергетики или объектов трубопроводного транспорта федерального значения, об утверждении изменений </w:t>
        <w:br/>
        <w:t xml:space="preserve">в такую документацию, об отмене такой документа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shd w:val="clear" w:color="auto" w:fill="ffffff"/>
        </w:rPr>
        <w:t xml:space="preserve">ции, о признании отдельных частей такой документации не подлежащими применени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</w:rPr>
        <w:t xml:space="preserve">ю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1109"/>
        <w:numPr>
          <w:ilvl w:val="0"/>
          <w:numId w:val="3"/>
        </w:numPr>
        <w:contextualSpacing w:val="0"/>
        <w:ind w:left="0" w:right="0" w:firstLine="709"/>
        <w:jc w:val="both"/>
        <w:spacing w:line="276" w:lineRule="auto"/>
        <w:tabs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Принятие решения об изъятии земельных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участков для государственных нужд Российской Федерации (федеральных нужд) по основаниям, связанным </w:t>
        <w:br/>
        <w:t xml:space="preserve">со строительством, реконструкцией объектов федеральных энергетических систем, объектов использования атомной энергии, объектов систем электро-, газоснабжени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я федерального значения, объектов систем теплоснабжения федерального значения, объектов федерального транспорта (в части трубопроводного транспорта), линейных объектов федерального значения, обеспечивающих деятельность субъектов естественных монополий и от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носящихся к объектам федеральных энергетических систем, объектам систем электро-, газоснабжения федерального значения, объектам систем теплоснабжения федерального значения, объектам федерального транспорта (в части трубопроводного транспорта) и для обеспе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чения эксплуатации таких линейных объектов, в случае, предусмотренном частью 4 статьи 26 Федерального закона от 31 декабря 2014 г. № 499-ФЗ «О внесении изменений в Земельный кодекс Российской Федерации и отдельные законодательные акты Российской Федерации»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shd w:val="clear" w:color="auto" w:fill="ffffff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1109"/>
        <w:numPr>
          <w:ilvl w:val="0"/>
          <w:numId w:val="3"/>
        </w:numPr>
        <w:contextualSpacing w:val="0"/>
        <w:ind w:left="0" w:right="0" w:firstLine="709"/>
        <w:jc w:val="both"/>
        <w:spacing w:line="276" w:lineRule="auto"/>
        <w:tabs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ринятие решения об установлении или о прекращении публичного сервитута в отношении земельных участков и (или) земель для использования в целях размещения или капитального ремонта объектов электросетевого хозяйства, линейных объектов системы газоснабжения,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фтепроводов </w:t>
        <w:br/>
        <w:t xml:space="preserve">и нефтепродуктопроводов, трубопроводов для продуктов переработки нефти и газа, их неотъемлемых технологических частей, если указанные объекты являются объектами федерального значения, а также реконструкции, капитального ремонта участков (часте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й) таких объектов, являющихся линейными объектами, эксплуатации объектов электро-, газоснабжения населения, являющихся линейными объектами </w:t>
        <w:br/>
        <w:t xml:space="preserve">и расположенных на территории 2 и более субъектов Российской Федерации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1109"/>
        <w:numPr>
          <w:ilvl w:val="0"/>
          <w:numId w:val="3"/>
        </w:numPr>
        <w:contextualSpacing w:val="0"/>
        <w:ind w:left="0" w:right="0" w:firstLine="709"/>
        <w:jc w:val="both"/>
        <w:spacing w:line="276" w:lineRule="auto"/>
        <w:tabs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Согласование проекта планировки территории, предусматривающего строительство, реконструкцию линейного объекта федерального значения, линейного объекта регионального знач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е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ния или линейного объекта местного значения, </w:t>
        <w:br/>
        <w:t xml:space="preserve">в соответствии с которым необходима реконструкция существующих линейного объекта или линейных объектов, утверждение проекта планировки которых отнесено к полномочиям Министерства энергетики Российской Федерации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1109"/>
        <w:numPr>
          <w:ilvl w:val="0"/>
          <w:numId w:val="3"/>
        </w:numPr>
        <w:contextualSpacing w:val="0"/>
        <w:ind w:left="0" w:right="0" w:firstLine="709"/>
        <w:jc w:val="both"/>
        <w:spacing w:line="276" w:lineRule="auto"/>
        <w:tabs>
          <w:tab w:val="left" w:pos="1134" w:leader="none"/>
        </w:tabs>
        <w:rPr>
          <w:rFonts w:ascii="Times New Roman" w:hAnsi="Times New Roman" w:cs="Times New Roman"/>
          <w:color w:val="ff000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ff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Принятие решения о подготовке или об отмене решения о подготовке документации по планировке территории, предназначенной для размещения объектов энергетики и трубопроводного транспорта федерального значения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</w:rPr>
        <w:t xml:space="preserve">.</w:t>
      </w:r>
      <w:r>
        <w:rPr>
          <w:rFonts w:ascii="Times New Roman" w:hAnsi="Times New Roman" w:cs="Times New Roman"/>
          <w:color w:val="ff0000"/>
          <w:sz w:val="28"/>
          <w:szCs w:val="28"/>
        </w:rPr>
      </w:r>
      <w:r>
        <w:rPr>
          <w:rFonts w:ascii="Times New Roman" w:hAnsi="Times New Roman" w:cs="Times New Roman"/>
          <w:color w:val="ff0000"/>
          <w:sz w:val="28"/>
          <w:szCs w:val="28"/>
        </w:rPr>
      </w:r>
    </w:p>
    <w:p>
      <w:pPr>
        <w:pStyle w:val="1109"/>
        <w:numPr>
          <w:ilvl w:val="0"/>
          <w:numId w:val="3"/>
        </w:numPr>
        <w:contextualSpacing w:val="0"/>
        <w:ind w:left="0" w:right="0" w:firstLine="709"/>
        <w:jc w:val="both"/>
        <w:spacing w:line="276" w:lineRule="auto"/>
        <w:tabs>
          <w:tab w:val="left" w:pos="1134" w:leader="none"/>
        </w:tabs>
        <w:rPr>
          <w:rFonts w:ascii="Times New Roman" w:hAnsi="Times New Roman" w:cs="Times New Roman"/>
          <w:color w:val="00000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Согласовани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 передачи субъектами топливно-энергетического комплекса, владеющими на праве собственности или ином законном основании объектами топливно-энергетического комплекса, которым присвоена высокая категория опасности, в аренду или иное пользование зданий, строе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ний, сооружений, их частей, входящих в состав таких объектов топливно-энергетического комплекса, а также земельных участков, на которых размещены указанные объекты топливно-энергетического комплекса, для целей, не связанных с производственной деятельностью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109"/>
        <w:numPr>
          <w:ilvl w:val="0"/>
          <w:numId w:val="3"/>
        </w:numPr>
        <w:contextualSpacing w:val="0"/>
        <w:ind w:left="0" w:right="0" w:firstLine="709"/>
        <w:jc w:val="both"/>
        <w:spacing w:line="276" w:lineRule="auto"/>
        <w:tabs>
          <w:tab w:val="left" w:pos="1134" w:leader="none"/>
        </w:tabs>
        <w:rPr>
          <w:rFonts w:ascii="Times New Roman" w:hAnsi="Times New Roman" w:cs="Times New Roman"/>
          <w:color w:val="00000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Ведение реестра планов перехода 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ДПАК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ТЭК.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109"/>
        <w:ind w:left="0" w:righ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1"/>
          <w:numId w:val="1"/>
        </w:numPr>
        <w:contextualSpacing/>
        <w:ind w:left="0" w:right="-2" w:firstLine="709"/>
        <w:jc w:val="both"/>
        <w:keepLines/>
        <w:spacing w:after="0" w:line="276" w:lineRule="auto"/>
        <w:tabs>
          <w:tab w:val="left" w:pos="1276" w:leader="none"/>
        </w:tabs>
        <w:rPr>
          <w:rFonts w:ascii="Times New Roman" w:hAnsi="Times New Roman" w:cs="Times New Roman"/>
          <w:b/>
          <w:sz w:val="28"/>
          <w:szCs w:val="28"/>
        </w:rPr>
        <w:outlineLvl w:val="1"/>
      </w:pPr>
      <w:r/>
      <w:bookmarkStart w:id="11" w:name="_Toc11"/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Количество пользователей ГИС ЦГУ</w:t>
      </w:r>
      <w:bookmarkEnd w:id="0"/>
      <w:r/>
      <w:bookmarkEnd w:id="11"/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Количество одновременно работающих Пользователей: до 100.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1"/>
          <w:numId w:val="1"/>
        </w:numPr>
        <w:contextualSpacing/>
        <w:ind w:left="0" w:right="-2" w:firstLine="709"/>
        <w:jc w:val="both"/>
        <w:keepLines/>
        <w:spacing w:after="0" w:line="276" w:lineRule="auto"/>
        <w:tabs>
          <w:tab w:val="left" w:pos="1276" w:leader="none"/>
        </w:tabs>
        <w:rPr>
          <w:rFonts w:ascii="Times New Roman" w:hAnsi="Times New Roman" w:cs="Times New Roman"/>
          <w:b/>
          <w:sz w:val="28"/>
          <w:szCs w:val="28"/>
        </w:rPr>
        <w:outlineLvl w:val="1"/>
      </w:pPr>
      <w:r/>
      <w:bookmarkStart w:id="12" w:name="_Toc12"/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Состав ГИС ЦГУ</w:t>
      </w:r>
      <w:bookmarkEnd w:id="0"/>
      <w:r/>
      <w:bookmarkEnd w:id="12"/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Состав ГИС ЦГУ, подлежащ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й технической поддержке: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Автоматизированное рабочее место Пользователя (АРМ пользователя).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Автоматизированное рабочее место Администратора (АРМ администратора).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Модуль управления процессами предоставления государственных услуг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в электронной форме (модуль УПГУ).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Модуль интеграционного взаимодействия (модуль ИВ).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Модуль оперативного оповещения (модуль ОО).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Модуль учета нормативно-справочной информации (модуль НСИ).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Модуль ведения и управления реестрами (модуль ВУР).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Модуль формирование отчетности (модуль ФО).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1109"/>
        <w:ind w:left="0" w:right="0"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Назначение автоматизированного рабочего места Пользователя ГИС ЦГУ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br/>
        <w:t xml:space="preserve">(АРМ пользователя ГИС ЦГУ)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АРМ пользователя представляет собой интерфейсную оболочку, в которой пользователи выполняют свои функциональные обязанности по участию в процессах предоставления государственных услуг и осуществления государственных функций.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АРМ пользователя реализована идеология профилей пользователей,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в которых хранятся персональные настройки интерфейса, при этом поддерживаются как стандартные профили, инициализированные в ГИС ЦГУ, так и персональные – изменяемые каждым пользователем отдельно.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АРМ пользователя обеспечивается функциональность рабочих мест посредством тонкого клиента (через web-браузер).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Надписи и сообщения, отображаемые пользователям выполнены на русском языке, интерфейс осуществля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сигнализацию о событиях путем выводов информационных сообщений, расстановкой специальных знаков, бликинга.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109"/>
        <w:ind w:left="0" w:right="0"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Назначение автоматизированного рабочего места Администратора </w:t>
        <w:br/>
        <w:t xml:space="preserve">ГИС ЦГУ (АРМ администратора)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АРМ администратора позволяет ограничивать доступ пользователей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к компонентам ГИС ЦГУ с учетом области видимости и правами управления конкретными объектами ГИС ЦГУ.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40" w:lineRule="auto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Назначение модуля УПГУ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Модуль УПГУ обеспечивает цифровизацию процессов предоставления государственных услуг и осуществления государственных функций в электронной форме в логике «workflow»: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Рассмотрение заявления и пакета документов осуществля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ется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поэтапно </w:t>
        <w:br/>
        <w:t xml:space="preserve">в соответствии со статусной моделью.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За каждым статусом закреплен пользователь / пользовательская роль.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Для перехода на следующий статус пользователь подтвер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ждает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завершение предыдущего: выполн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яет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действия в ГИС ЦГУ, формир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ует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документ на основе шаблона и др.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беспечива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ется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прослеживаемость текущего статуса рассмотрения заявления и пакета документов.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Назначение модуля ИВ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Посредством модуля ИВ осуществлена интеграция ГИС ЦГУ со следующими информационными системам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СМЭВ;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ЕПГУ;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истема электронного документооборота Минэнерго России (СЭД);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официальный сайт Минэнерго России для обеспечения передачи общедоступных сведений о результате предоставления государственных услуг/осуществлении государственных функций;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информационные системы поставщиков и потребителей данных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ЕСИА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Назначение модуля ОО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Модуль оперативного оповещения обеспечивает оповещение пользователей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о наступлении событий в процессе предоставления государственных услуг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и осуществлении государственных функций.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Назначение модуля ВУР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Модуль ВУР обеспечивает возможность ведения следующих реестров: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реестр контрагентов;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реестр заявлений на предоставление государственных услуг, осуществление государственной функции;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реестр документов, формируемых в процессе предоставления государственных услуг, осуществления государственной функции;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реестры результатов предоставления государственных услуг, осуществления государственной функции;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реестр запросов СМЭВ.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Пользователю доступна возможность настройки отдельных реестров: по набору полей, отображаемых в реестре, количеству записей, отображаемых в реестре и т.д.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Модуль ВУР снабжен поисковой машиной, позволяющей строить запросы,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по которым информация, представленная в реестрах ГИС ЦГУ в виде информационных объектов, отбирается в списки, отвечающие заданным критериям поиска, с возможностью погружаться из списков в карточки объектов.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40" w:lineRule="auto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Назначение модуля ФО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Модуль ФО обладает следующим функционалом: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Обработка данных, содержащихся в реестрах ГИС ЦГУ.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Экспорт данных в отчетные формы, с возможностью выгрузки отчетных форм в структурированные форматы данных.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40" w:lineRule="auto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Назначение модуля НСИ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Модуль НСИ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обеспечивает создание, 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едение и администрирование справочников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1109"/>
        <w:ind w:left="0" w:right="0"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1"/>
          <w:numId w:val="1"/>
        </w:numPr>
        <w:contextualSpacing/>
        <w:ind w:left="0" w:right="-2" w:firstLine="709"/>
        <w:jc w:val="both"/>
        <w:keepLines/>
        <w:spacing w:after="0" w:line="276" w:lineRule="auto"/>
        <w:tabs>
          <w:tab w:val="left" w:pos="1276" w:leader="none"/>
        </w:tabs>
        <w:rPr>
          <w:rFonts w:ascii="Times New Roman" w:hAnsi="Times New Roman" w:cs="Times New Roman"/>
          <w:b/>
          <w:sz w:val="28"/>
          <w:szCs w:val="28"/>
        </w:rPr>
        <w:outlineLvl w:val="1"/>
      </w:pPr>
      <w:r/>
      <w:bookmarkStart w:id="13" w:name="_Toc13"/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Взаимодействие ГИС ЦГУ с внешними системами</w:t>
      </w:r>
      <w:bookmarkEnd w:id="0"/>
      <w:r/>
      <w:bookmarkEnd w:id="13"/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ГИС ЦГУ взаимодействует со следующими системами: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СМЭВ;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ЕПГУ;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истема электронного документооборота Минэнерго России (СЭД);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официальный сайт Минэнерго России для обеспечения передачи общедоступных сведений о результате предоставления государственных услуг/осуществлении государственных функций;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информационные системы поставщиков и потребителей данных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(при наличии)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ЕСИА.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1"/>
          <w:numId w:val="1"/>
        </w:numPr>
        <w:contextualSpacing/>
        <w:ind w:left="0" w:right="-2" w:firstLine="709"/>
        <w:jc w:val="both"/>
        <w:keepLines/>
        <w:spacing w:after="0" w:line="276" w:lineRule="auto"/>
        <w:tabs>
          <w:tab w:val="left" w:pos="1276" w:leader="none"/>
        </w:tabs>
        <w:rPr>
          <w:rFonts w:ascii="Times New Roman" w:hAnsi="Times New Roman" w:cs="Times New Roman"/>
          <w:b/>
          <w:sz w:val="28"/>
          <w:szCs w:val="28"/>
        </w:rPr>
        <w:outlineLvl w:val="1"/>
      </w:pPr>
      <w:r/>
      <w:bookmarkStart w:id="14" w:name="_Toc14"/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Аппаратное обеспечение ГИС ЦГУ</w:t>
      </w:r>
      <w:bookmarkEnd w:id="0"/>
      <w:r/>
      <w:bookmarkEnd w:id="14"/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1109"/>
        <w:ind w:left="0"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1109"/>
        <w:ind w:left="0" w:right="0" w:firstLine="709"/>
        <w:jc w:val="right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Таблица 1.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Состав виртуальных машин ГИС ЦГУ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962"/>
        <w:tblW w:w="10200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"/>
        <w:gridCol w:w="5811"/>
        <w:gridCol w:w="991"/>
        <w:gridCol w:w="991"/>
        <w:gridCol w:w="991"/>
        <w:gridCol w:w="991"/>
      </w:tblGrid>
      <w:tr>
        <w:tblPrEx/>
        <w:trPr/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№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5811" w:type="dxa"/>
            <w:vAlign w:val="center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Роль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1" w:type="dxa"/>
            <w:vAlign w:val="center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vCPU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1" w:type="dxa"/>
            <w:vAlign w:val="center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ОЗУ (Гб)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1" w:type="dxa"/>
            <w:vAlign w:val="center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SSD (Гб)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991" w:type="dxa"/>
            <w:vAlign w:val="center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HDD (Гб)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</w:tr>
      <w:tr>
        <w:tblPrEx/>
        <w:trPr>
          <w:trHeight w:val="397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5811" w:type="dxa"/>
            <w:vAlign w:val="center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Продуктивная зона, сервер приложений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991" w:type="dxa"/>
            <w:vAlign w:val="center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16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991" w:type="dxa"/>
            <w:vAlign w:val="center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64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991" w:type="dxa"/>
            <w:vAlign w:val="center"/>
            <w:textDirection w:val="lrTb"/>
            <w:noWrap w:val="false"/>
          </w:tcPr>
          <w:p>
            <w:pPr>
              <w:pStyle w:val="1109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50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991" w:type="dxa"/>
            <w:vAlign w:val="center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97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5811" w:type="dxa"/>
            <w:vAlign w:val="center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Продуктивная зона, с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ервер хранилища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  <w:t xml:space="preserve">S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991" w:type="dxa"/>
            <w:vAlign w:val="center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8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991" w:type="dxa"/>
            <w:vAlign w:val="center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991" w:type="dxa"/>
            <w:vAlign w:val="center"/>
            <w:textDirection w:val="lrTb"/>
            <w:noWrap w:val="false"/>
          </w:tcPr>
          <w:p>
            <w:pPr>
              <w:pStyle w:val="1109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50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991" w:type="dxa"/>
            <w:vAlign w:val="center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700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97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5811" w:type="dxa"/>
            <w:vAlign w:val="center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Продуктивная зона, СУБД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991" w:type="dxa"/>
            <w:vAlign w:val="center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16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991" w:type="dxa"/>
            <w:vAlign w:val="center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64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991" w:type="dxa"/>
            <w:vAlign w:val="center"/>
            <w:textDirection w:val="lrTb"/>
            <w:noWrap w:val="false"/>
          </w:tcPr>
          <w:p>
            <w:pPr>
              <w:pStyle w:val="1109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991" w:type="dxa"/>
            <w:vAlign w:val="center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500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97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5811" w:type="dxa"/>
            <w:vAlign w:val="center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Продуктивная зона, сервер мониторинга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991" w:type="dxa"/>
            <w:vAlign w:val="center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991" w:type="dxa"/>
            <w:vAlign w:val="center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8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991" w:type="dxa"/>
            <w:vAlign w:val="center"/>
            <w:textDirection w:val="lrTb"/>
            <w:noWrap w:val="false"/>
          </w:tcPr>
          <w:p>
            <w:pPr>
              <w:pStyle w:val="1109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991" w:type="dxa"/>
            <w:vAlign w:val="center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150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97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5811" w:type="dxa"/>
            <w:vAlign w:val="center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Продуктивная зона, сервер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 адаптером ЕСИА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991" w:type="dxa"/>
            <w:vAlign w:val="center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991" w:type="dxa"/>
            <w:vAlign w:val="center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991" w:type="dxa"/>
            <w:vAlign w:val="center"/>
            <w:textDirection w:val="lrTb"/>
            <w:noWrap w:val="false"/>
          </w:tcPr>
          <w:p>
            <w:pPr>
              <w:pStyle w:val="1109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1000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991" w:type="dxa"/>
            <w:vAlign w:val="center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1000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443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5811" w:type="dxa"/>
            <w:vAlign w:val="center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Продуктивная зона, сервер с адаптером СМЭВ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991" w:type="dxa"/>
            <w:vAlign w:val="center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991" w:type="dxa"/>
            <w:vAlign w:val="center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8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991" w:type="dxa"/>
            <w:vAlign w:val="center"/>
            <w:textDirection w:val="lrTb"/>
            <w:noWrap w:val="false"/>
          </w:tcPr>
          <w:p>
            <w:pPr>
              <w:pStyle w:val="1109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991" w:type="dxa"/>
            <w:vAlign w:val="center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97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7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5811" w:type="dxa"/>
            <w:vAlign w:val="center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Продуктивная зона, сервер ИИ-ассистента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991" w:type="dxa"/>
            <w:vAlign w:val="center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64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991" w:type="dxa"/>
            <w:vAlign w:val="center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512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991" w:type="dxa"/>
            <w:vAlign w:val="center"/>
            <w:textDirection w:val="lrTb"/>
            <w:noWrap w:val="false"/>
          </w:tcPr>
          <w:p>
            <w:pPr>
              <w:pStyle w:val="1109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15872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991" w:type="dxa"/>
            <w:vAlign w:val="center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680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8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5811" w:type="dxa"/>
            <w:vAlign w:val="center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Предпродуктивная зона,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сервер приложений, сервер СУБД, сервер с адаптером СМЭВ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991" w:type="dxa"/>
            <w:vAlign w:val="center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8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991" w:type="dxa"/>
            <w:vAlign w:val="center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16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991" w:type="dxa"/>
            <w:vAlign w:val="center"/>
            <w:textDirection w:val="lrTb"/>
            <w:noWrap w:val="false"/>
          </w:tcPr>
          <w:p>
            <w:pPr>
              <w:pStyle w:val="1109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991" w:type="dxa"/>
            <w:vAlign w:val="center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600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1109"/>
        <w:ind w:left="0" w:right="0" w:firstLine="709"/>
        <w:jc w:val="both"/>
        <w:spacing w:line="240" w:lineRule="auto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Состав серверного ПО: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PHP 7.3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СУБД: PostgreSQL из состава РЕД ОС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40" w:lineRule="auto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numPr>
          <w:ilvl w:val="0"/>
          <w:numId w:val="1"/>
        </w:numPr>
        <w:contextualSpacing/>
        <w:ind w:left="0" w:right="-2" w:firstLine="709"/>
        <w:jc w:val="both"/>
        <w:spacing w:after="0" w:line="276" w:lineRule="auto"/>
        <w:tabs>
          <w:tab w:val="left" w:pos="1134" w:leader="none"/>
        </w:tabs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15" w:name="_Toc15"/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Содержание услуг по технической поддержке ГИС ЦГУ</w:t>
      </w:r>
      <w:bookmarkEnd w:id="0"/>
      <w:r/>
      <w:bookmarkEnd w:id="15"/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рамках государственного контракта Исполнитель обязан оказать услуги </w:t>
        <w:br/>
        <w:t xml:space="preserve">по сопровождению ГИС ЦГУ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согласно Таблице 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9"/>
        <w:jc w:val="right"/>
        <w:spacing w:after="0" w:line="276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Таблица 2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1020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65"/>
        <w:gridCol w:w="7897"/>
        <w:gridCol w:w="1843"/>
      </w:tblGrid>
      <w:tr>
        <w:tblPrEx/>
        <w:trPr/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4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№ п/п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789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Содержание услуг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Пункт Технического задания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</w:tr>
      <w:tr>
        <w:tblPrEx/>
        <w:trPr>
          <w:trHeight w:val="624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46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7897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Услуги по технической поддержке работоспособности </w:t>
              <w:br/>
              <w:t xml:space="preserve">ГИС ЦГУ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184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3.1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40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4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789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Поддержка работоспособности ГИС ЦГУ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184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3.1.1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40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4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1.2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789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Системное обслуживание и администрирование ГИС ЦГУ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184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3.1.2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964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4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1.3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789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Решение возникающих инцидентов и проблем, в том числе актуализация состава (наполнения) интерактивных форм государственных услуг Минэнерго России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184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3.1.3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680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4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1.4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789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Управление эксплуатационными характеристиками и настройка функциональных возможностей ГИС ЦГУ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184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3.1.4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40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4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1.5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789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Управление обновлениями ГИС ЦГУ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184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3.1.5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1587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46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1.6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7897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Мониторинг доступности интерактивных форм заявлений оказания государственных услуг в электронном виде </w:t>
              <w:br/>
              <w:t xml:space="preserve">и организация обработки запросов по устранению технических ошибок в интерактивных формах, в том числе актуализация состава (наполнения)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184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3.1.6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624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46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1.7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7897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Мониторинг аномальной работы системы и некорректной работы пользователей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184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3.1.7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40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46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7897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Поддержка работоспособности видов сведений СМЭВ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184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3.2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624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46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7897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Информационно-техническое сопровождение пользователей </w:t>
              <w:br/>
              <w:t xml:space="preserve">ГИС ЦГУ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184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3.3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964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4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789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Информационно-техническое сопровождение пользователей </w:t>
              <w:br/>
              <w:t xml:space="preserve">по вопросам функционирования ГИС ЦГУ и особенностям ведомственных процессов, автоматизированных в ГИС ЦГУ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184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3.3.1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624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4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789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Управление изменениями эксплуатационной документации </w:t>
              <w:br/>
              <w:t xml:space="preserve">ГИС ЦГУ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184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3.3.2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624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4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789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Очное консультирование сотрудников Минэнерго России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br/>
              <w:t xml:space="preserve">по работе с ГИС ЦГУ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184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3.4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624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4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789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Информационная поддержка по вопросам методологии оказания государственных услуг в электронном виде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184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3.5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624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4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789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Обеспечение информационной безопасности при технической поддержке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ГИС ЦГУ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184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3.6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1109"/>
        <w:ind w:left="0" w:right="0" w:firstLine="709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1"/>
          <w:numId w:val="1"/>
        </w:numPr>
        <w:contextualSpacing/>
        <w:ind w:left="0" w:right="-2" w:firstLine="709"/>
        <w:jc w:val="both"/>
        <w:keepLines/>
        <w:spacing w:after="0" w:line="276" w:lineRule="auto"/>
        <w:tabs>
          <w:tab w:val="left" w:pos="1276" w:leader="none"/>
        </w:tabs>
        <w:rPr>
          <w:rFonts w:ascii="Times New Roman" w:hAnsi="Times New Roman" w:eastAsia="Times New Roman" w:cs="Times New Roman"/>
          <w:sz w:val="28"/>
          <w:szCs w:val="28"/>
        </w:rPr>
        <w:outlineLvl w:val="1"/>
      </w:pPr>
      <w:r/>
      <w:bookmarkStart w:id="16" w:name="_Toc16"/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Услуги по технической поддержке работоспособности ГИС ЦГУ</w:t>
      </w:r>
      <w:bookmarkEnd w:id="0"/>
      <w:r/>
      <w:bookmarkEnd w:id="16"/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109"/>
        <w:ind w:left="0" w:right="0" w:firstLine="709"/>
        <w:spacing w:line="240" w:lineRule="auto"/>
        <w:rPr>
          <w:rFonts w:ascii="Times New Roman" w:hAnsi="Times New Roman" w:eastAsia="Times New Roman" w:cs="Times New Roman"/>
          <w:sz w:val="28"/>
          <w:szCs w:val="28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numPr>
          <w:ilvl w:val="2"/>
          <w:numId w:val="1"/>
        </w:numPr>
        <w:contextualSpacing/>
        <w:ind w:left="0" w:right="-2" w:firstLine="709"/>
        <w:jc w:val="both"/>
        <w:keepLines/>
        <w:spacing w:after="0" w:line="276" w:lineRule="auto"/>
        <w:tabs>
          <w:tab w:val="left" w:pos="1417" w:leader="none"/>
        </w:tabs>
        <w:rPr>
          <w:rFonts w:ascii="Times New Roman" w:hAnsi="Times New Roman" w:cs="Times New Roman"/>
          <w:b/>
          <w:bCs/>
          <w:sz w:val="28"/>
          <w:szCs w:val="28"/>
        </w:rPr>
        <w:outlineLvl w:val="1"/>
      </w:pPr>
      <w:r/>
      <w:bookmarkStart w:id="17" w:name="_Toc17"/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Поддержка работоспособности ГИС ЦГУ включает:</w:t>
      </w:r>
      <w:bookmarkEnd w:id="17"/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обработку запросов Пользователей, поступающих на адрес службы технической поддержки Исполнителя;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устранение выявленных недостатков и обеспечение стабильности эксплуатационных характеристик ГИС ЦГУ;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учет ошибок в работе модулей ГИС ЦГУ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 целью повышения показателей </w:t>
        <w:br/>
        <w:t xml:space="preserve">их работоспособности, устранение ошибок, влияющих на работоспособность </w:t>
        <w:br/>
        <w:t xml:space="preserve">ГИС ЦГУ.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109"/>
        <w:ind w:left="0" w:right="0"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numPr>
          <w:ilvl w:val="2"/>
          <w:numId w:val="1"/>
        </w:numPr>
        <w:contextualSpacing/>
        <w:ind w:left="0" w:right="-2" w:firstLine="709"/>
        <w:jc w:val="both"/>
        <w:keepLines/>
        <w:spacing w:after="0" w:line="276" w:lineRule="auto"/>
        <w:tabs>
          <w:tab w:val="left" w:pos="1417" w:leader="none"/>
        </w:tabs>
        <w:rPr>
          <w:rFonts w:ascii="Times New Roman" w:hAnsi="Times New Roman" w:cs="Times New Roman"/>
          <w:b/>
          <w:bCs/>
          <w:sz w:val="28"/>
          <w:szCs w:val="28"/>
        </w:rPr>
        <w:outlineLvl w:val="1"/>
      </w:pPr>
      <w:r/>
      <w:bookmarkStart w:id="18" w:name="_Toc18"/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Системное обслуживание и администрирование ГИС ЦГУ</w:t>
      </w:r>
      <w:bookmarkEnd w:id="18"/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Исполнитель должен обеспечить выполнение следующих регламентных профилактических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работ, направленных на поддержание бесперебойного функционирования ГИС ЦГУ в режиме 24*7: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администрирование и настройка параметров операционной системы,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web-сервера приложений, СУБД ГИС ЦГУ, касающихся объема используемых системных ресурсов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 влияния на сторонние сервисы;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оптимизация работы БД и других компонентов ГИС ЦГУ;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локализация и устранение ошибок в рабочем экземпляре ГИС ЦГУ;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диагностика и локализация неисправностей в ГИС ЦГУ, вызванных ошибками в ассоциированном программном обеспечении, смежных системах и сервисах.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  <w:outlineLvl w:val="1"/>
      </w:pPr>
      <w:r/>
      <w:bookmarkStart w:id="19" w:name="_Toc19"/>
      <w:r>
        <w:rPr>
          <w:rFonts w:ascii="Times New Roman" w:hAnsi="Times New Roman" w:eastAsia="Times New Roman" w:cs="Times New Roman"/>
          <w:sz w:val="28"/>
          <w:szCs w:val="28"/>
        </w:rPr>
        <w:t xml:space="preserve">По требованию Заказчика и по согласованию с Исполнителем могут осуществляться другие виды регламентных пр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филактических работ, необходимых для бесперебойного функционирования ГИС ЦГУ. При этом, все проводимые регламентные и профилактические работы должны выполняться Исполнителем </w:t>
        <w:br/>
        <w:t xml:space="preserve">с согласованной с Заказчиком периодичностью и в согласованные с Заказчиком сроки.</w:t>
      </w:r>
      <w:bookmarkEnd w:id="19"/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pStyle w:val="1109"/>
        <w:ind w:left="0" w:right="0" w:firstLine="709"/>
        <w:jc w:val="both"/>
        <w:spacing w:line="24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outlineLvl w:val="1"/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numPr>
          <w:ilvl w:val="2"/>
          <w:numId w:val="1"/>
        </w:numPr>
        <w:contextualSpacing/>
        <w:ind w:left="0" w:right="-2" w:firstLine="709"/>
        <w:jc w:val="both"/>
        <w:keepLines/>
        <w:spacing w:after="0" w:line="276" w:lineRule="auto"/>
        <w:tabs>
          <w:tab w:val="left" w:pos="1417" w:leader="none"/>
        </w:tabs>
        <w:rPr>
          <w:rFonts w:ascii="Times New Roman" w:hAnsi="Times New Roman" w:cs="Times New Roman"/>
          <w:b/>
          <w:bCs/>
          <w:sz w:val="28"/>
          <w:szCs w:val="28"/>
        </w:rPr>
        <w:outlineLvl w:val="1"/>
      </w:pPr>
      <w:r/>
      <w:bookmarkStart w:id="20" w:name="_Toc20"/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ешение возникающих инцидентов и проблем, в том числе актуализация состава (наполнения) интерактивных форм государственных услуг Минэнерго России</w:t>
      </w:r>
      <w:bookmarkEnd w:id="20"/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Исполнитель должен обеспечить решение возникающих инцидентов, анализ причин их возникновения и предоставление Заказчику краткого отчета о выявленных причинах инцидентов и проблем и предпринятых действиях по их устранению.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Причины возникновения инцидентов и проблем могут быть связаны с: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ошибками или настройками в сопутствующем программном обеспечении, оборудовании, линиях связи, вычислительной сети;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ошибками или настройками в ГИС ЦГУ;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неправильными или ошибочными действиями сотрудников Заказчика.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right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right"/>
        <w:spacing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Таблица 3. Классификация инцидентов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tbl>
      <w:tblPr>
        <w:tblStyle w:val="962"/>
        <w:tblW w:w="0" w:type="auto"/>
        <w:tblLayout w:type="fixed"/>
        <w:tblLook w:val="04A0" w:firstRow="1" w:lastRow="0" w:firstColumn="1" w:lastColumn="0" w:noHBand="0" w:noVBand="1"/>
      </w:tblPr>
      <w:tblGrid>
        <w:gridCol w:w="425"/>
        <w:gridCol w:w="4535"/>
        <w:gridCol w:w="2127"/>
        <w:gridCol w:w="3118"/>
      </w:tblGrid>
      <w:tr>
        <w:tblPrEx/>
        <w:trPr>
          <w:trHeight w:val="1281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№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  <w:p>
            <w:pPr>
              <w:pStyle w:val="11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п/п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4535" w:type="dxa"/>
            <w:vAlign w:val="center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Описание инцидента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Необходимость предоставления удаленного подключения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3118" w:type="dxa"/>
            <w:vAlign w:val="center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Кто выполняет работы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</w:tr>
      <w:tr>
        <w:tblPrEx/>
        <w:trPr>
          <w:trHeight w:val="2098"/>
        </w:trPr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425" w:type="dxa"/>
            <w:vMerge w:val="restart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4535" w:type="dxa"/>
            <w:vMerge w:val="restart"/>
            <w:textDirection w:val="lrTb"/>
            <w:noWrap w:val="false"/>
          </w:tcPr>
          <w:p>
            <w:pPr>
              <w:pStyle w:val="1109"/>
              <w:jc w:val="lef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Сбой системы на уровне сервера (виртуальной машины, СХД </w:t>
              <w:br/>
              <w:t xml:space="preserve">и так далее)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2127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Да</w:t>
            </w:r>
            <w:r>
              <w:rPr>
                <w:rStyle w:val="1091"/>
                <w:rFonts w:ascii="Times New Roman" w:hAnsi="Times New Roman" w:eastAsia="Times New Roman" w:cs="Times New Roman"/>
                <w:sz w:val="28"/>
                <w:szCs w:val="28"/>
              </w:rPr>
              <w:footnoteReference w:id="2"/>
            </w:r>
            <w:r/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3118" w:type="dxa"/>
            <w:vMerge w:val="restart"/>
            <w:textDirection w:val="lrTb"/>
            <w:noWrap w:val="false"/>
          </w:tcPr>
          <w:p>
            <w:pPr>
              <w:pStyle w:val="1109"/>
              <w:jc w:val="left"/>
              <w:tabs>
                <w:tab w:val="left" w:pos="283" w:leader="none"/>
              </w:tabs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Заказчик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1109"/>
              <w:jc w:val="left"/>
              <w:tabs>
                <w:tab w:val="left" w:pos="283" w:leader="none"/>
              </w:tabs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(в части восстановления работоспособности).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1109"/>
              <w:jc w:val="left"/>
              <w:tabs>
                <w:tab w:val="left" w:pos="283" w:leader="none"/>
              </w:tabs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</w:r>
            <w:r>
              <w:rPr>
                <w:rFonts w:ascii="Times New Roman" w:hAnsi="Times New Roman" w:cs="Times New Roman"/>
                <w:sz w:val="12"/>
                <w:szCs w:val="12"/>
              </w:rPr>
            </w:r>
            <w:r>
              <w:rPr>
                <w:rFonts w:ascii="Times New Roman" w:hAnsi="Times New Roman" w:cs="Times New Roman"/>
                <w:sz w:val="12"/>
                <w:szCs w:val="12"/>
              </w:rPr>
            </w:r>
          </w:p>
          <w:p>
            <w:pPr>
              <w:pStyle w:val="1109"/>
              <w:jc w:val="left"/>
              <w:tabs>
                <w:tab w:val="left" w:pos="283" w:leader="none"/>
              </w:tabs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Исполнитель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1109"/>
              <w:jc w:val="left"/>
              <w:tabs>
                <w:tab w:val="left" w:pos="283" w:leader="none"/>
              </w:tabs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(в части проверки работоспособности).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098"/>
        </w:trPr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425" w:type="dxa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4535" w:type="dxa"/>
            <w:textDirection w:val="lrTb"/>
            <w:noWrap w:val="false"/>
          </w:tcPr>
          <w:p>
            <w:pPr>
              <w:pStyle w:val="1109"/>
              <w:jc w:val="lef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Сбой системы, требующий восстановление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из бэкапа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2127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vertAlign w:val="superscript"/>
              </w:rPr>
              <w:t xml:space="preserve">1</w:t>
            </w:r>
            <w:r/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3118" w:type="dxa"/>
            <w:textDirection w:val="lrTb"/>
            <w:noWrap w:val="false"/>
          </w:tcPr>
          <w:p>
            <w:pPr>
              <w:pStyle w:val="1109"/>
              <w:jc w:val="left"/>
              <w:tabs>
                <w:tab w:val="left" w:pos="283" w:leader="none"/>
              </w:tabs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Заказчик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1109"/>
              <w:jc w:val="left"/>
              <w:tabs>
                <w:tab w:val="left" w:pos="283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(в части восстановления </w:t>
              <w:br/>
              <w:t xml:space="preserve">из бэкапа).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jc w:val="left"/>
              <w:tabs>
                <w:tab w:val="left" w:pos="283" w:leader="none"/>
              </w:tabs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</w:rPr>
            </w:r>
            <w:r>
              <w:rPr>
                <w:rFonts w:ascii="Times New Roman" w:hAnsi="Times New Roman" w:cs="Times New Roman"/>
                <w:sz w:val="12"/>
                <w:szCs w:val="12"/>
              </w:rPr>
            </w:r>
            <w:r>
              <w:rPr>
                <w:rFonts w:ascii="Times New Roman" w:hAnsi="Times New Roman" w:cs="Times New Roman"/>
                <w:sz w:val="12"/>
                <w:szCs w:val="12"/>
              </w:rPr>
            </w:r>
          </w:p>
          <w:p>
            <w:pPr>
              <w:pStyle w:val="1109"/>
              <w:jc w:val="left"/>
              <w:tabs>
                <w:tab w:val="left" w:pos="283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Исполнитель (в части тестирования системы после восстановления).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425"/>
        </w:trPr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425" w:type="dxa"/>
            <w:vMerge w:val="restart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4535" w:type="dxa"/>
            <w:vMerge w:val="restart"/>
            <w:textDirection w:val="lrTb"/>
            <w:noWrap w:val="false"/>
          </w:tcPr>
          <w:p>
            <w:pPr>
              <w:pStyle w:val="110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Ошибка, блокирующая прохождение бизнес-процесса: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142" w:righ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ошибка смены статуса заявления;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142" w:righ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ошибка сохранения ввода данных;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142" w:righ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ошибка формирования документа, отчета;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142" w:righ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ошибка авторизации;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jc w:val="lef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ошибка отображения информации.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2127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vertAlign w:val="superscript"/>
              </w:rPr>
              <w:t xml:space="preserve">1</w:t>
            </w:r>
            <w:r/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3118" w:type="dxa"/>
            <w:vMerge w:val="restart"/>
            <w:textDirection w:val="lrTb"/>
            <w:noWrap w:val="false"/>
          </w:tcPr>
          <w:p>
            <w:pPr>
              <w:pStyle w:val="1109"/>
              <w:jc w:val="left"/>
              <w:tabs>
                <w:tab w:val="left" w:pos="283" w:leader="none"/>
              </w:tabs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Исполнитель (в части анализа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 устранения ошибок, блокирующих прохождение бизнес-процесса, а также тестирования </w:t>
              <w:br/>
              <w:t xml:space="preserve">и установки обновлений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83"/>
        </w:trPr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425" w:type="dxa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4.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4535" w:type="dxa"/>
            <w:textDirection w:val="lrTb"/>
            <w:noWrap w:val="false"/>
          </w:tcPr>
          <w:p>
            <w:pPr>
              <w:pStyle w:val="1109"/>
              <w:jc w:val="lef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Ошибка в работе информационного обмена с другими системами,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110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 том числе: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142" w:righ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СЭД;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142" w:righ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СМЭВ;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142" w:righ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ЕПГУ;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142" w:righ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официальный сайт Заказчика;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142" w:righ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информационные системы поставщиков и потребителей данных (при наличии)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142" w:righ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ЕСИА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2127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vertAlign w:val="superscript"/>
              </w:rPr>
              <w:t xml:space="preserve">1</w:t>
            </w:r>
            <w:r/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3118" w:type="dxa"/>
            <w:textDirection w:val="lrTb"/>
            <w:noWrap w:val="false"/>
          </w:tcPr>
          <w:p>
            <w:pPr>
              <w:pStyle w:val="1109"/>
              <w:jc w:val="lef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Исполнитель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1109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(в части анализа </w:t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 устранения ошибок информационного обмена,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а также тестирования </w:t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 установки обновле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ний)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425" w:type="dxa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5.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4535" w:type="dxa"/>
            <w:textDirection w:val="lrTb"/>
            <w:noWrap w:val="false"/>
          </w:tcPr>
          <w:p>
            <w:pPr>
              <w:pStyle w:val="110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Установка обновлений, релизов</w:t>
            </w:r>
            <w:r>
              <w:rPr>
                <w:rStyle w:val="1091"/>
                <w:rFonts w:ascii="Times New Roman" w:hAnsi="Times New Roman" w:eastAsia="Times New Roman" w:cs="Times New Roman"/>
                <w:sz w:val="28"/>
                <w:szCs w:val="28"/>
              </w:rPr>
              <w:footnoteReference w:id="3"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, любые иные регламентные </w:t>
              <w:br/>
              <w:t xml:space="preserve">или профилактические работы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127" w:type="dxa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3118" w:type="dxa"/>
            <w:textDirection w:val="lrTb"/>
            <w:noWrap w:val="false"/>
          </w:tcPr>
          <w:p>
            <w:pPr>
              <w:pStyle w:val="1109"/>
              <w:jc w:val="lef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Исполнитель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110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(в рамках регламентных работ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на территории Заказчика</w:t>
            </w:r>
            <w:r>
              <w:rPr>
                <w:rStyle w:val="1091"/>
                <w:rFonts w:ascii="Times New Roman" w:hAnsi="Times New Roman" w:eastAsia="Times New Roman" w:cs="Times New Roman"/>
                <w:sz w:val="28"/>
                <w:szCs w:val="28"/>
              </w:rPr>
              <w:footnoteReference w:id="4"/>
            </w:r>
            <w:r>
              <w:rPr>
                <w:rStyle w:val="1091"/>
                <w:rFonts w:ascii="Times New Roman" w:hAnsi="Times New Roman" w:eastAsia="Times New Roman" w:cs="Times New Roman"/>
                <w:sz w:val="28"/>
                <w:szCs w:val="28"/>
                <w:vertAlign w:val="baseline"/>
              </w:rPr>
              <w:t xml:space="preserve">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425" w:type="dxa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6.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4535" w:type="dxa"/>
            <w:textDirection w:val="lrTb"/>
            <w:noWrap w:val="false"/>
          </w:tcPr>
          <w:p>
            <w:pPr>
              <w:pStyle w:val="110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Редактирование ролевых моделей, прав пользователей, заведение новых пользователей и любые иные работы, связанные с ведением НСИ, иных справочников, моделей данных, архитектуры системы и т. д.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127" w:type="dxa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3118" w:type="dxa"/>
            <w:textDirection w:val="lrTb"/>
            <w:noWrap w:val="false"/>
          </w:tcPr>
          <w:p>
            <w:pPr>
              <w:pStyle w:val="1109"/>
              <w:jc w:val="left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Исполнитель </w:t>
              <w:br/>
              <w:t xml:space="preserve">(в рамках регламентных работ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на территории Заказчика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vertAlign w:val="superscript"/>
              </w:rPr>
              <w:t xml:space="preserve">3</w:t>
            </w:r>
            <w:r>
              <w:rPr>
                <w:rStyle w:val="1091"/>
                <w:rFonts w:ascii="Times New Roman" w:hAnsi="Times New Roman" w:eastAsia="Times New Roman" w:cs="Times New Roman"/>
                <w:sz w:val="28"/>
                <w:szCs w:val="28"/>
                <w:vertAlign w:val="baseline"/>
              </w:rPr>
              <w:t xml:space="preserve">)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r>
          </w:p>
        </w:tc>
      </w:tr>
      <w:tr>
        <w:tblPrEx/>
        <w:trPr/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425" w:type="dxa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7.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4535" w:type="dxa"/>
            <w:textDirection w:val="lrTb"/>
            <w:noWrap w:val="false"/>
          </w:tcPr>
          <w:p>
            <w:pPr>
              <w:pStyle w:val="110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Устранение (исправление) ошибок, допущенных пользователем </w:t>
              <w:br/>
              <w:t xml:space="preserve">и не препятствующих работе </w:t>
              <w:br/>
              <w:t xml:space="preserve">других пользователей, включая редактирование контента, настройки пользовательских интерфейсов </w:t>
              <w:br/>
              <w:t xml:space="preserve">и прочих работ, связанных </w:t>
              <w:br/>
              <w:t xml:space="preserve">с ежедневной эксплуатацией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127" w:type="dxa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3118" w:type="dxa"/>
            <w:textDirection w:val="lrTb"/>
            <w:noWrap w:val="false"/>
          </w:tcPr>
          <w:p>
            <w:pPr>
              <w:pStyle w:val="110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Исполнитель </w:t>
              <w:br/>
              <w:t xml:space="preserve">(в рамках регламентных работ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на территории Заказчика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vertAlign w:val="superscript"/>
              </w:rPr>
              <w:t xml:space="preserve">3</w:t>
            </w:r>
            <w:r>
              <w:rPr>
                <w:rStyle w:val="1091"/>
                <w:rFonts w:ascii="Times New Roman" w:hAnsi="Times New Roman" w:eastAsia="Times New Roman" w:cs="Times New Roman"/>
                <w:sz w:val="28"/>
                <w:szCs w:val="28"/>
                <w:vertAlign w:val="baseline"/>
              </w:rPr>
              <w:t xml:space="preserve">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1109"/>
        <w:ind w:left="0" w:right="0" w:firstLine="709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Требования к организации удаленного подключения представлены в разделе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4 настоящего Технического задания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случае, если инцидент или проблема в ГИС ЦГУ обнаружены Исполнителем самостоятельно, то для решения инцидента или проблемы запрос Заказчика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не требуется. В случае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если инцидент или проблема в ГИС ЦГУ обнаружены Заказчиком, то для решения инцидента или проблемы необходим запрос Заказчика.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Сроки регистрации запроса Заказчика для решения инцидента или проблемы </w:t>
        <w:br/>
        <w:t xml:space="preserve">и сроки решения инцидентов и проблем указаны в Таблице 4.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109"/>
        <w:ind w:left="0" w:right="0"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Таблица 4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Сроки решения инцидентов и проблем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0" w:type="auto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1139"/>
        <w:gridCol w:w="4252"/>
        <w:gridCol w:w="1276"/>
        <w:gridCol w:w="2126"/>
        <w:gridCol w:w="1419"/>
      </w:tblGrid>
      <w:tr>
        <w:tblPrEx/>
        <w:trPr>
          <w:trHeight w:val="1385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Приоритет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42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highlight w:val="white"/>
              </w:rPr>
              <w:t xml:space="preserve">Описание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white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Время реакции, рабочих часов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Время предоставления временного решения, рабочих часов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41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Время решения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</w:tr>
      <w:tr>
        <w:tblPrEx/>
        <w:trPr>
          <w:trHeight w:val="1077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 – Наивысший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42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Инцидент влечет за собой остановку или полную потерю работоспособности ГИС ЦГУ</w:t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до 30 минут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до 4 часов</w:t>
            </w:r>
            <w:r>
              <w:rPr>
                <w:rStyle w:val="1091"/>
                <w:rFonts w:ascii="Times New Roman" w:hAnsi="Times New Roman" w:eastAsia="Times New Roman" w:cs="Times New Roman"/>
                <w:sz w:val="28"/>
                <w:szCs w:val="28"/>
              </w:rPr>
              <w:footnoteReference w:id="5"/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41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не более </w:t>
              <w:br/>
              <w:t xml:space="preserve">1 рабочего дня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vertAlign w:val="superscript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4309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 – Высокий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42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Инцидент влечет за собой значительную потерю работоспособности ГИС ЦГУ, </w:t>
              <w:br/>
              <w:t xml:space="preserve">при этом не влечёт критических прерываний процессов </w:t>
              <w:br/>
              <w:t xml:space="preserve">или влияния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на результат </w:t>
              <w:br/>
              <w:t xml:space="preserve">в значимом объёме. </w:t>
              <w:br/>
              <w:t xml:space="preserve">Часть функций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ГИС ЦГУ становятся недоступными, </w:t>
              <w:br/>
              <w:t xml:space="preserve">и нет приемлемого обходного </w:t>
              <w:br/>
              <w:t xml:space="preserve">пути решения, однако, ГИС ЦГУ сохраняет работоспособность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br/>
              <w:t xml:space="preserve">в ограниченном объёме</w:t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до 1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часа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до 8 часов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vertAlign w:val="superscript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41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не более </w:t>
              <w:br/>
              <w:t xml:space="preserve">3 рабочих дней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vertAlign w:val="superscript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665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 – Средний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42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Инцидент влечет за собой несущественную потерю работоспособности ГИС ЦГУ, следствием чего является неудобство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 работе или необходимость использовать альтернативные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или обходные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пути решения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до 3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часов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По согласованию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br/>
              <w:t xml:space="preserve">с Заказчиком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41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не более </w:t>
              <w:br/>
              <w:t xml:space="preserve">5 рабочих дней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vertAlign w:val="superscript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1984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4 – Низкий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42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Инцидент не влечет потери работоспособности.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Это незначительная ошибка </w:t>
              <w:br/>
              <w:t xml:space="preserve">или неудобство, которые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br/>
              <w:t xml:space="preserve">не препятствуют проведению операций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 ГИС ЦГУ</w:t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до 8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часов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По согласованию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br/>
              <w:t xml:space="preserve">с Заказчиком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41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не более </w:t>
              <w:br/>
              <w:t xml:space="preserve">10 рабочих дней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vertAlign w:val="superscript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случае невозможности устранения проблем в установленные сроки Исполнитель согласовывает с Заказчиком новые сроки.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numPr>
          <w:ilvl w:val="2"/>
          <w:numId w:val="1"/>
        </w:numPr>
        <w:contextualSpacing/>
        <w:ind w:left="0" w:right="-2" w:firstLine="709"/>
        <w:jc w:val="both"/>
        <w:keepLines/>
        <w:spacing w:after="0" w:line="276" w:lineRule="auto"/>
        <w:tabs>
          <w:tab w:val="left" w:pos="1417" w:leader="none"/>
        </w:tabs>
        <w:rPr>
          <w:rFonts w:ascii="Times New Roman" w:hAnsi="Times New Roman" w:cs="Times New Roman"/>
          <w:b/>
          <w:bCs/>
          <w:sz w:val="28"/>
          <w:szCs w:val="28"/>
        </w:rPr>
        <w:outlineLvl w:val="1"/>
      </w:pPr>
      <w:r/>
      <w:bookmarkStart w:id="21" w:name="_Toc21"/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Управление эксплуатационными характеристиками и настройка функциональных возможностей ГИС ЦГУ</w:t>
      </w:r>
      <w:bookmarkEnd w:id="21"/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Для обеспечения корректного функционирования ГИС ЦГУ на протяжении всего действия государственного контракта Исполнитель проводит необходимые услуги по актуализации ГИС ЦГУ, перечисленные в Таблице 5.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109"/>
        <w:ind w:left="0" w:right="0" w:firstLine="709"/>
        <w:jc w:val="right"/>
        <w:spacing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Таблица 5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6771"/>
      </w:tblGrid>
      <w:tr>
        <w:tblPrEx/>
        <w:trPr>
          <w:trHeight w:val="336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340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Услуга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677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Описание услуги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</w:tr>
      <w:tr>
        <w:tblPrEx/>
        <w:trPr>
          <w:trHeight w:val="2606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3402" w:type="dxa"/>
            <w:textDirection w:val="lrTb"/>
            <w:noWrap w:val="false"/>
          </w:tcPr>
          <w:p>
            <w:pPr>
              <w:pStyle w:val="110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Проверка корректности выполнения функций </w:t>
              <w:br/>
              <w:t xml:space="preserve">ГИС ЦГУ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6771" w:type="dxa"/>
            <w:textDirection w:val="lrTb"/>
            <w:noWrap w:val="false"/>
          </w:tcPr>
          <w:p>
            <w:pPr>
              <w:pStyle w:val="110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Исполнитель по запросу Заказчика должен обеспечить проверку корректности выполнения одной или нескольких функций ГИС ЦГУ с изучением текущих настроек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ГИС ЦГУ, посредством анализа действий сотрудников Заказчика в ГИС ЦГУ, изучением </w:t>
              <w:br/>
              <w:t xml:space="preserve">лог-файлов и иной необходимой информации.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 случае отсутствия Запроса Заказчика проверка должна производиться не менее 1 раза за этап.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3402" w:type="dxa"/>
            <w:textDirection w:val="lrTb"/>
            <w:noWrap w:val="false"/>
          </w:tcPr>
          <w:p>
            <w:pPr>
              <w:pStyle w:val="110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Изменение настроек функционала ГИС ЦГУ, если такое требование возникает в связи </w:t>
              <w:br/>
              <w:t xml:space="preserve">с изменением внутренних и/или внешних процессов, связанных с оказанием государственных услуг Минэнерго России </w:t>
              <w:br/>
              <w:t xml:space="preserve">в электронном виде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br/>
              <w:t xml:space="preserve">и обусловлено необходимостью внесения изменений в логику работы ГИС ЦГУ, </w:t>
              <w:br/>
              <w:t xml:space="preserve">но при этом, не связано </w:t>
              <w:br/>
              <w:t xml:space="preserve">с разработкой нового функционала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6771" w:type="dxa"/>
            <w:textDirection w:val="lrTb"/>
            <w:noWrap w:val="false"/>
          </w:tcPr>
          <w:p>
            <w:pPr>
              <w:pStyle w:val="110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Исполнитель по запросу Заказчика должен обеспечить корректировку, уточнение, актуализацию и настройку: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маршрутов процессов;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состава и формата атрибутов используемых реестров данных;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связей и типов отношений между объектами;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содержани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нормативно-справочной информации;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форматно-логического контроля данных;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шаблонов документов;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отчетов;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механизмов автозаполнения;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загрузки и экспорта данных в структурированные форматы файлов;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left"/>
              <w:rPr>
                <w:rFonts w:ascii="Times New Roman" w:hAnsi="Times New Roman" w:cs="Times New Roman"/>
                <w:i/>
                <w:color w:val="222222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алгоритмов, обеспечивающих внутреннее взаимодействие подсистем ГИС ЦГУ </w:t>
              <w:br/>
              <w:t xml:space="preserve">или взаимодействие ГИС ЦГУ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с другими информационными системами.</w:t>
            </w:r>
            <w:r>
              <w:rPr>
                <w:rFonts w:ascii="Times New Roman" w:hAnsi="Times New Roman" w:cs="Times New Roman"/>
                <w:i/>
                <w:color w:val="222222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i/>
                <w:color w:val="222222"/>
                <w:sz w:val="28"/>
                <w:szCs w:val="28"/>
              </w:rPr>
            </w:r>
          </w:p>
        </w:tc>
      </w:tr>
    </w:tbl>
    <w:p>
      <w:pPr>
        <w:contextualSpacing/>
        <w:ind w:left="0" w:right="-2" w:firstLine="709"/>
        <w:jc w:val="both"/>
        <w:keepLines/>
        <w:spacing w:after="0" w:line="240" w:lineRule="auto"/>
        <w:tabs>
          <w:tab w:val="left" w:pos="1417" w:leader="none"/>
        </w:tabs>
        <w:rPr>
          <w:rFonts w:ascii="Times New Roman" w:hAnsi="Times New Roman" w:cs="Times New Roman"/>
          <w:b/>
          <w:bCs/>
          <w:sz w:val="28"/>
          <w:szCs w:val="28"/>
        </w:rPr>
        <w:outlineLvl w:val="1"/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numPr>
          <w:ilvl w:val="2"/>
          <w:numId w:val="1"/>
        </w:numPr>
        <w:contextualSpacing/>
        <w:ind w:left="0" w:right="-2" w:firstLine="709"/>
        <w:jc w:val="both"/>
        <w:keepLines/>
        <w:spacing w:after="0" w:line="276" w:lineRule="auto"/>
        <w:tabs>
          <w:tab w:val="left" w:pos="1417" w:leader="none"/>
        </w:tabs>
        <w:rPr>
          <w:rFonts w:ascii="Times New Roman" w:hAnsi="Times New Roman" w:cs="Times New Roman"/>
          <w:b/>
          <w:bCs/>
          <w:sz w:val="28"/>
          <w:szCs w:val="28"/>
        </w:rPr>
        <w:outlineLvl w:val="1"/>
      </w:pPr>
      <w:r/>
      <w:bookmarkStart w:id="22" w:name="_Toc22"/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Управление обновлениями ГИС ЦГУ</w:t>
      </w:r>
      <w:bookmarkEnd w:id="22"/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Исполнитель должен обеспечить: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предварительное тестирование выполненных обновлений на мощностях Исполнителя;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согласованию с Заказчиком установку обновлений ГИС ЦГУ на виртуальные машины Продуктивной зоны Заказчика, описание плана действий и (или) шагов </w:t>
        <w:br/>
        <w:t xml:space="preserve">по изменению настроек (предоставляется Заказчику);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23" w:name="_Toc23"/>
      <w:r>
        <w:rPr>
          <w:rFonts w:ascii="Times New Roman" w:hAnsi="Times New Roman" w:eastAsia="Times New Roman" w:cs="Times New Roman"/>
          <w:sz w:val="28"/>
          <w:szCs w:val="28"/>
        </w:rPr>
        <w:t xml:space="preserve">установку обновлений ГИС ЦГУ на виртуальные машины Предпродуктивной зоны и Продуктивной зоны Заказчика, а также перезагрузк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ГИС ЦГУ </w:t>
        <w:br/>
        <w:t xml:space="preserve">и операционной системы, необходимые в связи с обновлением, должны оказываться в нерабочее время или в согласованные с Заказчиком периоды времени наименьшей нагрузки на систему.</w:t>
      </w:r>
      <w:bookmarkEnd w:id="23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rPr>
          <w:rFonts w:ascii="Times New Roman" w:hAnsi="Times New Roman" w:cs="Times New Roman"/>
          <w:b w:val="0"/>
          <w:bCs w:val="0"/>
          <w:sz w:val="28"/>
          <w:szCs w:val="28"/>
        </w:rPr>
        <w:outlineLvl w:val="1"/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numPr>
          <w:ilvl w:val="2"/>
          <w:numId w:val="1"/>
        </w:numPr>
        <w:contextualSpacing/>
        <w:ind w:left="0" w:right="-2" w:firstLine="709"/>
        <w:jc w:val="both"/>
        <w:keepLines/>
        <w:spacing w:after="0" w:line="276" w:lineRule="auto"/>
        <w:tabs>
          <w:tab w:val="left" w:pos="1417" w:leader="none"/>
        </w:tabs>
        <w:rPr>
          <w:rFonts w:ascii="Times New Roman" w:hAnsi="Times New Roman" w:cs="Times New Roman"/>
          <w:b w:val="0"/>
          <w:bCs w:val="0"/>
          <w:sz w:val="28"/>
          <w:szCs w:val="28"/>
        </w:rPr>
        <w:outlineLvl w:val="1"/>
      </w:pPr>
      <w:r/>
      <w:bookmarkStart w:id="24" w:name="_Toc24"/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Мониторинг доступности интерактивных форм заявлений оказания государственных услуг в электронном виде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и организация обработки запросов по устранению технических ошибок в интерактивных формах, в том числе актуализация состава (наполнения)</w:t>
      </w:r>
      <w:bookmarkEnd w:id="24"/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Исполнитель должен обеспечить мониторинг доступности интерактивных форм заявлений оказания государственных услуг в электронном виде не менее одного раза за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этап оказания Услуг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путем «контрольной закупки» и анализа данных </w:t>
        <w:br/>
        <w:t xml:space="preserve">в Систем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бизнес мониторинга ЕПГУ (https://rta.gosuslugi.ru).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ff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случае если по результатам мониторинга выявлены государственные услуги, по которым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интерактивные формы недоступны, Исполнитель должен выполнить рабо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 по восстан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овлению доступности интерактивных форм либо провести консультации Пользователей с целью решения данных вопросов. При необходимости Исполнитель обеспечивает сопровождение процесса взаимодействия Минэнерго России с Минцифры России по решению данных вопросов.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left="0" w:right="-2" w:firstLine="709"/>
        <w:jc w:val="both"/>
        <w:keepLines/>
        <w:spacing w:after="0" w:line="276" w:lineRule="auto"/>
        <w:tabs>
          <w:tab w:val="left" w:pos="1417" w:leader="none"/>
        </w:tabs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outlineLvl w:val="1"/>
      </w:pPr>
      <w:r/>
      <w:bookmarkStart w:id="25" w:name="_Toc25"/>
      <w:r>
        <w:rPr>
          <w:rFonts w:ascii="Times New Roman" w:hAnsi="Times New Roman" w:eastAsia="Times New Roman" w:cs="Times New Roman"/>
          <w:sz w:val="28"/>
          <w:szCs w:val="28"/>
        </w:rPr>
        <w:t xml:space="preserve">Также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Исполнитель должен обеспечить отработку запросов Заказчика направленных на устранение технических ошибок в интерактивных формах государственных услуг Заказчика, в том числе актуализаци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ю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состава (наполнения), </w:t>
        <w:br/>
        <w:t xml:space="preserve">с помощью Визуального конструктора услуг.</w:t>
      </w:r>
      <w:bookmarkEnd w:id="25"/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contextualSpacing/>
        <w:ind w:left="0" w:right="-2" w:firstLine="709"/>
        <w:jc w:val="left"/>
        <w:keepLines/>
        <w:spacing w:after="0" w:line="240" w:lineRule="auto"/>
        <w:rPr>
          <w:rFonts w:ascii="Times New Roman" w:hAnsi="Times New Roman" w:cs="Times New Roman"/>
          <w:b w:val="0"/>
          <w:bCs w:val="0"/>
          <w:sz w:val="28"/>
          <w:szCs w:val="28"/>
        </w:rPr>
        <w:outlineLvl w:val="1"/>
        <w:suppressLineNumbers w:val="0"/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numPr>
          <w:ilvl w:val="2"/>
          <w:numId w:val="1"/>
        </w:numPr>
        <w:contextualSpacing/>
        <w:ind w:left="0" w:right="-2" w:firstLine="709"/>
        <w:jc w:val="both"/>
        <w:keepLines/>
        <w:spacing w:after="0" w:line="276" w:lineRule="auto"/>
        <w:tabs>
          <w:tab w:val="left" w:pos="1417" w:leader="none"/>
        </w:tabs>
        <w:rPr>
          <w:rFonts w:ascii="Times New Roman" w:hAnsi="Times New Roman" w:cs="Times New Roman"/>
          <w:b/>
          <w:bCs/>
          <w:sz w:val="28"/>
          <w:szCs w:val="28"/>
        </w:rPr>
        <w:outlineLvl w:val="1"/>
      </w:pPr>
      <w:r/>
      <w:bookmarkStart w:id="26" w:name="_Toc26"/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Мониторинг аномальной работы системы и не корректной работы пользователей</w:t>
      </w:r>
      <w:bookmarkEnd w:id="26"/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contextualSpacing/>
        <w:ind w:firstLine="709"/>
        <w:jc w:val="both"/>
        <w:spacing w:after="0" w:line="276" w:lineRule="auto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Исполнитель должен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 раз в месяц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обеспечить мониторинг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всех разделов системы на выявление ошибок системы или некорректной работы пользователей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76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случае если по результатам мониторинга выявлены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ошибки в работе </w:t>
        <w:br/>
        <w:t xml:space="preserve">ГИС ЦГУ,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Исполнителем должны быть проведены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работы по устранению данных ошибок, а также при необходимости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консультации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пользователей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 целью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предотвращения подобных ошибок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По итогам оказания услуг п. 3.1.1 – 3.1.7 Исполнитель предоставляет Заказчику отчет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 оказанных услугах по поддержке работоспособности ГИС ЦГУ, решению возникающих инцидентов и проблем в ГИС ЦГУ.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40" w:lineRule="auto"/>
        <w:rPr>
          <w:rFonts w:ascii="Times New Roman" w:hAnsi="Times New Roman" w:cs="Times New Roman"/>
          <w:b w:val="0"/>
          <w:bCs w:val="0"/>
          <w:sz w:val="28"/>
          <w:szCs w:val="28"/>
        </w:rPr>
        <w:outlineLvl w:val="1"/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numPr>
          <w:ilvl w:val="1"/>
          <w:numId w:val="1"/>
        </w:numPr>
        <w:contextualSpacing/>
        <w:ind w:left="0" w:right="-2" w:firstLine="709"/>
        <w:jc w:val="both"/>
        <w:keepLines/>
        <w:spacing w:after="0" w:line="276" w:lineRule="auto"/>
        <w:tabs>
          <w:tab w:val="left" w:pos="1276" w:leader="none"/>
        </w:tabs>
        <w:rPr>
          <w:rFonts w:ascii="Times New Roman" w:hAnsi="Times New Roman" w:cs="Times New Roman"/>
          <w:b/>
          <w:bCs/>
          <w:sz w:val="28"/>
          <w:szCs w:val="28"/>
        </w:rPr>
        <w:outlineLvl w:val="1"/>
      </w:pPr>
      <w:r/>
      <w:bookmarkStart w:id="27" w:name="_Toc27"/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Поддержка работоспособности видов сведений СМЭВ Минэнерго России включает:</w:t>
      </w:r>
      <w:bookmarkEnd w:id="27"/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обработку запросов, поступающих по данному вопросу в соответствии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 разделом 4 настоящего Технического задания;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анализ функционирования ГИС ЦГУ в части взаимодействия со СМЭВ;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устранение выявленных недостатков и обеспечение стабильности эксплуатационных характеристик ГИС ЦГУ в части взаимодействия с компонентами СМЭВ;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учет ошибок в работе видов сведений СМЭВ Минэнерго России с целью повышения показателей их работоспособности, устранение ошибок, влияющих </w:t>
        <w:br/>
        <w:t xml:space="preserve">на работоспособность видов сведений СМЭВ Минэнерго;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обновление видов сведений ГИС ЦГУ в случае, если ФОИВ-поставщики данных для Минэнерго России осуществили перевод своих видов сведений на новую версию методических рекомендаций по разработке электронных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рвисов </w:t>
        <w:br/>
        <w:t xml:space="preserve">и применению технологии электронной подписи при межведомственном электронном взаимодействии и направил в адрес Минэнерго России письмо </w:t>
        <w:br/>
        <w:t xml:space="preserve">о планируемом выводе из эксплуатации версии вида сведений, посредством которого ГИС ЦГУ получала сведения ранее.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Виды сведений СМЭВ Минэнерго России, поставщиком информации </w:t>
        <w:br/>
        <w:t xml:space="preserve">для которых является ГИС ЦГУ, подлежат мониторингу, за исключением вида сведений «Электронный сервис приема с ЕПГУ заявки на технологическое присоединение к электрическим сетям».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outlineLvl w:val="1"/>
      </w:pPr>
      <w:r/>
      <w:bookmarkStart w:id="28" w:name="_Toc28"/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По итогам оказания услуг п. 3.2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Исполнитель должен предоставлять Заказчику отчет о работоспособности видов сведений СМЭВ Минэнерго России, содержащий информацию о выявленных инцидентах в работе видов сведений СМЭВ Минэнерго России, подлежащих мониторингу.</w:t>
      </w:r>
      <w:bookmarkEnd w:id="28"/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1109"/>
        <w:ind w:left="0" w:right="0" w:firstLine="709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1"/>
          <w:numId w:val="1"/>
        </w:numPr>
        <w:contextualSpacing/>
        <w:ind w:left="0" w:right="-2" w:firstLine="709"/>
        <w:jc w:val="both"/>
        <w:keepLines/>
        <w:spacing w:after="0" w:line="276" w:lineRule="auto"/>
        <w:tabs>
          <w:tab w:val="left" w:pos="1276" w:leader="none"/>
        </w:tabs>
        <w:rPr>
          <w:rFonts w:ascii="Times New Roman" w:hAnsi="Times New Roman" w:cs="Times New Roman"/>
          <w:b/>
          <w:sz w:val="28"/>
          <w:szCs w:val="28"/>
        </w:rPr>
        <w:outlineLvl w:val="1"/>
      </w:pPr>
      <w:r/>
      <w:bookmarkStart w:id="29" w:name="_Toc29"/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Информационно-техническое сопровождение пользователей </w:t>
        <w:br/>
        <w:t xml:space="preserve">ГИС ЦГУ</w:t>
      </w:r>
      <w:bookmarkEnd w:id="0"/>
      <w:r/>
      <w:bookmarkEnd w:id="29"/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1109"/>
        <w:ind w:left="0" w:right="0" w:firstLine="709"/>
        <w:rPr>
          <w:rFonts w:ascii="Times New Roman" w:hAnsi="Times New Roman" w:cs="Times New Roman"/>
          <w:b w:val="0"/>
          <w:bCs w:val="0"/>
          <w:sz w:val="28"/>
          <w:szCs w:val="28"/>
        </w:rPr>
        <w:outlineLvl w:val="1"/>
        <w:suppressLineNumbers w:val="0"/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numPr>
          <w:ilvl w:val="2"/>
          <w:numId w:val="1"/>
        </w:numPr>
        <w:contextualSpacing/>
        <w:ind w:left="0" w:right="-2" w:firstLine="709"/>
        <w:jc w:val="both"/>
        <w:keepLines/>
        <w:spacing w:after="0" w:line="276" w:lineRule="auto"/>
        <w:tabs>
          <w:tab w:val="left" w:pos="1417" w:leader="none"/>
        </w:tabs>
        <w:rPr>
          <w:rFonts w:ascii="Times New Roman" w:hAnsi="Times New Roman" w:cs="Times New Roman"/>
          <w:b/>
          <w:bCs/>
          <w:sz w:val="28"/>
          <w:szCs w:val="28"/>
        </w:rPr>
        <w:outlineLvl w:val="1"/>
      </w:pPr>
      <w:r/>
      <w:bookmarkStart w:id="30" w:name="_Toc30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Информационно-техническое сопровождение пользователей </w:t>
        <w:br/>
        <w:t xml:space="preserve">по вопросам функционирования ГИС ЦГУ и особенностям ведомственных процессов,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автоматизированных в ГИС ЦГУ</w:t>
      </w:r>
      <w:bookmarkEnd w:id="30"/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Исполнитель должен обеспечить прием и рассмотрение запросов Пользователей по вопросам эксплуатации ГИС ЦГУ, в том числе по вопросам дополнения или изменения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функционала ГИС ЦГУ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Все запросы пользователей должны фиксироваться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системе Исполнителя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Исполнителем должны быть обеспечены следующие способы приема запросов пользователей: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телефону службы технической поддержки Исполнителя;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адресу электронной почты службы технической поддержки Исполнителя.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Исполнитель обеспечивает информационную поддержку Пользователей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 следующим вопросам: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общие принципы работы ГИС ЦГУ в целом и отдельных модулей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в частности;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использование штатных функций ГИС ЦГУ и отдельных модулей;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возможности наращивания и/или масштабирования функциональности </w:t>
        <w:br/>
        <w:t xml:space="preserve">ГИС ЦГУ в связи с появлением у Пользователей новых потребностей;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устранение ошибок в случае некорректного использования Пользователями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функций ГИС ЦГУ.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Сроки регистрации запросов на информационно-техническое сопровождение Пользователей указаны в разделе 6 «Требования к режиму приема запросов» настоящего Технического задания.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Срок обработки запросов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Пользователей по вопросам эксплуатации ГИС ЦГУ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должен составлять не более 40 рабочих часов (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время обработки запроса может </w:t>
        <w:br/>
        <w:t xml:space="preserve">быть изменено по согласованию с Заказчиком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left="0" w:right="-2" w:firstLine="709"/>
        <w:jc w:val="both"/>
        <w:keepLines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  <w:outlineLvl w:val="1"/>
        <w:suppressLineNumbers w:val="0"/>
      </w:pP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numPr>
          <w:ilvl w:val="2"/>
          <w:numId w:val="1"/>
        </w:numPr>
        <w:contextualSpacing/>
        <w:ind w:left="0" w:right="-2" w:firstLine="709"/>
        <w:jc w:val="both"/>
        <w:keepLines/>
        <w:spacing w:after="0" w:line="276" w:lineRule="auto"/>
        <w:tabs>
          <w:tab w:val="left" w:pos="1417" w:leader="none"/>
        </w:tabs>
        <w:rPr>
          <w:rFonts w:ascii="Times New Roman" w:hAnsi="Times New Roman" w:cs="Times New Roman"/>
          <w:b/>
          <w:bCs/>
          <w:sz w:val="28"/>
          <w:szCs w:val="28"/>
        </w:rPr>
        <w:outlineLvl w:val="1"/>
      </w:pPr>
      <w:r/>
      <w:bookmarkStart w:id="31" w:name="_Toc31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Управление изменениями эксплуатационной документации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br/>
        <w:t xml:space="preserve">ГИС ЦГУ</w:t>
      </w:r>
      <w:bookmarkEnd w:id="31"/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протяжении всего сопровождения Исполнитель должен обеспечить актуализацию следующей эксплуатационной документации ГИС ЦГУ: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руководство администратора ГИС ЦГУ;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руководство пользователя ГИС ЦГУ.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Документация должна удовлетворять требованиям ГОСТ 34.201-20 «Информационная технология. Комплекс стандартов на автоматизированные системы. Виды, комплектность и обозначение документов при создании автоматизированных систем».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По итогам оказания услуг п. 3.3.1 и 3.3.2 Исполнитель предоставляет Заказчику отчет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по информационно-техническому сопровождению пользователей ГИС ЦГУ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br/>
        <w:t xml:space="preserve">по вопросам функционирования ГИС ЦГУ и особенностям ведомственных процессов, автоматизированных в ГИС ЦГУ.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/>
        <w:ind w:left="0" w:right="-2" w:firstLine="709"/>
        <w:jc w:val="both"/>
        <w:keepLines/>
        <w:spacing w:after="0" w:line="240" w:lineRule="auto"/>
        <w:rPr>
          <w:rFonts w:ascii="Times New Roman" w:hAnsi="Times New Roman" w:cs="Times New Roman"/>
          <w:b w:val="0"/>
          <w:bCs w:val="0"/>
          <w:sz w:val="28"/>
          <w:szCs w:val="28"/>
        </w:rPr>
        <w:outlineLvl w:val="1"/>
        <w:suppressLineNumbers w:val="0"/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numPr>
          <w:ilvl w:val="1"/>
          <w:numId w:val="1"/>
        </w:numPr>
        <w:contextualSpacing/>
        <w:ind w:left="0" w:right="-2" w:firstLine="709"/>
        <w:jc w:val="both"/>
        <w:keepLines/>
        <w:spacing w:after="0" w:line="276" w:lineRule="auto"/>
        <w:tabs>
          <w:tab w:val="left" w:pos="1276" w:leader="none"/>
        </w:tabs>
        <w:rPr>
          <w:rFonts w:ascii="Times New Roman" w:hAnsi="Times New Roman" w:cs="Times New Roman"/>
          <w:b/>
          <w:bCs/>
          <w:sz w:val="28"/>
          <w:szCs w:val="28"/>
        </w:rPr>
        <w:outlineLvl w:val="1"/>
      </w:pPr>
      <w:r/>
      <w:bookmarkStart w:id="32" w:name="_Toc32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Очное консультирование сотрудников Минэнерго России по работе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br/>
        <w:t xml:space="preserve">с ГИС ЦГУ</w:t>
      </w:r>
      <w:bookmarkEnd w:id="32"/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целях повышения эффективности использования ГИС ЦГУ Исполнитель должен по Запросу Заказчика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обеспечить процесс очного консультирования сотрудников Минэнерго России по работе с ГИС ЦГУ на территории Заказчика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Формат проведения очного консультирования и тематика согласовываются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с Заказчиком. Очное консультирование должно осуществляться с применением специализированного оборудования Заказчика и/или Исполнителя, традиционного для процессов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очного консультирования, в том числе проекторы и большие экраны.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Во время проведения очного консультирования представитель Исполнителя должен: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рассказать содержательный материал;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ответить на вопросы пользователей ГИС ЦГУ.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Вопросы, на которые ответ не может быть дан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представителем Исполнителя непосредственно во время мероприятия, фиксируются в отчете о проведении очного консультирования пользователей ГИС ЦГУ. Впоследствии, ответы на эти вопросы направляются в электронном виде всем участвующим в очном консультировании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в форме рассылки, но не позднее 2 недель с даты проведения очного консультирования.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Отчет по очному консультированию сотрудников Минэнерго России по работе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с ГИС ЦГУ должен включать: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методику очного консультирования пользователей ГИС ЦГУ;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отчет о проведении очного консультирования пользователей ГИС ЦГУ;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список присутствовавших сотрудников.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По итогам оказания услуг п. 3.4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Исполнитель должен предоставлять Заказчику отчет об очном консультировании Пользователей ГИС ЦГУ.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1109"/>
        <w:ind w:left="0" w:right="0"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1"/>
          <w:numId w:val="1"/>
        </w:numPr>
        <w:contextualSpacing/>
        <w:ind w:left="0" w:right="-2" w:firstLine="709"/>
        <w:jc w:val="both"/>
        <w:keepLines/>
        <w:spacing w:after="0" w:line="276" w:lineRule="auto"/>
        <w:tabs>
          <w:tab w:val="left" w:pos="1276" w:leader="none"/>
        </w:tabs>
        <w:rPr>
          <w:rFonts w:ascii="Times New Roman" w:hAnsi="Times New Roman" w:cs="Times New Roman"/>
          <w:b/>
          <w:sz w:val="28"/>
          <w:szCs w:val="28"/>
        </w:rPr>
        <w:outlineLvl w:val="1"/>
      </w:pPr>
      <w:r/>
      <w:bookmarkStart w:id="33" w:name="_Toc33"/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/>
      <w:bookmarkEnd w:id="0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Информационная поддержка по вопросам методологии оказания государственных услуг в электронном виде</w:t>
      </w:r>
      <w:bookmarkEnd w:id="33"/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Исполнитель по запросу Заказчика оказывает информационную поддержку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по следующим вопросам методологии оказания государственных услуг </w:t>
        <w:br/>
        <w:t xml:space="preserve">в электронном виде, включая: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вопросы, связанные с изменением методических рекомендаций, выпускаемых Минэкономразвития России;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вопросы, связанные с изменением методических рекомендаций, выпускаемых Минцифры России;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вопросы, связанные с информированием заявителей о порядке предоставления государственных услуг Минэнерго России в электронном виде;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вопросы, связанные с результатами регулярного мониторинга качества предоставления государственных услуг Минэнерго России в электронном виде, проводимого Минэкономразвития России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вопросы, связанные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 изменением методических рекомендаций, выпускаемых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ФСТЭК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России;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вопросы, связанные с изменением методических рекомендаций, выпускаемых Ф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СБ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России;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вопросы, связанные с результатами регулярного мониторинга качества предоставления государственных услуг Минэнерго России в электронном виде, проводимого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Аналитическим центром.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вопросам изменений законодат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ельного регулирования и методических рекомендаций Исполнитель осуществляет устные консультации или по запросу Заказчика готовит аналитическую записку. Срок подготовки, объем и структура аналитической записки согласовывается между Заказчиком и Исполнителем.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вопросам, связанным с результатами регулярного мониторинга качества оказания государственных услуг 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инэнерго России в электронном виде, проводимого Минэкономразвития России, Исполнитель осуществляет консультации на основании отчета о результатах мониторинга качества оказания государственных услуг Минэнерго России, предоставляемого Заказчиком Исполнителю.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случае необходимости устранения технических проблем в процессе оказания государственных услуг Минэнерго России в электронном виде, выявленных Минэкономразвития России в ходе мониторинга, Исполнитель: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устраняет технические проблемы, если решение данных проблем находится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  <w:t xml:space="preserve">в компетенции Исполнителя;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обеспечивает сопровождение процесса взаимодействия Минэнерго России, Минцифры России и Минэкономразвития России в ходе решения выявленных проблем.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Сроки регистрации запросов Пользователей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указаны в разделе 6 «Требования к режиму приема запросов» настоящего Технического задания.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Срок обработки запросов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Пользователей по вопросам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методологии оказания государственных услуг в электронном виде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должен составлять не более 40 рабочих часов (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время обработки запроса может быть изменено по согласованию </w:t>
        <w:br/>
        <w:t xml:space="preserve">с Заказчиком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По итогам оказания услуг п. 3.5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Исполнитель должен предоставлять Заказчику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отчет по консультационному сопровождению Пользователей ГИС ЦГУ.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109"/>
        <w:ind w:left="0" w:right="0"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numPr>
          <w:ilvl w:val="1"/>
          <w:numId w:val="1"/>
        </w:numPr>
        <w:contextualSpacing/>
        <w:ind w:left="0" w:right="-2" w:firstLine="709"/>
        <w:jc w:val="both"/>
        <w:keepLines/>
        <w:spacing w:after="0" w:line="276" w:lineRule="auto"/>
        <w:tabs>
          <w:tab w:val="left" w:pos="1276" w:leader="none"/>
        </w:tabs>
        <w:rPr>
          <w:rFonts w:ascii="Times New Roman" w:hAnsi="Times New Roman" w:cs="Times New Roman"/>
          <w:b/>
          <w:sz w:val="28"/>
          <w:szCs w:val="28"/>
        </w:rPr>
        <w:outlineLvl w:val="1"/>
      </w:pPr>
      <w:r/>
      <w:bookmarkStart w:id="34" w:name="_Toc34"/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Требования к обеспечению информационной безопасности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br/>
        <w:t xml:space="preserve">при технической поддержке ГИС ЦГУ</w:t>
      </w:r>
      <w:bookmarkEnd w:id="0"/>
      <w:r/>
      <w:bookmarkEnd w:id="34"/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Обеспечение защиты информации при технической поддержке ГИС ЦГУ осуществляется в соответствии с нормативными правовыми актами и документами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в области информационной безопасности и в том числе должно включать: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взаимодействие со специалистами Департамента цифровой трансформации </w:t>
        <w:br/>
        <w:t xml:space="preserve">и Департамент экономической безопасности в ТЭК (профильный Департамент) Заказчика при выявлении и устранении инцидентов информационной безопасности ГИС ЦГУ;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заведение и удаление учетных записей пользователей, управление полномочиями пользователей ГИС ЦГУ и поддержание правил разграничения доступа в информационной системе;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установка обновлений программного обеспечения ГИС ЦГУ, связанных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с устранением уязвимостей информационной безопасности;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определение лиц, которым разрешены действия по внесению изменений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в базовую конфигурацию информационной системы.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35" w:name="_Toc35"/>
      <w:r>
        <w:rPr>
          <w:rFonts w:ascii="Times New Roman" w:hAnsi="Times New Roman" w:eastAsia="Times New Roman" w:cs="Times New Roman"/>
          <w:sz w:val="28"/>
          <w:szCs w:val="28"/>
        </w:rPr>
        <w:t xml:space="preserve">По итогам оказания услуг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п. 3.6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Исполнитель предоставляет Заказчику отчет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по обеспечению информационной безопасности при технической поддержке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ГИС ЦГУ.</w:t>
      </w:r>
      <w:r>
        <w:rPr>
          <w:highlight w:val="none"/>
        </w:rPr>
      </w:r>
      <w:bookmarkEnd w:id="35"/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</w:p>
    <w:p>
      <w:pPr>
        <w:contextualSpacing/>
        <w:ind w:left="0" w:right="-2" w:firstLine="709"/>
        <w:jc w:val="both"/>
        <w:keepLines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  <w:outlineLvl w:val="1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numPr>
          <w:ilvl w:val="0"/>
          <w:numId w:val="1"/>
        </w:numPr>
        <w:contextualSpacing/>
        <w:ind w:left="0" w:right="-2" w:firstLine="709"/>
        <w:jc w:val="both"/>
        <w:keepLines/>
        <w:spacing w:after="0" w:line="276" w:lineRule="auto"/>
        <w:tabs>
          <w:tab w:val="left" w:pos="1134" w:leader="none"/>
        </w:tabs>
        <w:rPr>
          <w:rFonts w:ascii="Times New Roman" w:hAnsi="Times New Roman" w:cs="Times New Roman"/>
          <w:b/>
          <w:bCs/>
          <w:sz w:val="28"/>
          <w:szCs w:val="28"/>
        </w:rPr>
        <w:outlineLvl w:val="1"/>
      </w:pPr>
      <w:r/>
      <w:bookmarkStart w:id="36" w:name="_Toc36"/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Требования к организации удаленного подключения</w:t>
      </w:r>
      <w:r>
        <w:rPr>
          <w:rFonts w:ascii="Times New Roman" w:hAnsi="Times New Roman" w:cs="Times New Roman"/>
          <w:b/>
          <w:sz w:val="28"/>
          <w:szCs w:val="28"/>
        </w:rPr>
      </w:r>
      <w:bookmarkEnd w:id="36"/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 выполнении работ (оказании услуг) по технической поддержке должны выполняться требования по обеспечению безопасности информации, установленные нормативными правовыми актами Российской Федерации, указанными в пункте 1.6 настоящего Технического задания.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</w:r>
    </w:p>
    <w:p>
      <w:pPr>
        <w:numPr>
          <w:ilvl w:val="1"/>
          <w:numId w:val="1"/>
        </w:numPr>
        <w:contextualSpacing/>
        <w:ind w:left="0" w:right="-2" w:firstLine="709"/>
        <w:jc w:val="both"/>
        <w:keepLines/>
        <w:spacing w:after="0" w:line="276" w:lineRule="auto"/>
        <w:tabs>
          <w:tab w:val="left" w:pos="1276" w:leader="none"/>
        </w:tabs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В целях предоставления и согласования удаленного доступа к объектам информационной инфраструктуры Заказчик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а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в течение 5 (пяти) рабочих дней с даты заключения госу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дарственного контракта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Исполнителем направляется в адрес Заказчика письмо на бланке своей организации за подписью руководителя Исполнителя (или лица, имеющего право подписи, с приложением копии соответствующей доверенности), содержащее следующие сведения: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фамилия, имя, отчество (при наличии) пользователя (-ей) автоматизированного рабочего места, с которого будет организовано удаленное подключение к объектам информационной инфраструктуры Заказчика;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должность;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контактный номер телефона;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адрес электронной почты;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скан-копия согласия на обработку персональных данных;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адрес размещения автоматизированного рабочего места;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номер, дата и наименование государственного контракта;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MAC-адрес автоматизированного рабочего места;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наименование сопровождаемой информационной системы;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IP-адрес (-а) серверных мощностей, для которых необходимо предоставить доступ;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номер порта (-ов) доступа;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наименование протокола доступа;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сведения об установке средств защиты информации с указанием версии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br/>
        <w:t xml:space="preserve">и номера сертификата ФСТЭ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К России и/или ФСБ России: средства криптографической защиты информации, средство межсетевого экранирования, средство защиты информации от несанкционированного действия, средство антивирусной защиты информации на указанное автоматизированное рабочее место.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Об изменении сведений Исполнитель обязан уведомить Заказчика в течение </w:t>
        <w:br/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3 (трех) рабочий дней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со дня возникнове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ния таких изменений.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1109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numPr>
          <w:ilvl w:val="1"/>
          <w:numId w:val="1"/>
        </w:numPr>
        <w:contextualSpacing/>
        <w:ind w:left="0" w:right="-2" w:firstLine="709"/>
        <w:jc w:val="both"/>
        <w:keepLines/>
        <w:spacing w:after="0" w:line="276" w:lineRule="auto"/>
        <w:tabs>
          <w:tab w:val="left" w:pos="1276" w:leader="none"/>
        </w:tabs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Удаленный доступ предоставляется Исполнителю в соответствии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br/>
        <w:t xml:space="preserve">с заявкой о предоставлении удаленного доступа к объектам информационной инфраструктуры Заказчика (приложение к настоящему Техническому заданию), </w:t>
        <w:br/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с учетом использования защищенных каналов связи и по согласованию с Заказчиком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Удаленный доступ предоставляется на время и в целях выполнения работ (оказания услуг) по устранению инцидента, который не может быть устранен </w:t>
        <w:br/>
        <w:t xml:space="preserve">в регламентные сроки по месту нахождения Заказчика.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Исполнитель направляет Заказчику заявку посредством</w:t>
      </w:r>
      <w:r>
        <w:rPr>
          <w:rFonts w:ascii="Times New Roman" w:hAnsi="Times New Roman" w:eastAsia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Service Desk по форме согласно приложению к Техническому заданию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В случае технических проблем </w:t>
        <w:br/>
        <w:t xml:space="preserve">с доступом к</w:t>
      </w:r>
      <w:r>
        <w:rPr>
          <w:rFonts w:ascii="Times New Roman" w:hAnsi="Times New Roman" w:eastAsia="Times New Roman" w:cs="Times New Roman"/>
          <w:b w:val="0"/>
          <w:bCs w:val="0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Service Desk</w:t>
      </w:r>
      <w:r>
        <w:rPr>
          <w:rFonts w:ascii="Times New Roman" w:hAnsi="Times New Roman" w:eastAsia="Times New Roman" w:cs="Times New Roman"/>
          <w:b w:val="0"/>
          <w:bCs w:val="0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заявка направляется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на электронный адрес: gisgosuslugi@minenergo.gov.ru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Адреса электронной почты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с которых Заказчиком будут обрабатываться поступившие Заявки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считаются адреса, направленные в адрес Заказчика </w:t>
        <w:br/>
        <w:t xml:space="preserve">в соответствии с пунктом 4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.1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астоящего Технического задания.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После устранения инцидента Исполнитель предоставляет Заказчику информацию о причинах возникновения инцидента, а также иные сведения </w:t>
        <w:br/>
        <w:t xml:space="preserve">(по запросу Заказчика), относящиеся к инциденту.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После устранения инцидента удаленный доступ прекращается.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Для организации подключения удаленных рабочих мест Исполнителя, автоматизированные рабочие места должны соответствовать требованиям по защите информации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 предъявляемым ФСТЭК России к государственным информационным системам 2 класса защищенности, информационным система обработки персональных данных 3 уровня защищенности, и значимым объектам критической информационной инфраструктуры 2 категории значимости.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Для выполнения работ Исполнитель обязан за свой счет подключиться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br/>
        <w:t xml:space="preserve">к защищенной сети передачи данных (сеть ViPNet) Заказчика с соблюдением требований законодательства Российской Федерации.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случае невыполнения требований по информационной безопасности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br/>
        <w:t xml:space="preserve">для автоматизированных рабочих мест Исполнителя техническое сопровождение осуществляется без использования дистанционных технологий, по месту нахождения Заказчика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</w:p>
    <w:p>
      <w:pPr>
        <w:pStyle w:val="1109"/>
        <w:ind w:left="0" w:right="0" w:firstLine="709"/>
        <w:jc w:val="both"/>
        <w:spacing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</w:p>
    <w:p>
      <w:pPr>
        <w:numPr>
          <w:ilvl w:val="0"/>
          <w:numId w:val="1"/>
        </w:numPr>
        <w:contextualSpacing/>
        <w:ind w:left="0" w:right="-2" w:firstLine="709"/>
        <w:jc w:val="both"/>
        <w:keepLines/>
        <w:spacing w:after="0" w:line="276" w:lineRule="auto"/>
        <w:tabs>
          <w:tab w:val="left" w:pos="1134" w:leader="none"/>
        </w:tabs>
        <w:rPr>
          <w:rFonts w:ascii="Times New Roman" w:hAnsi="Times New Roman" w:cs="Times New Roman"/>
          <w:b/>
          <w:bCs/>
          <w:sz w:val="28"/>
          <w:szCs w:val="28"/>
        </w:rPr>
        <w:outlineLvl w:val="1"/>
      </w:pPr>
      <w:r/>
      <w:bookmarkStart w:id="37" w:name="_Toc37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Требования к обеспечению конфиденциальности информации</w:t>
      </w:r>
      <w:r>
        <w:rPr>
          <w:rFonts w:ascii="Times New Roman" w:hAnsi="Times New Roman" w:cs="Times New Roman"/>
          <w:b/>
          <w:sz w:val="28"/>
          <w:szCs w:val="28"/>
        </w:rPr>
      </w:r>
      <w:bookmarkEnd w:id="37"/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Исполнитель обязан соблюдать конфиденциальность информации, ставшей ему известной в ходе исполнения государственного контракта, не передавать </w:t>
        <w:br/>
        <w:t xml:space="preserve">ее третьим лицам и не раскрывать публично 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ез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согласия Заказчика, а также соблюдать требования к защите конфиденциальной информации (информации </w:t>
        <w:br/>
        <w:t xml:space="preserve">для служебного пользования, информации ограниченного распространения, коммерческой, налоговой и иной тайны), предусмотренные действующим законодательством.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Работа с информацией, составляющей государственную тайну, в рамках исполнения настоящего технического задания не предусмотрена.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К конфиденциальной информации относится любая информация в бумажной или электронной форме, предоставленная Заказчиком Исполнителю в процессе выполнения обязательств по государственному контракту.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К конфиденциальной информации не относится информация, которая отнесена законодательством Российской Федерации к категории, открытой и раскрытие которой вменено в обязанность Исполнителю.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Исполнитель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имеет право предоставлять доступ к конфиденциальной информации своим сотрудникам для выполнения ими своих трудовых обязанностей при условии соблюдения ее конфиденциальности и только для выполнения задач </w:t>
        <w:br/>
        <w:t xml:space="preserve">в рамках реализации настоящего технического задания.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pStyle w:val="1109"/>
        <w:ind w:left="0" w:right="0"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"/>
        </w:numPr>
        <w:contextualSpacing/>
        <w:ind w:left="0" w:right="-2" w:firstLine="709"/>
        <w:jc w:val="both"/>
        <w:spacing w:after="0" w:line="276" w:lineRule="auto"/>
        <w:tabs>
          <w:tab w:val="left" w:pos="1134" w:leader="none"/>
        </w:tabs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38" w:name="_Toc38"/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Требования к режиму приема запросов</w:t>
      </w:r>
      <w:bookmarkEnd w:id="0"/>
      <w:r/>
      <w:bookmarkEnd w:id="38"/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Исполнитель должен обеспечить следующие способы приема Запросов: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телефону службы технической поддержки Исполнителя;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адресу электронной почты службы технической поддержки Исполнителя.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Сроки регистрации Запросов в зависимости от способа приема Запроса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и времени подачи Запроса указаны в Таблице 6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109"/>
        <w:ind w:left="0" w:right="0" w:firstLine="709"/>
        <w:jc w:val="right"/>
        <w:spacing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Таблица 6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3401"/>
        <w:gridCol w:w="2976"/>
        <w:gridCol w:w="3828"/>
      </w:tblGrid>
      <w:tr>
        <w:tblPrEx/>
        <w:trPr>
          <w:trHeight w:val="833"/>
        </w:trPr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34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Способ приема Запроса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br/>
              <w:t xml:space="preserve">на сопровождение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97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Рабочие дни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br/>
              <w:t xml:space="preserve">с 9:00 до 19:00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382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Рабочие дни с 19:00 текущего дня до 9:00 следующего дня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br/>
              <w:t xml:space="preserve">и выходные дни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</w:tr>
      <w:tr>
        <w:tblPrEx/>
        <w:trPr/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34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По телефону службы технической поддержки Исполнителя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9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Запрос регистрируется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br/>
              <w:t xml:space="preserve">в момент обращения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38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Регистрация запросов </w:t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 это время не производится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1308"/>
        </w:trPr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34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По адресу электронной почты службы технической поддержки Исполнителя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976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Запрос регистрируется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br/>
              <w:t xml:space="preserve">не позднее 1 (одного) </w:t>
              <w:br/>
              <w:t xml:space="preserve">часа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 момента его поступления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382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Запрос регистрируется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br/>
              <w:t xml:space="preserve">не позднее 10:30 следующего рабочего дня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1109"/>
        <w:ind w:left="0" w:right="0"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 подаче запроса на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сопровождение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Заказчик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сообщает следующие сведения: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контактное лицо, его номер телефона и/или адрес электронной почты;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описание проблемы, с приложением снимков экранных форм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  <w:t xml:space="preserve">(при необходимости);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желаемые сроки выполнения запроса.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Каждому запросу должен присваиваться уникальный регистрационный номер.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Служба технической поддержки Исполнителя сообщает Заказчику номер, присвоенный Запросу при регистрации.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Зарегистрированный запрос обрабатывается и выполняется в соответствии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со сроками оказания услуг, указанными в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Таблице 4.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запросу Исполнителя Заказчик предоставляет необходимую дополнительную информацию специалистам Исполнителя для своевременного решения запроса.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Если ответ Исполнителя зависит от третьей стороны, Исполнитель обязан уведомить об этом Заказчика.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Способ доставки ответа на запрос выбирается Заказчиком по согласованию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с Исполнителем. Для доставки ответа используются: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электронная почта;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телефон;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иные согласованные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Заказчиком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способы.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</w:p>
    <w:p>
      <w:pPr>
        <w:pStyle w:val="1109"/>
        <w:ind w:left="0" w:right="0" w:firstLine="709"/>
        <w:jc w:val="both"/>
        <w:spacing w:line="276" w:lineRule="auto"/>
        <w:rPr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После доставки ответа запрос переходит в статус «Завершен».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1109"/>
        <w:ind w:left="0" w:right="0" w:firstLine="709"/>
        <w:jc w:val="both"/>
        <w:spacing w:line="276" w:lineRule="auto"/>
        <w:rPr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Перевод запроса в статус «Закрыт» осуществляется в следующих случаях: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1109"/>
        <w:ind w:left="0" w:right="0" w:firstLine="709"/>
        <w:jc w:val="both"/>
        <w:spacing w:line="276" w:lineRule="auto"/>
        <w:rPr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от Заказчика получено подтверждение решения проблемы способами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предусмотренными в абзаце 2 данного раздела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1109"/>
        <w:ind w:left="0" w:right="0" w:firstLine="709"/>
        <w:jc w:val="both"/>
        <w:spacing w:line="276" w:lineRule="auto"/>
        <w:rPr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автоматическое закрытие по истечении 14 (четырнадцати) календарных дней </w:t>
        <w:br/>
        <w:t xml:space="preserve">с момента доставки ответа при отсутствии обратной связи от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Заказчика;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1109"/>
        <w:ind w:left="0" w:right="0" w:firstLine="709"/>
        <w:jc w:val="both"/>
        <w:spacing w:line="276" w:lineRule="auto"/>
        <w:rPr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досрочное закрытие по инициативе Заказчика в связи с утратой актуальности запроса.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случае получения от Заказчика аргументированного несогласия с ответом Исполнителя запрос возвращается в работу.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109"/>
        <w:ind w:left="0" w:right="0"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"/>
        </w:numPr>
        <w:contextualSpacing/>
        <w:ind w:left="0" w:right="-2" w:firstLine="709"/>
        <w:jc w:val="both"/>
        <w:spacing w:after="0" w:line="276" w:lineRule="auto"/>
        <w:tabs>
          <w:tab w:val="left" w:pos="1134" w:leader="none"/>
        </w:tabs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39" w:name="_Toc39"/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Требования к отчетным документам</w:t>
      </w:r>
      <w:bookmarkEnd w:id="0"/>
      <w:r/>
      <w:bookmarkEnd w:id="39"/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рамках государственного контракта Исполнитель обязан предоставить Заказчику «Сводный отчет об оказанных услугах» согласно Таблице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одном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экземпляр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 электронном формате посредством Единой информационной системы в сфере закупок (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https://zakupki.gov.ru/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в срок не позднее последнего </w:t>
        <w:br/>
        <w:t xml:space="preserve">дня истечения этапа: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1109"/>
        <w:ind w:left="0" w:right="0"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109"/>
        <w:ind w:left="0" w:right="0" w:firstLine="709"/>
        <w:jc w:val="right"/>
        <w:spacing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Таблица 7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tbl>
      <w:tblPr>
        <w:tblStyle w:val="962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409"/>
        <w:gridCol w:w="1559"/>
        <w:gridCol w:w="6236"/>
      </w:tblGrid>
      <w:tr>
        <w:tblPrEx/>
        <w:trPr/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 xml:space="preserve">Содержание услуг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 xml:space="preserve">Сроки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6236" w:type="dxa"/>
            <w:vAlign w:val="center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 xml:space="preserve">Результаты оказания услуг (материалы, предоставляемые Заказчику)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Mar>
              <w:left w:w="28" w:type="dxa"/>
              <w:top w:w="0" w:type="dxa"/>
              <w:right w:w="28" w:type="dxa"/>
              <w:bottom w:w="0" w:type="dxa"/>
            </w:tcMar>
            <w:tcW w:w="10205" w:type="dxa"/>
            <w:textDirection w:val="lrTb"/>
            <w:noWrap w:val="false"/>
          </w:tcPr>
          <w:p>
            <w:pPr>
              <w:pStyle w:val="1109"/>
              <w:jc w:val="center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 xml:space="preserve">1 этап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Услуги </w:t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по технической поддержке работоспособности ГИС ЦГУ.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Информационно-техническое сопровождение пользователей </w:t>
              <w:br/>
              <w:t xml:space="preserve">ГИС ЦГУ.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Консультационное сопровождение ГИС ЦГУ.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ind w:left="0" w:right="0" w:firstLine="0"/>
              <w:jc w:val="center"/>
              <w:widowControl w:val="off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sz w:val="28"/>
                <w:szCs w:val="28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11.12.2026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31.03.202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7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6236" w:type="dxa"/>
            <w:textDirection w:val="lrTb"/>
            <w:noWrap w:val="false"/>
          </w:tcPr>
          <w:p>
            <w:pPr>
              <w:pStyle w:val="11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Сводный отчет об оказанных услугах, включая: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отчет об оказанных услугах по поддержке работоспособности ГИС ЦГУ, решению возникающих инцидентов и проблем в ГИС ЦГУ;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отчет о работоспособности видов сведений СМЭВ Минэнерго России;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отчет по информационно-техническому сопровождению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П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ользователей ГИС ЦГУ </w:t>
            </w:r>
            <w:r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по вопросам функционирования ГИС ЦГУ </w:t>
              <w:br/>
              <w:t xml:space="preserve">и особенностям ведомственных процессов, автоматизированных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в ГИС ЦГУ;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отчет об очном консультировании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Пользователей ГИС ЦГУ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отчет по консультационному сопровождению Пользователей ГИС ЦГУ;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отчет по обеспечению информационной безопасности при технической поддержке </w:t>
              <w:br/>
              <w:t xml:space="preserve">ГИС ЦГУ.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eastAsia="Times New Roman" w:cs="Times New Roman"/>
                <w:sz w:val="10"/>
                <w:szCs w:val="1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10"/>
                <w:szCs w:val="10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0"/>
                <w:szCs w:val="1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10"/>
                <w:szCs w:val="10"/>
                <w:highlight w:val="none"/>
              </w:rPr>
            </w:r>
          </w:p>
          <w:p>
            <w:pPr>
              <w:jc w:val="both"/>
              <w:tabs>
                <w:tab w:val="left" w:pos="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Актуализированная эксплуатационная документация (при необходимости актуализации по итогам этапа), включая: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ind w:left="0" w:right="0" w:firstLine="283"/>
              <w:jc w:val="both"/>
              <w:spacing w:after="0" w:line="240" w:lineRule="auto"/>
              <w:tabs>
                <w:tab w:val="left" w:pos="425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руководство администратора ГИС ЦГУ;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руководство пользователя ГИС ЦГУ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Mar>
              <w:left w:w="28" w:type="dxa"/>
              <w:top w:w="0" w:type="dxa"/>
              <w:right w:w="28" w:type="dxa"/>
              <w:bottom w:w="0" w:type="dxa"/>
            </w:tcMar>
            <w:tcW w:w="10205" w:type="dxa"/>
            <w:vAlign w:val="center"/>
            <w:textDirection w:val="lrTb"/>
            <w:noWrap w:val="false"/>
          </w:tcPr>
          <w:p>
            <w:pPr>
              <w:pStyle w:val="1109"/>
              <w:jc w:val="center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 xml:space="preserve">2 этап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409" w:type="dxa"/>
            <w:vAlign w:val="top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Услуги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br/>
              <w:t xml:space="preserve">по технической поддержке работоспособности ГИС ЦГУ.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Информационно-техническое сопровождение пользователей </w:t>
              <w:br/>
              <w:t xml:space="preserve">ГИС ЦГУ.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Консультационное сопровождение ГИС ЦГУ.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Style w:val="1109"/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01.04.202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–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br/>
              <w:t xml:space="preserve">30.06.202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7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6236" w:type="dxa"/>
            <w:vAlign w:val="center"/>
            <w:vMerge w:val="restart"/>
            <w:textDirection w:val="lrTb"/>
            <w:noWrap w:val="false"/>
          </w:tcPr>
          <w:p>
            <w:pPr>
              <w:pStyle w:val="11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Сводный отчет об оказанных услугах, включая: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отчет об оказанных услугах по поддержке работоспособности ГИС ЦГУ, решению возникающих инцидентов и проблем в ГИС ЦГУ;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отчет о работоспособности видов сведений СМЭВ Минэнерго России;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отчет по информационно-техническому сопровождению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П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ользователей ГИС ЦГУ </w:t>
            </w:r>
            <w:r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по вопросам функционирования ГИС ЦГУ </w:t>
              <w:br/>
              <w:t xml:space="preserve">и особенностям ведомственных процессов, автоматизированных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в ГИС ЦГУ;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отчет об очном консультировании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Пользователей ГИС ЦГУ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отчет по консультационному сопровождению Пользователей ГИС ЦГУ;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отчет по обеспечению информационной безопасности при технической поддержке </w:t>
              <w:br/>
              <w:t xml:space="preserve">ГИ</w:t>
            </w: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  <w:t xml:space="preserve">С ЦГУ.</w:t>
            </w: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none"/>
                <w:lang w:eastAsia="ru-RU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eastAsia="Times New Roman" w:cs="Times New Roman"/>
                <w:color w:val="auto"/>
                <w:sz w:val="10"/>
                <w:szCs w:val="1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0"/>
                <w:szCs w:val="10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10"/>
                <w:szCs w:val="1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10"/>
                <w:szCs w:val="10"/>
                <w:highlight w:val="none"/>
              </w:rPr>
            </w:r>
          </w:p>
          <w:p>
            <w:pPr>
              <w:jc w:val="both"/>
              <w:tabs>
                <w:tab w:val="left" w:pos="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Актуализированная эксплуатационная документация (при необходимости актуализации по итогам этапа), включая: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ind w:left="0" w:right="0" w:firstLine="283"/>
              <w:jc w:val="both"/>
              <w:spacing w:after="0" w:line="240" w:lineRule="auto"/>
              <w:tabs>
                <w:tab w:val="left" w:pos="425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руководство администратора ГИС ЦГУ;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руководство пользователя ГИС Ц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ГУ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Mar>
              <w:left w:w="28" w:type="dxa"/>
              <w:top w:w="0" w:type="dxa"/>
              <w:right w:w="28" w:type="dxa"/>
              <w:bottom w:w="0" w:type="dxa"/>
            </w:tcMar>
            <w:tcW w:w="10205" w:type="dxa"/>
            <w:textDirection w:val="lrTb"/>
            <w:noWrap w:val="false"/>
          </w:tcPr>
          <w:p>
            <w:pPr>
              <w:pStyle w:val="1109"/>
              <w:jc w:val="center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 xml:space="preserve">3 этап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Услуги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br/>
              <w:t xml:space="preserve">по технической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поддержке работоспособности ГИС ЦГУ.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Информационно-техническое сопровождение пользователей </w:t>
              <w:br/>
              <w:t xml:space="preserve">ГИС ЦГУ.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Консультационное сопровождение ГИС ЦГУ.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ind w:left="0" w:right="0"/>
              <w:jc w:val="center"/>
              <w:tabs>
                <w:tab w:val="left" w:pos="0" w:leader="none"/>
              </w:tabs>
              <w:rPr>
                <w:rFonts w:ascii="Times New Roman" w:hAnsi="Times New Roman" w:cs="Times New Roman"/>
                <w:sz w:val="28"/>
                <w:szCs w:val="28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01.07.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202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30.09.202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7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6236" w:type="dxa"/>
            <w:textDirection w:val="lrTb"/>
            <w:noWrap w:val="false"/>
          </w:tcPr>
          <w:p>
            <w:pPr>
              <w:pStyle w:val="11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Сводный отчет об оказанных услугах, включая: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отчет об оказанных услугах по поддержке работоспособности ГИС ЦГУ, решению возникающих инцидентов и проблем в ГИС ЦГУ;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отчет о работоспособности видов сведений СМЭВ Минэнерго России;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отчет по информационно-техническому сопровождению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П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ользователей ГИС ЦГУ </w:t>
            </w:r>
            <w:r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по вопросам функционирования ГИС ЦГУ </w:t>
              <w:br/>
              <w:t xml:space="preserve">и особенностям ведомственных процессов, автоматизированных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в ГИС ЦГУ;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отчет об очном консультировании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Пользователей ГИС ЦГУ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отчет по консультационному сопровождению Пользователей ГИС ЦГУ;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отчет по обеспечению информационной безопасности при технической поддержке </w:t>
              <w:br/>
              <w:t xml:space="preserve">ГИ</w:t>
            </w: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  <w:t xml:space="preserve">С ЦГУ.</w:t>
            </w: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none"/>
                <w:lang w:eastAsia="ru-RU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eastAsia="Times New Roman" w:cs="Times New Roman"/>
                <w:color w:val="auto"/>
                <w:sz w:val="10"/>
                <w:szCs w:val="1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0"/>
                <w:szCs w:val="10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10"/>
                <w:szCs w:val="1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10"/>
                <w:szCs w:val="10"/>
                <w:highlight w:val="none"/>
              </w:rPr>
            </w:r>
          </w:p>
          <w:p>
            <w:pPr>
              <w:jc w:val="both"/>
              <w:tabs>
                <w:tab w:val="left" w:pos="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Актуализированная эксплуатационная документация (при необходимости актуализации по итогам этапа), включая: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ind w:left="0" w:right="0" w:firstLine="283"/>
              <w:jc w:val="both"/>
              <w:spacing w:after="0" w:line="240" w:lineRule="auto"/>
              <w:tabs>
                <w:tab w:val="left" w:pos="425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руководство администратора ГИС ЦГУ;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руководство пользователя ГИС ЦГУ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.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Mar>
              <w:left w:w="28" w:type="dxa"/>
              <w:top w:w="0" w:type="dxa"/>
              <w:right w:w="28" w:type="dxa"/>
              <w:bottom w:w="0" w:type="dxa"/>
            </w:tcMar>
            <w:tcW w:w="10205" w:type="dxa"/>
            <w:textDirection w:val="lrTb"/>
            <w:noWrap w:val="false"/>
          </w:tcPr>
          <w:p>
            <w:pPr>
              <w:pStyle w:val="1109"/>
              <w:jc w:val="center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 xml:space="preserve">4 этап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Услуги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br/>
              <w:t xml:space="preserve">по технической поддержке работоспособности ГИС ЦГУ.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Информационно-техническое сопровождение пользователей </w:t>
              <w:br/>
              <w:t xml:space="preserve">ГИС ЦГУ.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Консультационное сопровождение ГИС ЦГУ.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01.10.202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–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br/>
              <w:t xml:space="preserve">10.12.202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7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6236" w:type="dxa"/>
            <w:textDirection w:val="lrTb"/>
            <w:noWrap w:val="false"/>
          </w:tcPr>
          <w:p>
            <w:pPr>
              <w:pStyle w:val="11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Сводный отчет об оказанных услугах, включая: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отчет об оказанных услугах по поддержке работоспособности ГИС ЦГУ, решению возникающих инцидентов и проблем в ГИС ЦГУ;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отчет о работоспособности видов сведений СМЭВ Минэнерго России;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отчет по информационно-техническому сопровождению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П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ользователей ГИС ЦГУ </w:t>
            </w:r>
            <w:r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по вопросам функционирования ГИС ЦГУ </w:t>
              <w:br/>
              <w:t xml:space="preserve">и особенностям ведомственных процессов, автоматизированных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в ГИС ЦГУ;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отчет об очном консультировании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Пользователей ГИС ЦГУ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отчет по консультационному сопровождению Пользователей ГИС ЦГУ;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отчет по обеспечению информационной безопасности при технической поддержке </w:t>
              <w:br/>
              <w:t xml:space="preserve">ГИС ЦГУ</w:t>
            </w: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none"/>
                <w:lang w:eastAsia="ru-RU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0"/>
                <w:szCs w:val="10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auto"/>
                <w:sz w:val="10"/>
                <w:szCs w:val="10"/>
              </w:rPr>
            </w:r>
            <w:r>
              <w:rPr>
                <w:rFonts w:ascii="Times New Roman" w:hAnsi="Times New Roman" w:cs="Times New Roman"/>
                <w:color w:val="auto"/>
                <w:sz w:val="10"/>
                <w:szCs w:val="10"/>
              </w:rPr>
            </w:r>
          </w:p>
          <w:p>
            <w:pPr>
              <w:jc w:val="both"/>
              <w:tabs>
                <w:tab w:val="left" w:pos="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Актуальная эксплуатационная документация, включая: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ind w:left="0" w:right="0" w:firstLine="283"/>
              <w:jc w:val="both"/>
              <w:spacing w:after="0" w:line="240" w:lineRule="auto"/>
              <w:tabs>
                <w:tab w:val="left" w:pos="425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руководство администратора ГИС ЦГУ;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ind w:left="0" w:right="0" w:firstLine="283"/>
              <w:jc w:val="both"/>
              <w:spacing w:after="0" w:line="240" w:lineRule="auto"/>
              <w:tabs>
                <w:tab w:val="left" w:pos="425" w:leader="none"/>
              </w:tabs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руководство пользователя ГИС ЦГУ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gridSpan w:val="3"/>
            <w:tcMar>
              <w:left w:w="28" w:type="dxa"/>
              <w:top w:w="0" w:type="dxa"/>
              <w:right w:w="28" w:type="dxa"/>
              <w:bottom w:w="0" w:type="dxa"/>
            </w:tcMar>
            <w:tcW w:w="10205" w:type="dxa"/>
            <w:textDirection w:val="lrTb"/>
            <w:noWrap w:val="false"/>
          </w:tcPr>
          <w:p>
            <w:pPr>
              <w:pStyle w:val="1109"/>
              <w:jc w:val="center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 xml:space="preserve">5 этап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Услуги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br/>
              <w:t xml:space="preserve">по технической поддержке работоспособности ГИС ЦГУ.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Информационно-техническое сопровождение пользователей </w:t>
              <w:br/>
              <w:t xml:space="preserve">ГИС ЦГУ.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Консультационное сопровождение ГИС ЦГУ.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11.12.202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– 31.03.202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8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6236" w:type="dxa"/>
            <w:textDirection w:val="lrTb"/>
            <w:noWrap w:val="false"/>
          </w:tcPr>
          <w:p>
            <w:pPr>
              <w:pStyle w:val="11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Сводный отчет об оказанных услугах, включая: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отчет об оказанных услугах по поддержке работоспособности ГИС ЦГУ, решению возникающих инцидентов и проблем в ГИС ЦГУ;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отчет о работоспособности видов сведений СМЭВ Минэнерго России;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отчет по информационно-техническому сопровождению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П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ользователей ГИС ЦГУ </w:t>
            </w:r>
            <w:r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по вопросам функционирования ГИС ЦГУ </w:t>
              <w:br/>
              <w:t xml:space="preserve">и особенностям ведомственных процессов, автоматизированных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в ГИС ЦГУ;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отчет об очном консультировании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Пользователей ГИС ЦГУ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отчет по консультационному сопровождению Пользователей ГИС ЦГУ;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отчет по обеспечению информационной безопасности при технической поддержке </w:t>
              <w:br/>
              <w:t xml:space="preserve">ГИ</w:t>
            </w: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  <w:t xml:space="preserve">С ЦГУ.</w:t>
            </w: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none"/>
                <w:lang w:eastAsia="ru-RU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eastAsia="Times New Roman" w:cs="Times New Roman"/>
                <w:color w:val="auto"/>
                <w:sz w:val="10"/>
                <w:szCs w:val="1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0"/>
                <w:szCs w:val="10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10"/>
                <w:szCs w:val="1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10"/>
                <w:szCs w:val="10"/>
                <w:highlight w:val="none"/>
              </w:rPr>
            </w:r>
          </w:p>
          <w:p>
            <w:pPr>
              <w:jc w:val="both"/>
              <w:tabs>
                <w:tab w:val="left" w:pos="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Актуализированная эксплуатационная документация (при необходимости актуализации по итогам этапа), включая: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ind w:left="0" w:right="0" w:firstLine="283"/>
              <w:jc w:val="both"/>
              <w:spacing w:after="0" w:line="240" w:lineRule="auto"/>
              <w:tabs>
                <w:tab w:val="left" w:pos="425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руководство администратора ГИС ЦГУ;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руководство пользователя ГИС ЦГУ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Mar>
              <w:left w:w="28" w:type="dxa"/>
              <w:top w:w="0" w:type="dxa"/>
              <w:right w:w="28" w:type="dxa"/>
              <w:bottom w:w="0" w:type="dxa"/>
            </w:tcMar>
            <w:tcW w:w="10205" w:type="dxa"/>
            <w:textDirection w:val="lrTb"/>
            <w:noWrap w:val="false"/>
          </w:tcPr>
          <w:p>
            <w:pPr>
              <w:pStyle w:val="1109"/>
              <w:jc w:val="center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 xml:space="preserve">6 этап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Услуги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br/>
              <w:t xml:space="preserve">по технической поддержке работоспособности ГИС ЦГУ.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Информационно-техническое сопровождение пользователей </w:t>
              <w:br/>
              <w:t xml:space="preserve">ГИС ЦГУ.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Консультационное сопровождение ГИС ЦГУ.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01.04.202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– 30.06.202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8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6236" w:type="dxa"/>
            <w:textDirection w:val="lrTb"/>
            <w:noWrap w:val="false"/>
          </w:tcPr>
          <w:p>
            <w:pPr>
              <w:pStyle w:val="11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Сводный отчет об оказанных услугах, включая: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отчет об оказанных услугах по поддержке работоспособности ГИС ЦГУ, решению возникающих инцидентов и проблем в ГИС ЦГУ;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отчет о работоспособности видов сведений СМЭВ Минэнерго России;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отчет по информационно-техническому сопровождению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П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ользователей ГИС ЦГУ </w:t>
            </w:r>
            <w:r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по вопросам функционирования ГИС ЦГУ </w:t>
              <w:br/>
              <w:t xml:space="preserve">и особенностям ведомственных процессов, автоматизированных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в ГИС ЦГУ;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отчет об очном консультировании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Пользователей ГИС ЦГУ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отчет по консультационному сопровождению Пользователей ГИС ЦГУ;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отчет по обеспечению информационной безопасности при технической поддержке </w:t>
              <w:br/>
              <w:t xml:space="preserve">ГИС</w:t>
            </w: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  <w:t xml:space="preserve"> ЦГУ.</w:t>
            </w: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none"/>
                <w:lang w:eastAsia="ru-RU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eastAsia="Times New Roman" w:cs="Times New Roman"/>
                <w:color w:val="auto"/>
                <w:sz w:val="10"/>
                <w:szCs w:val="1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0"/>
                <w:szCs w:val="10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10"/>
                <w:szCs w:val="1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10"/>
                <w:szCs w:val="10"/>
                <w:highlight w:val="none"/>
              </w:rPr>
            </w:r>
          </w:p>
          <w:p>
            <w:pPr>
              <w:jc w:val="both"/>
              <w:tabs>
                <w:tab w:val="left" w:pos="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Актуализированная эксплуатационная документация (при необходимости актуализации по итогам этапа), включая: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ind w:left="0" w:right="0" w:firstLine="283"/>
              <w:jc w:val="both"/>
              <w:spacing w:after="0" w:line="240" w:lineRule="auto"/>
              <w:tabs>
                <w:tab w:val="left" w:pos="425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руководство администратора ГИС ЦГУ;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руководство пользователя ГИС ЦГУ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.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Mar>
              <w:left w:w="28" w:type="dxa"/>
              <w:top w:w="0" w:type="dxa"/>
              <w:right w:w="28" w:type="dxa"/>
              <w:bottom w:w="0" w:type="dxa"/>
            </w:tcMar>
            <w:tcW w:w="10205" w:type="dxa"/>
            <w:textDirection w:val="lrTb"/>
            <w:noWrap w:val="false"/>
          </w:tcPr>
          <w:p>
            <w:pPr>
              <w:pStyle w:val="1109"/>
              <w:jc w:val="center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 xml:space="preserve">7 этап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Услуги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br/>
              <w:t xml:space="preserve">по технической поддержке работоспособности ГИС ЦГУ.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Информационно-техническое сопровождение пользователей </w:t>
              <w:br/>
              <w:t xml:space="preserve">ГИС ЦГУ.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Консультационное сопровождение ГИС ЦГУ.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01.07.202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–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29.09.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202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8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6236" w:type="dxa"/>
            <w:textDirection w:val="lrTb"/>
            <w:noWrap w:val="false"/>
          </w:tcPr>
          <w:p>
            <w:pPr>
              <w:pStyle w:val="11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Сводный отчет об оказанных услугах, включая: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отчет об оказанных услугах по поддержке работоспособности ГИС ЦГУ, решению возникающих инцидентов и проблем в ГИС ЦГУ;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отчет о работоспособности видов сведений СМЭВ Минэнерго России;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отчет по информационно-техническому сопровождению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П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ользователей ГИС ЦГУ </w:t>
            </w:r>
            <w:r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по вопросам функционирования ГИС ЦГУ </w:t>
              <w:br/>
              <w:t xml:space="preserve">и особенностям ведомственных процессов, автоматизированных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в ГИС ЦГУ;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отчет об очном консультировании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Пользователей ГИС ЦГУ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отчет по консультационному сопровождению Пользователей ГИС ЦГУ;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отчет по обеспечению информационной безопасности при технической поддержке </w:t>
              <w:br/>
              <w:t xml:space="preserve">ГИ</w:t>
            </w: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  <w:t xml:space="preserve">С ЦГУ.</w:t>
            </w: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none"/>
                <w:lang w:eastAsia="ru-RU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eastAsia="Times New Roman" w:cs="Times New Roman"/>
                <w:color w:val="auto"/>
                <w:sz w:val="10"/>
                <w:szCs w:val="1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0"/>
                <w:szCs w:val="10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10"/>
                <w:szCs w:val="1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10"/>
                <w:szCs w:val="10"/>
                <w:highlight w:val="none"/>
              </w:rPr>
            </w:r>
          </w:p>
          <w:p>
            <w:pPr>
              <w:ind w:left="0" w:right="0" w:firstLine="283"/>
              <w:jc w:val="both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Актуализированная эксплуатационная документация (при необходимости актуализации по итогам этапа), включая: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  <w:p>
            <w:pPr>
              <w:ind w:left="0" w:right="0" w:firstLine="283"/>
              <w:jc w:val="both"/>
              <w:spacing w:after="0" w:line="240" w:lineRule="auto"/>
              <w:tabs>
                <w:tab w:val="left" w:pos="425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руководство администратора ГИС ЦГУ;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руководство пользователя ГИС ЦГУ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.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</w:r>
          </w:p>
        </w:tc>
      </w:tr>
      <w:tr>
        <w:tblPrEx/>
        <w:trPr>
          <w:trHeight w:val="340"/>
        </w:trPr>
        <w:tc>
          <w:tcPr>
            <w:gridSpan w:val="3"/>
            <w:tcMar>
              <w:left w:w="28" w:type="dxa"/>
              <w:top w:w="0" w:type="dxa"/>
              <w:right w:w="28" w:type="dxa"/>
              <w:bottom w:w="0" w:type="dxa"/>
            </w:tcMar>
            <w:tcW w:w="10205" w:type="dxa"/>
            <w:textDirection w:val="lrTb"/>
            <w:noWrap w:val="false"/>
          </w:tcPr>
          <w:p>
            <w:pPr>
              <w:pStyle w:val="1109"/>
              <w:jc w:val="center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 xml:space="preserve"> этап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Услуги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br/>
              <w:t xml:space="preserve">по технической поддержке работоспособности ГИС ЦГУ.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Информационно-техническое сопровождение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пользователей </w:t>
              <w:br/>
              <w:t xml:space="preserve">ГИС ЦГУ.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jc w:val="left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Консультационное сопровождение ГИС ЦГУ.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 w:eastAsia="ru-RU"/>
              </w:rPr>
              <w:t xml:space="preserve">30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 w:eastAsia="ru-RU"/>
              </w:rPr>
              <w:t xml:space="preserve">.09.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202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–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br/>
              <w:t xml:space="preserve">10.12.202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6236" w:type="dxa"/>
            <w:textDirection w:val="lrTb"/>
            <w:noWrap w:val="false"/>
          </w:tcPr>
          <w:p>
            <w:pPr>
              <w:pStyle w:val="11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Сводный отчет об оказанных услугах, включая: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отчет об оказанных услугах по поддержке работоспособности ГИС ЦГУ, решению возникающих инцидентов и проблем в ГИС ЦГУ;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отчет о работоспособности видов сведений СМЭВ Минэнерго России;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отчет по информационно-техническому сопровождению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П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ользователей ГИС ЦГУ </w:t>
            </w:r>
            <w:r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по вопросам функционирования ГИС ЦГУ </w:t>
              <w:br/>
              <w:t xml:space="preserve">и особенностям ведомственных процессов, автоматизированных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в ГИС ЦГУ;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отчет об очном консультировании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Пользователей ГИС ЦГУ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отчет по консультационному сопровождению Пользователей ГИС ЦГУ;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отчет по обеспечению информационной безопасности при технической поддержке </w:t>
              <w:br/>
              <w:t xml:space="preserve">ГИС ЦГУ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</w:r>
          </w:p>
          <w:p>
            <w:pPr>
              <w:pStyle w:val="1109"/>
              <w:ind w:left="0" w:right="0" w:firstLine="283"/>
              <w:jc w:val="both"/>
              <w:rPr>
                <w:rFonts w:ascii="Times New Roman" w:hAnsi="Times New Roman" w:eastAsia="Times New Roman" w:cs="Times New Roman"/>
                <w:color w:val="auto"/>
                <w:sz w:val="10"/>
                <w:szCs w:val="10"/>
              </w:rPr>
            </w:pPr>
            <w:r>
              <w:rPr>
                <w:rFonts w:ascii="Times New Roman" w:hAnsi="Times New Roman" w:eastAsia="Times New Roman" w:cs="Times New Roman"/>
                <w:sz w:val="10"/>
                <w:szCs w:val="10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10"/>
                <w:szCs w:val="10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10"/>
                <w:szCs w:val="10"/>
              </w:rPr>
            </w:r>
          </w:p>
          <w:p>
            <w:pPr>
              <w:ind w:left="0" w:right="0" w:firstLine="0"/>
              <w:jc w:val="both"/>
              <w:tabs>
                <w:tab w:val="left" w:pos="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Актуальная эксплуатационная документация, включая: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ind w:left="0" w:right="0" w:firstLine="283"/>
              <w:jc w:val="both"/>
              <w:spacing w:after="0" w:line="240" w:lineRule="auto"/>
              <w:tabs>
                <w:tab w:val="left" w:pos="425" w:leader="none"/>
              </w:tabs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руководство администратора ГИС ЦГУ;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  <w:p>
            <w:pPr>
              <w:ind w:left="0" w:right="0" w:firstLine="283"/>
              <w:jc w:val="both"/>
              <w:spacing w:after="0" w:line="240" w:lineRule="auto"/>
              <w:tabs>
                <w:tab w:val="left" w:pos="425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руководство пользователя ГИС ЦГУ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1109"/>
        <w:ind w:left="0" w:right="0"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Исполнитель ежегодно не позднее 10 декабря передает Заказчику </w:t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дистрибутивы и исходные коды ГИС ЦГУ для нужд Минэнерго России на оптических дисках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Отчеты об оказанных услугах в отчетный период (этап) утверждаются руководителем Исполнителя.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109"/>
        <w:ind w:left="0" w:right="0"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1"/>
          <w:numId w:val="1"/>
        </w:numPr>
        <w:contextualSpacing/>
        <w:ind w:left="0" w:right="-2" w:firstLine="709"/>
        <w:jc w:val="both"/>
        <w:keepLines/>
        <w:spacing w:after="0" w:line="276" w:lineRule="auto"/>
        <w:tabs>
          <w:tab w:val="left" w:pos="1276" w:leader="none"/>
        </w:tabs>
        <w:rPr>
          <w:rFonts w:ascii="Times New Roman" w:hAnsi="Times New Roman" w:cs="Times New Roman"/>
          <w:b/>
          <w:sz w:val="28"/>
          <w:szCs w:val="28"/>
        </w:rPr>
        <w:outlineLvl w:val="1"/>
      </w:pPr>
      <w:r/>
      <w:bookmarkStart w:id="40" w:name="_Toc40"/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Требования к содержанию отчетов</w:t>
      </w:r>
      <w:bookmarkEnd w:id="0"/>
      <w:r/>
      <w:bookmarkEnd w:id="40"/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Отчеты должны содержать следующие разделы: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введение;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перечень исполнителей (с оригиналами подписей);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перечень сокращений;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разделы отчета, сформированные в соответствии с таблицей № 2 настоящего Технического задания по каждой оказанной услуге в период (соответствующий этап) выполнения государственного контракта;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информация об обеспечении коэффициента доступности ГИС ЦГУ;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выводы.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Разделы отчета заполняются в соответствии с Таблицей 8.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109"/>
        <w:ind w:left="0" w:right="0" w:firstLine="709"/>
        <w:jc w:val="right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Таблица 8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1020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"/>
        <w:gridCol w:w="6378"/>
        <w:gridCol w:w="3402"/>
      </w:tblGrid>
      <w:tr>
        <w:tblPrEx/>
        <w:trPr>
          <w:trHeight w:val="431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№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63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Содержание услуг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340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Структура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</w:tr>
      <w:tr>
        <w:tblPrEx/>
        <w:trPr/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42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637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Поддержка работоспособности ГИС ЦГУ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340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Свободная форма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42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6378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Очное консультирование сотрудников Минэнерго России по работе с ГИС ЦГУ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340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Свободная форма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42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6378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Обеспечение информационной безопасности </w:t>
              <w:br/>
              <w:t xml:space="preserve">при технической поддержке ГИС ЦГУ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340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Свободная форма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42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6378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Мониторинг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аномальной работы системы </w:t>
              <w:br/>
              <w:t xml:space="preserve">и не корректной работы пользователей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340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Свободная форма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42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6378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Управление обновлениями ГИС ЦГУ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340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Свободная форма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42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637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Системное обслуживание и администрирование ГИС ЦГУ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340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 соответствии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br/>
              <w:t xml:space="preserve">с Таблицей 9 настоящего Технического задания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42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6378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Управление эксплуатационными характеристиками и настройка функциональных возможностей </w:t>
              <w:br/>
              <w:t xml:space="preserve">ГИС ЦГУ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340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 соответствии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br/>
              <w:t xml:space="preserve">с Таблицей 10 настоящего Технического задания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42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637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Решение возникающих инцидентов и проблем, </w:t>
              <w:br/>
              <w:t xml:space="preserve">в том числе актуализация состава (наполнения) интерактивных форм государственных услуг Минэнерго России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340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 соответствии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br/>
              <w:t xml:space="preserve">с Таблицей 11 настоящего Технического задания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42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6378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Мониторинг доступности интерактивных форм заявлений оказания государственных услуг </w:t>
              <w:br/>
              <w:t xml:space="preserve">в электронном виде и организация обработки запросов по устранению технических ошибок </w:t>
              <w:br/>
              <w:t xml:space="preserve">в интерактивных формах, в том числе актуализация состава (наполнения)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340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 соответствии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br/>
              <w:t xml:space="preserve">с Таблицей 11 настоящего Технического задания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42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637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Поддержка работоспособности видов сведений СМЭВ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340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 соответствии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br/>
              <w:t xml:space="preserve">с Таблицей 12 настоящего Технического задания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1309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42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637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Информационно-техническое сопровождение пользователей по вопросам функционирования </w:t>
              <w:br/>
              <w:t xml:space="preserve">ГИС ЦГУ и особенностям ведомственных процессов, автоматизированных в ГИС ЦГУ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340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 соответствии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br/>
              <w:t xml:space="preserve">с Таблицей 13 настоящего Технического задания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42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6378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Информационная поддержка по вопросам методологии оказания государственных услуг </w:t>
              <w:br/>
              <w:t xml:space="preserve">в электронном виде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340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 соответствии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br/>
              <w:t xml:space="preserve">с Таблицей 14 настоящего Технического задания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42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637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Управление изменениями эксплуатационной документации ГИС ЦГУ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340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 соответствии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br/>
              <w:t xml:space="preserve">с Таблицей 15 настоящего Технического задания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contextualSpacing/>
        <w:ind w:right="-2"/>
        <w:jc w:val="both"/>
        <w:keepLines/>
        <w:spacing w:after="0" w:line="276" w:lineRule="auto"/>
        <w:tabs>
          <w:tab w:val="left" w:pos="1276" w:leader="none"/>
        </w:tabs>
        <w:rPr>
          <w:rFonts w:ascii="Times New Roman" w:hAnsi="Times New Roman" w:cs="Times New Roman"/>
          <w:b/>
          <w:bCs/>
          <w:sz w:val="28"/>
          <w:szCs w:val="28"/>
        </w:rPr>
        <w:outlineLvl w:val="1"/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contextualSpacing/>
        <w:ind w:right="-2"/>
        <w:jc w:val="both"/>
        <w:keepLines/>
        <w:spacing w:after="0" w:line="276" w:lineRule="auto"/>
        <w:tabs>
          <w:tab w:val="left" w:pos="1276" w:leader="none"/>
        </w:tabs>
        <w:rPr>
          <w:rFonts w:ascii="Times New Roman" w:hAnsi="Times New Roman" w:cs="Times New Roman"/>
          <w:b/>
          <w:bCs/>
          <w:sz w:val="28"/>
          <w:szCs w:val="28"/>
        </w:rPr>
        <w:sectPr>
          <w:headerReference w:type="default" r:id="rId9"/>
          <w:headerReference w:type="first" r:id="rId10"/>
          <w:footerReference w:type="default" r:id="rId15"/>
          <w:footerReference w:type="first" r:id="rId16"/>
          <w:footnotePr/>
          <w:endnotePr/>
          <w:type w:val="continuous"/>
          <w:pgSz w:w="11906" w:h="16838" w:orient="portrait"/>
          <w:pgMar w:top="1134" w:right="567" w:bottom="1134" w:left="1134" w:header="567" w:footer="709" w:gutter="0"/>
          <w:cols w:num="1" w:sep="0" w:space="708" w:equalWidth="1"/>
          <w:docGrid w:linePitch="360"/>
          <w:titlePg/>
        </w:sectPr>
        <w:outlineLvl w:val="1"/>
      </w:pP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1114"/>
        <w:ind w:left="0" w:right="0" w:firstLine="0"/>
        <w:jc w:val="right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Таблица 9 – Регламентные профилактические работы, направленные на поддержание функционирования, проведенные </w:t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отчетный период (этап)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1115"/>
        <w:tblW w:w="151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2551"/>
        <w:gridCol w:w="3969"/>
        <w:gridCol w:w="2409"/>
        <w:gridCol w:w="2692"/>
      </w:tblGrid>
      <w:tr>
        <w:tblPrEx/>
        <w:trPr>
          <w:trHeight w:val="567"/>
          <w:tblHeader/>
        </w:trPr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br/>
              <w:t xml:space="preserve">п/п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Вид работ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Периодичность выполнения работ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396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Результат проведения работ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ФИО исполнителя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692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Подпись исполнителя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</w:tc>
      </w:tr>
      <w:tr>
        <w:tblPrEx/>
        <w:trPr>
          <w:trHeight w:val="262"/>
        </w:trPr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97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55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39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692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jc w:val="both"/>
        <w:spacing w:after="0" w:line="240" w:lineRule="auto"/>
        <w:shd w:val="clear" w:color="ffffff" w:themeColor="background1" w:fill="ffffff" w:themeFill="background1"/>
        <w:tabs>
          <w:tab w:val="left" w:pos="992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1114"/>
        <w:ind w:left="0" w:right="0" w:firstLine="0"/>
        <w:jc w:val="right"/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Таблица 10 – Управление эксплуатационными характеристиками и настройка функциональных возможностей ГИС ЦГУ, реализованные в отчетный период (этап)</w:t>
      </w:r>
      <w:r>
        <w:rPr>
          <w:rFonts w:ascii="Times New Roman" w:hAnsi="Times New Roman" w:cs="Times New Roman"/>
          <w:i/>
          <w:sz w:val="28"/>
          <w:szCs w:val="28"/>
        </w:rPr>
      </w:r>
      <w:r>
        <w:rPr>
          <w:rFonts w:ascii="Times New Roman" w:hAnsi="Times New Roman" w:cs="Times New Roman"/>
          <w:i/>
          <w:sz w:val="28"/>
          <w:szCs w:val="28"/>
        </w:rPr>
      </w:r>
    </w:p>
    <w:tbl>
      <w:tblPr>
        <w:tblStyle w:val="962"/>
        <w:tblW w:w="15165" w:type="dxa"/>
        <w:tblLayout w:type="fixed"/>
        <w:tblLook w:val="04A0" w:firstRow="1" w:lastRow="0" w:firstColumn="1" w:lastColumn="0" w:noHBand="0" w:noVBand="1"/>
      </w:tblPr>
      <w:tblGrid>
        <w:gridCol w:w="425"/>
        <w:gridCol w:w="3118"/>
        <w:gridCol w:w="2552"/>
        <w:gridCol w:w="3969"/>
        <w:gridCol w:w="2409"/>
        <w:gridCol w:w="2692"/>
      </w:tblGrid>
      <w:tr>
        <w:tblPrEx/>
        <w:trPr>
          <w:trHeight w:val="567"/>
          <w:tblHeader/>
        </w:trPr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992" w:leader="none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val="en-GB"/>
              </w:rPr>
              <w:t xml:space="preserve">/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  <w:t xml:space="preserve">п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3118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992" w:leader="none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  <w:t xml:space="preserve">Услуга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552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992" w:leader="none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  <w:t xml:space="preserve">Период оказания услуги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3969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992" w:leader="none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  <w:t xml:space="preserve">Результаты оказания услуги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409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992" w:leader="none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  <w:t xml:space="preserve">ФИО исполнителя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692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992" w:leader="none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  <w:t xml:space="preserve">Подпись исполнителя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351"/>
        </w:trPr>
        <w:tc>
          <w:tcPr>
            <w:tcW w:w="4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W w:w="3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W w:w="255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W w:w="396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W w:w="269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right="-453" w:firstLine="709"/>
        <w:jc w:val="both"/>
        <w:spacing w:after="0" w:line="240" w:lineRule="auto"/>
        <w:tabs>
          <w:tab w:val="left" w:pos="99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14"/>
        <w:ind w:right="0" w:firstLine="0"/>
        <w:jc w:val="right"/>
        <w:spacing w:line="276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11 – Инциденты, проблемы, актуализация состава (наполнения) и мониторинг доступности интерактивных форм государственных услуг Минэнерго России, решенные/проведенные в отчетный период (этап)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962"/>
        <w:tblW w:w="0" w:type="auto"/>
        <w:tblLayout w:type="fixed"/>
        <w:tblLook w:val="04A0" w:firstRow="1" w:lastRow="0" w:firstColumn="1" w:lastColumn="0" w:noHBand="0" w:noVBand="1"/>
      </w:tblPr>
      <w:tblGrid>
        <w:gridCol w:w="425"/>
        <w:gridCol w:w="1276"/>
        <w:gridCol w:w="1276"/>
        <w:gridCol w:w="1418"/>
        <w:gridCol w:w="1132"/>
        <w:gridCol w:w="1134"/>
        <w:gridCol w:w="1276"/>
        <w:gridCol w:w="1134"/>
        <w:gridCol w:w="1276"/>
        <w:gridCol w:w="1276"/>
        <w:gridCol w:w="1701"/>
        <w:gridCol w:w="1845"/>
      </w:tblGrid>
      <w:tr>
        <w:tblPrEx/>
        <w:trPr>
          <w:trHeight w:val="1417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shd w:val="clear" w:color="ffffff" w:themeColor="background1" w:fill="ffffff" w:themeFill="background1"/>
              <w:tabs>
                <w:tab w:val="left" w:pos="992" w:leader="none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  <w:t xml:space="preserve">№ п/п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hd w:val="clear" w:color="ffffff" w:themeColor="background1" w:fill="ffffff" w:themeFill="background1"/>
              <w:tabs>
                <w:tab w:val="left" w:pos="992" w:leader="none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  <w:t xml:space="preserve">Инициатор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hd w:val="clear" w:color="ffffff" w:themeColor="background1" w:fill="ffffff" w:themeFill="background1"/>
              <w:tabs>
                <w:tab w:val="left" w:pos="992" w:leader="none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  <w:t xml:space="preserve">Форма обращения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jc w:val="center"/>
              <w:shd w:val="clear" w:color="ffffff" w:themeColor="background1" w:fill="ffffff" w:themeFill="background1"/>
              <w:tabs>
                <w:tab w:val="left" w:pos="992" w:leader="none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  <w:t xml:space="preserve">Дата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  <w:br/>
              <w:t xml:space="preserve">и время поступления запроса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2" w:type="dxa"/>
            <w:vAlign w:val="center"/>
            <w:textDirection w:val="lrTb"/>
            <w:noWrap w:val="false"/>
          </w:tcPr>
          <w:p>
            <w:pPr>
              <w:jc w:val="center"/>
              <w:shd w:val="clear" w:color="ffffff" w:themeColor="background1" w:fill="ffffff" w:themeFill="background1"/>
              <w:tabs>
                <w:tab w:val="left" w:pos="992" w:leader="none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  <w:t xml:space="preserve">Дата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  <w:br/>
              <w:t xml:space="preserve">и время реакции </w:t>
              <w:br/>
              <w:t xml:space="preserve">на запрос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  <w:shd w:val="clear" w:color="ffffff" w:themeColor="background1" w:fill="ffffff" w:themeFill="background1"/>
              <w:tabs>
                <w:tab w:val="left" w:pos="992" w:leader="none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  <w:t xml:space="preserve">Дата решения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hd w:val="clear" w:color="ffffff" w:themeColor="background1" w:fill="ffffff" w:themeFill="background1"/>
              <w:tabs>
                <w:tab w:val="left" w:pos="992" w:leader="none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  <w:t xml:space="preserve">Тема обращения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  <w:shd w:val="clear" w:color="ffffff" w:themeColor="background1" w:fill="ffffff" w:themeFill="background1"/>
              <w:tabs>
                <w:tab w:val="left" w:pos="992" w:leader="none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  <w:t xml:space="preserve">Описание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hd w:val="clear" w:color="ffffff" w:themeColor="background1" w:fill="ffffff" w:themeFill="background1"/>
              <w:tabs>
                <w:tab w:val="left" w:pos="992" w:leader="none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  <w:t xml:space="preserve">Приоритет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hd w:val="clear" w:color="ffffff" w:themeColor="background1" w:fill="ffffff" w:themeFill="background1"/>
              <w:tabs>
                <w:tab w:val="left" w:pos="992" w:leader="none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  <w:t xml:space="preserve">Причина инцидента /проблемы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jc w:val="center"/>
              <w:shd w:val="clear" w:color="ffffff" w:themeColor="background1" w:fill="ffffff" w:themeFill="background1"/>
              <w:tabs>
                <w:tab w:val="left" w:pos="992" w:leader="none"/>
              </w:tabs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  <w:t xml:space="preserve">Действия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  <w:br/>
              <w:t xml:space="preserve">по устранению/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описание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shd w:val="clear" w:color="ffffff" w:themeColor="background1" w:fill="ffffff" w:themeFill="background1"/>
              <w:tabs>
                <w:tab w:val="left" w:pos="992" w:leader="none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выполненных работ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845" w:type="dxa"/>
            <w:vAlign w:val="center"/>
            <w:textDirection w:val="lrTb"/>
            <w:noWrap w:val="false"/>
          </w:tcPr>
          <w:p>
            <w:pPr>
              <w:jc w:val="center"/>
              <w:shd w:val="clear" w:color="ffffff" w:themeColor="background1" w:fill="ffffff" w:themeFill="background1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  <w:t xml:space="preserve">Ответственный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jc w:val="center"/>
              <w:shd w:val="clear" w:color="ffffff" w:themeColor="background1" w:fill="ffffff" w:themeFill="background1"/>
              <w:tabs>
                <w:tab w:val="left" w:pos="992" w:leader="none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hd w:val="clear" w:color="ffffff" w:themeColor="background1" w:fill="ffffff" w:themeFill="background1"/>
              <w:tabs>
                <w:tab w:val="left" w:pos="992" w:leader="none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hd w:val="clear" w:color="ffffff" w:themeColor="background1" w:fill="ffffff" w:themeFill="background1"/>
              <w:tabs>
                <w:tab w:val="left" w:pos="992" w:leader="none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1418" w:type="dxa"/>
            <w:vMerge w:val="restart"/>
            <w:textDirection w:val="lrTb"/>
            <w:noWrap w:val="false"/>
          </w:tcPr>
          <w:p>
            <w:pPr>
              <w:jc w:val="center"/>
              <w:shd w:val="clear" w:color="ffffff" w:themeColor="background1" w:fill="ffffff" w:themeFill="background1"/>
              <w:tabs>
                <w:tab w:val="left" w:pos="992" w:leader="none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1132" w:type="dxa"/>
            <w:vMerge w:val="restart"/>
            <w:textDirection w:val="lrTb"/>
            <w:noWrap w:val="false"/>
          </w:tcPr>
          <w:p>
            <w:pPr>
              <w:jc w:val="center"/>
              <w:shd w:val="clear" w:color="ffffff" w:themeColor="background1" w:fill="ffffff" w:themeFill="background1"/>
              <w:tabs>
                <w:tab w:val="left" w:pos="992" w:leader="none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jc w:val="center"/>
              <w:shd w:val="clear" w:color="ffffff" w:themeColor="background1" w:fill="ffffff" w:themeFill="background1"/>
              <w:tabs>
                <w:tab w:val="left" w:pos="992" w:leader="none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hd w:val="clear" w:color="ffffff" w:themeColor="background1" w:fill="ffffff" w:themeFill="background1"/>
              <w:tabs>
                <w:tab w:val="left" w:pos="992" w:leader="none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jc w:val="center"/>
              <w:shd w:val="clear" w:color="ffffff" w:themeColor="background1" w:fill="ffffff" w:themeFill="background1"/>
              <w:tabs>
                <w:tab w:val="left" w:pos="992" w:leader="none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jc w:val="center"/>
              <w:shd w:val="clear" w:color="ffffff" w:themeColor="background1" w:fill="ffffff" w:themeFill="background1"/>
              <w:tabs>
                <w:tab w:val="left" w:pos="992" w:leader="none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1845" w:type="dxa"/>
            <w:vMerge w:val="restart"/>
            <w:textDirection w:val="lrTb"/>
            <w:noWrap w:val="false"/>
          </w:tcPr>
          <w:p>
            <w:pPr>
              <w:jc w:val="center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</w:tbl>
    <w:p>
      <w:pPr>
        <w:ind w:right="-453" w:firstLine="709"/>
        <w:jc w:val="both"/>
        <w:spacing w:after="0" w:line="240" w:lineRule="auto"/>
        <w:tabs>
          <w:tab w:val="left" w:pos="99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14"/>
        <w:ind w:right="0" w:firstLine="0"/>
        <w:jc w:val="right"/>
        <w:spacing w:line="276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Таблица 12 – Поддержка работоспособности видов сведений СМЭВ, реализованная в отчетный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период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(этап)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962"/>
        <w:tblW w:w="0" w:type="auto"/>
        <w:tblLayout w:type="fixed"/>
        <w:tblLook w:val="04A0" w:firstRow="1" w:lastRow="0" w:firstColumn="1" w:lastColumn="0" w:noHBand="0" w:noVBand="1"/>
      </w:tblPr>
      <w:tblGrid>
        <w:gridCol w:w="425"/>
        <w:gridCol w:w="1276"/>
        <w:gridCol w:w="1276"/>
        <w:gridCol w:w="1418"/>
        <w:gridCol w:w="1133"/>
        <w:gridCol w:w="1134"/>
        <w:gridCol w:w="1276"/>
        <w:gridCol w:w="1134"/>
        <w:gridCol w:w="1276"/>
        <w:gridCol w:w="1276"/>
        <w:gridCol w:w="1701"/>
        <w:gridCol w:w="1843"/>
      </w:tblGrid>
      <w:tr>
        <w:tblPrEx/>
        <w:trPr/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shd w:val="clear" w:color="ffffff" w:themeColor="background1" w:fill="ffffff" w:themeFill="background1"/>
              <w:tabs>
                <w:tab w:val="left" w:pos="992" w:leader="none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  <w:t xml:space="preserve">№ п/п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hd w:val="clear" w:color="ffffff" w:themeColor="background1" w:fill="ffffff" w:themeFill="background1"/>
              <w:tabs>
                <w:tab w:val="left" w:pos="992" w:leader="none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  <w:t xml:space="preserve">Инициатор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hd w:val="clear" w:color="ffffff" w:themeColor="background1" w:fill="ffffff" w:themeFill="background1"/>
              <w:tabs>
                <w:tab w:val="left" w:pos="992" w:leader="none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  <w:t xml:space="preserve">Форма обращения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jc w:val="center"/>
              <w:shd w:val="clear" w:color="ffffff" w:themeColor="background1" w:fill="ffffff" w:themeFill="background1"/>
              <w:tabs>
                <w:tab w:val="left" w:pos="992" w:leader="none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  <w:t xml:space="preserve">Дата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  <w:br/>
              <w:t xml:space="preserve">и время поступления запроса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3" w:type="dxa"/>
            <w:vAlign w:val="center"/>
            <w:textDirection w:val="lrTb"/>
            <w:noWrap w:val="false"/>
          </w:tcPr>
          <w:p>
            <w:pPr>
              <w:jc w:val="center"/>
              <w:shd w:val="clear" w:color="ffffff" w:themeColor="background1" w:fill="ffffff" w:themeFill="background1"/>
              <w:tabs>
                <w:tab w:val="left" w:pos="992" w:leader="none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  <w:t xml:space="preserve">Дата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  <w:br/>
              <w:t xml:space="preserve">и время реакции на запрос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  <w:shd w:val="clear" w:color="ffffff" w:themeColor="background1" w:fill="ffffff" w:themeFill="background1"/>
              <w:tabs>
                <w:tab w:val="left" w:pos="992" w:leader="none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  <w:t xml:space="preserve">Дата решения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hd w:val="clear" w:color="ffffff" w:themeColor="background1" w:fill="ffffff" w:themeFill="background1"/>
              <w:tabs>
                <w:tab w:val="left" w:pos="992" w:leader="none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  <w:t xml:space="preserve">Тема обращения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  <w:shd w:val="clear" w:color="ffffff" w:themeColor="background1" w:fill="ffffff" w:themeFill="background1"/>
              <w:tabs>
                <w:tab w:val="left" w:pos="992" w:leader="none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  <w:t xml:space="preserve">Описание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hd w:val="clear" w:color="ffffff" w:themeColor="background1" w:fill="ffffff" w:themeFill="background1"/>
              <w:tabs>
                <w:tab w:val="left" w:pos="992" w:leader="none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  <w:t xml:space="preserve">Приоритет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hd w:val="clear" w:color="ffffff" w:themeColor="background1" w:fill="ffffff" w:themeFill="background1"/>
              <w:tabs>
                <w:tab w:val="left" w:pos="992" w:leader="none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  <w:t xml:space="preserve">Причина инцидента /проблемы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jc w:val="center"/>
              <w:shd w:val="clear" w:color="ffffff" w:themeColor="background1" w:fill="ffffff" w:themeFill="background1"/>
              <w:tabs>
                <w:tab w:val="left" w:pos="992" w:leader="none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  <w:t xml:space="preserve">Действия по устранению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ffffff" w:themeColor="background1" w:fill="ffffff" w:themeFill="background1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  <w:t xml:space="preserve">Ответственный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12"/>
            <w:tcW w:w="1516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ffffff" w:themeColor="background1" w:fill="ffffff" w:themeFill="background1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Наименование государственной услуги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highlight w:val="white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jc w:val="center"/>
              <w:shd w:val="clear" w:color="ffffff" w:themeColor="background1" w:fill="ffffff" w:themeFill="background1"/>
              <w:tabs>
                <w:tab w:val="left" w:pos="992" w:leader="none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hd w:val="clear" w:color="ffffff" w:themeColor="background1" w:fill="ffffff" w:themeFill="background1"/>
              <w:tabs>
                <w:tab w:val="left" w:pos="992" w:leader="none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hd w:val="clear" w:color="ffffff" w:themeColor="background1" w:fill="ffffff" w:themeFill="background1"/>
              <w:tabs>
                <w:tab w:val="left" w:pos="992" w:leader="none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W w:w="1418" w:type="dxa"/>
            <w:vMerge w:val="restart"/>
            <w:textDirection w:val="lrTb"/>
            <w:noWrap w:val="false"/>
          </w:tcPr>
          <w:p>
            <w:pPr>
              <w:jc w:val="center"/>
              <w:shd w:val="clear" w:color="ffffff" w:themeColor="background1" w:fill="ffffff" w:themeFill="background1"/>
              <w:tabs>
                <w:tab w:val="left" w:pos="992" w:leader="none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W w:w="1133" w:type="dxa"/>
            <w:vMerge w:val="restart"/>
            <w:textDirection w:val="lrTb"/>
            <w:noWrap w:val="false"/>
          </w:tcPr>
          <w:p>
            <w:pPr>
              <w:jc w:val="center"/>
              <w:shd w:val="clear" w:color="ffffff" w:themeColor="background1" w:fill="ffffff" w:themeFill="background1"/>
              <w:tabs>
                <w:tab w:val="left" w:pos="992" w:leader="none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jc w:val="center"/>
              <w:shd w:val="clear" w:color="ffffff" w:themeColor="background1" w:fill="ffffff" w:themeFill="background1"/>
              <w:tabs>
                <w:tab w:val="left" w:pos="992" w:leader="none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hd w:val="clear" w:color="ffffff" w:themeColor="background1" w:fill="ffffff" w:themeFill="background1"/>
              <w:tabs>
                <w:tab w:val="left" w:pos="992" w:leader="none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jc w:val="center"/>
              <w:shd w:val="clear" w:color="ffffff" w:themeColor="background1" w:fill="ffffff" w:themeFill="background1"/>
              <w:tabs>
                <w:tab w:val="left" w:pos="992" w:leader="none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jc w:val="center"/>
              <w:shd w:val="clear" w:color="ffffff" w:themeColor="background1" w:fill="ffffff" w:themeFill="background1"/>
              <w:tabs>
                <w:tab w:val="left" w:pos="992" w:leader="none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jc w:val="center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r>
          </w:p>
        </w:tc>
      </w:tr>
    </w:tbl>
    <w:p>
      <w:pPr>
        <w:ind w:right="-453"/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0"/>
        <w:jc w:val="right"/>
        <w:spacing w:after="0"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Таблица 13 – Запросы на информационно-техническое сопровождение пользователей по вопросам функционирования </w:t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ГИС ЦГУ и особенностям ведомственных процессов, автоматизированных в ГИС ЦГУ(включая запросы о предоставлении доступа), решенные в отчетный период (эта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п)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tbl>
      <w:tblPr>
        <w:tblStyle w:val="962"/>
        <w:tblW w:w="0" w:type="auto"/>
        <w:tblLayout w:type="fixed"/>
        <w:tblLook w:val="04A0" w:firstRow="1" w:lastRow="0" w:firstColumn="1" w:lastColumn="0" w:noHBand="0" w:noVBand="1"/>
      </w:tblPr>
      <w:tblGrid>
        <w:gridCol w:w="567"/>
        <w:gridCol w:w="1943"/>
        <w:gridCol w:w="2025"/>
        <w:gridCol w:w="2145"/>
        <w:gridCol w:w="2107"/>
        <w:gridCol w:w="2126"/>
        <w:gridCol w:w="1984"/>
        <w:gridCol w:w="2268"/>
      </w:tblGrid>
      <w:tr>
        <w:tblPrEx/>
        <w:trPr/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№</w:t>
              <w:br/>
              <w:t xml:space="preserve">п/п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19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Номер запроса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Дата регистрации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14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Заявитель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10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Описание запроса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Решение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Дата решения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Ответственный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0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4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0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right="0"/>
        <w:jc w:val="right"/>
        <w:spacing w:after="0" w:line="276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0"/>
        <w:jc w:val="right"/>
        <w:spacing w:after="0"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Таблица 14 – Информационная поддержка по вопросам методологии оказания государств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енных услуг в электронном виде, предоставленная в отчет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ный период (этап)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tbl>
      <w:tblPr>
        <w:tblStyle w:val="962"/>
        <w:tblW w:w="0" w:type="auto"/>
        <w:tblLayout w:type="fixed"/>
        <w:tblLook w:val="04A0" w:firstRow="1" w:lastRow="0" w:firstColumn="1" w:lastColumn="0" w:noHBand="0" w:noVBand="1"/>
      </w:tblPr>
      <w:tblGrid>
        <w:gridCol w:w="567"/>
        <w:gridCol w:w="3047"/>
        <w:gridCol w:w="3047"/>
        <w:gridCol w:w="2126"/>
        <w:gridCol w:w="2126"/>
        <w:gridCol w:w="1984"/>
        <w:gridCol w:w="2268"/>
      </w:tblGrid>
      <w:tr>
        <w:tblPrEx/>
        <w:trPr>
          <w:trHeight w:val="527"/>
        </w:trPr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№</w:t>
              <w:br/>
              <w:t xml:space="preserve">п/п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304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Дата поступления запроса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304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Заявитель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Описание запроса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Решение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Дата решения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Ответственный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0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0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right="-453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0"/>
        <w:jc w:val="right"/>
        <w:spacing w:after="0" w:line="276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Таблица 15 – Сведения об актуализированной эксплуатационной документации ГИС ЦГУ за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отчетный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период (этап)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962"/>
        <w:tblW w:w="0" w:type="auto"/>
        <w:tblLayout w:type="fixed"/>
        <w:tblLook w:val="04A0" w:firstRow="1" w:lastRow="0" w:firstColumn="1" w:lastColumn="0" w:noHBand="0" w:noVBand="1"/>
      </w:tblPr>
      <w:tblGrid>
        <w:gridCol w:w="567"/>
        <w:gridCol w:w="7299"/>
        <w:gridCol w:w="7299"/>
      </w:tblGrid>
      <w:tr>
        <w:tblPrEx/>
        <w:trPr/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№</w:t>
              <w:br/>
              <w:t xml:space="preserve">п/п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729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Обозначение документа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729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Название документа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9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29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right="-453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709"/>
        <w:jc w:val="both"/>
        <w:spacing w:after="0" w:line="240" w:lineRule="auto"/>
        <w:tabs>
          <w:tab w:val="left" w:pos="99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709"/>
        <w:jc w:val="both"/>
        <w:spacing w:after="0" w:line="240" w:lineRule="auto"/>
        <w:tabs>
          <w:tab w:val="left" w:pos="992" w:leader="none"/>
        </w:tabs>
        <w:rPr>
          <w:rFonts w:ascii="Times New Roman" w:hAnsi="Times New Roman" w:cs="Times New Roman"/>
          <w:sz w:val="28"/>
          <w:szCs w:val="28"/>
        </w:rPr>
        <w:sectPr>
          <w:headerReference w:type="default" r:id="rId11"/>
          <w:headerReference w:type="first" r:id="rId12"/>
          <w:footerReference w:type="first" r:id="rId17"/>
          <w:footnotePr/>
          <w:endnotePr/>
          <w:type w:val="nextPage"/>
          <w:pgSz w:w="16838" w:h="11906" w:orient="landscape"/>
          <w:pgMar w:top="1134" w:right="539" w:bottom="567" w:left="1134" w:header="709" w:footer="709" w:gutter="0"/>
          <w:cols w:num="1" w:sep="0" w:space="708" w:equalWidth="1"/>
          <w:docGrid w:linePitch="360"/>
          <w:titlePg/>
        </w:sect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"/>
        </w:numPr>
        <w:contextualSpacing/>
        <w:ind w:left="0" w:right="-2" w:firstLine="709"/>
        <w:jc w:val="both"/>
        <w:keepLines/>
        <w:spacing w:after="0" w:line="276" w:lineRule="auto"/>
        <w:tabs>
          <w:tab w:val="left" w:pos="1276" w:leader="none"/>
        </w:tabs>
        <w:rPr>
          <w:rFonts w:ascii="Times New Roman" w:hAnsi="Times New Roman" w:cs="Times New Roman"/>
          <w:b/>
          <w:bCs/>
          <w:sz w:val="28"/>
          <w:szCs w:val="28"/>
        </w:rPr>
        <w:outlineLvl w:val="1"/>
      </w:pPr>
      <w:r/>
      <w:bookmarkStart w:id="41" w:name="_Toc41"/>
      <w:r>
        <w:rPr>
          <w:rFonts w:ascii="Times New Roman" w:hAnsi="Times New Roman" w:cs="Times New Roman"/>
          <w:b/>
          <w:sz w:val="28"/>
          <w:szCs w:val="28"/>
          <w:highlight w:val="none"/>
        </w:rPr>
        <w:t xml:space="preserve">Гарантии качества услуг</w:t>
      </w:r>
      <w:bookmarkEnd w:id="41"/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contextualSpacing/>
        <w:ind w:left="709" w:right="-2" w:firstLine="0"/>
        <w:jc w:val="both"/>
        <w:keepLines/>
        <w:spacing w:after="0" w:line="240" w:lineRule="auto"/>
        <w:tabs>
          <w:tab w:val="left" w:pos="1276" w:leader="none"/>
        </w:tabs>
        <w:rPr>
          <w:rFonts w:ascii="Times New Roman" w:hAnsi="Times New Roman" w:cs="Times New Roman"/>
          <w:b/>
          <w:bCs/>
          <w:sz w:val="28"/>
          <w:szCs w:val="28"/>
        </w:rPr>
        <w:outlineLvl w:val="1"/>
      </w:pP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numPr>
          <w:ilvl w:val="1"/>
          <w:numId w:val="1"/>
        </w:numPr>
        <w:contextualSpacing/>
        <w:ind w:left="0" w:right="-2" w:firstLine="709"/>
        <w:jc w:val="both"/>
        <w:keepLines/>
        <w:spacing w:after="0" w:line="276" w:lineRule="auto"/>
        <w:tabs>
          <w:tab w:val="left" w:pos="1276" w:leader="none"/>
        </w:tabs>
        <w:rPr>
          <w:rFonts w:ascii="Times New Roman" w:hAnsi="Times New Roman" w:cs="Times New Roman"/>
          <w:b/>
          <w:bCs/>
          <w:sz w:val="28"/>
          <w:szCs w:val="28"/>
        </w:rPr>
        <w:outlineLvl w:val="1"/>
      </w:pPr>
      <w:r/>
      <w:bookmarkStart w:id="42" w:name="_Toc42"/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Показатели качества услуг:</w:t>
      </w:r>
      <w:bookmarkEnd w:id="42"/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обеспечение коэффициента доступности ГИС ЦГУ – 99,5 %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устранение сбоев в работе ГИС ЦГУ;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обеспечение ведения электронных журналов учета операций, выполненных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  <w:t xml:space="preserve">с помощью технологических средств и ПО ГИС ЦГУ.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  <w:highlight w:val="none"/>
        </w:rPr>
        <w:outlineLvl w:val="1"/>
      </w:pPr>
      <w:r/>
      <w:bookmarkStart w:id="43" w:name="_Toc43"/>
      <w:r>
        <w:rPr>
          <w:rFonts w:ascii="Times New Roman" w:hAnsi="Times New Roman" w:cs="Times New Roman"/>
          <w:sz w:val="28"/>
          <w:szCs w:val="28"/>
          <w:highlight w:val="none"/>
        </w:rPr>
        <w:t xml:space="preserve">Периодом расчета в рамках соответствующего этапа оказания услуг </w:t>
        <w:br/>
        <w:t xml:space="preserve">по государственному контракту является отчетный период. Фактический уровень доступности услуги измеряется в процентах и рассчитывается по формуле:</w:t>
      </w:r>
      <w:bookmarkEnd w:id="43"/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  <w:highlight w:val="none"/>
        </w:rPr>
        <w:outlineLvl w:val="1"/>
      </w:pPr>
      <w:r/>
      <w:bookmarkStart w:id="44" w:name="_Toc44"/>
      <w:r>
        <w:rPr>
          <w:rFonts w:ascii="Times New Roman" w:hAnsi="Times New Roman" w:cs="Times New Roman"/>
          <w:sz w:val="28"/>
          <w:szCs w:val="28"/>
          <w:highlight w:val="none"/>
        </w:rPr>
        <w:t xml:space="preserve">ДИС = ((К</w:t>
      </w:r>
      <w:r>
        <w:rPr>
          <w:rFonts w:ascii="Times New Roman" w:hAnsi="Times New Roman" w:cs="Times New Roman"/>
          <w:sz w:val="28"/>
          <w:szCs w:val="28"/>
          <w:highlight w:val="none"/>
          <w:vertAlign w:val="subscript"/>
        </w:rPr>
        <w:t xml:space="preserve">дн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*24-ВН)/(К</w:t>
      </w:r>
      <w:r>
        <w:rPr>
          <w:rFonts w:ascii="Times New Roman" w:hAnsi="Times New Roman" w:cs="Times New Roman"/>
          <w:sz w:val="28"/>
          <w:szCs w:val="28"/>
          <w:highlight w:val="none"/>
          <w:vertAlign w:val="subscript"/>
        </w:rPr>
        <w:t xml:space="preserve">дн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*24))*100, где</w:t>
      </w:r>
      <w:bookmarkEnd w:id="44"/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109"/>
        <w:ind w:left="0" w:right="0"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  <w:highlight w:val="none"/>
        </w:rPr>
        <w:outlineLvl w:val="1"/>
      </w:pPr>
      <w:r/>
      <w:bookmarkStart w:id="45" w:name="_Toc45"/>
      <w:r>
        <w:rPr>
          <w:rFonts w:ascii="Times New Roman" w:hAnsi="Times New Roman" w:cs="Times New Roman"/>
          <w:sz w:val="28"/>
          <w:szCs w:val="28"/>
          <w:highlight w:val="none"/>
        </w:rPr>
        <w:t xml:space="preserve">ДИС – доступность информационной системы, %;</w:t>
      </w:r>
      <w:bookmarkEnd w:id="45"/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  <w:highlight w:val="none"/>
        </w:rPr>
        <w:outlineLvl w:val="1"/>
      </w:pPr>
      <w:r/>
      <w:bookmarkStart w:id="46" w:name="_Toc46"/>
      <w:r>
        <w:rPr>
          <w:rFonts w:ascii="Times New Roman" w:hAnsi="Times New Roman" w:cs="Times New Roman"/>
          <w:sz w:val="28"/>
          <w:szCs w:val="28"/>
          <w:highlight w:val="none"/>
        </w:rPr>
        <w:t xml:space="preserve">К</w:t>
      </w:r>
      <w:r>
        <w:rPr>
          <w:rFonts w:ascii="Times New Roman" w:hAnsi="Times New Roman" w:cs="Times New Roman"/>
          <w:sz w:val="28"/>
          <w:szCs w:val="28"/>
          <w:highlight w:val="none"/>
          <w:vertAlign w:val="subscript"/>
        </w:rPr>
        <w:t xml:space="preserve">дн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– количество дней в отчетный период, единиц;</w:t>
      </w:r>
      <w:bookmarkEnd w:id="46"/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  <w:highlight w:val="none"/>
        </w:rPr>
        <w:outlineLvl w:val="1"/>
      </w:pPr>
      <w:r/>
      <w:bookmarkStart w:id="47" w:name="_Toc47"/>
      <w:r>
        <w:rPr>
          <w:rFonts w:ascii="Times New Roman" w:hAnsi="Times New Roman" w:cs="Times New Roman"/>
          <w:sz w:val="28"/>
          <w:szCs w:val="28"/>
          <w:highlight w:val="none"/>
        </w:rPr>
        <w:t xml:space="preserve">ВН – время недоступности системы, часов.</w:t>
      </w:r>
      <w:bookmarkEnd w:id="47"/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109"/>
        <w:ind w:left="0" w:right="0" w:firstLine="709"/>
        <w:jc w:val="both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numPr>
          <w:ilvl w:val="1"/>
          <w:numId w:val="1"/>
        </w:numPr>
        <w:contextualSpacing/>
        <w:ind w:left="0" w:right="-2" w:firstLine="709"/>
        <w:jc w:val="both"/>
        <w:keepLines/>
        <w:spacing w:after="0" w:line="276" w:lineRule="auto"/>
        <w:tabs>
          <w:tab w:val="left" w:pos="1276" w:leader="none"/>
        </w:tabs>
        <w:rPr>
          <w:rFonts w:ascii="Times New Roman" w:hAnsi="Times New Roman" w:cs="Times New Roman"/>
          <w:b/>
          <w:bCs/>
          <w:sz w:val="28"/>
          <w:szCs w:val="28"/>
        </w:rPr>
        <w:outlineLvl w:val="1"/>
      </w:pPr>
      <w:r/>
      <w:bookmarkStart w:id="48" w:name="_Toc48"/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w:t xml:space="preserve">Условия обеспечения качества услуг</w:t>
      </w:r>
      <w:bookmarkEnd w:id="48"/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1109"/>
        <w:ind w:left="0" w:right="0" w:firstLine="709"/>
        <w:jc w:val="both"/>
        <w:spacing w:line="276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outlineLvl w:val="1"/>
      </w:pPr>
      <w:r/>
      <w:bookmarkStart w:id="49" w:name="_Toc49"/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Все действия и затраты Исполнителя по выполнению условий гарантии качества, устанавливаемых настоящим Техническим заданием, производятся за счет средств Исполнителя.</w:t>
      </w:r>
      <w:bookmarkEnd w:id="49"/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1109"/>
        <w:ind w:left="0" w:right="0" w:firstLine="709"/>
        <w:jc w:val="both"/>
        <w:spacing w:line="240" w:lineRule="auto"/>
        <w:rPr>
          <w:rFonts w:ascii="Times New Roman" w:hAnsi="Times New Roman" w:cs="Times New Roman"/>
          <w:b w:val="0"/>
          <w:bCs w:val="0"/>
          <w:sz w:val="28"/>
          <w:szCs w:val="28"/>
        </w:rPr>
        <w:outlineLvl w:val="1"/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numPr>
          <w:ilvl w:val="1"/>
          <w:numId w:val="1"/>
        </w:numPr>
        <w:contextualSpacing/>
        <w:ind w:left="0" w:right="-2" w:firstLine="709"/>
        <w:jc w:val="both"/>
        <w:keepLines/>
        <w:spacing w:after="0" w:line="276" w:lineRule="auto"/>
        <w:tabs>
          <w:tab w:val="left" w:pos="1276" w:leader="none"/>
        </w:tabs>
        <w:rPr>
          <w:rFonts w:ascii="Times New Roman" w:hAnsi="Times New Roman" w:cs="Times New Roman"/>
          <w:b/>
          <w:bCs/>
          <w:sz w:val="28"/>
          <w:szCs w:val="28"/>
        </w:rPr>
        <w:outlineLvl w:val="1"/>
      </w:pPr>
      <w:r/>
      <w:bookmarkStart w:id="50" w:name="_Toc50"/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Сроки гарантии качества услуг</w:t>
      </w:r>
      <w:bookmarkEnd w:id="50"/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1109"/>
        <w:jc w:val="left"/>
        <w:rPr>
          <w:rFonts w:ascii="Times New Roman" w:hAnsi="Times New Roman" w:cs="Times New Roman"/>
          <w:sz w:val="28"/>
          <w:szCs w:val="28"/>
          <w:highlight w:val="none"/>
        </w:rPr>
        <w:sectPr>
          <w:headerReference w:type="default" r:id="rId13"/>
          <w:headerReference w:type="first" r:id="rId14"/>
          <w:footerReference w:type="first" r:id="rId18"/>
          <w:footnotePr/>
          <w:endnotePr/>
          <w:type w:val="nextPage"/>
          <w:pgSz w:w="11906" w:h="16838" w:orient="portrait"/>
          <w:pgMar w:top="1134" w:right="567" w:bottom="1134" w:left="1134" w:header="709" w:footer="709" w:gutter="0"/>
          <w:cols w:num="1" w:sep="0" w:space="708" w:equalWidth="1"/>
          <w:docGrid w:linePitch="360"/>
          <w:titlePg/>
        </w:sectPr>
      </w:pPr>
      <w:r>
        <w:rPr>
          <w:rFonts w:ascii="Times New Roman" w:hAnsi="Times New Roman" w:cs="Times New Roman"/>
          <w:sz w:val="32"/>
          <w:szCs w:val="32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Срок гарантии качества услуг составляет 60 календарных дней с даты подписания Документа о приемке.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109"/>
        <w:jc w:val="righ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Приложение № 1 </w:t>
        <w:br/>
        <w:t xml:space="preserve">к Техническому заданию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109"/>
        <w:jc w:val="righ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109"/>
        <w:jc w:val="center"/>
        <w:spacing w:line="276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Общая информация о планово-профилактических и аварийных работах и о работах по обновлению программного обеспечения, </w:t>
        <w:br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в том числе в рамках исполнения государственных контрактов по развитию информационных систем (далее – работы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tbl>
      <w:tblPr>
        <w:tblStyle w:val="962"/>
        <w:tblW w:w="15165" w:type="dxa"/>
        <w:tblLayout w:type="fixed"/>
        <w:tblLook w:val="04A0" w:firstRow="1" w:lastRow="0" w:firstColumn="1" w:lastColumn="0" w:noHBand="0" w:noVBand="1"/>
      </w:tblPr>
      <w:tblGrid>
        <w:gridCol w:w="8362"/>
        <w:gridCol w:w="6803"/>
      </w:tblGrid>
      <w:tr>
        <w:tblPrEx/>
        <w:trPr/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83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Наименование информационной системы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680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83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Реквизиты государственного контракта, в рамках которого проводятся работы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680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54"/>
        </w:trPr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83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Причина проведения работ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6803" w:type="dxa"/>
            <w:textDirection w:val="lrTb"/>
            <w:noWrap w:val="false"/>
          </w:tcPr>
          <w:p>
            <w:pPr>
              <w:pStyle w:val="1110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836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Период проведения работ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vertAlign w:val="superscript"/>
              </w:rPr>
              <w:t xml:space="preserve">**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680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32"/>
        </w:trPr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83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Обоснование срочности проведения работ (при наличии)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680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83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Серверное оборудование, на котором будут проводиться работы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680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83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Необходимость остановки информационной системы (недоступность </w:t>
              <w:br/>
              <w:t xml:space="preserve">информационной системы)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680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83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Риски, которые могут повлечь за собой работы (при наличии)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680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83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Потребность в привлечении сотрудников СТП, обеспечивающих оказание услуг </w:t>
              <w:br/>
              <w:t xml:space="preserve">по поддержке вычислительной и телекоммуникационной инфраструктуры </w:t>
              <w:br/>
              <w:t xml:space="preserve">Минэнерго России, или сотрудников ведомственного центра ГосСОПКА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680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836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Организация, которая будет проводить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680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83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Ответственное лицо и контактные данные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680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11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1109"/>
        <w:jc w:val="center"/>
        <w:spacing w:line="276" w:lineRule="auto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План-график работ по обновлению программного обеспечения информационной системы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tbl>
      <w:tblPr>
        <w:tblStyle w:val="962"/>
        <w:tblW w:w="5009" w:type="pct"/>
        <w:tblLayout w:type="fixed"/>
        <w:tblLook w:val="04A0" w:firstRow="1" w:lastRow="0" w:firstColumn="1" w:lastColumn="0" w:noHBand="0" w:noVBand="1"/>
      </w:tblPr>
      <w:tblGrid>
        <w:gridCol w:w="425"/>
        <w:gridCol w:w="2948"/>
        <w:gridCol w:w="2948"/>
        <w:gridCol w:w="2892"/>
        <w:gridCol w:w="3004"/>
        <w:gridCol w:w="2948"/>
      </w:tblGrid>
      <w:tr>
        <w:tblPrEx/>
        <w:trPr>
          <w:trHeight w:val="1101"/>
        </w:trPr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№ п/п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94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Подсистема/контур/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br/>
              <w:t xml:space="preserve">сервис или др. информационной системы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94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Описание </w:t>
              <w:br/>
              <w:t xml:space="preserve">и состав работ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89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Дата и время старта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300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Дата и время завершения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94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Максимальное время недоступности информационной системы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</w:p>
        </w:tc>
        <w:tc>
          <w:tcPr>
            <w:tcW w:w="2948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948" w:type="dxa"/>
            <w:vAlign w:val="center"/>
            <w:vMerge w:val="restart"/>
            <w:textDirection w:val="lrTb"/>
            <w:noWrap w:val="false"/>
          </w:tcPr>
          <w:p>
            <w:pPr>
              <w:ind w:left="0" w:firstLine="0"/>
              <w:jc w:val="center"/>
              <w:tabs>
                <w:tab w:val="left" w:pos="283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89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0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94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shd w:val="nil" w:color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 w:clear="all"/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109"/>
        <w:jc w:val="righ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Приложение № 2 </w:t>
        <w:br/>
        <w:t xml:space="preserve">к Техническому заданию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1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09"/>
        <w:jc w:val="center"/>
        <w:rPr>
          <w:rFonts w:ascii="Times New Roman" w:hAnsi="Times New Roman" w:cs="Times New Roman"/>
          <w:b/>
          <w:bCs/>
          <w:i/>
          <w:color w:val="000000" w:themeColor="text1"/>
          <w:highlight w:val="none"/>
        </w:rPr>
      </w:pP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 w:themeColor="text1"/>
          <w:sz w:val="28"/>
          <w:szCs w:val="28"/>
          <w:highlight w:val="none"/>
        </w:rPr>
        <w:t xml:space="preserve">Объем оказываемых услуг</w:t>
      </w:r>
      <w:r>
        <w:rPr>
          <w:rFonts w:ascii="Times New Roman" w:hAnsi="Times New Roman" w:cs="Times New Roman"/>
          <w:b/>
          <w:bCs/>
          <w:i/>
          <w:color w:val="000000" w:themeColor="text1"/>
          <w:highlight w:val="none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highlight w:val="none"/>
        </w:rPr>
      </w:r>
    </w:p>
    <w:p>
      <w:pPr>
        <w:pStyle w:val="1109"/>
        <w:jc w:val="center"/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highlight w:val="none"/>
        </w:rPr>
      </w:r>
    </w:p>
    <w:tbl>
      <w:tblPr>
        <w:tblStyle w:val="962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685"/>
        <w:gridCol w:w="1276"/>
        <w:gridCol w:w="3969"/>
        <w:gridCol w:w="1701"/>
        <w:gridCol w:w="1559"/>
        <w:gridCol w:w="992"/>
        <w:gridCol w:w="1559"/>
        <w:gridCol w:w="4"/>
      </w:tblGrid>
      <w:tr>
        <w:tblPrEx/>
        <w:trPr>
          <w:gridAfter w:val="1"/>
          <w:trHeight w:val="1483"/>
          <w:tblHeader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top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№ п/п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685" w:type="dxa"/>
            <w:vAlign w:val="top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Наименование объекта закупки, товарный знак, знаки обслуживания, фирменные наименования, патенты, полезные модели, промышленные образцы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top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Тип объекта закупки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Позиции </w:t>
              <w:br/>
              <w:t xml:space="preserve">по КТРУ, ОКПД2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top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Количество (объем) </w:t>
              <w:br/>
              <w:t xml:space="preserve">и единица измерения товара, работы, услуги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Цена </w:t>
              <w:br/>
              <w:t xml:space="preserve">за единицу </w:t>
              <w:br/>
              <w:t xml:space="preserve">(в валюте контракта)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top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Ставка НДС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Сумма </w:t>
              <w:br/>
              <w:t xml:space="preserve">(в валюте контракта)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r>
          </w:p>
        </w:tc>
      </w:tr>
      <w:tr>
        <w:tblPrEx/>
        <w:trPr>
          <w:gridAfter w:val="1"/>
          <w:trHeight w:val="69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425" w:type="dxa"/>
            <w:vAlign w:val="top"/>
            <w:vMerge w:val="restart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3685" w:type="dxa"/>
            <w:vAlign w:val="top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hint="eastAsia" w:ascii="Times New Roman" w:hAnsi="Times New Roman" w:eastAsia="Times New Roman" w:cs="Times New Roman"/>
                <w:sz w:val="28"/>
                <w:szCs w:val="28"/>
              </w:rPr>
              <w:t xml:space="preserve">Услуги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sz w:val="28"/>
                <w:szCs w:val="28"/>
              </w:rPr>
              <w:t xml:space="preserve">по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sz w:val="28"/>
                <w:szCs w:val="28"/>
              </w:rPr>
              <w:t xml:space="preserve">технической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sz w:val="28"/>
                <w:szCs w:val="28"/>
              </w:rPr>
              <w:t xml:space="preserve">поддержке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sz w:val="28"/>
                <w:szCs w:val="28"/>
              </w:rPr>
              <w:t xml:space="preserve">информационных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sz w:val="28"/>
                <w:szCs w:val="28"/>
              </w:rPr>
              <w:t xml:space="preserve">технологий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276" w:type="dxa"/>
            <w:vAlign w:val="top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Услуга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1109"/>
              <w:ind w:left="0" w:right="0" w:firstLine="0"/>
              <w:jc w:val="center"/>
              <w:spacing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hint="eastAsia" w:ascii="Times New Roman" w:hAnsi="Times New Roman" w:eastAsia="Times New Roman" w:cs="Times New Roman"/>
                <w:sz w:val="28"/>
                <w:szCs w:val="28"/>
              </w:rPr>
              <w:t xml:space="preserve">Услуги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sz w:val="28"/>
                <w:szCs w:val="28"/>
              </w:rPr>
              <w:t xml:space="preserve">по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sz w:val="28"/>
                <w:szCs w:val="28"/>
              </w:rPr>
              <w:t xml:space="preserve">технической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sz w:val="28"/>
                <w:szCs w:val="28"/>
              </w:rPr>
              <w:t xml:space="preserve">поддержке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sz w:val="28"/>
                <w:szCs w:val="28"/>
              </w:rPr>
              <w:t xml:space="preserve">информационных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sz w:val="28"/>
                <w:szCs w:val="28"/>
              </w:rPr>
              <w:t xml:space="preserve">технологий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1109"/>
              <w:ind w:left="0" w:right="0" w:firstLine="0"/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(</w:t>
            </w:r>
            <w:hyperlink r:id="rId21" w:tooltip="https://zakupki.gov.ru/epz/ktru/ktruCard/ktru-description.html?itemId=33391&amp;backUrl=" w:history="1">
              <w:r>
                <w:rPr>
                  <w:rFonts w:ascii="Times New Roman" w:hAnsi="Times New Roman" w:eastAsia="Times New Roman" w:cs="Times New Roman"/>
                  <w:sz w:val="28"/>
                  <w:szCs w:val="28"/>
                </w:rPr>
                <w:t xml:space="preserve">62.02.30.000-00000002</w:t>
              </w:r>
            </w:hyperlink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1109"/>
              <w:ind w:left="0" w:right="0" w:firstLine="0"/>
              <w:jc w:val="center"/>
              <w:spacing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pStyle w:val="1109"/>
              <w:ind w:left="0" w:right="0" w:firstLine="0"/>
              <w:jc w:val="center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sz w:val="28"/>
                <w:szCs w:val="28"/>
              </w:rPr>
              <w:t xml:space="preserve">Услуги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sz w:val="28"/>
                <w:szCs w:val="28"/>
              </w:rPr>
              <w:t xml:space="preserve">по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sz w:val="28"/>
                <w:szCs w:val="28"/>
              </w:rPr>
              <w:t xml:space="preserve">технической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sz w:val="28"/>
                <w:szCs w:val="28"/>
              </w:rPr>
              <w:t xml:space="preserve">поддержке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sz w:val="28"/>
                <w:szCs w:val="28"/>
              </w:rPr>
              <w:t xml:space="preserve">информационных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sz w:val="28"/>
                <w:szCs w:val="28"/>
              </w:rPr>
              <w:t xml:space="preserve">технологий</w:t>
            </w:r>
            <w:r>
              <w:rPr>
                <w:rFonts w:hint="eastAsia" w:ascii="Times New Roman" w:hAnsi="Times New Roman" w:eastAsia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62.02.30.000</w:t>
            </w:r>
            <w:r>
              <w:rPr>
                <w:rFonts w:hint="eastAsia" w:ascii="Times New Roman" w:hAnsi="Times New Roman" w:eastAsia="Times New Roman" w:cs="Times New Roman"/>
                <w:sz w:val="28"/>
                <w:szCs w:val="28"/>
              </w:rPr>
              <w:t xml:space="preserve">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701" w:type="dxa"/>
            <w:vAlign w:val="top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 условная единица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1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усл. ед.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992" w:type="dxa"/>
            <w:vAlign w:val="top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yellow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1109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yellow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r>
          </w:p>
        </w:tc>
      </w:tr>
      <w:tr>
        <w:tblPrEx/>
        <w:trPr>
          <w:trHeight w:val="410"/>
        </w:trPr>
        <w:tc>
          <w:tcPr>
            <w:gridSpan w:val="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3606" w:type="dxa"/>
            <w:vAlign w:val="top"/>
            <w:textDirection w:val="lrTb"/>
            <w:noWrap w:val="false"/>
          </w:tcPr>
          <w:p>
            <w:pPr>
              <w:pStyle w:val="1109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Итого: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563" w:type="dxa"/>
            <w:vAlign w:val="top"/>
            <w:textDirection w:val="lrTb"/>
            <w:noWrap w:val="false"/>
          </w:tcPr>
          <w:p>
            <w:pPr>
              <w:pStyle w:val="11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</w:tbl>
    <w:p>
      <w:r/>
      <w:r/>
    </w:p>
    <w:sectPr>
      <w:footnotePr/>
      <w:endnotePr/>
      <w:type w:val="continuous"/>
      <w:pgSz w:w="16838" w:h="11906" w:orient="landscape"/>
      <w:pgMar w:top="1134" w:right="567" w:bottom="1134" w:left="1134" w:header="567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 New">
    <w:panose1 w:val="02070309020205020404"/>
  </w:font>
  <w:font w:name="Calibri">
    <w:panose1 w:val="020F0502020204030204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8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8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8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8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1089"/>
        <w:jc w:val="both"/>
        <w:rPr>
          <w:rFonts w:ascii="Times New Roman" w:hAnsi="Times New Roman" w:cs="Times New Roman"/>
        </w:rPr>
      </w:pPr>
      <w:r>
        <w:rPr>
          <w:rStyle w:val="1091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При условии согласования Заказчиком заявки на предоставление удаленного доступа к объектам информационной инфраструктуры Заказчика (приложение к настоящему Техническому заданию).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</w:footnote>
  <w:footnote w:id="3">
    <w:p>
      <w:pPr>
        <w:pStyle w:val="1089"/>
        <w:jc w:val="both"/>
        <w:rPr>
          <w:rFonts w:ascii="Times New Roman" w:hAnsi="Times New Roman" w:cs="Times New Roman"/>
        </w:rPr>
      </w:pPr>
      <w:r>
        <w:rPr>
          <w:rStyle w:val="1091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В рамках технической поддержки в обновления или релиз входят доработки системы, не вносящие существенных изменений </w:t>
        <w:br/>
        <w:t xml:space="preserve">в существующий функционал системы и не требующие создание дополнительной бизнес-логики: добавление/изменение/уд</w:t>
      </w:r>
      <w:r>
        <w:rPr>
          <w:rFonts w:ascii="Times New Roman" w:hAnsi="Times New Roman" w:cs="Times New Roman"/>
        </w:rPr>
        <w:t xml:space="preserve">аление полей, настройка колонок реестров, создание и редактирование шаблонов документов. Создание новой бизнес-логики, новых сущностей, реестров, новых экранных форм, настройка новых интеграций, нового парсинга не относится к технической поддержке системы.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</w:footnote>
  <w:footnote w:id="4">
    <w:p>
      <w:pPr>
        <w:pStyle w:val="1089"/>
        <w:jc w:val="both"/>
      </w:pPr>
      <w:r>
        <w:rPr>
          <w:rStyle w:val="1091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Регламентные работы проводятся не чаще одного раза в две недели.</w:t>
      </w:r>
      <w:r/>
    </w:p>
  </w:footnote>
  <w:footnote w:id="5">
    <w:p>
      <w:pPr>
        <w:pStyle w:val="1089"/>
        <w:jc w:val="both"/>
      </w:pPr>
      <w:r>
        <w:rPr>
          <w:rStyle w:val="1091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В случае предоставления Заказчиком удаленного доступа не позднее 1 рабочего часа с момента поступления запроса.</w:t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6"/>
      <w:jc w:val="center"/>
      <w:rPr>
        <w:rFonts w:ascii="Times New Roman" w:hAnsi="Times New Roman" w:cs="Times New Roman"/>
        <w:sz w:val="28"/>
        <w:szCs w:val="28"/>
      </w:rPr>
    </w:pPr>
    <w:fldSimple w:instr="PAGE \* MERGEFORMAT">
      <w:r>
        <w:rPr>
          <w:rFonts w:ascii="Times New Roman" w:hAnsi="Times New Roman" w:eastAsia="Times New Roman" w:cs="Times New Roman"/>
          <w:sz w:val="28"/>
          <w:szCs w:val="28"/>
        </w:rPr>
        <w:t xml:space="preserve">1</w:t>
      </w:r>
    </w:fldSimple>
    <w:r>
      <w:rPr>
        <w:rFonts w:ascii="Times New Roman" w:hAnsi="Times New Roman" w:eastAsia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6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6"/>
      <w:jc w:val="center"/>
      <w:rPr>
        <w:rFonts w:ascii="Times New Roman" w:hAnsi="Times New Roman" w:cs="Times New Roman"/>
        <w:sz w:val="28"/>
        <w:szCs w:val="28"/>
      </w:rPr>
    </w:pPr>
    <w:fldSimple w:instr="PAGE \* MERGEFORMAT">
      <w:r>
        <w:rPr>
          <w:rFonts w:ascii="Times New Roman" w:hAnsi="Times New Roman" w:eastAsia="Times New Roman" w:cs="Times New Roman"/>
          <w:sz w:val="28"/>
          <w:szCs w:val="28"/>
        </w:rPr>
        <w:t xml:space="preserve">1</w:t>
      </w:r>
    </w:fldSimple>
    <w:r>
      <w:rPr>
        <w:rFonts w:ascii="Times New Roman" w:hAnsi="Times New Roman" w:eastAsia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6"/>
      <w:contextualSpacing w:val="0"/>
      <w:jc w:val="left"/>
      <w:tabs>
        <w:tab w:val="clear" w:pos="7143" w:leader="none"/>
        <w:tab w:val="clear" w:pos="14287" w:leader="none"/>
      </w:tabs>
      <w:rPr>
        <w:rFonts w:ascii="Times New Roman" w:hAnsi="Times New Roman" w:cs="Times New Roman"/>
        <w:sz w:val="28"/>
        <w:szCs w:val="28"/>
      </w:rPr>
      <w:suppressLineNumbers w:val="0"/>
    </w:pPr>
    <w:r>
      <w:rPr>
        <w:rFonts w:ascii="Times New Roman" w:hAnsi="Times New Roman" w:eastAsia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6"/>
      <w:contextualSpacing w:val="0"/>
      <w:jc w:val="center"/>
      <w:tabs>
        <w:tab w:val="clear" w:pos="7143" w:leader="none"/>
        <w:tab w:val="clear" w:pos="14287" w:leader="none"/>
      </w:tabs>
      <w:rPr>
        <w:rFonts w:ascii="Times New Roman" w:hAnsi="Times New Roman" w:cs="Times New Roman"/>
        <w:sz w:val="28"/>
        <w:szCs w:val="28"/>
      </w:rPr>
      <w:suppressLineNumbers w:val="0"/>
    </w:pPr>
    <w:r>
      <w:rPr>
        <w:rFonts w:ascii="Times New Roman" w:hAnsi="Times New Roman" w:eastAsia="Times New Roman" w:cs="Times New Roman"/>
        <w:sz w:val="28"/>
        <w:szCs w:val="28"/>
      </w:rPr>
    </w:r>
    <w:fldSimple w:instr="PAGE \* MERGEFORMAT">
      <w:r>
        <w:rPr>
          <w:rFonts w:ascii="Times New Roman" w:hAnsi="Times New Roman" w:eastAsia="Times New Roman" w:cs="Times New Roman"/>
          <w:sz w:val="28"/>
          <w:szCs w:val="28"/>
        </w:rPr>
        <w:t xml:space="preserve">1</w:t>
      </w:r>
    </w:fldSimple>
    <w:r>
      <w:rPr>
        <w:rFonts w:ascii="Times New Roman" w:hAnsi="Times New Roman" w:eastAsia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6"/>
      <w:contextualSpacing w:val="0"/>
      <w:jc w:val="center"/>
      <w:tabs>
        <w:tab w:val="clear" w:pos="7143" w:leader="none"/>
        <w:tab w:val="clear" w:pos="14287" w:leader="none"/>
      </w:tabs>
      <w:suppressLineNumbers w:val="0"/>
    </w:pPr>
    <w:fldSimple w:instr="PAGE \* MERGEFORMAT">
      <w:r>
        <w:rPr>
          <w:rFonts w:ascii="Times New Roman" w:hAnsi="Times New Roman" w:eastAsia="Times New Roman" w:cs="Times New Roman"/>
          <w:sz w:val="28"/>
          <w:szCs w:val="28"/>
        </w:rPr>
        <w:t xml:space="preserve">1</w:t>
      </w:r>
    </w:fldSimple>
    <w:r>
      <w:rPr>
        <w:rFonts w:ascii="Times New Roman" w:hAnsi="Times New Roman" w:eastAsia="Times New Roman" w:cs="Times New Roman"/>
        <w:sz w:val="28"/>
        <w:szCs w:val="28"/>
      </w:rPr>
    </w:r>
    <w:r>
      <w:rPr>
        <w:rFonts w:ascii="Times New Roman" w:hAnsi="Times New Roman" w:eastAsia="Times New Roman" w:cs="Times New Roman"/>
        <w:sz w:val="28"/>
        <w:szCs w:val="28"/>
      </w:rPr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b/>
        <w:i w:val="0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360"/>
      </w:pPr>
      <w:rPr>
        <w:b/>
        <w:i w:val="0"/>
      </w:rPr>
    </w:lvl>
    <w:lvl w:ilvl="2">
      <w:start w:val="1"/>
      <w:numFmt w:val="decimal"/>
      <w:isLgl w:val="false"/>
      <w:suff w:val="tab"/>
      <w:lvlText w:val="%1.%2.%3"/>
      <w:lvlJc w:val="left"/>
      <w:pPr>
        <w:ind w:left="862" w:hanging="720"/>
      </w:pPr>
      <w:rPr>
        <w:b/>
        <w:i w:val="0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080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44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440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80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00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160" w:hanging="180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709" w:hanging="360"/>
      </w:pPr>
      <w:rPr>
        <w:rFonts w:ascii="Times New Roman" w:hAnsi="Times New Roman" w:cs="Times New Roman"/>
        <w:b/>
        <w:highlight w:val="no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b/>
        <w:i w:val="0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360"/>
      </w:pPr>
      <w:rPr>
        <w:b/>
        <w:i w:val="0"/>
      </w:rPr>
    </w:lvl>
    <w:lvl w:ilvl="2">
      <w:start w:val="1"/>
      <w:numFmt w:val="decimal"/>
      <w:isLgl w:val="false"/>
      <w:suff w:val="tab"/>
      <w:lvlText w:val="%1.%2.%3"/>
      <w:lvlJc w:val="left"/>
      <w:pPr>
        <w:ind w:left="862" w:hanging="720"/>
      </w:pPr>
      <w:rPr>
        <w:b/>
        <w:i w:val="0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080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44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440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80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00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160" w:hanging="180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b/>
        <w:i w:val="0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360"/>
      </w:pPr>
      <w:rPr>
        <w:b/>
        <w:i w:val="0"/>
      </w:rPr>
    </w:lvl>
    <w:lvl w:ilvl="2">
      <w:start w:val="1"/>
      <w:numFmt w:val="decimal"/>
      <w:isLgl w:val="false"/>
      <w:suff w:val="tab"/>
      <w:lvlText w:val="%1.%2.%3"/>
      <w:lvlJc w:val="left"/>
      <w:pPr>
        <w:ind w:left="862" w:hanging="720"/>
      </w:pPr>
      <w:rPr>
        <w:b/>
        <w:i w:val="0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080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44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440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80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00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160" w:hanging="180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b/>
        <w:i w:val="0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360"/>
      </w:pPr>
      <w:rPr>
        <w:b/>
        <w:i w:val="0"/>
      </w:rPr>
    </w:lvl>
    <w:lvl w:ilvl="2">
      <w:start w:val="1"/>
      <w:numFmt w:val="decimal"/>
      <w:isLgl w:val="false"/>
      <w:suff w:val="tab"/>
      <w:lvlText w:val="%1.%2.%3"/>
      <w:lvlJc w:val="left"/>
      <w:pPr>
        <w:ind w:left="862" w:hanging="720"/>
      </w:pPr>
      <w:rPr>
        <w:b/>
        <w:i w:val="0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080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44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440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80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00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160" w:hanging="180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b/>
        <w:i w:val="0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360"/>
      </w:pPr>
      <w:rPr>
        <w:b/>
        <w:i w:val="0"/>
      </w:rPr>
    </w:lvl>
    <w:lvl w:ilvl="2">
      <w:start w:val="1"/>
      <w:numFmt w:val="decimal"/>
      <w:isLgl w:val="false"/>
      <w:suff w:val="tab"/>
      <w:lvlText w:val="%1.%2.%3"/>
      <w:lvlJc w:val="left"/>
      <w:pPr>
        <w:ind w:left="862" w:hanging="720"/>
      </w:pPr>
      <w:rPr>
        <w:b/>
        <w:i w:val="0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080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44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440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80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00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160" w:hanging="180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b/>
        <w:i w:val="0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360"/>
      </w:pPr>
      <w:rPr>
        <w:b/>
        <w:i w:val="0"/>
      </w:rPr>
    </w:lvl>
    <w:lvl w:ilvl="2">
      <w:start w:val="1"/>
      <w:numFmt w:val="decimal"/>
      <w:isLgl w:val="false"/>
      <w:suff w:val="tab"/>
      <w:lvlText w:val="%1.%2.%3"/>
      <w:lvlJc w:val="left"/>
      <w:pPr>
        <w:ind w:left="862" w:hanging="720"/>
      </w:pPr>
      <w:rPr>
        <w:b/>
        <w:i w:val="0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080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44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440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80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00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160" w:hanging="180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b/>
        <w:i w:val="0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360"/>
      </w:pPr>
      <w:rPr>
        <w:b/>
        <w:i w:val="0"/>
      </w:rPr>
    </w:lvl>
    <w:lvl w:ilvl="2">
      <w:start w:val="1"/>
      <w:numFmt w:val="decimal"/>
      <w:isLgl w:val="false"/>
      <w:suff w:val="tab"/>
      <w:lvlText w:val="%1.%2.%3"/>
      <w:lvlJc w:val="left"/>
      <w:pPr>
        <w:ind w:left="862" w:hanging="720"/>
      </w:pPr>
      <w:rPr>
        <w:b/>
        <w:i w:val="0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080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44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440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80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00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160" w:hanging="1800"/>
      </w:pPr>
    </w:lvl>
  </w:abstractNum>
  <w:abstractNum w:abstractNumId="9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860" w:hanging="576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709" w:hanging="360"/>
      </w:pPr>
      <w:rPr>
        <w:rFonts w:ascii="Times New Roman" w:hAnsi="Times New Roman" w:cs="Times New Roman"/>
        <w:b/>
        <w:highlight w:val="no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b/>
        <w:i w:val="0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360"/>
      </w:pPr>
      <w:rPr>
        <w:b/>
        <w:i w:val="0"/>
      </w:rPr>
    </w:lvl>
    <w:lvl w:ilvl="2">
      <w:start w:val="1"/>
      <w:numFmt w:val="decimal"/>
      <w:isLgl w:val="false"/>
      <w:suff w:val="tab"/>
      <w:lvlText w:val="%1.%2.%3"/>
      <w:lvlJc w:val="left"/>
      <w:pPr>
        <w:ind w:left="862" w:hanging="720"/>
      </w:pPr>
      <w:rPr>
        <w:b/>
        <w:i w:val="0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080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44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440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80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00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160" w:hanging="180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b/>
        <w:i w:val="0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360"/>
      </w:pPr>
      <w:rPr>
        <w:b/>
        <w:i w:val="0"/>
      </w:rPr>
    </w:lvl>
    <w:lvl w:ilvl="2">
      <w:start w:val="1"/>
      <w:numFmt w:val="decimal"/>
      <w:isLgl w:val="false"/>
      <w:suff w:val="tab"/>
      <w:lvlText w:val="%1.%2.%3"/>
      <w:lvlJc w:val="left"/>
      <w:pPr>
        <w:ind w:left="862" w:hanging="720"/>
      </w:pPr>
      <w:rPr>
        <w:b/>
        <w:i w:val="0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080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44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440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80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00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160" w:hanging="1800"/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429" w:hanging="360"/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b/>
        <w:i w:val="0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360"/>
      </w:pPr>
      <w:rPr>
        <w:b/>
        <w:i w:val="0"/>
      </w:rPr>
    </w:lvl>
    <w:lvl w:ilvl="2">
      <w:start w:val="1"/>
      <w:numFmt w:val="decimal"/>
      <w:isLgl w:val="false"/>
      <w:suff w:val="tab"/>
      <w:lvlText w:val="%1.%2.%3"/>
      <w:lvlJc w:val="left"/>
      <w:pPr>
        <w:ind w:left="862" w:hanging="720"/>
      </w:pPr>
      <w:rPr>
        <w:b/>
        <w:i w:val="0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080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44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440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80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00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160" w:hanging="180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b/>
        <w:i w:val="0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360"/>
      </w:pPr>
      <w:rPr>
        <w:b/>
        <w:i w:val="0"/>
      </w:rPr>
    </w:lvl>
    <w:lvl w:ilvl="2">
      <w:start w:val="1"/>
      <w:numFmt w:val="decimal"/>
      <w:isLgl w:val="false"/>
      <w:suff w:val="tab"/>
      <w:lvlText w:val="%1.%2.%3"/>
      <w:lvlJc w:val="left"/>
      <w:pPr>
        <w:ind w:left="862" w:hanging="720"/>
      </w:pPr>
      <w:rPr>
        <w:b/>
        <w:i w:val="0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080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44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440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80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00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160" w:hanging="180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b/>
        <w:i w:val="0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360"/>
      </w:pPr>
      <w:rPr>
        <w:b/>
        <w:i w:val="0"/>
      </w:rPr>
    </w:lvl>
    <w:lvl w:ilvl="2">
      <w:start w:val="1"/>
      <w:numFmt w:val="decimal"/>
      <w:isLgl w:val="false"/>
      <w:suff w:val="tab"/>
      <w:lvlText w:val="%1.%2.%3"/>
      <w:lvlJc w:val="left"/>
      <w:pPr>
        <w:ind w:left="862" w:hanging="720"/>
      </w:pPr>
      <w:rPr>
        <w:b/>
        <w:i w:val="0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080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44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440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80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00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160" w:hanging="180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1141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573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077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581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085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5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093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69" w:hanging="144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141" w:hanging="432"/>
      </w:pPr>
      <w:rPr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73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077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581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085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5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093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69" w:hanging="144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1141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573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077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581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085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5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093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69" w:hanging="144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1141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573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077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581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085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5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093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69" w:hanging="144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1141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573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077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581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085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5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093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69" w:hanging="144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1141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573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077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581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085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5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093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69" w:hanging="144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1141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573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077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581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085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5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093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69" w:hanging="144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1141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573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077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581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085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5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093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69" w:hanging="144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1141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573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077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581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085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5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093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69" w:hanging="144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1141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573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077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581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085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5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093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69" w:hanging="144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b/>
        <w:i w:val="0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360"/>
      </w:pPr>
      <w:rPr>
        <w:b/>
        <w:i w:val="0"/>
      </w:rPr>
    </w:lvl>
    <w:lvl w:ilvl="2">
      <w:start w:val="1"/>
      <w:numFmt w:val="decimal"/>
      <w:isLgl w:val="false"/>
      <w:suff w:val="tab"/>
      <w:lvlText w:val="%1.%2.%3"/>
      <w:lvlJc w:val="left"/>
      <w:pPr>
        <w:ind w:left="862" w:hanging="720"/>
      </w:pPr>
      <w:rPr>
        <w:b/>
        <w:i w:val="0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080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44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440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80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00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160" w:hanging="180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b/>
        <w:i w:val="0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360"/>
      </w:pPr>
      <w:rPr>
        <w:b/>
        <w:i w:val="0"/>
      </w:rPr>
    </w:lvl>
    <w:lvl w:ilvl="2">
      <w:start w:val="1"/>
      <w:numFmt w:val="decimal"/>
      <w:isLgl w:val="false"/>
      <w:suff w:val="tab"/>
      <w:lvlText w:val="%1.%2.%3"/>
      <w:lvlJc w:val="left"/>
      <w:pPr>
        <w:ind w:left="862" w:hanging="720"/>
      </w:pPr>
      <w:rPr>
        <w:b/>
        <w:i w:val="0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080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44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440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80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00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160" w:hanging="180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b/>
        <w:i w:val="0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360"/>
      </w:pPr>
      <w:rPr>
        <w:b/>
        <w:i w:val="0"/>
      </w:rPr>
    </w:lvl>
    <w:lvl w:ilvl="2">
      <w:start w:val="1"/>
      <w:numFmt w:val="decimal"/>
      <w:isLgl w:val="false"/>
      <w:suff w:val="tab"/>
      <w:lvlText w:val="%1.%2.%3"/>
      <w:lvlJc w:val="left"/>
      <w:pPr>
        <w:ind w:left="862" w:hanging="720"/>
      </w:pPr>
      <w:rPr>
        <w:b/>
        <w:i w:val="0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080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44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440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80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00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160" w:hanging="180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b/>
        <w:i w:val="0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360"/>
      </w:pPr>
      <w:rPr>
        <w:b/>
        <w:i w:val="0"/>
      </w:rPr>
    </w:lvl>
    <w:lvl w:ilvl="2">
      <w:start w:val="1"/>
      <w:numFmt w:val="decimal"/>
      <w:isLgl w:val="false"/>
      <w:suff w:val="tab"/>
      <w:lvlText w:val="%1.%2.%3"/>
      <w:lvlJc w:val="left"/>
      <w:pPr>
        <w:ind w:left="862" w:hanging="720"/>
      </w:pPr>
      <w:rPr>
        <w:b/>
        <w:i w:val="0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080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44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440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80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00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160" w:hanging="180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b/>
        <w:i w:val="0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360"/>
      </w:pPr>
      <w:rPr>
        <w:b/>
        <w:i w:val="0"/>
      </w:rPr>
    </w:lvl>
    <w:lvl w:ilvl="2">
      <w:start w:val="1"/>
      <w:numFmt w:val="decimal"/>
      <w:isLgl w:val="false"/>
      <w:suff w:val="tab"/>
      <w:lvlText w:val="%1.%2.%3"/>
      <w:lvlJc w:val="left"/>
      <w:pPr>
        <w:ind w:left="862" w:hanging="720"/>
      </w:pPr>
      <w:rPr>
        <w:b/>
        <w:i w:val="0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080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44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440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80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00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160" w:hanging="1800"/>
      </w:p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709" w:hanging="360"/>
      </w:pPr>
      <w:rPr>
        <w:rFonts w:ascii="Times New Roman" w:hAnsi="Times New Roman" w:cs="Times New Roman"/>
        <w:b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709" w:hanging="360"/>
      </w:pPr>
      <w:rPr>
        <w:rFonts w:ascii="Times New Roman" w:hAnsi="Times New Roman" w:cs="Times New Roman"/>
        <w:b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709" w:hanging="360"/>
      </w:pPr>
      <w:rPr>
        <w:rFonts w:ascii="Times New Roman" w:hAnsi="Times New Roman" w:cs="Times New Roman"/>
        <w:b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7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709" w:hanging="360"/>
      </w:pPr>
      <w:rPr>
        <w:rFonts w:ascii="Times New Roman" w:hAnsi="Times New Roman" w:cs="Times New Roman"/>
        <w:b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8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709" w:hanging="360"/>
      </w:pPr>
      <w:rPr>
        <w:rFonts w:ascii="Times New Roman" w:hAnsi="Times New Roman" w:cs="Times New Roman"/>
        <w:b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9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709" w:hanging="360"/>
      </w:pPr>
      <w:rPr>
        <w:rFonts w:ascii="Times New Roman" w:hAnsi="Times New Roman" w:cs="Times New Roman"/>
        <w:b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0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709" w:hanging="360"/>
      </w:pPr>
      <w:rPr>
        <w:rFonts w:ascii="Times New Roman" w:hAnsi="Times New Roman" w:cs="Times New Roman"/>
        <w:b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1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709" w:hanging="360"/>
      </w:pPr>
      <w:rPr>
        <w:rFonts w:ascii="Times New Roman" w:hAnsi="Times New Roman" w:cs="Times New Roman"/>
        <w:b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2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709" w:hanging="360"/>
      </w:pPr>
      <w:rPr>
        <w:rFonts w:ascii="Times New Roman" w:hAnsi="Times New Roman" w:cs="Times New Roman"/>
        <w:b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3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709" w:hanging="360"/>
      </w:pPr>
      <w:rPr>
        <w:rFonts w:ascii="Times New Roman" w:hAnsi="Times New Roman" w:cs="Times New Roman"/>
        <w:b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4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709" w:hanging="360"/>
      </w:pPr>
      <w:rPr>
        <w:rFonts w:ascii="Times New Roman" w:hAnsi="Times New Roman" w:cs="Times New Roman"/>
        <w:b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5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709" w:hanging="360"/>
      </w:pPr>
      <w:rPr>
        <w:rFonts w:ascii="Times New Roman" w:hAnsi="Times New Roman" w:cs="Times New Roman"/>
        <w:b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6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709" w:hanging="360"/>
      </w:pPr>
      <w:rPr>
        <w:rFonts w:ascii="Times New Roman" w:hAnsi="Times New Roman" w:cs="Times New Roman"/>
        <w:b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7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709" w:hanging="360"/>
      </w:pPr>
      <w:rPr>
        <w:rFonts w:ascii="Times New Roman" w:hAnsi="Times New Roman" w:cs="Times New Roman"/>
        <w:b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8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709" w:hanging="360"/>
      </w:pPr>
      <w:rPr>
        <w:rFonts w:ascii="Times New Roman" w:hAnsi="Times New Roman" w:cs="Times New Roman"/>
        <w:b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930">
    <w:name w:val="Heading 1"/>
    <w:basedOn w:val="1106"/>
    <w:next w:val="1106"/>
    <w:link w:val="931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931">
    <w:name w:val="Heading 1 Char"/>
    <w:link w:val="930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932">
    <w:name w:val="Heading 2"/>
    <w:basedOn w:val="1106"/>
    <w:next w:val="1106"/>
    <w:link w:val="933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933">
    <w:name w:val="Heading 2 Char"/>
    <w:link w:val="932"/>
    <w:uiPriority w:val="9"/>
    <w:rPr>
      <w:rFonts w:ascii="Liberation Sans" w:hAnsi="Liberation Sans" w:eastAsia="Liberation Sans" w:cs="Liberation Sans"/>
      <w:sz w:val="34"/>
    </w:rPr>
  </w:style>
  <w:style w:type="paragraph" w:styleId="934">
    <w:name w:val="Heading 3"/>
    <w:basedOn w:val="1106"/>
    <w:next w:val="1106"/>
    <w:link w:val="935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935">
    <w:name w:val="Heading 3 Char"/>
    <w:link w:val="934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936">
    <w:name w:val="Heading 4"/>
    <w:basedOn w:val="1106"/>
    <w:next w:val="1106"/>
    <w:link w:val="937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937">
    <w:name w:val="Heading 4 Char"/>
    <w:link w:val="936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938">
    <w:name w:val="Heading 5"/>
    <w:basedOn w:val="1106"/>
    <w:next w:val="1106"/>
    <w:link w:val="939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939">
    <w:name w:val="Heading 5 Char"/>
    <w:link w:val="938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940">
    <w:name w:val="Heading 6"/>
    <w:basedOn w:val="1106"/>
    <w:next w:val="1106"/>
    <w:link w:val="941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941">
    <w:name w:val="Heading 6 Char"/>
    <w:link w:val="94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942">
    <w:name w:val="Heading 7"/>
    <w:basedOn w:val="1106"/>
    <w:next w:val="1106"/>
    <w:link w:val="943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943">
    <w:name w:val="Heading 7 Char"/>
    <w:link w:val="942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944">
    <w:name w:val="Heading 8"/>
    <w:basedOn w:val="1106"/>
    <w:next w:val="1106"/>
    <w:link w:val="945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945">
    <w:name w:val="Heading 8 Char"/>
    <w:link w:val="944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946">
    <w:name w:val="Heading 9"/>
    <w:basedOn w:val="1106"/>
    <w:next w:val="1106"/>
    <w:link w:val="947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947">
    <w:name w:val="Heading 9 Char"/>
    <w:link w:val="946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948">
    <w:name w:val="Title"/>
    <w:basedOn w:val="1106"/>
    <w:next w:val="1106"/>
    <w:link w:val="94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949">
    <w:name w:val="Title Char"/>
    <w:link w:val="948"/>
    <w:uiPriority w:val="10"/>
    <w:rPr>
      <w:sz w:val="48"/>
      <w:szCs w:val="48"/>
    </w:rPr>
  </w:style>
  <w:style w:type="paragraph" w:styleId="950">
    <w:name w:val="Subtitle"/>
    <w:basedOn w:val="1106"/>
    <w:next w:val="1106"/>
    <w:link w:val="951"/>
    <w:uiPriority w:val="11"/>
    <w:qFormat/>
    <w:pPr>
      <w:spacing w:before="200" w:after="200"/>
    </w:pPr>
    <w:rPr>
      <w:sz w:val="24"/>
      <w:szCs w:val="24"/>
    </w:rPr>
  </w:style>
  <w:style w:type="character" w:styleId="951">
    <w:name w:val="Subtitle Char"/>
    <w:link w:val="950"/>
    <w:uiPriority w:val="11"/>
    <w:rPr>
      <w:sz w:val="24"/>
      <w:szCs w:val="24"/>
    </w:rPr>
  </w:style>
  <w:style w:type="paragraph" w:styleId="952">
    <w:name w:val="Quote"/>
    <w:basedOn w:val="1106"/>
    <w:next w:val="1106"/>
    <w:link w:val="953"/>
    <w:uiPriority w:val="29"/>
    <w:qFormat/>
    <w:pPr>
      <w:ind w:left="720" w:right="720"/>
    </w:pPr>
    <w:rPr>
      <w:i/>
    </w:rPr>
  </w:style>
  <w:style w:type="character" w:styleId="953">
    <w:name w:val="Quote Char"/>
    <w:link w:val="952"/>
    <w:uiPriority w:val="29"/>
    <w:rPr>
      <w:i/>
    </w:rPr>
  </w:style>
  <w:style w:type="paragraph" w:styleId="954">
    <w:name w:val="Intense Quote"/>
    <w:basedOn w:val="1106"/>
    <w:next w:val="1106"/>
    <w:link w:val="95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955">
    <w:name w:val="Intense Quote Char"/>
    <w:link w:val="954"/>
    <w:uiPriority w:val="30"/>
    <w:rPr>
      <w:i/>
    </w:rPr>
  </w:style>
  <w:style w:type="paragraph" w:styleId="956">
    <w:name w:val="Header"/>
    <w:basedOn w:val="1106"/>
    <w:link w:val="95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957">
    <w:name w:val="Header Char"/>
    <w:link w:val="956"/>
    <w:uiPriority w:val="99"/>
  </w:style>
  <w:style w:type="paragraph" w:styleId="958">
    <w:name w:val="Footer"/>
    <w:basedOn w:val="1106"/>
    <w:link w:val="95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959">
    <w:name w:val="Footer Char"/>
    <w:link w:val="958"/>
    <w:uiPriority w:val="99"/>
  </w:style>
  <w:style w:type="paragraph" w:styleId="960">
    <w:name w:val="Caption"/>
    <w:basedOn w:val="1106"/>
    <w:next w:val="1106"/>
    <w:link w:val="96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961">
    <w:name w:val="Caption Char"/>
    <w:link w:val="960"/>
    <w:uiPriority w:val="35"/>
    <w:rPr>
      <w:b/>
      <w:bCs/>
      <w:color w:val="4f81bd" w:themeColor="accent1"/>
      <w:sz w:val="18"/>
      <w:szCs w:val="18"/>
    </w:rPr>
  </w:style>
  <w:style w:type="table" w:styleId="962">
    <w:name w:val="Table Grid"/>
    <w:basedOn w:val="110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63">
    <w:name w:val="Table Grid Light"/>
    <w:basedOn w:val="110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64">
    <w:name w:val="Plain Table 1"/>
    <w:basedOn w:val="110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965">
    <w:name w:val="Plain Table 2"/>
    <w:basedOn w:val="110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966">
    <w:name w:val="Plain Table 3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967">
    <w:name w:val="Plain Table 4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8">
    <w:name w:val="Plain Table 5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69">
    <w:name w:val="Grid Table 1 Light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0">
    <w:name w:val="Grid Table 1 Light - Accent 1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1">
    <w:name w:val="Grid Table 1 Light - Accent 2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2">
    <w:name w:val="Grid Table 1 Light - Accent 3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3">
    <w:name w:val="Grid Table 1 Light - Accent 4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4">
    <w:name w:val="Grid Table 1 Light - Accent 5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5">
    <w:name w:val="Grid Table 1 Light - Accent 6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6">
    <w:name w:val="Grid Table 2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7">
    <w:name w:val="Grid Table 2 - Accent 1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8">
    <w:name w:val="Grid Table 2 - Accent 2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9">
    <w:name w:val="Grid Table 2 - Accent 3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0">
    <w:name w:val="Grid Table 2 - Accent 4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1">
    <w:name w:val="Grid Table 2 - Accent 5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2">
    <w:name w:val="Grid Table 2 - Accent 6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3">
    <w:name w:val="Grid Table 3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4">
    <w:name w:val="Grid Table 3 - Accent 1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5">
    <w:name w:val="Grid Table 3 - Accent 2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6">
    <w:name w:val="Grid Table 3 - Accent 3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7">
    <w:name w:val="Grid Table 3 - Accent 4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8">
    <w:name w:val="Grid Table 3 - Accent 5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9">
    <w:name w:val="Grid Table 3 - Accent 6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0">
    <w:name w:val="Grid Table 4"/>
    <w:basedOn w:val="11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991">
    <w:name w:val="Grid Table 4 - Accent 1"/>
    <w:basedOn w:val="11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992">
    <w:name w:val="Grid Table 4 - Accent 2"/>
    <w:basedOn w:val="11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993">
    <w:name w:val="Grid Table 4 - Accent 3"/>
    <w:basedOn w:val="11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994">
    <w:name w:val="Grid Table 4 - Accent 4"/>
    <w:basedOn w:val="11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995">
    <w:name w:val="Grid Table 4 - Accent 5"/>
    <w:basedOn w:val="11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996">
    <w:name w:val="Grid Table 4 - Accent 6"/>
    <w:basedOn w:val="11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997">
    <w:name w:val="Grid Table 5 Dark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998">
    <w:name w:val="Grid Table 5 Dark- Accent 1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999">
    <w:name w:val="Grid Table 5 Dark - Accent 2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1000">
    <w:name w:val="Grid Table 5 Dark - Accent 3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1001">
    <w:name w:val="Grid Table 5 Dark- Accent 4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1002">
    <w:name w:val="Grid Table 5 Dark - Accent 5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1003">
    <w:name w:val="Grid Table 5 Dark - Accent 6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1004">
    <w:name w:val="Grid Table 6 Colorful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1005">
    <w:name w:val="Grid Table 6 Colorful - Accent 1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1006">
    <w:name w:val="Grid Table 6 Colorful - Accent 2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1007">
    <w:name w:val="Grid Table 6 Colorful - Accent 3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1008">
    <w:name w:val="Grid Table 6 Colorful - Accent 4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1009">
    <w:name w:val="Grid Table 6 Colorful - Accent 5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1010">
    <w:name w:val="Grid Table 6 Colorful - Accent 6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1011">
    <w:name w:val="Grid Table 7 Colorful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2">
    <w:name w:val="Grid Table 7 Colorful - Accent 1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3">
    <w:name w:val="Grid Table 7 Colorful - Accent 2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4">
    <w:name w:val="Grid Table 7 Colorful - Accent 3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5">
    <w:name w:val="Grid Table 7 Colorful - Accent 4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6">
    <w:name w:val="Grid Table 7 Colorful - Accent 5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7">
    <w:name w:val="Grid Table 7 Colorful - Accent 6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8">
    <w:name w:val="List Table 1 Light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9">
    <w:name w:val="List Table 1 Light - Accent 1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0">
    <w:name w:val="List Table 1 Light - Accent 2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1">
    <w:name w:val="List Table 1 Light - Accent 3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2">
    <w:name w:val="List Table 1 Light - Accent 4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3">
    <w:name w:val="List Table 1 Light - Accent 5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4">
    <w:name w:val="List Table 1 Light - Accent 6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5">
    <w:name w:val="List Table 2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026">
    <w:name w:val="List Table 2 - Accent 1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027">
    <w:name w:val="List Table 2 - Accent 2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028">
    <w:name w:val="List Table 2 - Accent 3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029">
    <w:name w:val="List Table 2 - Accent 4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030">
    <w:name w:val="List Table 2 - Accent 5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031">
    <w:name w:val="List Table 2 - Accent 6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032">
    <w:name w:val="List Table 3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33">
    <w:name w:val="List Table 3 - Accent 1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34">
    <w:name w:val="List Table 3 - Accent 2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35">
    <w:name w:val="List Table 3 - Accent 3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36">
    <w:name w:val="List Table 3 - Accent 4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37">
    <w:name w:val="List Table 3 - Accent 5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38">
    <w:name w:val="List Table 3 - Accent 6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39">
    <w:name w:val="List Table 4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0">
    <w:name w:val="List Table 4 - Accent 1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1">
    <w:name w:val="List Table 4 - Accent 2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2">
    <w:name w:val="List Table 4 - Accent 3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3">
    <w:name w:val="List Table 4 - Accent 4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4">
    <w:name w:val="List Table 4 - Accent 5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5">
    <w:name w:val="List Table 4 - Accent 6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6">
    <w:name w:val="List Table 5 Dark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047">
    <w:name w:val="List Table 5 Dark - Accent 1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048">
    <w:name w:val="List Table 5 Dark - Accent 2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049">
    <w:name w:val="List Table 5 Dark - Accent 3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050">
    <w:name w:val="List Table 5 Dark - Accent 4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051">
    <w:name w:val="List Table 5 Dark - Accent 5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052">
    <w:name w:val="List Table 5 Dark - Accent 6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053">
    <w:name w:val="List Table 6 Colorful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054">
    <w:name w:val="List Table 6 Colorful - Accent 1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055">
    <w:name w:val="List Table 6 Colorful - Accent 2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056">
    <w:name w:val="List Table 6 Colorful - Accent 3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057">
    <w:name w:val="List Table 6 Colorful - Accent 4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058">
    <w:name w:val="List Table 6 Colorful - Accent 5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059">
    <w:name w:val="List Table 6 Colorful - Accent 6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060">
    <w:name w:val="List Table 7 Colorful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061">
    <w:name w:val="List Table 7 Colorful - Accent 1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062">
    <w:name w:val="List Table 7 Colorful - Accent 2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063">
    <w:name w:val="List Table 7 Colorful - Accent 3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064">
    <w:name w:val="List Table 7 Colorful - Accent 4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065">
    <w:name w:val="List Table 7 Colorful - Accent 5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066">
    <w:name w:val="List Table 7 Colorful - Accent 6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067">
    <w:name w:val="Lined - Accent"/>
    <w:basedOn w:val="11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068">
    <w:name w:val="Lined - Accent 1"/>
    <w:basedOn w:val="11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069">
    <w:name w:val="Lined - Accent 2"/>
    <w:basedOn w:val="11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070">
    <w:name w:val="Lined - Accent 3"/>
    <w:basedOn w:val="11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071">
    <w:name w:val="Lined - Accent 4"/>
    <w:basedOn w:val="11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072">
    <w:name w:val="Lined - Accent 5"/>
    <w:basedOn w:val="11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073">
    <w:name w:val="Lined - Accent 6"/>
    <w:basedOn w:val="11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074">
    <w:name w:val="Bordered &amp; Lined - Accent"/>
    <w:basedOn w:val="11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075">
    <w:name w:val="Bordered &amp; Lined - Accent 1"/>
    <w:basedOn w:val="11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076">
    <w:name w:val="Bordered &amp; Lined - Accent 2"/>
    <w:basedOn w:val="11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077">
    <w:name w:val="Bordered &amp; Lined - Accent 3"/>
    <w:basedOn w:val="11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078">
    <w:name w:val="Bordered &amp; Lined - Accent 4"/>
    <w:basedOn w:val="11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079">
    <w:name w:val="Bordered &amp; Lined - Accent 5"/>
    <w:basedOn w:val="11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080">
    <w:name w:val="Bordered &amp; Lined - Accent 6"/>
    <w:basedOn w:val="11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081">
    <w:name w:val="Bordered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082">
    <w:name w:val="Bordered - Accent 1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083">
    <w:name w:val="Bordered - Accent 2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084">
    <w:name w:val="Bordered - Accent 3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085">
    <w:name w:val="Bordered - Accent 4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086">
    <w:name w:val="Bordered - Accent 5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087">
    <w:name w:val="Bordered - Accent 6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088">
    <w:name w:val="Hyperlink"/>
    <w:uiPriority w:val="99"/>
    <w:unhideWhenUsed/>
    <w:rPr>
      <w:color w:val="0000ff" w:themeColor="hyperlink"/>
      <w:u w:val="single"/>
    </w:rPr>
  </w:style>
  <w:style w:type="paragraph" w:styleId="1089">
    <w:name w:val="footnote text"/>
    <w:basedOn w:val="1106"/>
    <w:link w:val="1090"/>
    <w:uiPriority w:val="99"/>
    <w:semiHidden/>
    <w:unhideWhenUsed/>
    <w:pPr>
      <w:spacing w:after="40" w:line="240" w:lineRule="auto"/>
    </w:pPr>
    <w:rPr>
      <w:sz w:val="18"/>
    </w:rPr>
  </w:style>
  <w:style w:type="character" w:styleId="1090">
    <w:name w:val="Footnote Text Char"/>
    <w:link w:val="1089"/>
    <w:uiPriority w:val="99"/>
    <w:rPr>
      <w:sz w:val="18"/>
    </w:rPr>
  </w:style>
  <w:style w:type="character" w:styleId="1091">
    <w:name w:val="footnote reference"/>
    <w:uiPriority w:val="99"/>
    <w:unhideWhenUsed/>
    <w:rPr>
      <w:vertAlign w:val="superscript"/>
    </w:rPr>
  </w:style>
  <w:style w:type="paragraph" w:styleId="1092">
    <w:name w:val="endnote text"/>
    <w:basedOn w:val="1106"/>
    <w:link w:val="1093"/>
    <w:uiPriority w:val="99"/>
    <w:semiHidden/>
    <w:unhideWhenUsed/>
    <w:pPr>
      <w:spacing w:after="0" w:line="240" w:lineRule="auto"/>
    </w:pPr>
    <w:rPr>
      <w:sz w:val="20"/>
    </w:rPr>
  </w:style>
  <w:style w:type="character" w:styleId="1093">
    <w:name w:val="Endnote Text Char"/>
    <w:link w:val="1092"/>
    <w:uiPriority w:val="99"/>
    <w:rPr>
      <w:sz w:val="20"/>
    </w:rPr>
  </w:style>
  <w:style w:type="character" w:styleId="1094">
    <w:name w:val="endnote reference"/>
    <w:uiPriority w:val="99"/>
    <w:semiHidden/>
    <w:unhideWhenUsed/>
    <w:rPr>
      <w:vertAlign w:val="superscript"/>
    </w:rPr>
  </w:style>
  <w:style w:type="paragraph" w:styleId="1095">
    <w:name w:val="toc 1"/>
    <w:basedOn w:val="1106"/>
    <w:next w:val="1106"/>
    <w:uiPriority w:val="39"/>
    <w:unhideWhenUsed/>
    <w:pPr>
      <w:ind w:left="0" w:right="0" w:firstLine="0"/>
      <w:spacing w:after="57"/>
    </w:pPr>
  </w:style>
  <w:style w:type="paragraph" w:styleId="1096">
    <w:name w:val="toc 2"/>
    <w:basedOn w:val="1106"/>
    <w:next w:val="1106"/>
    <w:uiPriority w:val="39"/>
    <w:unhideWhenUsed/>
    <w:pPr>
      <w:ind w:left="283" w:right="0" w:firstLine="0"/>
      <w:spacing w:after="57"/>
    </w:pPr>
  </w:style>
  <w:style w:type="paragraph" w:styleId="1097">
    <w:name w:val="toc 3"/>
    <w:basedOn w:val="1106"/>
    <w:next w:val="1106"/>
    <w:uiPriority w:val="39"/>
    <w:unhideWhenUsed/>
    <w:pPr>
      <w:ind w:left="567" w:right="0" w:firstLine="0"/>
      <w:spacing w:after="57"/>
    </w:pPr>
  </w:style>
  <w:style w:type="paragraph" w:styleId="1098">
    <w:name w:val="toc 4"/>
    <w:basedOn w:val="1106"/>
    <w:next w:val="1106"/>
    <w:uiPriority w:val="39"/>
    <w:unhideWhenUsed/>
    <w:pPr>
      <w:ind w:left="850" w:right="0" w:firstLine="0"/>
      <w:spacing w:after="57"/>
    </w:pPr>
  </w:style>
  <w:style w:type="paragraph" w:styleId="1099">
    <w:name w:val="toc 5"/>
    <w:basedOn w:val="1106"/>
    <w:next w:val="1106"/>
    <w:uiPriority w:val="39"/>
    <w:unhideWhenUsed/>
    <w:pPr>
      <w:ind w:left="1134" w:right="0" w:firstLine="0"/>
      <w:spacing w:after="57"/>
    </w:pPr>
  </w:style>
  <w:style w:type="paragraph" w:styleId="1100">
    <w:name w:val="toc 6"/>
    <w:basedOn w:val="1106"/>
    <w:next w:val="1106"/>
    <w:uiPriority w:val="39"/>
    <w:unhideWhenUsed/>
    <w:pPr>
      <w:ind w:left="1417" w:right="0" w:firstLine="0"/>
      <w:spacing w:after="57"/>
    </w:pPr>
  </w:style>
  <w:style w:type="paragraph" w:styleId="1101">
    <w:name w:val="toc 7"/>
    <w:basedOn w:val="1106"/>
    <w:next w:val="1106"/>
    <w:uiPriority w:val="39"/>
    <w:unhideWhenUsed/>
    <w:pPr>
      <w:ind w:left="1701" w:right="0" w:firstLine="0"/>
      <w:spacing w:after="57"/>
    </w:pPr>
  </w:style>
  <w:style w:type="paragraph" w:styleId="1102">
    <w:name w:val="toc 8"/>
    <w:basedOn w:val="1106"/>
    <w:next w:val="1106"/>
    <w:uiPriority w:val="39"/>
    <w:unhideWhenUsed/>
    <w:pPr>
      <w:ind w:left="1984" w:right="0" w:firstLine="0"/>
      <w:spacing w:after="57"/>
    </w:pPr>
  </w:style>
  <w:style w:type="paragraph" w:styleId="1103">
    <w:name w:val="toc 9"/>
    <w:basedOn w:val="1106"/>
    <w:next w:val="1106"/>
    <w:uiPriority w:val="39"/>
    <w:unhideWhenUsed/>
    <w:pPr>
      <w:ind w:left="2268" w:right="0" w:firstLine="0"/>
      <w:spacing w:after="57"/>
    </w:pPr>
  </w:style>
  <w:style w:type="paragraph" w:styleId="1104">
    <w:name w:val="TOC Heading"/>
    <w:uiPriority w:val="39"/>
    <w:unhideWhenUsed/>
  </w:style>
  <w:style w:type="paragraph" w:styleId="1105">
    <w:name w:val="table of figures"/>
    <w:basedOn w:val="1106"/>
    <w:next w:val="1106"/>
    <w:uiPriority w:val="99"/>
    <w:unhideWhenUsed/>
    <w:pPr>
      <w:spacing w:after="0" w:afterAutospacing="0"/>
    </w:pPr>
  </w:style>
  <w:style w:type="paragraph" w:styleId="1106" w:default="1">
    <w:name w:val="Normal"/>
    <w:qFormat/>
  </w:style>
  <w:style w:type="table" w:styleId="110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108" w:default="1">
    <w:name w:val="No List"/>
    <w:uiPriority w:val="99"/>
    <w:semiHidden/>
    <w:unhideWhenUsed/>
  </w:style>
  <w:style w:type="paragraph" w:styleId="1109">
    <w:name w:val="No Spacing"/>
    <w:basedOn w:val="1106"/>
    <w:uiPriority w:val="1"/>
    <w:qFormat/>
    <w:pPr>
      <w:spacing w:after="0" w:line="240" w:lineRule="auto"/>
    </w:pPr>
  </w:style>
  <w:style w:type="paragraph" w:styleId="1110">
    <w:name w:val="List Paragraph"/>
    <w:basedOn w:val="1106"/>
    <w:uiPriority w:val="34"/>
    <w:qFormat/>
    <w:pPr>
      <w:contextualSpacing/>
      <w:ind w:left="720"/>
    </w:pPr>
  </w:style>
  <w:style w:type="character" w:styleId="1111" w:default="1">
    <w:name w:val="Default Paragraph Font"/>
    <w:uiPriority w:val="1"/>
    <w:semiHidden/>
    <w:unhideWhenUsed/>
  </w:style>
  <w:style w:type="table" w:styleId="1112" w:customStyle="1">
    <w:name w:val="Сетка таблицы16"/>
    <w:uiPriority w:val="39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asciiTheme="minorHAnsi" w:hAnsiTheme="minorHAnsi" w:eastAsiaTheme="minorHAnsi" w:cstheme="minorBid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en-US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autofit"/>
      <w:tblCellMar>
        <w:left w:w="108" w:type="dxa"/>
        <w:top w:w="0" w:type="dxa"/>
        <w:right w:w="108" w:type="dxa"/>
        <w:bottom w:w="0" w:type="dxa"/>
      </w:tblCellMar>
    </w:tblPr>
    <w:trPr>
      <w:cantSplit w:val="false"/>
      <w:jc w:val="left"/>
    </w:trPr>
    <w:tcPr>
      <w:tcW w:w="0" w:type="auto"/>
      <w:vAlign w:val="top"/>
      <w:vMerge w:val="restart"/>
      <w:hMerge w:val="restart"/>
    </w:tcPr>
  </w:style>
  <w:style w:type="paragraph" w:styleId="1113" w:customStyle="1">
    <w:name w:val="ЗИТ Таблица текст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Calibri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114" w:customStyle="1">
    <w:name w:val="ЗИТ Основной текст"/>
    <w:qFormat/>
    <w:pPr>
      <w:contextualSpacing w:val="0"/>
      <w:ind w:left="0" w:right="0" w:firstLine="709"/>
      <w:jc w:val="both"/>
      <w:keepLines w:val="0"/>
      <w:keepNext w:val="0"/>
      <w:pageBreakBefore w:val="0"/>
      <w:spacing w:before="0" w:beforeAutospacing="0" w:after="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Calibri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table" w:styleId="1115" w:customStyle="1">
    <w:name w:val="Сетка таблицы1"/>
    <w:uiPriority w:val="59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en-US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autofit"/>
      <w:tblCellMar>
        <w:left w:w="108" w:type="dxa"/>
        <w:top w:w="0" w:type="dxa"/>
        <w:right w:w="108" w:type="dxa"/>
        <w:bottom w:w="0" w:type="dxa"/>
      </w:tblCellMar>
    </w:tblPr>
    <w:trPr>
      <w:cantSplit w:val="false"/>
      <w:jc w:val="left"/>
    </w:trPr>
    <w:tcPr>
      <w:tcW w:w="0" w:type="auto"/>
      <w:vAlign w:val="top"/>
      <w:vMerge w:val="restart"/>
      <w:hMerge w:val="restart"/>
    </w:tc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footer" Target="footer1.xml" /><Relationship Id="rId16" Type="http://schemas.openxmlformats.org/officeDocument/2006/relationships/footer" Target="footer2.xml" /><Relationship Id="rId17" Type="http://schemas.openxmlformats.org/officeDocument/2006/relationships/footer" Target="footer3.xml" /><Relationship Id="rId18" Type="http://schemas.openxmlformats.org/officeDocument/2006/relationships/footer" Target="footer4.xml" /><Relationship Id="rId19" Type="http://schemas.openxmlformats.org/officeDocument/2006/relationships/hyperlink" Target="https://zakupki.gov.ru/epz/ktru/ktruCard/ktru-description.html?itemId=33391&amp;amp;amp;amp;amp;amp;amp;amp;amp;amp;amp;amp;amp;amp;amp;amp;amp;amp;amp;amp;amp;amp;amp;amp;amp;amp;amp;amp;backUrl=" TargetMode="External"/><Relationship Id="rId20" Type="http://schemas.openxmlformats.org/officeDocument/2006/relationships/hyperlink" Target="https://info.gosuslugi.ru/." TargetMode="External"/><Relationship Id="rId21" Type="http://schemas.openxmlformats.org/officeDocument/2006/relationships/hyperlink" Target="https://zakupki.gov.ru/epz/ktru/ktruCard/ktru-description.html?itemId=33391&amp;amp;amp;amp;amp;amp;amp;amp;amp;amp;amp;amp;amp;amp;amp;amp;amp;amp;amp;amp;amp;amp;amp;amp;amp;amp;amp;amp;backUrl=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_rels/header6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Р7-Офис/2026.2.2.2683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repetyukls</cp:lastModifiedBy>
  <cp:revision>27</cp:revision>
  <dcterms:modified xsi:type="dcterms:W3CDTF">2026-10-06T09:19:50Z</dcterms:modified>
</cp:coreProperties>
</file>