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keepNext/>
        <w:spacing w:after="0" w:line="276" w:lineRule="auto"/>
        <w:tabs>
          <w:tab w:val="left" w:pos="1418" w:leader="none"/>
        </w:tabs>
        <w:rPr>
          <w:rFonts w:ascii="Times New Roman" w:hAnsi="Times New Roman" w:eastAsia="Calibri" w:cs="Times New Roman"/>
          <w:b/>
          <w:i/>
          <w:lang w:eastAsia="en-US"/>
        </w:rPr>
        <w:outlineLvl w:val="0"/>
      </w:pPr>
      <w:r>
        <w:rPr>
          <w:rFonts w:ascii="Times New Roman" w:hAnsi="Times New Roman" w:eastAsia="Calibri" w:cs="Times New Roman"/>
          <w:b/>
          <w:i/>
          <w:lang w:eastAsia="en-US"/>
        </w:rPr>
        <w:t xml:space="preserve">Приложение 2 к извещению </w:t>
      </w:r>
      <w:r>
        <w:rPr>
          <w:rFonts w:ascii="Times New Roman" w:hAnsi="Times New Roman" w:eastAsia="Calibri" w:cs="Times New Roman"/>
          <w:b/>
          <w:i/>
          <w:lang w:eastAsia="en-US"/>
        </w:rPr>
      </w:r>
      <w:r>
        <w:rPr>
          <w:rFonts w:ascii="Times New Roman" w:hAnsi="Times New Roman" w:eastAsia="Calibri" w:cs="Times New Roman"/>
          <w:b/>
          <w:i/>
          <w:lang w:eastAsia="en-US"/>
        </w:rPr>
      </w:r>
    </w:p>
    <w:p>
      <w:pPr>
        <w:jc w:val="right"/>
        <w:keepNext/>
        <w:spacing w:after="0" w:line="276" w:lineRule="auto"/>
        <w:tabs>
          <w:tab w:val="left" w:pos="1418" w:leader="none"/>
        </w:tabs>
        <w:rPr>
          <w:rFonts w:ascii="Times New Roman" w:hAnsi="Times New Roman" w:eastAsia="Calibri" w:cs="Times New Roman"/>
          <w:b/>
          <w:i/>
          <w:lang w:eastAsia="en-US"/>
        </w:rPr>
        <w:outlineLvl w:val="0"/>
      </w:pPr>
      <w:r>
        <w:rPr>
          <w:rFonts w:ascii="Times New Roman" w:hAnsi="Times New Roman" w:eastAsia="Calibri" w:cs="Times New Roman"/>
          <w:b/>
          <w:i/>
          <w:lang w:eastAsia="en-US"/>
        </w:rPr>
        <w:t xml:space="preserve">о проведении </w:t>
      </w:r>
      <w:r>
        <w:rPr>
          <w:rFonts w:ascii="Times New Roman" w:hAnsi="Times New Roman" w:eastAsia="Calibri" w:cs="Times New Roman"/>
          <w:b/>
          <w:i/>
          <w:lang w:eastAsia="en-US"/>
        </w:rPr>
        <w:t xml:space="preserve">открытого конкурса в электронной форме</w:t>
      </w:r>
      <w:r>
        <w:rPr>
          <w:rFonts w:ascii="Times New Roman" w:hAnsi="Times New Roman" w:eastAsia="Calibri" w:cs="Times New Roman"/>
          <w:b/>
          <w:i/>
          <w:lang w:eastAsia="en-US"/>
        </w:rPr>
        <w:t xml:space="preserve">  </w:t>
      </w:r>
      <w:r>
        <w:rPr>
          <w:rFonts w:ascii="Times New Roman" w:hAnsi="Times New Roman" w:eastAsia="Calibri" w:cs="Times New Roman"/>
          <w:b/>
          <w:i/>
          <w:lang w:eastAsia="en-US"/>
        </w:rPr>
      </w:r>
      <w:r>
        <w:rPr>
          <w:rFonts w:ascii="Times New Roman" w:hAnsi="Times New Roman" w:eastAsia="Calibri" w:cs="Times New Roman"/>
          <w:b/>
          <w:i/>
          <w:lang w:eastAsia="en-US"/>
        </w:rPr>
      </w:r>
    </w:p>
    <w:p>
      <w:pPr>
        <w:pStyle w:val="958"/>
        <w:jc w:val="center"/>
      </w:pPr>
      <w:r/>
      <w:r/>
    </w:p>
    <w:p>
      <w:pPr>
        <w:pStyle w:val="958"/>
        <w:jc w:val="center"/>
      </w:pPr>
      <w:r/>
      <w:r/>
    </w:p>
    <w:p>
      <w:pPr>
        <w:pStyle w:val="958"/>
        <w:jc w:val="center"/>
      </w:pPr>
      <w:r/>
      <w:r/>
    </w:p>
    <w:p>
      <w:pPr>
        <w:pStyle w:val="958"/>
        <w:jc w:val="center"/>
      </w:pPr>
      <w:r>
        <w:t xml:space="preserve">Проект государственного контракта </w:t>
      </w:r>
      <w:r>
        <w:t xml:space="preserve">№</w:t>
      </w:r>
      <w:r>
        <w:t xml:space="preserve"> </w:t>
      </w:r>
      <w:r>
        <w:t xml:space="preserve">__________________</w:t>
      </w:r>
      <w:r/>
    </w:p>
    <w:p>
      <w:pPr>
        <w:pStyle w:val="958"/>
        <w:jc w:val="center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на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казание услуг по техническому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Минэнерго России (ГИС «Цифровые госуслуги 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инэнерго России») в 2027-2028 гг.</w:t>
      </w:r>
      <w:r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</w:r>
      <w:r>
        <w:rPr>
          <w:rFonts w:eastAsia="Times New Roman"/>
          <w:lang w:eastAsia="en-US"/>
        </w:rPr>
      </w:r>
    </w:p>
    <w:p>
      <w:pPr>
        <w:pStyle w:val="958"/>
        <w:jc w:val="center"/>
      </w:pPr>
      <w:r>
        <w:t xml:space="preserve">(Идентификационный код закупки </w:t>
      </w:r>
      <w:r>
        <w:t xml:space="preserve">№</w:t>
      </w:r>
      <w:r>
        <w:t xml:space="preserve"> </w:t>
      </w:r>
      <w:r>
        <w:t xml:space="preserve">_______________________________________</w:t>
      </w:r>
      <w:r>
        <w:t xml:space="preserve">)</w:t>
      </w:r>
      <w:r/>
    </w:p>
    <w:p>
      <w:pPr>
        <w:pStyle w:val="958"/>
        <w:jc w:val="both"/>
      </w:pPr>
      <w:r/>
      <w:r/>
    </w:p>
    <w:p>
      <w:pPr>
        <w:pStyle w:val="9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 _______ 20</w:t>
      </w:r>
      <w:r>
        <w:rPr>
          <w:rFonts w:ascii="Times New Roman" w:hAnsi="Times New Roman" w:cs="Times New Roman"/>
          <w:sz w:val="24"/>
          <w:szCs w:val="24"/>
        </w:rPr>
        <w:t xml:space="preserve">2_</w:t>
      </w:r>
      <w:r>
        <w:rPr>
          <w:rFonts w:ascii="Times New Roman" w:hAnsi="Times New Roman" w:cs="Times New Roman"/>
          <w:sz w:val="24"/>
          <w:szCs w:val="24"/>
        </w:rPr>
        <w:t xml:space="preserve"> г.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г. Москва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58"/>
        <w:jc w:val="both"/>
        <w:rPr>
          <w:color w:val="ff0000"/>
        </w:rPr>
      </w:pPr>
      <w:r>
        <w:rPr>
          <w:color w:val="ff0000"/>
        </w:rPr>
      </w:r>
      <w:r>
        <w:rPr>
          <w:color w:val="ff0000"/>
        </w:rPr>
      </w:r>
      <w:r>
        <w:rPr>
          <w:color w:val="ff0000"/>
        </w:rPr>
      </w:r>
    </w:p>
    <w:p>
      <w:pPr>
        <w:pStyle w:val="958"/>
        <w:jc w:val="both"/>
        <w:rPr>
          <w:color w:val="ff0000"/>
        </w:rPr>
      </w:pPr>
      <w:r>
        <w:rPr>
          <w:color w:val="ff0000"/>
        </w:rPr>
      </w:r>
      <w:r>
        <w:rPr>
          <w:color w:val="ff0000"/>
        </w:rPr>
      </w:r>
      <w:r>
        <w:rPr>
          <w:color w:val="ff0000"/>
        </w:rPr>
      </w:r>
    </w:p>
    <w:p>
      <w:pPr>
        <w:pStyle w:val="958"/>
        <w:jc w:val="both"/>
        <w:rPr>
          <w:color w:val="ff0000"/>
        </w:rPr>
      </w:pPr>
      <w:r>
        <w:rPr>
          <w:color w:val="ff0000"/>
        </w:rPr>
      </w:r>
      <w:r>
        <w:rPr>
          <w:color w:val="ff0000"/>
        </w:rPr>
      </w:r>
      <w:r>
        <w:rPr>
          <w:color w:val="ff0000"/>
        </w:rPr>
      </w:r>
    </w:p>
    <w:p>
      <w:pPr>
        <w:pStyle w:val="958"/>
        <w:ind w:firstLine="540"/>
        <w:jc w:val="both"/>
        <w:spacing w:before="240"/>
      </w:pPr>
      <w:r>
        <w:rPr>
          <w:b/>
        </w:rPr>
        <w:t xml:space="preserve">Министерство энергетики Российской Федерации (Минэнерго России)</w:t>
      </w:r>
      <w:r>
        <w:t xml:space="preserve">, именуем</w:t>
      </w:r>
      <w:r>
        <w:t xml:space="preserve">ое</w:t>
      </w:r>
      <w:r>
        <w:t xml:space="preserve">  в дальнейшем </w:t>
      </w:r>
      <w:r>
        <w:rPr>
          <w:b/>
        </w:rPr>
        <w:t xml:space="preserve">«</w:t>
      </w:r>
      <w:r>
        <w:t xml:space="preserve">Заказчик</w:t>
      </w:r>
      <w:r>
        <w:t xml:space="preserve">»</w:t>
      </w:r>
      <w:r>
        <w:t xml:space="preserve">, в лице </w:t>
      </w:r>
      <w:r>
        <w:t xml:space="preserve">заместителя Министра энергетики Российской Федерации </w:t>
      </w:r>
      <w:r>
        <w:t xml:space="preserve">Шереметцева</w:t>
      </w:r>
      <w:r>
        <w:t xml:space="preserve"> Эдуарда Михайловича, действующего на основании приказа Минэнерго России от 07.05.2025 № 500 и доверенности от ______ № ________</w:t>
      </w:r>
      <w:r>
        <w:t xml:space="preserve">, с одной стороны, и __________________, именуемый в дальнейшем </w:t>
      </w:r>
      <w:r>
        <w:t xml:space="preserve">«</w:t>
      </w:r>
      <w:r>
        <w:t xml:space="preserve">Исполнитель</w:t>
      </w:r>
      <w:r>
        <w:t xml:space="preserve">»</w:t>
      </w:r>
      <w:r>
        <w:t xml:space="preserve">, в лице __________________, действующего на основании __________________, с другой стороны, вместе именуемые в дальнейшем </w:t>
      </w:r>
      <w:r>
        <w:t xml:space="preserve">«</w:t>
      </w:r>
      <w:r>
        <w:t xml:space="preserve">Стороны</w:t>
      </w:r>
      <w:r>
        <w:t xml:space="preserve">»</w:t>
      </w:r>
      <w:r>
        <w:t xml:space="preserve"> и каждый в отдельности «Сторона», с соблюдением требований Гражданского кодекса Российской Федерации, Федерального закона от </w:t>
      </w:r>
      <w:r>
        <w:t xml:space="preserve">0</w:t>
      </w:r>
      <w:r>
        <w:t xml:space="preserve">5</w:t>
      </w:r>
      <w:r>
        <w:t xml:space="preserve">.04.</w:t>
      </w:r>
      <w:r>
        <w:t xml:space="preserve">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иного законодательства Российской Федерации, на основании результатов определения </w:t>
      </w:r>
      <w:r>
        <w:t xml:space="preserve">и</w:t>
      </w:r>
      <w:r>
        <w:t xml:space="preserve">сполнителя</w:t>
      </w:r>
      <w:r>
        <w:t xml:space="preserve"> способом закупки </w:t>
      </w:r>
      <w:r>
        <w:t xml:space="preserve">открытый конкурс</w:t>
      </w:r>
      <w:r>
        <w:t xml:space="preserve"> в электронной форме реестровый № закупки _________________</w:t>
      </w:r>
      <w:r>
        <w:t xml:space="preserve">_____, протокол от __ _____ 202_</w:t>
      </w:r>
      <w:r>
        <w:t xml:space="preserve"> № _____________</w:t>
      </w:r>
      <w:r>
        <w:t xml:space="preserve">_________, заключили настоящий г</w:t>
      </w:r>
      <w:r>
        <w:t xml:space="preserve">осударственный контракт (далее – Контракт) о нижеследующем:</w:t>
      </w:r>
      <w:r/>
    </w:p>
    <w:p>
      <w:pPr>
        <w:pStyle w:val="95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I. Предмет Контракта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1.1. </w:t>
      </w:r>
      <w:r>
        <w:t xml:space="preserve">Исполнитель</w:t>
      </w:r>
      <w:r>
        <w:t xml:space="preserve"> обязуется </w:t>
      </w:r>
      <w:r>
        <w:t xml:space="preserve">оказать </w:t>
      </w:r>
      <w:r>
        <w:rPr>
          <w:rFonts w:eastAsia="Times New Roman"/>
          <w:lang w:eastAsia="en-US"/>
        </w:rPr>
        <w:t xml:space="preserve">услуг</w:t>
      </w:r>
      <w:r>
        <w:rPr>
          <w:rFonts w:eastAsia="Times New Roman"/>
          <w:lang w:eastAsia="en-US"/>
        </w:rPr>
        <w:t xml:space="preserve">и</w:t>
      </w:r>
      <w:r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  <w:t xml:space="preserve">п</w:t>
      </w:r>
      <w:r>
        <w:rPr>
          <w:rFonts w:eastAsia="Times New Roman"/>
          <w:lang w:eastAsia="en-US"/>
        </w:rPr>
        <w:t xml:space="preserve">о техническому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Минэнерго России (ГИС «Цифровые госуслуги Минэнерго России</w:t>
      </w:r>
      <w:r>
        <w:rPr>
          <w:rFonts w:eastAsia="Times New Roman"/>
          <w:lang w:eastAsia="en-US"/>
        </w:rPr>
        <w:t xml:space="preserve">») в 2027-2028 гг.</w:t>
      </w:r>
      <w:r>
        <w:t xml:space="preserve"> </w:t>
      </w:r>
      <w:r>
        <w:t xml:space="preserve">(далее </w:t>
      </w:r>
      <w:r>
        <w:t xml:space="preserve">–</w:t>
      </w:r>
      <w:r>
        <w:t xml:space="preserve"> </w:t>
      </w:r>
      <w:r>
        <w:t xml:space="preserve">Услуг</w:t>
      </w:r>
      <w:r>
        <w:t xml:space="preserve">и</w:t>
      </w:r>
      <w:r>
        <w:t xml:space="preserve">), а Заказчик обязуется принять и оплатить </w:t>
      </w:r>
      <w:r>
        <w:t xml:space="preserve">оказанн</w:t>
      </w:r>
      <w:r>
        <w:t xml:space="preserve">ые</w:t>
      </w:r>
      <w:r>
        <w:t xml:space="preserve"> Услуг</w:t>
      </w:r>
      <w:r>
        <w:t xml:space="preserve">и</w:t>
      </w:r>
      <w:r>
        <w:t xml:space="preserve"> в порядке и на условиях, предусмотренных Контрактом.</w:t>
      </w:r>
      <w:r/>
    </w:p>
    <w:p>
      <w:pPr>
        <w:pStyle w:val="958"/>
        <w:ind w:firstLine="709"/>
        <w:jc w:val="both"/>
      </w:pPr>
      <w:r>
        <w:t xml:space="preserve">1.2. Наименование, </w:t>
      </w:r>
      <w:r>
        <w:t xml:space="preserve">объем</w:t>
      </w:r>
      <w:r>
        <w:t xml:space="preserve"> и иные характеристики </w:t>
      </w:r>
      <w:r>
        <w:t xml:space="preserve">оказываемых Услуг</w:t>
      </w:r>
      <w:r>
        <w:t xml:space="preserve"> указаны в </w:t>
      </w:r>
      <w:r>
        <w:t xml:space="preserve">Т</w:t>
      </w:r>
      <w:r>
        <w:t xml:space="preserve">ехническом задании (приложение 1</w:t>
      </w:r>
      <w:r>
        <w:t xml:space="preserve"> к Контракту</w:t>
      </w:r>
      <w:r>
        <w:t xml:space="preserve">), Спецификации (Приложение 2 к Контракту)</w:t>
      </w:r>
      <w:r>
        <w:t xml:space="preserve"> и</w:t>
      </w:r>
      <w:r>
        <w:t xml:space="preserve"> Календарном план</w:t>
      </w:r>
      <w:r>
        <w:t xml:space="preserve">е (Приложение 3</w:t>
      </w:r>
      <w:r>
        <w:t xml:space="preserve"> к Контракту),</w:t>
      </w:r>
      <w:r>
        <w:t xml:space="preserve"> являющ</w:t>
      </w:r>
      <w:r>
        <w:t xml:space="preserve">ихся</w:t>
      </w:r>
      <w:r>
        <w:t xml:space="preserve"> неотъемлемой частью Контракта.</w:t>
      </w:r>
      <w:r/>
    </w:p>
    <w:p>
      <w:pPr>
        <w:pStyle w:val="958"/>
        <w:ind w:firstLine="709"/>
        <w:jc w:val="both"/>
      </w:pPr>
      <w:r/>
      <w:r/>
    </w:p>
    <w:p>
      <w:pPr>
        <w:pStyle w:val="95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II. Цена Контракта и порядок расчетов</w:t>
      </w:r>
      <w:r>
        <w:rPr>
          <w:b/>
        </w:rPr>
      </w:r>
      <w:r>
        <w:rPr>
          <w:b/>
        </w:rPr>
      </w:r>
    </w:p>
    <w:p>
      <w:pPr>
        <w:pStyle w:val="959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bscript"/>
        </w:rPr>
      </w:pPr>
      <w:r/>
      <w:bookmarkStart w:id="0" w:name="Par1440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2.1.  Цена Контракта (Предложение о цене за право</w:t>
      </w:r>
      <w:r>
        <w:rPr>
          <w:rFonts w:ascii="Times New Roman" w:hAnsi="Times New Roman" w:cs="Times New Roman"/>
          <w:sz w:val="24"/>
          <w:szCs w:val="24"/>
        </w:rPr>
        <w:t xml:space="preserve"> заключения Контракта)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</w:t>
      </w:r>
      <w:r>
        <w:rPr>
          <w:rFonts w:ascii="Times New Roman" w:hAnsi="Times New Roman" w:cs="Times New Roman"/>
          <w:sz w:val="24"/>
          <w:szCs w:val="24"/>
        </w:rPr>
        <w:t xml:space="preserve">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_____________ (_____) рублей __</w:t>
      </w:r>
      <w:r>
        <w:rPr>
          <w:rFonts w:ascii="Times New Roman" w:hAnsi="Times New Roman" w:cs="Times New Roman"/>
          <w:sz w:val="24"/>
          <w:szCs w:val="24"/>
        </w:rPr>
        <w:t xml:space="preserve"> копеек,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том числе НДС ___</w:t>
      </w: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__ (__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(цифрами и прописью)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 _____ копеек</w:t>
      </w:r>
      <w:r>
        <w:rPr>
          <w:rStyle w:val="957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(НДС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облагается)</w:t>
      </w:r>
      <w:r>
        <w:rPr>
          <w:rStyle w:val="957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957"/>
          <w:rFonts w:ascii="Times New Roman" w:hAnsi="Times New Roman" w:cs="Times New Roman"/>
          <w:sz w:val="24"/>
          <w:szCs w:val="24"/>
        </w:rPr>
        <w:footnoteReference w:id="4"/>
      </w:r>
      <w:r>
        <w:rPr>
          <w:rStyle w:val="957"/>
          <w:rFonts w:ascii="Times New Roman" w:hAnsi="Times New Roman" w:cs="Times New Roman"/>
          <w:sz w:val="24"/>
          <w:szCs w:val="24"/>
          <w:vertAlign w:val="subscript"/>
        </w:rPr>
        <w:t xml:space="preserve">.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</w:r>
    </w:p>
    <w:p>
      <w:pPr>
        <w:pStyle w:val="958"/>
        <w:ind w:firstLine="709"/>
        <w:jc w:val="both"/>
      </w:pPr>
      <w:r/>
      <w:bookmarkStart w:id="1" w:name="Par1445"/>
      <w:r/>
      <w:bookmarkStart w:id="2" w:name="Par1457"/>
      <w:r/>
      <w:bookmarkEnd w:id="1"/>
      <w:r/>
      <w:bookmarkEnd w:id="2"/>
      <w:r>
        <w:t xml:space="preserve">2.2. Сумма, подлежащая уплате Заказчиком </w:t>
      </w:r>
      <w:r>
        <w:t xml:space="preserve">Исполнителю</w:t>
      </w:r>
      <w:r>
        <w:t xml:space="preserve">, уменьшается на размер налогов, сборов и иных обязательных платежей в бюджеты бюджетной системы Р</w:t>
      </w:r>
      <w: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/>
    </w:p>
    <w:p>
      <w:pPr>
        <w:pStyle w:val="958"/>
        <w:ind w:firstLine="709"/>
        <w:jc w:val="both"/>
      </w:pPr>
      <w:r/>
      <w:bookmarkStart w:id="3" w:name="Par1458"/>
      <w:r/>
      <w:bookmarkEnd w:id="3"/>
      <w:r>
        <w:t xml:space="preserve">2.3. Цена Контракта включает в себя стоимость </w:t>
      </w:r>
      <w:r>
        <w:t xml:space="preserve">Услуг </w:t>
      </w:r>
      <w:r>
        <w:t xml:space="preserve">и иные расходы, связанные с исполнением Контракта. </w:t>
      </w:r>
      <w:r/>
    </w:p>
    <w:p>
      <w:pPr>
        <w:pStyle w:val="958"/>
        <w:ind w:firstLine="709"/>
        <w:jc w:val="both"/>
      </w:pPr>
      <w:r/>
      <w:bookmarkStart w:id="4" w:name="Par1459"/>
      <w:r/>
      <w:bookmarkEnd w:id="4"/>
      <w:r>
        <w:t xml:space="preserve">2.4. Цена Контракта является твердой и определяется на весь срок исполнения Контракта, за исключением случаев, установленных </w:t>
      </w:r>
      <w:r>
        <w:t xml:space="preserve">Законом о контрактной системе</w:t>
      </w:r>
      <w:r>
        <w:t xml:space="preserve"> и Контрактом.</w:t>
      </w:r>
      <w:r/>
    </w:p>
    <w:p>
      <w:pPr>
        <w:pStyle w:val="958"/>
        <w:ind w:firstLine="709"/>
        <w:jc w:val="both"/>
      </w:pPr>
      <w:r/>
      <w:bookmarkStart w:id="5" w:name="Par1460"/>
      <w:r/>
      <w:bookmarkEnd w:id="5"/>
      <w:r>
        <w:t xml:space="preserve">Цена Контракта может быть снижена по соглашению Сторон без</w:t>
      </w:r>
      <w:r>
        <w:t xml:space="preserve"> </w:t>
      </w:r>
      <w:r>
        <w:t xml:space="preserve">изменения</w:t>
      </w:r>
      <w:r>
        <w:t xml:space="preserve">,</w:t>
      </w:r>
      <w:r>
        <w:t xml:space="preserve"> предусмотренного Контрактом </w:t>
      </w:r>
      <w:r>
        <w:t xml:space="preserve">объема</w:t>
      </w:r>
      <w:r>
        <w:t xml:space="preserve"> и качества </w:t>
      </w:r>
      <w:r>
        <w:t xml:space="preserve">оказываемых Услуг</w:t>
      </w:r>
      <w:r>
        <w:t xml:space="preserve"> и иных условий Контракта. </w:t>
      </w:r>
      <w:r/>
    </w:p>
    <w:p>
      <w:pPr>
        <w:pStyle w:val="958"/>
        <w:ind w:firstLine="709"/>
        <w:jc w:val="both"/>
      </w:pPr>
      <w:r>
        <w:t xml:space="preserve">2.5</w:t>
      </w:r>
      <w:r>
        <w:t xml:space="preserve">. Источник финансирования Контракта </w:t>
      </w:r>
      <w:r>
        <w:t xml:space="preserve">–</w:t>
      </w:r>
      <w:r>
        <w:t xml:space="preserve"> </w:t>
      </w:r>
      <w:r>
        <w:t xml:space="preserve">Федеральный бюджет</w:t>
      </w:r>
      <w:r>
        <w:t xml:space="preserve">. </w:t>
      </w:r>
      <w:r/>
    </w:p>
    <w:p>
      <w:pPr>
        <w:pStyle w:val="958"/>
        <w:ind w:firstLine="709"/>
        <w:jc w:val="both"/>
      </w:pPr>
      <w:r>
        <w:t xml:space="preserve">КВР – 246.</w:t>
      </w:r>
      <w:r/>
    </w:p>
    <w:p>
      <w:pPr>
        <w:pStyle w:val="958"/>
        <w:ind w:firstLine="709"/>
        <w:jc w:val="both"/>
      </w:pPr>
      <w:r>
        <w:t xml:space="preserve">2.6. Авансовый платеж не предусмотрен.</w:t>
      </w:r>
      <w:r/>
    </w:p>
    <w:p>
      <w:pPr>
        <w:pStyle w:val="958"/>
        <w:ind w:firstLine="709"/>
        <w:jc w:val="both"/>
      </w:pPr>
      <w:r/>
      <w:bookmarkStart w:id="6" w:name="Par1462"/>
      <w:r/>
      <w:bookmarkEnd w:id="6"/>
      <w:r>
        <w:t xml:space="preserve">2.</w:t>
      </w:r>
      <w:r>
        <w:t xml:space="preserve">7</w:t>
      </w:r>
      <w:r>
        <w:t xml:space="preserve">. </w:t>
      </w:r>
      <w:bookmarkStart w:id="7" w:name="Par1475"/>
      <w:r/>
      <w:bookmarkEnd w:id="7"/>
      <w:r>
        <w:t xml:space="preserve">Расчеты между Заказчиком и </w:t>
      </w:r>
      <w:r>
        <w:t xml:space="preserve">Исполнителем</w:t>
      </w:r>
      <w:r>
        <w:t xml:space="preserve"> производятся не позднее </w:t>
      </w:r>
      <w:r>
        <w:t xml:space="preserve">7</w:t>
      </w:r>
      <w:r>
        <w:t xml:space="preserve"> (</w:t>
      </w:r>
      <w:r>
        <w:t xml:space="preserve">семи</w:t>
      </w:r>
      <w:r>
        <w:t xml:space="preserve">) рабочих дней </w:t>
      </w:r>
      <w:r>
        <w:t xml:space="preserve">с даты </w:t>
      </w:r>
      <w:r>
        <w:t xml:space="preserve">подписания усиленной электронной подписью лиц</w:t>
      </w:r>
      <w:r>
        <w:t xml:space="preserve">а</w:t>
      </w:r>
      <w:r>
        <w:t xml:space="preserve">, имеющ</w:t>
      </w:r>
      <w:r>
        <w:t xml:space="preserve">его</w:t>
      </w:r>
      <w:r>
        <w:t xml:space="preserve"> право действовать от имени </w:t>
      </w:r>
      <w:r>
        <w:t xml:space="preserve">З</w:t>
      </w:r>
      <w:r>
        <w:t xml:space="preserve">аказчика, документа о приемке в </w:t>
      </w:r>
      <w:r>
        <w:t xml:space="preserve">единой информационной системе (далее – </w:t>
      </w:r>
      <w:r>
        <w:t xml:space="preserve">ЕИС</w:t>
      </w:r>
      <w:r>
        <w:t xml:space="preserve">)</w:t>
      </w:r>
      <w:r>
        <w:rPr>
          <w:rStyle w:val="957"/>
        </w:rPr>
        <w:t xml:space="preserve"> </w:t>
      </w:r>
      <w:r>
        <w:t xml:space="preserve">.</w:t>
      </w:r>
      <w:r/>
    </w:p>
    <w:p>
      <w:pPr>
        <w:pStyle w:val="958"/>
        <w:ind w:firstLine="709"/>
        <w:jc w:val="both"/>
      </w:pPr>
      <w:r>
        <w:t xml:space="preserve">Заказчик оплачивает</w:t>
      </w:r>
      <w:r>
        <w:t xml:space="preserve"> </w:t>
      </w:r>
      <w:r>
        <w:t xml:space="preserve">Услуги </w:t>
      </w:r>
      <w:r>
        <w:t xml:space="preserve">поэтапно</w:t>
      </w:r>
      <w:r>
        <w:t xml:space="preserve"> </w:t>
      </w:r>
      <w:r>
        <w:t xml:space="preserve">в безналичном порядке путем перечисления стоимости оказанных Услуг со своего лицевого счета на расчетный счет Исполнителя, реквизиты которого указаны в статье «Адреса, реквизиты и подписи Сторо</w:t>
      </w:r>
      <w:r>
        <w:t xml:space="preserve">н» Контракта, на основании надлежаще оформленного и подписанного обеими Сторонами Акта сдачи-приемки оказанных услуг (далее – Акт сдачи-приемки оказанных услуг), Счета/Счета-фактуры с приложением документов, подтверждающих объем оказанных услуг, в течение </w:t>
      </w:r>
      <w:r>
        <w:t xml:space="preserve">7</w:t>
      </w:r>
      <w:r>
        <w:t xml:space="preserve"> (</w:t>
      </w:r>
      <w:r>
        <w:t xml:space="preserve">семи</w:t>
      </w:r>
      <w:r>
        <w:t xml:space="preserve">) рабочих дней с даты подписания Заказчиком Акта сдачи-приемки оказанных услуг. Исполнитель вправе выставить универсальный передаточный документ (УПД).</w:t>
      </w:r>
      <w:r/>
    </w:p>
    <w:p>
      <w:pPr>
        <w:pStyle w:val="958"/>
        <w:ind w:firstLine="709"/>
        <w:jc w:val="both"/>
      </w:pPr>
      <w:r>
        <w:t xml:space="preserve">К формируемому в ЕИС документу о приемке </w:t>
      </w:r>
      <w:r>
        <w:t xml:space="preserve">Исполнитель</w:t>
      </w:r>
      <w:r>
        <w:t xml:space="preserve"> вправе приложить документы, </w:t>
      </w:r>
      <w:r>
        <w:t xml:space="preserve">являющиеся </w:t>
      </w:r>
      <w:r>
        <w:t xml:space="preserve">его неотъемлемой частью</w:t>
      </w:r>
      <w:r>
        <w:t xml:space="preserve"> (счет, счет фактура (в случае,</w:t>
      </w:r>
      <w:r>
        <w:t xml:space="preserve"> если</w:t>
      </w:r>
      <w:r>
        <w:t xml:space="preserve"> </w:t>
      </w:r>
      <w:r>
        <w:t xml:space="preserve">Исполнитель</w:t>
      </w:r>
      <w:r>
        <w:t xml:space="preserve"> является плательщиком НДС)</w:t>
      </w:r>
      <w:r>
        <w:t xml:space="preserve">)</w:t>
      </w:r>
      <w:r>
        <w:t xml:space="preserve">.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sz w:val="24"/>
          <w:szCs w:val="24"/>
          <w:lang w:bidi="ru-RU"/>
        </w:rPr>
      </w:pP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2.8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. 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В случае, если исполнение Контракта (этапа) осуществляется в декабре, оплата осуществляется в следующем порядке: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sz w:val="24"/>
          <w:szCs w:val="24"/>
          <w:lang w:bidi="ru-RU"/>
        </w:rPr>
      </w:pP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если окончание оказания Услуг приходится на дату с 1 по 20 декабря финансового года включительно, – не позднее чем за один рабочий день до окончания текущего финансового года в пределах лимитов бюджетных о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получателей средств федерального бюджета на очередной финансовый год; 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</w:p>
    <w:p>
      <w:pPr>
        <w:pStyle w:val="958"/>
        <w:ind w:firstLine="709"/>
        <w:jc w:val="both"/>
      </w:pPr>
      <w:r>
        <w:rPr>
          <w:rFonts w:eastAsia="Arial Unicode MS"/>
          <w:lang w:bidi="ru-RU"/>
        </w:rPr>
        <w:t xml:space="preserve">если окончание оказания Услуг, согласно условиям Контракта, приходится на дату с 21 по 31 декабря финансового года включительно, – в очередном финансовом году в пределах лимитов бюджетных обязательств, доведенных до Заказчика на очередной финансовый год</w:t>
      </w:r>
      <w:r>
        <w:rPr>
          <w:rFonts w:eastAsia="Arial Unicode MS"/>
          <w:lang w:bidi="ru-RU"/>
        </w:rPr>
        <w:t xml:space="preserve">.</w:t>
      </w:r>
      <w:r/>
    </w:p>
    <w:p>
      <w:pPr>
        <w:pStyle w:val="958"/>
        <w:contextualSpacing/>
        <w:ind w:firstLine="709"/>
        <w:jc w:val="both"/>
      </w:pPr>
      <w:r>
        <w:t xml:space="preserve">2.</w:t>
      </w:r>
      <w:r>
        <w:t xml:space="preserve">9</w:t>
      </w:r>
      <w:r>
        <w:t xml:space="preserve">. Оплата по Контракту </w:t>
      </w:r>
      <w:r>
        <w:t xml:space="preserve">осуществляется поэтапно</w:t>
      </w:r>
      <w:r>
        <w:t xml:space="preserve"> по безналичному расчету </w:t>
      </w:r>
      <w:r>
        <w:t xml:space="preserve">платежными поручениями путем перечисления Заказчиком денежных средств на расчетный счет </w:t>
      </w:r>
      <w:r>
        <w:t xml:space="preserve">Исполнителя</w:t>
      </w:r>
      <w:r>
        <w:t xml:space="preserve">, указанный в Контракте. В случае изменения расчетного счета </w:t>
      </w:r>
      <w:r>
        <w:t xml:space="preserve">Исполнител</w:t>
      </w:r>
      <w:r>
        <w:t xml:space="preserve">ь</w:t>
      </w:r>
      <w:r>
        <w:t xml:space="preserve"> обязан в </w:t>
      </w:r>
      <w:r>
        <w:t xml:space="preserve">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</w:t>
      </w:r>
      <w:r>
        <w:t xml:space="preserve">Исполнителя</w:t>
      </w:r>
      <w:r>
        <w:t xml:space="preserve">, несет </w:t>
      </w:r>
      <w:r>
        <w:t xml:space="preserve">Исполнитель</w:t>
      </w:r>
      <w:r>
        <w:t xml:space="preserve">. </w:t>
      </w:r>
      <w:r/>
    </w:p>
    <w:p>
      <w:pPr>
        <w:pStyle w:val="958"/>
        <w:contextualSpacing/>
        <w:ind w:firstLine="709"/>
        <w:jc w:val="both"/>
        <w:rPr>
          <w:highlight w:val="none"/>
        </w:rPr>
      </w:pPr>
      <w:r>
        <w:t xml:space="preserve">2.10. В случае неисполнения Исполнителем требований об уплате неустоек (штрафов, пеней), предъявленных Заказчиком, Заказчик производит оплату по Контракту за вычетом соответствующего размера неустойки (штрафа, пени).</w:t>
      </w:r>
      <w:r>
        <w:rPr>
          <w:highlight w:val="none"/>
        </w:rPr>
      </w:r>
      <w:r>
        <w:rPr>
          <w:highlight w:val="none"/>
        </w:rPr>
      </w:r>
    </w:p>
    <w:p>
      <w:pPr>
        <w:pStyle w:val="958"/>
        <w:contextualSpacing/>
        <w:ind w:firstLine="709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58"/>
        <w:jc w:val="center"/>
        <w:rPr>
          <w:b/>
        </w:rPr>
        <w:outlineLvl w:val="1"/>
      </w:pPr>
      <w:r/>
      <w:bookmarkStart w:id="8" w:name="Par1477"/>
      <w:r/>
      <w:bookmarkEnd w:id="8"/>
      <w:r>
        <w:rPr>
          <w:b/>
        </w:rPr>
        <w:t xml:space="preserve">Раздел </w:t>
      </w:r>
      <w:r>
        <w:rPr>
          <w:b/>
        </w:rPr>
        <w:t xml:space="preserve">III. Порядок, сроки и условия </w:t>
      </w:r>
      <w:r>
        <w:rPr>
          <w:b/>
        </w:rPr>
        <w:t xml:space="preserve">оказания</w:t>
      </w:r>
      <w:r>
        <w:rPr>
          <w:b/>
        </w:rPr>
        <w:t xml:space="preserve"> </w:t>
      </w:r>
      <w:r>
        <w:rPr>
          <w:b/>
        </w:rPr>
        <w:t xml:space="preserve">и приемки </w:t>
      </w:r>
      <w:r>
        <w:rPr>
          <w:b/>
        </w:rPr>
        <w:t xml:space="preserve">Услуг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/>
      <w:bookmarkStart w:id="9" w:name="Par1480"/>
      <w:r/>
      <w:bookmarkEnd w:id="9"/>
      <w:r>
        <w:t xml:space="preserve">3.1. </w:t>
      </w:r>
      <w:r>
        <w:t xml:space="preserve">Исполнитель</w:t>
      </w:r>
      <w:r>
        <w:t xml:space="preserve"> </w:t>
      </w:r>
      <w:r>
        <w:t xml:space="preserve">оказывает Услуги</w:t>
      </w:r>
      <w:r>
        <w:t xml:space="preserve"> Заказчику</w:t>
      </w:r>
      <w:r>
        <w:t xml:space="preserve"> с</w:t>
      </w:r>
      <w:r>
        <w:t xml:space="preserve"> даты заключения Контракта</w:t>
      </w:r>
      <w:r>
        <w:t xml:space="preserve"> по 11.12.2028</w:t>
      </w:r>
      <w:r>
        <w:t xml:space="preserve"> по адресу: </w:t>
      </w:r>
      <w:r>
        <w:t xml:space="preserve">129110</w:t>
      </w:r>
      <w:r>
        <w:t xml:space="preserve">, </w:t>
      </w:r>
      <w:r>
        <w:rPr>
          <w:bCs/>
        </w:rPr>
        <w:t xml:space="preserve">г. Москва, ул. Щепкина,</w:t>
      </w:r>
      <w:r>
        <w:rPr>
          <w:bCs/>
        </w:rPr>
        <w:t xml:space="preserve"> </w:t>
      </w:r>
      <w:r>
        <w:rPr>
          <w:bCs/>
        </w:rPr>
        <w:t xml:space="preserve">д. 42, стр. 1,</w:t>
      </w:r>
      <w:r>
        <w:rPr>
          <w:bCs/>
        </w:rPr>
        <w:t xml:space="preserve"> 2</w:t>
      </w:r>
      <w:r>
        <w:rPr>
          <w:bCs/>
        </w:rPr>
        <w:t xml:space="preserve"> </w:t>
      </w:r>
      <w:r>
        <w:t xml:space="preserve">в соответствии с </w:t>
      </w:r>
      <w:r>
        <w:t xml:space="preserve">Техническ</w:t>
      </w:r>
      <w:r>
        <w:t xml:space="preserve">и</w:t>
      </w:r>
      <w:r>
        <w:t xml:space="preserve">м задани</w:t>
      </w:r>
      <w:r>
        <w:t xml:space="preserve">ем</w:t>
      </w:r>
      <w:r>
        <w:t xml:space="preserve"> (Приложение 1</w:t>
      </w:r>
      <w:r>
        <w:t xml:space="preserve"> к Контракту)</w:t>
      </w:r>
      <w:r>
        <w:t xml:space="preserve"> </w:t>
      </w:r>
      <w:r>
        <w:t xml:space="preserve">и</w:t>
      </w:r>
      <w:r>
        <w:t xml:space="preserve"> Календарн</w:t>
      </w:r>
      <w:r>
        <w:t xml:space="preserve">ы</w:t>
      </w:r>
      <w:r>
        <w:t xml:space="preserve">м план</w:t>
      </w:r>
      <w:r>
        <w:t xml:space="preserve">ом (Приложение 2</w:t>
      </w:r>
      <w:r>
        <w:t xml:space="preserve"> к Контракту)</w:t>
      </w:r>
      <w:r>
        <w:t xml:space="preserve">.</w:t>
      </w:r>
      <w:r/>
    </w:p>
    <w:p>
      <w:pPr>
        <w:pStyle w:val="958"/>
        <w:ind w:firstLine="709"/>
        <w:jc w:val="both"/>
      </w:pPr>
      <w:r/>
      <w:bookmarkStart w:id="10" w:name="Par1482"/>
      <w:r/>
      <w:bookmarkStart w:id="11" w:name="Par1485"/>
      <w:r/>
      <w:bookmarkEnd w:id="10"/>
      <w:r/>
      <w:bookmarkEnd w:id="11"/>
      <w:r>
        <w:t xml:space="preserve">3.</w:t>
      </w:r>
      <w:r>
        <w:t xml:space="preserve">2</w:t>
      </w:r>
      <w:r>
        <w:t xml:space="preserve">. Приемка </w:t>
      </w:r>
      <w:r>
        <w:t xml:space="preserve">оказанных Услуг</w:t>
      </w:r>
      <w:r>
        <w:t xml:space="preserve"> осуществляется</w:t>
      </w:r>
      <w:r>
        <w:t xml:space="preserve"> </w:t>
      </w:r>
      <w:r>
        <w:t xml:space="preserve">в соответствии с Календарным планом</w:t>
      </w:r>
      <w:r>
        <w:t xml:space="preserve"> путем </w:t>
      </w:r>
      <w:r>
        <w:t xml:space="preserve">предоставления </w:t>
      </w:r>
      <w:r>
        <w:t xml:space="preserve">документов, </w:t>
      </w:r>
      <w:r>
        <w:t xml:space="preserve">указанных в Т</w:t>
      </w:r>
      <w:r>
        <w:t xml:space="preserve">ехническом задании (Приложение 1</w:t>
      </w:r>
      <w:r>
        <w:t xml:space="preserve"> к Контракту)</w:t>
      </w:r>
      <w:r>
        <w:t xml:space="preserve">.</w:t>
      </w:r>
      <w:r/>
    </w:p>
    <w:p>
      <w:pPr>
        <w:pStyle w:val="958"/>
        <w:ind w:firstLine="709"/>
        <w:jc w:val="both"/>
      </w:pPr>
      <w:r>
        <w:t xml:space="preserve">3.3. </w:t>
      </w:r>
      <w:r>
        <w:t xml:space="preserve">Исполнитель не позднее трех рабочих дней, следующего за днем оказания Услуг, формирует с ис</w:t>
      </w:r>
      <w:r>
        <w:t xml:space="preserve">пользованием ЕИС, подписывает усиленной электронной подписью лица, имеющего право действовать от имени Исполнителя, и размещает в ЕИС документ о приемке, который должен содержать информацию, предусмотренную частью 13 статьи 94 Закона о контрактной системе.</w:t>
      </w:r>
      <w:r/>
    </w:p>
    <w:p>
      <w:pPr>
        <w:pStyle w:val="958"/>
        <w:ind w:firstLine="709"/>
        <w:jc w:val="both"/>
      </w:pPr>
      <w:r>
        <w:t xml:space="preserve">Исполнитель</w:t>
      </w:r>
      <w:r>
        <w:t xml:space="preserve"> вправе приложить к документу о приемке документы, которые считаются его неотъемлемой частью.</w:t>
      </w:r>
      <w:r/>
    </w:p>
    <w:p>
      <w:pPr>
        <w:pStyle w:val="958"/>
        <w:ind w:firstLine="709"/>
        <w:jc w:val="both"/>
      </w:pPr>
      <w:r>
        <w:t xml:space="preserve">К документу о приемке прилагаются документы, обязательные для данного вида </w:t>
      </w:r>
      <w:r>
        <w:t xml:space="preserve">Услуг</w:t>
      </w:r>
      <w:r>
        <w:t xml:space="preserve">, а также иные документы, подтверждающие качество </w:t>
      </w:r>
      <w:r>
        <w:t xml:space="preserve">оказанных Услуг</w:t>
      </w:r>
      <w:r>
        <w:t xml:space="preserve">, предусмотренные Техническим заданием.</w:t>
      </w:r>
      <w:r/>
    </w:p>
    <w:p>
      <w:pPr>
        <w:pStyle w:val="958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Датой приемки </w:t>
      </w:r>
      <w:r>
        <w:rPr>
          <w:rFonts w:eastAsia="Times New Roman"/>
        </w:rPr>
        <w:t xml:space="preserve">оказанных Услуг</w:t>
      </w:r>
      <w:r>
        <w:rPr>
          <w:rFonts w:eastAsia="Times New Roman"/>
        </w:rPr>
        <w:t xml:space="preserve"> считается дата размещения в ЕИС документа о приемке, подписанного Заказчиком.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pStyle w:val="958"/>
        <w:ind w:firstLine="709"/>
        <w:jc w:val="both"/>
      </w:pPr>
      <w:r>
        <w:t xml:space="preserve">3.4. Заказчик проводит проверку соответствия </w:t>
      </w:r>
      <w:r>
        <w:t xml:space="preserve">объема</w:t>
      </w:r>
      <w:r>
        <w:t xml:space="preserve"> и иных характеристик </w:t>
      </w:r>
      <w:r>
        <w:t xml:space="preserve">оказываемых У</w:t>
      </w:r>
      <w:r>
        <w:t xml:space="preserve">слуг</w:t>
      </w:r>
      <w:r>
        <w:t xml:space="preserve">, сведениям, содержащимся в сопроводительных документах </w:t>
      </w:r>
      <w:r>
        <w:t xml:space="preserve">Исполнителя</w:t>
      </w:r>
      <w:r>
        <w:t xml:space="preserve">.</w:t>
      </w:r>
      <w:r/>
    </w:p>
    <w:p>
      <w:pPr>
        <w:pStyle w:val="958"/>
        <w:ind w:firstLine="709"/>
        <w:jc w:val="both"/>
      </w:pPr>
      <w:r>
        <w:t xml:space="preserve">3.5. Для проверки </w:t>
      </w:r>
      <w:r>
        <w:t xml:space="preserve">оказанных</w:t>
      </w:r>
      <w:r>
        <w:t xml:space="preserve"> </w:t>
      </w:r>
      <w:r>
        <w:t xml:space="preserve">Исполнителем</w:t>
      </w:r>
      <w:r>
        <w:t xml:space="preserve"> результатов, предусмотренных Контрактом, в части их соответствия условиям Контр</w:t>
      </w:r>
      <w:r>
        <w:t xml:space="preserve">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</w:t>
      </w:r>
      <w:r>
        <w:t xml:space="preserve">Законом о контрактной системе.</w:t>
      </w:r>
      <w:r/>
    </w:p>
    <w:p>
      <w:pPr>
        <w:pStyle w:val="958"/>
        <w:ind w:firstLine="709"/>
        <w:jc w:val="both"/>
      </w:pPr>
      <w:r/>
      <w:bookmarkStart w:id="12" w:name="Par1489"/>
      <w:r/>
      <w:bookmarkEnd w:id="12"/>
      <w:r>
        <w:t xml:space="preserve">3.6. При отсутствии у Заказчика претензий по </w:t>
      </w:r>
      <w:r>
        <w:t xml:space="preserve">объему</w:t>
      </w:r>
      <w:r>
        <w:t xml:space="preserve"> и качеству </w:t>
      </w:r>
      <w:r>
        <w:t xml:space="preserve">оказанных Услуг</w:t>
      </w:r>
      <w:r>
        <w:t xml:space="preserve"> Заказчик </w:t>
      </w:r>
      <w:r>
        <w:t xml:space="preserve">не позднее</w:t>
      </w:r>
      <w:r>
        <w:t xml:space="preserve"> 20 (двадцати) рабочих дней, следующих за днем поступления документа о приемке, направленного </w:t>
      </w:r>
      <w:r>
        <w:t xml:space="preserve">З</w:t>
      </w:r>
      <w:r>
        <w:t xml:space="preserve">аказчику посредством ЕИС, </w:t>
      </w:r>
      <w:r>
        <w:t xml:space="preserve">подписывает усиленной электронной подписью лица, имеющего право действовать от имени </w:t>
      </w:r>
      <w:r>
        <w:t xml:space="preserve">З</w:t>
      </w:r>
      <w:r>
        <w:t xml:space="preserve">аказчика, и размещает в </w:t>
      </w:r>
      <w:r>
        <w:t xml:space="preserve">ЕИС</w:t>
      </w:r>
      <w:r>
        <w:t xml:space="preserve"> документ о приемке.</w:t>
      </w:r>
      <w:r>
        <w:t xml:space="preserve"> </w:t>
      </w:r>
      <w:r>
        <w:t xml:space="preserve">Датой приемки оказанных</w:t>
      </w:r>
      <w:r>
        <w:t xml:space="preserve"> услуг считается дата размещения в </w:t>
      </w:r>
      <w:r>
        <w:t xml:space="preserve">ЕИС</w:t>
      </w:r>
      <w:r>
        <w:t xml:space="preserve"> документа о приемке, подписанного </w:t>
      </w:r>
      <w:r>
        <w:t xml:space="preserve">З</w:t>
      </w:r>
      <w:r>
        <w:t xml:space="preserve">аказчиком.</w:t>
      </w:r>
      <w:r/>
    </w:p>
    <w:p>
      <w:pPr>
        <w:pStyle w:val="958"/>
        <w:ind w:firstLine="709"/>
        <w:jc w:val="both"/>
        <w:rPr>
          <w:highlight w:val="none"/>
        </w:rPr>
      </w:pPr>
      <w:r>
        <w:t xml:space="preserve">3.7. При выявлении несоответствий в </w:t>
      </w:r>
      <w:r>
        <w:t xml:space="preserve">оказанных Услугах</w:t>
      </w:r>
      <w:r>
        <w:t xml:space="preserve"> (наименования, </w:t>
      </w:r>
      <w:r>
        <w:t xml:space="preserve">объем</w:t>
      </w:r>
      <w:r>
        <w:t xml:space="preserve">, качества, в том числе в случае выявления внешних признаков ненадлежащего качества </w:t>
      </w:r>
      <w:r>
        <w:t xml:space="preserve">оказанных Услуг</w:t>
      </w:r>
      <w:r>
        <w:t xml:space="preserve">, препятствующих приемке, Заказчик в срок, установленный в </w:t>
      </w:r>
      <w:hyperlink w:tooltip="3.6. При отсутствии у Заказчика претензий по количеству и качеству поставленного Товара Заказчик в течение ____ &lt;77&gt; дней с момента доставки Товара Поставщиком подписывает акт приема-передачи Товара (отдельного этапа исполнения Контракта), товарную (товарно-тр" w:anchor="Par1489" w:history="1">
        <w:r>
          <w:t xml:space="preserve">пункте 3.6</w:t>
        </w:r>
      </w:hyperlink>
      <w:r>
        <w:t xml:space="preserve"> Контракта, </w:t>
      </w:r>
      <w:r>
        <w:t xml:space="preserve">формирует с использованием </w:t>
      </w:r>
      <w:r>
        <w:t xml:space="preserve">ЕИС</w:t>
      </w:r>
      <w:r>
        <w:t xml:space="preserve">, подписывает усиленной электронной подписью лица, имеющего право действовать от имени </w:t>
      </w:r>
      <w:r>
        <w:t xml:space="preserve">З</w:t>
      </w:r>
      <w:r>
        <w:t xml:space="preserve">аказчика, и размещает в </w:t>
      </w:r>
      <w:r>
        <w:t xml:space="preserve">ЕИС</w:t>
      </w:r>
      <w:r>
        <w:t xml:space="preserve"> мотивированный отказ от подписания документа о приемке с указанием причин такого отказа</w:t>
      </w:r>
      <w:r>
        <w:t xml:space="preserve">.</w:t>
      </w:r>
      <w:r>
        <w:t xml:space="preserve"> В случае получения мотивированного отказа от подписания документа о приемке </w:t>
      </w:r>
      <w:r>
        <w:t xml:space="preserve">Исполнитель</w:t>
      </w:r>
      <w:r>
        <w:t xml:space="preserve"> вправе устранить причины, указанные в таком мотивированном отказе, и направить Заказчику документ о приемке в порядке, предусмотренном пунктом 3.3 Контракта.</w:t>
      </w:r>
      <w:r>
        <w:rPr>
          <w:highlight w:val="none"/>
        </w:rPr>
      </w:r>
      <w:r>
        <w:rPr>
          <w:highlight w:val="none"/>
        </w:rPr>
      </w:r>
    </w:p>
    <w:p>
      <w:pPr>
        <w:pStyle w:val="958"/>
        <w:ind w:firstLine="709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71"/>
        <w:jc w:val="center"/>
        <w:rPr>
          <w:b/>
          <w:sz w:val="24"/>
          <w:szCs w:val="24"/>
        </w:rPr>
      </w:pPr>
      <w:r>
        <w:rPr>
          <w:b/>
        </w:rPr>
        <w:t xml:space="preserve">Раздел </w:t>
      </w:r>
      <w:r>
        <w:rPr>
          <w:b/>
        </w:rPr>
        <w:t xml:space="preserve">IV. </w:t>
      </w:r>
      <w:r>
        <w:rPr>
          <w:b/>
        </w:rPr>
        <w:t xml:space="preserve">Права и обязанности</w:t>
      </w:r>
      <w:r>
        <w:rPr>
          <w:b/>
        </w:rPr>
        <w:t xml:space="preserve"> </w:t>
      </w:r>
      <w:r>
        <w:rPr>
          <w:b/>
        </w:rPr>
        <w:t xml:space="preserve">с</w:t>
      </w:r>
      <w:r>
        <w:rPr>
          <w:b/>
        </w:rPr>
        <w:t xml:space="preserve">торон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58"/>
        <w:ind w:firstLine="709"/>
        <w:jc w:val="both"/>
      </w:pPr>
      <w:r/>
      <w:bookmarkStart w:id="0" w:name="undefined"/>
      <w:r/>
      <w:bookmarkEnd w:id="0"/>
      <w:r>
        <w:t xml:space="preserve">4.1. </w:t>
      </w:r>
      <w:r>
        <w:t xml:space="preserve">Исполнитель</w:t>
      </w:r>
      <w:r>
        <w:t xml:space="preserve"> обязан: </w:t>
      </w:r>
      <w:r/>
    </w:p>
    <w:p>
      <w:pPr>
        <w:pStyle w:val="958"/>
        <w:ind w:firstLine="709"/>
        <w:jc w:val="both"/>
      </w:pPr>
      <w:r>
        <w:t xml:space="preserve">4.1.1. </w:t>
      </w:r>
      <w:r>
        <w:t xml:space="preserve">оказать Услуги</w:t>
      </w:r>
      <w:r>
        <w:t xml:space="preserve"> в порядке, в срок и на условиях, предусмотренных Контракто</w:t>
      </w:r>
      <w:r>
        <w:t xml:space="preserve">м</w:t>
      </w:r>
      <w:r>
        <w:t xml:space="preserve">, </w:t>
      </w:r>
      <w:r>
        <w:t xml:space="preserve">Техническим заданием</w:t>
      </w:r>
      <w:r>
        <w:t xml:space="preserve"> (Приложение </w:t>
      </w:r>
      <w:r>
        <w:t xml:space="preserve">1</w:t>
      </w:r>
      <w:r>
        <w:t xml:space="preserve"> к Контракту)</w:t>
      </w:r>
      <w:r>
        <w:t xml:space="preserve"> и Спецификацией (Приложение 2 к Контракту)</w:t>
      </w:r>
      <w:r>
        <w:t xml:space="preserve">;</w:t>
      </w:r>
      <w:r/>
    </w:p>
    <w:p>
      <w:pPr>
        <w:pStyle w:val="958"/>
        <w:ind w:firstLine="709"/>
        <w:jc w:val="both"/>
      </w:pPr>
      <w:r/>
      <w:bookmarkStart w:id="0" w:name="undefined"/>
      <w:r/>
      <w:bookmarkEnd w:id="0"/>
      <w:r>
        <w:t xml:space="preserve">4.1.2. обеспечить соответствие </w:t>
      </w:r>
      <w:r>
        <w:t xml:space="preserve">оказываемых Услуг</w:t>
      </w:r>
      <w:r>
        <w:t xml:space="preserve">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r/>
    </w:p>
    <w:p>
      <w:pPr>
        <w:pStyle w:val="958"/>
        <w:ind w:firstLine="709"/>
        <w:jc w:val="both"/>
      </w:pPr>
      <w:r>
        <w:t xml:space="preserve">4.1.3. обеспечить за свой счет устранение выявленных недостатков </w:t>
      </w:r>
      <w:r>
        <w:t xml:space="preserve">оказанных </w:t>
      </w:r>
      <w:r>
        <w:t xml:space="preserve">Услуг</w:t>
      </w:r>
      <w:r>
        <w:t xml:space="preserve"> в порядке и на условиях, предусмотренных Контрактом;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/>
      <w:bookmarkStart w:id="0" w:name="undefined"/>
      <w:r/>
      <w:bookmarkStart w:id="0" w:name="undefined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4.1.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одностороннем отказе от исполнения Контракта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Исполнитель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с использованием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ЕИС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формирует решение об одностороннем отказе от исполнения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К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онтракта, подписывает его усиленной электронной подписью лица, имеющего право действовать от имени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Исполнителя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, и размещает такое решение в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ЕИС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</w:p>
    <w:p>
      <w:pPr>
        <w:pStyle w:val="958"/>
        <w:ind w:firstLine="709"/>
        <w:jc w:val="both"/>
      </w:pPr>
      <w:r/>
      <w:bookmarkStart w:id="0" w:name="undefined"/>
      <w:r/>
      <w:bookmarkStart w:id="0" w:name="undefined"/>
      <w:r/>
      <w:bookmarkEnd w:id="0"/>
      <w:r>
        <w:t xml:space="preserve">4.1.</w:t>
      </w:r>
      <w:r>
        <w:t xml:space="preserve">5</w:t>
      </w:r>
      <w:r>
        <w:t xml:space="preserve">. </w:t>
      </w:r>
      <w:r>
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Контракта.</w:t>
      </w:r>
      <w:r/>
    </w:p>
    <w:p>
      <w:pPr>
        <w:pStyle w:val="971"/>
        <w:ind w:firstLine="709"/>
        <w:rPr>
          <w:sz w:val="24"/>
          <w:szCs w:val="24"/>
        </w:rPr>
      </w:pPr>
      <w:r/>
      <w:bookmarkStart w:id="0" w:name="undefined"/>
      <w:r/>
      <w:bookmarkStart w:id="0" w:name="undefined"/>
      <w:r/>
      <w:bookmarkEnd w:id="0"/>
      <w:r>
        <w:rPr>
          <w:sz w:val="24"/>
          <w:szCs w:val="24"/>
        </w:rPr>
        <w:t xml:space="preserve">4.2. </w:t>
      </w:r>
      <w:r>
        <w:rPr>
          <w:sz w:val="24"/>
          <w:szCs w:val="24"/>
        </w:rPr>
        <w:t xml:space="preserve">Исполнитель</w:t>
      </w:r>
      <w:r>
        <w:rPr>
          <w:sz w:val="24"/>
          <w:szCs w:val="24"/>
        </w:rPr>
        <w:t xml:space="preserve"> вправе:</w:t>
      </w: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8"/>
        <w:ind w:firstLine="709"/>
        <w:jc w:val="both"/>
      </w:pPr>
      <w:r>
        <w:t xml:space="preserve">4.2.1. требовать от Заказчика произвести приемку </w:t>
      </w:r>
      <w:r>
        <w:t xml:space="preserve">оказанных Услуг</w:t>
      </w:r>
      <w:r>
        <w:t xml:space="preserve"> в порядке и в сроки, предусмотренные Контрактом;</w:t>
      </w:r>
      <w:r/>
    </w:p>
    <w:p>
      <w:pPr>
        <w:pStyle w:val="958"/>
        <w:ind w:firstLine="709"/>
        <w:jc w:val="both"/>
      </w:pPr>
      <w:r/>
      <w:bookmarkStart w:id="0" w:name="undefined"/>
      <w:r/>
      <w:bookmarkEnd w:id="0"/>
      <w:r>
        <w:t xml:space="preserve">4.2.2. требовать своевременной оплаты на условиях, установленных Контрактом, надлежащим образом </w:t>
      </w:r>
      <w:r>
        <w:t xml:space="preserve">оказанных</w:t>
      </w:r>
      <w:r>
        <w:t xml:space="preserve"> и принят</w:t>
      </w:r>
      <w:r>
        <w:t xml:space="preserve">ых</w:t>
      </w:r>
      <w:r>
        <w:t xml:space="preserve"> Заказчиком </w:t>
      </w:r>
      <w:r>
        <w:t xml:space="preserve">Услуг</w:t>
      </w:r>
      <w:r>
        <w:t xml:space="preserve">; </w:t>
      </w:r>
      <w:bookmarkStart w:id="0" w:name="undefined"/>
      <w:r/>
      <w:bookmarkEnd w:id="0"/>
      <w:r/>
      <w:r/>
    </w:p>
    <w:p>
      <w:pPr>
        <w:pStyle w:val="958"/>
        <w:ind w:firstLine="709"/>
        <w:jc w:val="both"/>
      </w:pPr>
      <w:r>
        <w:t xml:space="preserve">4.2.3. принять решение об одностороннем отказе от исполнения Контракта в соответствии с гражданским законодательством; </w:t>
      </w:r>
      <w:r/>
    </w:p>
    <w:p>
      <w:pPr>
        <w:pStyle w:val="958"/>
        <w:ind w:firstLine="709"/>
        <w:jc w:val="both"/>
      </w:pPr>
      <w:r>
        <w:t xml:space="preserve">4.2.4. требовать возмещения убытков, уплаты неустоек (штрафов, пеней) в соответствии с </w:t>
      </w:r>
      <w:hyperlink w:tooltip="VI. Ответственность Сторон &lt;108&gt;" w:anchor="Par1550" w:history="1">
        <w:r>
          <w:t xml:space="preserve">разделом VI</w:t>
        </w:r>
      </w:hyperlink>
      <w:r>
        <w:t xml:space="preserve"> Контракта.</w:t>
      </w:r>
      <w:r/>
    </w:p>
    <w:p>
      <w:pPr>
        <w:pStyle w:val="958"/>
        <w:ind w:firstLine="709"/>
        <w:jc w:val="both"/>
        <w:tabs>
          <w:tab w:val="left" w:pos="1276" w:leader="none"/>
        </w:tabs>
      </w:pPr>
      <w:r/>
      <w:bookmarkStart w:id="0" w:name="undefined"/>
      <w:r/>
      <w:bookmarkEnd w:id="0"/>
      <w:r>
        <w:t xml:space="preserve">4.3. Заказчик обязуется:</w:t>
      </w:r>
      <w:r/>
    </w:p>
    <w:p>
      <w:pPr>
        <w:pStyle w:val="958"/>
        <w:ind w:firstLine="709"/>
        <w:jc w:val="both"/>
      </w:pPr>
      <w:r>
        <w:t xml:space="preserve">4.3.1. </w:t>
      </w:r>
      <w:r>
        <w:t xml:space="preserve">с</w:t>
      </w:r>
      <w:r>
        <w:t xml:space="preserve">воевременно принять и оплатить надлежащим образом оказанные Услуги в соответствии с Контрактом;</w:t>
      </w:r>
      <w:r>
        <w:t xml:space="preserve"> </w:t>
      </w:r>
      <w:r/>
    </w:p>
    <w:p>
      <w:pPr>
        <w:pStyle w:val="958"/>
        <w:ind w:firstLine="709"/>
        <w:jc w:val="both"/>
        <w:rPr>
          <w:rFonts w:eastAsiaTheme="minorHAnsi"/>
          <w:lang w:eastAsia="en-US"/>
        </w:rPr>
      </w:pPr>
      <w:r/>
      <w:bookmarkStart w:id="0" w:name="undefined"/>
      <w:r/>
      <w:bookmarkEnd w:id="0"/>
      <w:r>
        <w:t xml:space="preserve">4.3.2. принять решение об одностороннем отказе от исполнения Контракта в случае, если в ходе исполнения Контракта установлено, что </w:t>
      </w:r>
      <w:r>
        <w:t xml:space="preserve">Исполнитель</w:t>
      </w:r>
      <w:r>
        <w:t xml:space="preserve"> и (или) </w:t>
      </w:r>
      <w:r>
        <w:t xml:space="preserve">оказываемые Услуги</w:t>
      </w:r>
      <w:r>
        <w:t xml:space="preserve"> </w:t>
      </w:r>
      <w:r>
        <w:rPr>
          <w:rFonts w:eastAsiaTheme="minorHAnsi"/>
          <w:lang w:eastAsia="en-US"/>
        </w:rPr>
        <w:t xml:space="preserve">перестали соответствовать установленным извещением об осуществлении закупки требованиям к участникам закупки (за исключением требования, предусмотренного </w:t>
      </w:r>
      <w:hyperlink r:id="rId12" w:tooltip="consultantplus://offline/ref=7B440E791A11B05838761319EF06C2AA1622BE0E44488056AE6FABFD950FC1CC21D3847E0662978AB01CDD4E06590419A34B8EF53C4CX221F" w:history="1">
        <w:r>
          <w:rPr>
            <w:rFonts w:eastAsiaTheme="minorHAnsi"/>
            <w:lang w:eastAsia="en-US"/>
          </w:rPr>
          <w:t xml:space="preserve">частью 1.1</w:t>
        </w:r>
      </w:hyperlink>
      <w:r>
        <w:rPr>
          <w:rFonts w:eastAsiaTheme="minorHAnsi"/>
          <w:lang w:eastAsia="en-US"/>
        </w:rPr>
        <w:t xml:space="preserve"> (при наличии такого требования) статьи 31 </w:t>
      </w:r>
      <w:r>
        <w:rPr>
          <w:rFonts w:eastAsiaTheme="minorHAnsi"/>
          <w:lang w:eastAsia="en-US"/>
        </w:rPr>
        <w:t xml:space="preserve">Закона о контрактной системе </w:t>
      </w:r>
      <w:r>
        <w:rPr>
          <w:rFonts w:eastAsiaTheme="minorHAnsi"/>
          <w:lang w:eastAsia="en-US"/>
        </w:rPr>
        <w:t xml:space="preserve">и (или) </w:t>
      </w:r>
      <w:r>
        <w:rPr>
          <w:rFonts w:eastAsiaTheme="minorHAnsi"/>
          <w:lang w:eastAsia="en-US"/>
        </w:rPr>
        <w:t xml:space="preserve">оказываемым Услугам</w:t>
      </w:r>
      <w:r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если </w:t>
      </w:r>
      <w:r>
        <w:rPr>
          <w:rFonts w:eastAsiaTheme="minorHAnsi"/>
          <w:lang w:eastAsia="en-US"/>
        </w:rPr>
        <w:t xml:space="preserve"> при определении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Исполнитель </w:t>
      </w:r>
      <w:r>
        <w:rPr>
          <w:rFonts w:eastAsiaTheme="minorHAnsi"/>
          <w:lang w:eastAsia="en-US"/>
        </w:rPr>
        <w:t xml:space="preserve">представил недостоверную информацию о своем соответствии и (или) соответствии </w:t>
      </w:r>
      <w:r>
        <w:rPr>
          <w:rFonts w:eastAsiaTheme="minorHAnsi"/>
          <w:lang w:eastAsia="en-US"/>
        </w:rPr>
        <w:t xml:space="preserve">оказываемых Услуг</w:t>
      </w:r>
      <w:r>
        <w:rPr>
          <w:rFonts w:eastAsiaTheme="minorHAnsi"/>
          <w:lang w:eastAsia="en-US"/>
        </w:rPr>
        <w:t xml:space="preserve"> требованиям, указанным в </w:t>
      </w:r>
      <w:r>
        <w:rPr>
          <w:rFonts w:eastAsiaTheme="minorHAnsi"/>
          <w:lang w:eastAsia="en-US"/>
        </w:rPr>
        <w:t xml:space="preserve">извещении об осуществлении закупки</w:t>
      </w:r>
      <w:r>
        <w:rPr>
          <w:rFonts w:eastAsiaTheme="minorHAnsi"/>
          <w:lang w:eastAsia="en-US"/>
        </w:rPr>
        <w:t xml:space="preserve">, что позволило ему стать победителем определения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958"/>
        <w:ind w:firstLine="709"/>
        <w:jc w:val="both"/>
      </w:pPr>
      <w:r/>
      <w:bookmarkStart w:id="0" w:name="undefined"/>
      <w:r/>
      <w:bookmarkEnd w:id="0"/>
      <w:r>
        <w:t xml:space="preserve">4.3.3. в случае принятия решения об одностороннем отказе от исполнения Контракта </w:t>
      </w:r>
      <w:r>
        <w:t xml:space="preserve">Заказчик с использованием </w:t>
      </w:r>
      <w:r>
        <w:t xml:space="preserve">ЕИС</w:t>
      </w:r>
      <w:r>
        <w:t xml:space="preserve">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</w:t>
      </w:r>
      <w:r>
        <w:t xml:space="preserve">ЕИС</w:t>
      </w:r>
      <w:r>
        <w:t xml:space="preserve">;</w:t>
      </w:r>
      <w:r/>
    </w:p>
    <w:p>
      <w:pPr>
        <w:pStyle w:val="958"/>
        <w:ind w:firstLine="709"/>
        <w:jc w:val="both"/>
      </w:pPr>
      <w:r>
        <w:t xml:space="preserve">4.3.4. требовать уплаты неустоек (штрафов, пеней) в соответствии с </w:t>
      </w:r>
      <w:hyperlink w:tooltip="VI. Ответственность Сторон &lt;108&gt;" w:anchor="Par1550" w:history="1">
        <w:r>
          <w:t xml:space="preserve">разделом VI</w:t>
        </w:r>
      </w:hyperlink>
      <w:r>
        <w:t xml:space="preserve"> Контракта;</w:t>
      </w:r>
      <w:r/>
    </w:p>
    <w:p>
      <w:pPr>
        <w:pStyle w:val="958"/>
        <w:ind w:firstLine="709"/>
        <w:jc w:val="both"/>
      </w:pPr>
      <w:r>
        <w:t xml:space="preserve">4.3.5. провести экспертизу </w:t>
      </w:r>
      <w:r>
        <w:t xml:space="preserve">оказанных Услуг</w:t>
      </w:r>
      <w:r>
        <w:t xml:space="preserve"> для проверки </w:t>
      </w:r>
      <w:r>
        <w:t xml:space="preserve">их</w:t>
      </w:r>
      <w:r>
        <w:t xml:space="preserve"> соответствия условиям Контракта в соответствии с </w:t>
      </w:r>
      <w:r>
        <w:t xml:space="preserve">Законом о контрактной системе</w:t>
      </w:r>
      <w:r>
        <w:t xml:space="preserve">.</w:t>
      </w:r>
      <w:r/>
    </w:p>
    <w:p>
      <w:pPr>
        <w:pStyle w:val="958"/>
        <w:ind w:firstLine="709"/>
        <w:jc w:val="both"/>
      </w:pPr>
      <w:r/>
      <w:bookmarkStart w:id="0" w:name="undefined"/>
      <w:r/>
      <w:bookmarkEnd w:id="0"/>
      <w:r>
        <w:t xml:space="preserve">4.4. Заказчик вправе:</w:t>
      </w:r>
      <w:r/>
    </w:p>
    <w:p>
      <w:pPr>
        <w:pStyle w:val="958"/>
        <w:ind w:firstLine="709"/>
        <w:jc w:val="both"/>
      </w:pPr>
      <w:r>
        <w:t xml:space="preserve">4.4.1. требовать от </w:t>
      </w:r>
      <w:r>
        <w:t xml:space="preserve">Исполнителя</w:t>
      </w:r>
      <w:r>
        <w:t xml:space="preserve"> надлежащего исполнения обязательств по Контракту;</w:t>
      </w:r>
      <w:r/>
    </w:p>
    <w:p>
      <w:pPr>
        <w:pStyle w:val="958"/>
        <w:ind w:firstLine="709"/>
        <w:jc w:val="both"/>
      </w:pPr>
      <w:r>
        <w:t xml:space="preserve">4.4.2. требовать от </w:t>
      </w:r>
      <w:r>
        <w:t xml:space="preserve">Исполнителя</w:t>
      </w:r>
      <w:r>
        <w:t xml:space="preserve"> своевременного устранения недостатков, выявленных </w:t>
      </w:r>
      <w:r>
        <w:t xml:space="preserve">в ходе приемки</w:t>
      </w:r>
      <w:r>
        <w:t xml:space="preserve">; </w:t>
      </w:r>
      <w:r/>
    </w:p>
    <w:p>
      <w:pPr>
        <w:pStyle w:val="958"/>
        <w:ind w:firstLine="709"/>
        <w:jc w:val="both"/>
      </w:pPr>
      <w:r>
        <w:t xml:space="preserve">4.4.3. проверять ход и качество выполнения </w:t>
      </w:r>
      <w:r>
        <w:t xml:space="preserve">Исполнителем</w:t>
      </w:r>
      <w:r>
        <w:t xml:space="preserve"> условий Контракта без вмешательства в оперативно-хозяйственную деятельность </w:t>
      </w:r>
      <w:r>
        <w:t xml:space="preserve">Исполнителя</w:t>
      </w:r>
      <w:r>
        <w:t xml:space="preserve">;</w:t>
      </w:r>
      <w:r/>
    </w:p>
    <w:p>
      <w:pPr>
        <w:pStyle w:val="958"/>
        <w:ind w:firstLine="709"/>
        <w:jc w:val="both"/>
      </w:pPr>
      <w:r>
        <w:t xml:space="preserve">4.4.4. требовать возмещения убытков в соответствии с </w:t>
      </w:r>
      <w:hyperlink w:tooltip="VI. Ответственность Сторон &lt;108&gt;" w:anchor="Par1550" w:history="1">
        <w:r>
          <w:t xml:space="preserve">разделом VI</w:t>
        </w:r>
      </w:hyperlink>
      <w:r>
        <w:t xml:space="preserve"> Контракта, причиненных по вине </w:t>
      </w:r>
      <w:r>
        <w:t xml:space="preserve">Исполнителя</w:t>
      </w:r>
      <w:r>
        <w:t xml:space="preserve">;</w:t>
      </w:r>
      <w:r/>
    </w:p>
    <w:p>
      <w:pPr>
        <w:pStyle w:val="958"/>
        <w:ind w:firstLine="709"/>
        <w:jc w:val="both"/>
      </w:pPr>
      <w:r/>
      <w:bookmarkStart w:id="0" w:name="undefined"/>
      <w:r/>
      <w:bookmarkEnd w:id="0"/>
      <w:r>
        <w:t xml:space="preserve">4.4.5. отказаться от приемки и оплаты </w:t>
      </w:r>
      <w:r>
        <w:t xml:space="preserve">Услуг</w:t>
      </w:r>
      <w:r>
        <w:t xml:space="preserve">, не соответствующ</w:t>
      </w:r>
      <w:r>
        <w:t xml:space="preserve">им</w:t>
      </w:r>
      <w:r>
        <w:t xml:space="preserve"> условиям Контракта;</w:t>
      </w:r>
      <w:r/>
    </w:p>
    <w:p>
      <w:pPr>
        <w:pStyle w:val="958"/>
        <w:ind w:firstLine="709"/>
        <w:jc w:val="both"/>
      </w:pPr>
      <w:r/>
      <w:bookmarkStart w:id="0" w:name="undefined"/>
      <w:r/>
      <w:bookmarkEnd w:id="0"/>
      <w:r>
        <w:t xml:space="preserve">4.4.6</w:t>
      </w:r>
      <w:r>
        <w:t xml:space="preserve">. принять решение об одностороннем отказе от исполнения Контракта в соответствии с гражданским законодательством; </w:t>
      </w:r>
      <w:bookmarkStart w:id="0" w:name="undefined"/>
      <w:r/>
      <w:bookmarkEnd w:id="0"/>
      <w:r/>
      <w:r/>
    </w:p>
    <w:p>
      <w:pPr>
        <w:pStyle w:val="958"/>
        <w:ind w:firstLine="709"/>
        <w:jc w:val="both"/>
        <w:rPr>
          <w:highlight w:val="none"/>
        </w:rPr>
      </w:pPr>
      <w:r>
        <w:t xml:space="preserve">4.4.7</w:t>
      </w:r>
      <w:r>
        <w:t xml:space="preserve">. до принятия решения об одностороннем отказе от исполнения Контракта провести экспертизу </w:t>
      </w:r>
      <w:r>
        <w:t xml:space="preserve">оказанных Услуг</w:t>
      </w:r>
      <w:r>
        <w:t xml:space="preserve"> с привлечением экспертов, экспертных организаций. </w:t>
      </w:r>
      <w:r>
        <w:rPr>
          <w:highlight w:val="none"/>
        </w:rPr>
      </w:r>
      <w:r>
        <w:rPr>
          <w:highlight w:val="none"/>
        </w:rPr>
      </w:r>
    </w:p>
    <w:p>
      <w:pPr>
        <w:pStyle w:val="958"/>
        <w:ind w:firstLine="709"/>
        <w:jc w:val="both"/>
        <w:spacing w:after="240"/>
      </w:pPr>
      <w:r/>
      <w:r/>
    </w:p>
    <w:p>
      <w:pPr>
        <w:pStyle w:val="958"/>
        <w:jc w:val="center"/>
        <w:rPr>
          <w:b/>
        </w:rPr>
        <w:outlineLvl w:val="1"/>
      </w:pPr>
      <w:r/>
      <w:bookmarkStart w:id="30" w:name="Par1539"/>
      <w:r/>
      <w:bookmarkEnd w:id="30"/>
      <w:r>
        <w:rPr>
          <w:b/>
        </w:rPr>
        <w:t xml:space="preserve">Раздел </w:t>
      </w:r>
      <w:r>
        <w:rPr>
          <w:b/>
        </w:rPr>
        <w:t xml:space="preserve">V. Качество 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  <w:tabs>
          <w:tab w:val="left" w:pos="1134" w:leader="none"/>
        </w:tabs>
      </w:pPr>
      <w:r>
        <w:t xml:space="preserve">5.1. </w:t>
      </w:r>
      <w:r>
        <w:t xml:space="preserve">Исполнитель</w:t>
      </w:r>
      <w:r>
        <w:t xml:space="preserve"> гарантирует качество оказания У</w:t>
      </w:r>
      <w:r>
        <w:t xml:space="preserve">слуг в соответствии с требованиями, указанными в Контракте и Техническом задании</w:t>
      </w:r>
      <w:r>
        <w:t xml:space="preserve">.</w:t>
      </w:r>
      <w:r/>
    </w:p>
    <w:p>
      <w:pPr>
        <w:pStyle w:val="958"/>
        <w:ind w:firstLine="709"/>
        <w:jc w:val="both"/>
        <w:tabs>
          <w:tab w:val="left" w:pos="1276" w:leader="none"/>
        </w:tabs>
      </w:pPr>
      <w:r>
        <w:t xml:space="preserve">5.2. </w:t>
      </w:r>
      <w:r>
        <w:t xml:space="preserve">Гарантийный срок на оказанные У</w:t>
      </w:r>
      <w:r>
        <w:t xml:space="preserve">слуги указывается в Техническом задании</w:t>
      </w:r>
      <w:r>
        <w:t xml:space="preserve">.</w:t>
      </w:r>
      <w:r/>
    </w:p>
    <w:p>
      <w:pPr>
        <w:pStyle w:val="958"/>
        <w:ind w:firstLine="709"/>
        <w:jc w:val="both"/>
        <w:tabs>
          <w:tab w:val="left" w:pos="1276" w:leader="none"/>
        </w:tabs>
      </w:pPr>
      <w:r>
        <w:t xml:space="preserve">5.3. </w:t>
      </w:r>
      <w:r>
        <w:t xml:space="preserve">При обнаружении в период гарантийного срока недостатков оказания Услуг, Исполнитель обязан устранить их за свой счет в сроки, согласованные и установленные Исполнителем и Заказчиком в Акте о н</w:t>
      </w:r>
      <w:r>
        <w:t xml:space="preserve">едостатках с перечнем выявленных недостатков, необходимых доработок и сроков их устранения. Гарантийный срок в данном случае продлевается на период устранения выявленных недостатков. При отказе Исполнителя от составления или подписания Акта о недостатках, </w:t>
      </w:r>
      <w:r>
        <w:t xml:space="preserve">обнаруженных в период гарантийного срока, Заказчик проводит квалифицированную экспертизу с привлечением экспертов (специалистов) в порядке, предусмотренном Законом</w:t>
      </w:r>
      <w:r>
        <w:t xml:space="preserve"> о контрактной системе, по итогам которой составляется соответствующий Акт, фиксирующий затраты по исправлению недостатков. Возмещение расходов за проведенную экспертизу осуществляется в соответствии с требованиями Гражданского кодекса Российской Федерации</w:t>
      </w:r>
      <w:r>
        <w:t xml:space="preserve">.</w:t>
      </w:r>
      <w:r/>
    </w:p>
    <w:p>
      <w:pPr>
        <w:ind w:firstLine="709"/>
        <w:jc w:val="both"/>
        <w:spacing w:after="24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5.4.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Вред, причиненный жизни, здоровью или имуществу Заказчика и иных лиц вследствие необеспечения Исполнителем безопасности оказания Услуг подлежит возмещению в соответствии с требованиями Гражданского кодекса Российской Федерации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</w:p>
    <w:p>
      <w:pPr>
        <w:pStyle w:val="958"/>
        <w:jc w:val="center"/>
        <w:rPr>
          <w:b/>
        </w:rPr>
        <w:outlineLvl w:val="1"/>
      </w:pPr>
      <w:r/>
      <w:bookmarkStart w:id="31" w:name="Par1550"/>
      <w:r/>
      <w:bookmarkEnd w:id="31"/>
      <w:r>
        <w:rPr>
          <w:b/>
        </w:rPr>
        <w:t xml:space="preserve">Раздел </w:t>
      </w:r>
      <w:r>
        <w:rPr>
          <w:b/>
        </w:rPr>
        <w:t xml:space="preserve">VI. Ответственность Сторон 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6</w:t>
      </w:r>
      <w:r>
        <w:t xml:space="preserve">.1. </w:t>
      </w:r>
      <w:r>
        <w:t xml:space="preserve">За неисполнение или ненадлежащее исполнение своих обязательств, установленных настоящим Контрактом, Заказчик и </w:t>
      </w:r>
      <w:r>
        <w:t xml:space="preserve">Исполнитель</w:t>
      </w:r>
      <w:r>
        <w:t xml:space="preserve"> несут ответственность в соответствии с постановлением Правительства Российской Федерации от 30.08.2017 № 1042 «Об утверждении Правил опр</w:t>
      </w:r>
      <w:r>
        <w:t xml:space="preserve">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</w:t>
      </w:r>
      <w:r>
        <w:t xml:space="preserve">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1063».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.2. Размер штрафа устанавливается настоящим </w:t>
      </w:r>
      <w:r>
        <w:t xml:space="preserve">Контрактом в порядке, установленном настоящим разделом,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– Цена Контракта (Этапа)).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.3. За каждый факт неисполнения или ненадлежащего исполнения </w:t>
      </w:r>
      <w:r>
        <w:t xml:space="preserve">Исполнителем</w:t>
      </w:r>
      <w:r>
        <w:t xml:space="preserve"> </w:t>
      </w:r>
      <w:r>
        <w:t xml:space="preserve">обязательств, предусмотренных </w:t>
      </w:r>
      <w:r>
        <w:t xml:space="preserve">К</w:t>
      </w:r>
      <w:r>
        <w:t xml:space="preserve">онтрактом, за исключением просрочки исполнения обязательств (в том числе гарантийного обязательства), предусмотренных </w:t>
      </w:r>
      <w:r>
        <w:t xml:space="preserve">К</w:t>
      </w:r>
      <w:r>
        <w:t xml:space="preserve">онтрактом, размер штрафа устанавливается в следующем порядке: </w:t>
      </w:r>
      <w:r/>
    </w:p>
    <w:p>
      <w:pPr>
        <w:pStyle w:val="958"/>
        <w:ind w:firstLine="709"/>
        <w:jc w:val="both"/>
      </w:pPr>
      <w:r>
        <w:t xml:space="preserve">а) 10 процентов цены контракта (этапа) в случае, если цена </w:t>
      </w:r>
      <w:r>
        <w:t xml:space="preserve">К</w:t>
      </w:r>
      <w:r>
        <w:t xml:space="preserve">онтракта (этапа) не превышает 3 млн. рублей;</w:t>
      </w:r>
      <w:r/>
    </w:p>
    <w:p>
      <w:pPr>
        <w:pStyle w:val="958"/>
        <w:ind w:firstLine="709"/>
        <w:jc w:val="both"/>
      </w:pPr>
      <w:r>
        <w:t xml:space="preserve">б) 5 процентов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составляет от 3 млн. рублей до 50 млн. рублей (включительно);</w:t>
      </w:r>
      <w:r/>
    </w:p>
    <w:p>
      <w:pPr>
        <w:pStyle w:val="958"/>
        <w:ind w:firstLine="709"/>
        <w:jc w:val="both"/>
      </w:pPr>
      <w:r>
        <w:t xml:space="preserve">в) 1 процент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составляет от 50 млн. рублей до 100 млн. рублей (включительно);</w:t>
      </w:r>
      <w:r/>
    </w:p>
    <w:p>
      <w:pPr>
        <w:pStyle w:val="958"/>
        <w:ind w:firstLine="709"/>
        <w:jc w:val="both"/>
      </w:pPr>
      <w:r>
        <w:t xml:space="preserve">г) 0,5 процента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составляет от 100 млн. рублей до 500 млн. рублей (включительно);</w:t>
      </w:r>
      <w:r/>
    </w:p>
    <w:p>
      <w:pPr>
        <w:pStyle w:val="958"/>
        <w:ind w:firstLine="709"/>
        <w:jc w:val="both"/>
      </w:pPr>
      <w:r>
        <w:t xml:space="preserve">д) 0,4 процента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составляет от 500 млн. рублей до 1 млрд. рублей (включительно);</w:t>
      </w:r>
      <w:r/>
    </w:p>
    <w:p>
      <w:pPr>
        <w:pStyle w:val="958"/>
        <w:ind w:firstLine="709"/>
        <w:jc w:val="both"/>
      </w:pPr>
      <w:r>
        <w:t xml:space="preserve">е) 0,3 процента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составляет от 1 млрд. рублей до 2 млрд. рублей (включительно);</w:t>
      </w:r>
      <w:r/>
    </w:p>
    <w:p>
      <w:pPr>
        <w:pStyle w:val="958"/>
        <w:ind w:firstLine="709"/>
        <w:jc w:val="both"/>
      </w:pPr>
      <w:r>
        <w:t xml:space="preserve">ж) 0,25 процента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составляет от 2 млрд. рублей до 5 млрд. рублей (включительно);</w:t>
      </w:r>
      <w:r/>
    </w:p>
    <w:p>
      <w:pPr>
        <w:pStyle w:val="958"/>
        <w:ind w:firstLine="709"/>
        <w:jc w:val="both"/>
      </w:pPr>
      <w:r>
        <w:t xml:space="preserve">з) 0,2 процента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составляет от 5 млрд. рублей до 10 млрд. рублей (включительно);</w:t>
      </w:r>
      <w:r/>
    </w:p>
    <w:p>
      <w:pPr>
        <w:pStyle w:val="958"/>
        <w:ind w:firstLine="709"/>
        <w:jc w:val="both"/>
      </w:pPr>
      <w:r>
        <w:t xml:space="preserve">и) 0,1 процента цены </w:t>
      </w:r>
      <w:r>
        <w:t xml:space="preserve">К</w:t>
      </w:r>
      <w:r>
        <w:t xml:space="preserve">онтракта (этапа) в случае, если цена </w:t>
      </w:r>
      <w:r>
        <w:t xml:space="preserve">К</w:t>
      </w:r>
      <w:r>
        <w:t xml:space="preserve">онтракта (этапа) превышает 10 млрд. рублей.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 За каждый факт неисполнения или ненадлежащего исполнения </w:t>
      </w:r>
      <w:r>
        <w:t xml:space="preserve">Исполнителем</w:t>
      </w:r>
      <w:r>
        <w:t xml:space="preserve"> обязательств, предусмотренных Контрактом, заключенным с победителем закупки (или с иным участником закупки в случаях, установленных Законом о контрактной системе), предложившим наиболее высокую цену за пра</w:t>
      </w:r>
      <w:r>
        <w:t xml:space="preserve">во заключения Контракта, размер штрафа рассчитывается в порядке, установленном настоящим пунктом,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.4.1. в случае, если цена Контракта не превышает начальную (максимальную) цену Контракта: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.4.2. 10 процентов начальной (максимальной) цены Контракта, если цена Контракта не превышает 3 млн. рублей;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.4.3.  5 процентов начальной (максимальной) цены Контракта, если цена Контракта составляет </w:t>
      </w:r>
      <w:r>
        <w:t xml:space="preserve">от 3 млн. рублей до 50 млн. рублей (включительно);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.4.4.  1 процент начальной (максимальной) цены Контракта, если цена Контракта составляет от 50 млн. рублей до 100 млн. рублей (включительно);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.4.5. в случае, если цена Контракта превышает начальную (максимальную) цену Контракта: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.4.5. 10 процентов цены Контракта, если цена Контракта не превышает 3 млн. рублей;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.4.6. 5 процентов цены Контракта, если цена Контракта составляет от 3 млн. рублей до 50 млн. рублей (включительно);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.4.7. 1 процент цены Контракта, если цена Контракта составляет от 50 млн. рублей до 100 млн. рублей (включительно).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.5. За каждый факт неисполнения или ненадлежащего исполнения </w:t>
      </w:r>
      <w:r>
        <w:t xml:space="preserve">Поставщиком </w:t>
      </w:r>
      <w:r>
        <w:t xml:space="preserve">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.5.1. 1000 рублей, если цена Контракта не превышает 3 млн. рублей;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.5.2. 5000 рублей, если цена Контракта составляет от 3 млн. рублей до 50 млн. рублей (включительно);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.5.3. 10000 рублей, если цена Контракта составляет от 50 млн. рублей до 100 млн. рублей (включительно);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.5.4. 100000 рублей, если цена Контракта превышает 100 млн. рублей.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.6.1. 1000 рублей, если Цена Контракта не превышает 3 млн. рублей (включительно); </w:t>
      </w:r>
      <w:r/>
    </w:p>
    <w:p>
      <w:pPr>
        <w:pStyle w:val="958"/>
        <w:ind w:firstLine="709"/>
        <w:jc w:val="both"/>
      </w:pPr>
      <w:r>
        <w:t xml:space="preserve">6.6.2. 5000 рублей, если Цена Контракта составляет от 3 млн. рублей до 50 млн. рублей (включительно);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.6.3. 10000 рублей, если Цена Контракта составляет от 50 млн. рублей до 100</w:t>
      </w:r>
      <w:r>
        <w:t xml:space="preserve"> млн. рублей (включительно);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.6</w:t>
      </w:r>
      <w:r>
        <w:t xml:space="preserve">.4. 100000 рублей, если Цена Контракта превышает 100 млн. рублей.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.7</w:t>
      </w:r>
      <w:r>
        <w:t xml:space="preserve">. Пеня начисляется за каждый день просрочки исполнения </w:t>
      </w:r>
      <w:r>
        <w:t xml:space="preserve">Исполнителем</w:t>
      </w:r>
      <w: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</w:t>
      </w:r>
      <w:r>
        <w:t xml:space="preserve">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</w:t>
      </w:r>
      <w:r>
        <w:t xml:space="preserve">Исполнителем</w:t>
      </w:r>
      <w:r>
        <w:t xml:space="preserve">, за исключением случаев, если законодательством Российской Федерации установлен иной порядок начисления пени.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.8</w:t>
      </w:r>
      <w:r>
        <w:t xml:space="preserve">. Пеня начисляется за каждый день просрочки исполнения обязательства Заказчиком, предусмотренного Контра</w:t>
      </w:r>
      <w:r>
        <w:t xml:space="preserve">ктом, начиная со дня,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.9</w:t>
      </w:r>
      <w:r>
        <w:t xml:space="preserve">. Общая сумма начисленных штрафов за неисполнение или ненадлежащее исполнение </w:t>
      </w:r>
      <w:r>
        <w:t xml:space="preserve">Поставщиком</w:t>
      </w:r>
      <w:r>
        <w:t xml:space="preserve"> обязательств, предусмотренных Контрактом, не может превышать Цену Контракта. </w:t>
      </w:r>
      <w:r/>
    </w:p>
    <w:p>
      <w:pPr>
        <w:pStyle w:val="958"/>
        <w:ind w:firstLine="709"/>
        <w:jc w:val="both"/>
      </w:pPr>
      <w:r>
        <w:t xml:space="preserve">6.10</w:t>
      </w:r>
      <w:r>
        <w:t xml:space="preserve">. Общая сумма начисленных штрафов за ненадлежащее исполнение Заказчиком обязательств, предусмотренных Контрактом, не может превышать Цену Контракта.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.11</w:t>
      </w:r>
      <w:r>
        <w:t xml:space="preserve">. Стороны настоящего Контракта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 </w:t>
      </w:r>
      <w:r/>
    </w:p>
    <w:p>
      <w:pPr>
        <w:pStyle w:val="958"/>
        <w:ind w:firstLine="709"/>
        <w:jc w:val="both"/>
      </w:pPr>
      <w:r>
        <w:t xml:space="preserve">6</w:t>
      </w:r>
      <w:r>
        <w:t xml:space="preserve">.12</w:t>
      </w:r>
      <w:r>
        <w:t xml:space="preserve">. В случае установления уполномоченными контрольными органами фактов оказания услуг не в полном объеме и (или) завышения их стоимости </w:t>
      </w:r>
      <w:r>
        <w:t xml:space="preserve">Исполнителем</w:t>
      </w:r>
      <w:r>
        <w:t xml:space="preserve"> осуществляет возврат Заказчику излишне уплаченных денежных средств. </w:t>
      </w:r>
      <w:r/>
    </w:p>
    <w:p>
      <w:pPr>
        <w:pStyle w:val="958"/>
        <w:ind w:firstLine="709"/>
        <w:jc w:val="both"/>
      </w:pPr>
      <w:r>
        <w:t xml:space="preserve">6.13</w:t>
      </w:r>
      <w:r>
        <w:t xml:space="preserve">. Уплата </w:t>
      </w:r>
      <w:r>
        <w:t xml:space="preserve">Исполнителем</w:t>
      </w:r>
      <w:r>
        <w:t xml:space="preserve"> неустойки или применение иной формы ответственности не освобождает его от исполнения обязательств по настоящему Контракту. </w:t>
      </w:r>
      <w:r/>
    </w:p>
    <w:p>
      <w:pPr>
        <w:pStyle w:val="958"/>
        <w:ind w:firstLine="709"/>
        <w:jc w:val="both"/>
        <w:rPr>
          <w:highlight w:val="none"/>
        </w:rPr>
      </w:pPr>
      <w:r>
        <w:t xml:space="preserve">6</w:t>
      </w:r>
      <w:r>
        <w:t xml:space="preserve">.14</w:t>
      </w:r>
      <w:r>
        <w:t xml:space="preserve">. В качестве подтвержде</w:t>
      </w:r>
      <w:r>
        <w:t xml:space="preserve">ния фактов неисполнения и (или) ненадлежащего исполнения обязательств, Заказчик может предъявлять фото-и видеоматериалы, являющиеся основанием для взыскания неустойки или применения иной формы ответственности в соответствии с действующим законодательством.</w:t>
      </w:r>
      <w:r>
        <w:rPr>
          <w:highlight w:val="none"/>
        </w:rPr>
      </w:r>
      <w:r>
        <w:rPr>
          <w:highlight w:val="none"/>
        </w:rPr>
      </w:r>
    </w:p>
    <w:p>
      <w:pPr>
        <w:pStyle w:val="958"/>
        <w:ind w:firstLine="709"/>
        <w:jc w:val="center"/>
        <w:spacing w:before="240"/>
        <w:rPr>
          <w:b/>
          <w:bCs/>
          <w:highlight w:val="none"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VII. Обеспечение исполнения Контракта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58"/>
        <w:ind w:firstLine="709"/>
        <w:jc w:val="both"/>
      </w:pPr>
      <w:r/>
      <w:bookmarkStart w:id="32" w:name="Par1570"/>
      <w:r/>
      <w:bookmarkEnd w:id="32"/>
      <w:r>
        <w:t xml:space="preserve">7.1. </w:t>
      </w:r>
      <w:r>
        <w:t xml:space="preserve">Обеспечение исполнения Контракта устанавливается </w:t>
      </w:r>
      <w:r/>
    </w:p>
    <w:p>
      <w:pPr>
        <w:pStyle w:val="958"/>
        <w:ind w:firstLine="709"/>
        <w:jc w:val="both"/>
        <w:spacing w:before="240"/>
      </w:pPr>
      <w:r>
        <w:t xml:space="preserve">Вариант 1: </w:t>
      </w:r>
      <w:r>
        <w:t xml:space="preserve">в размере в размере 1</w:t>
      </w:r>
      <w:r>
        <w:t xml:space="preserve">0</w:t>
      </w:r>
      <w:r>
        <w:t xml:space="preserve"> % от </w:t>
      </w:r>
      <w:r>
        <w:t xml:space="preserve">начальной (максимальной) </w:t>
      </w:r>
      <w:r>
        <w:t xml:space="preserve">цены Контракта, а именно _____________________ (_________________________) рублей ________ копеек.</w:t>
      </w:r>
      <w:r/>
    </w:p>
    <w:p>
      <w:pPr>
        <w:pStyle w:val="958"/>
        <w:ind w:firstLine="709"/>
        <w:jc w:val="both"/>
        <w:spacing w:before="240"/>
      </w:pPr>
      <w:r>
        <w:t xml:space="preserve">Вариант 2: в размере 1</w:t>
      </w:r>
      <w:r>
        <w:t xml:space="preserve">5% от</w:t>
      </w:r>
      <w:r>
        <w:t xml:space="preserve"> начальной (максимальной)</w:t>
      </w:r>
      <w:r>
        <w:t xml:space="preserve"> цены Контракта, а именно ________________________ (_________________________) в соответствии с положениями </w:t>
      </w:r>
      <w:r>
        <w:rPr>
          <w:rStyle w:val="973"/>
          <w:color w:val="auto"/>
          <w:u w:val="none"/>
        </w:rPr>
        <w:t xml:space="preserve">статьи 37</w:t>
      </w:r>
      <w:r>
        <w:t xml:space="preserve"> </w:t>
      </w:r>
      <w:r>
        <w:t xml:space="preserve">Закона о контрактной системе.</w:t>
      </w:r>
      <w:r/>
    </w:p>
    <w:p>
      <w:pPr>
        <w:pStyle w:val="958"/>
        <w:ind w:firstLine="709"/>
        <w:jc w:val="both"/>
      </w:pPr>
      <w:r>
        <w:t xml:space="preserve">7.2. Исполнение Контракта обеспечивается предоставлением </w:t>
      </w:r>
      <w:r>
        <w:t xml:space="preserve">независим</w:t>
      </w:r>
      <w:r>
        <w:t xml:space="preserve">ой гарантии, соответствующей требованиям </w:t>
      </w:r>
      <w:hyperlink r:id="rId13" w:tooltip="https://login.consultant.ru/link/?req=doc&amp;base=LAW&amp;n=342439&amp;date=31.07.2020&amp;dst=56&amp;fld=134" w:history="1">
        <w:r>
          <w:t xml:space="preserve">статьи 45</w:t>
        </w:r>
      </w:hyperlink>
      <w:r>
        <w:t xml:space="preserve"> </w:t>
      </w:r>
      <w:r>
        <w:t xml:space="preserve">Закона о контрактной системе</w:t>
      </w:r>
      <w:r>
        <w:t xml:space="preserve">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/>
    </w:p>
    <w:p>
      <w:pPr>
        <w:pStyle w:val="958"/>
        <w:ind w:firstLine="709"/>
        <w:jc w:val="both"/>
      </w:pPr>
      <w:r>
        <w:t xml:space="preserve">Способ обеспечения исполнения Контракта, срок действия </w:t>
      </w:r>
      <w:r>
        <w:t xml:space="preserve">независимой</w:t>
      </w:r>
      <w:r>
        <w:t xml:space="preserve"> гарантии определяются в соответствии с требованиями </w:t>
      </w:r>
      <w:r>
        <w:t xml:space="preserve">Закона о контрактной системе</w:t>
      </w:r>
      <w:r>
        <w:t xml:space="preserve"> участником закупки, с которым заключается контракт, самостоятельно.</w:t>
      </w:r>
      <w:r/>
    </w:p>
    <w:p>
      <w:pPr>
        <w:pStyle w:val="958"/>
        <w:ind w:firstLine="709"/>
        <w:jc w:val="both"/>
      </w:pPr>
      <w:r>
        <w:t xml:space="preserve">Срок действия </w:t>
      </w:r>
      <w:r>
        <w:t xml:space="preserve">независимой</w:t>
      </w:r>
      <w:r>
        <w:t xml:space="preserve"> гарантии должен превышать предусмотренный Контрактом срок исполнения обязательств, которые должны быть обеспечены такой </w:t>
      </w:r>
      <w:r>
        <w:t xml:space="preserve">независим</w:t>
      </w:r>
      <w:r>
        <w:t xml:space="preserve">ой гарантией, не менее чем на один месяц, в том числе в случае его изменения в соответствии со </w:t>
      </w:r>
      <w:hyperlink r:id="rId14" w:tooltip="https://login.consultant.ru/link/?req=doc&amp;base=LAW&amp;n=342439&amp;date=31.07.2020&amp;dst=101309&amp;fld=134" w:history="1">
        <w:r>
          <w:t xml:space="preserve">статьей 95</w:t>
        </w:r>
      </w:hyperlink>
      <w:r>
        <w:t xml:space="preserve"> </w:t>
      </w:r>
      <w:r>
        <w:t xml:space="preserve">Закона о контрактной системе.</w:t>
      </w:r>
      <w:r/>
    </w:p>
    <w:p>
      <w:pPr>
        <w:pStyle w:val="958"/>
        <w:ind w:firstLine="709"/>
        <w:jc w:val="both"/>
      </w:pPr>
      <w:r/>
      <w:bookmarkStart w:id="33" w:name="Par1576"/>
      <w:r/>
      <w:bookmarkEnd w:id="33"/>
      <w:r>
        <w:t xml:space="preserve">7.3. Денежные средства, внесенные </w:t>
      </w:r>
      <w:r>
        <w:t xml:space="preserve">Исполнителем</w:t>
      </w:r>
      <w:r>
        <w:t xml:space="preserve">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</w:t>
        </w:r>
      </w:hyperlink>
      <w:r>
        <w:t xml:space="preserve">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7.5</w:t>
        </w:r>
      </w:hyperlink>
      <w:r>
        <w:t xml:space="preserve"> и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7.6</w:t>
        </w:r>
      </w:hyperlink>
      <w:r>
        <w:t xml:space="preserve"> Контракта, возвращаются </w:t>
      </w:r>
      <w:r>
        <w:t xml:space="preserve">Исполнителю</w:t>
      </w:r>
      <w:r>
        <w:t xml:space="preserve"> в </w:t>
      </w:r>
      <w:r>
        <w:t xml:space="preserve">течени</w:t>
      </w:r>
      <w:r>
        <w:t xml:space="preserve">е </w:t>
      </w:r>
      <w:r>
        <w:t xml:space="preserve">30</w:t>
      </w:r>
      <w:r>
        <w:t xml:space="preserve"> (</w:t>
      </w:r>
      <w:r>
        <w:t xml:space="preserve">тридцати</w:t>
      </w:r>
      <w:r>
        <w:t xml:space="preserve">) дней</w:t>
      </w:r>
      <w:r>
        <w:t xml:space="preserve"> </w:t>
      </w:r>
      <w:r>
        <w:t xml:space="preserve">с даты исполнения </w:t>
      </w:r>
      <w:r>
        <w:t xml:space="preserve">Исполнит</w:t>
      </w:r>
      <w:r>
        <w:t xml:space="preserve">ел</w:t>
      </w:r>
      <w:r>
        <w:t xml:space="preserve">ем</w:t>
      </w:r>
      <w:r>
        <w:t xml:space="preserve"> обязательств, предусмотренных Контрактом (если такая форма обеспечения исполнения Контракта применяется </w:t>
      </w:r>
      <w:r>
        <w:t xml:space="preserve">Исполнителем</w:t>
      </w:r>
      <w:r>
        <w:t xml:space="preserve">).</w:t>
      </w:r>
      <w:r/>
    </w:p>
    <w:p>
      <w:pPr>
        <w:pStyle w:val="958"/>
        <w:ind w:firstLine="709"/>
        <w:jc w:val="both"/>
      </w:pPr>
      <w:r/>
      <w:bookmarkStart w:id="34" w:name="Par1577"/>
      <w:r/>
      <w:bookmarkStart w:id="35" w:name="Par1578"/>
      <w:r/>
      <w:bookmarkEnd w:id="34"/>
      <w:r/>
      <w:bookmarkEnd w:id="35"/>
      <w:r>
        <w:t xml:space="preserve">7.4. Независимая гарантия, предоставленная в качестве обеспечения исполнения Контракта, </w:t>
      </w:r>
      <w:r>
        <w:rPr>
          <w:rFonts w:eastAsia="Times New Roman"/>
        </w:rPr>
        <w:t xml:space="preserve">должна соответствовать требованиям, установленным статьей 45 Закона о контрактной </w:t>
      </w:r>
      <w:r>
        <w:rPr>
          <w:rFonts w:eastAsia="Times New Roman"/>
        </w:rPr>
        <w:t xml:space="preserve">системе, а также предусматривать условие об обязанности гаранта уплатить Заказчику денежную сумму по независимой гарантии не позднее десяти рабочи</w:t>
      </w:r>
      <w:r>
        <w:rPr>
          <w:rFonts w:eastAsia="Times New Roman"/>
        </w:rPr>
        <w:t xml:space="preserve">х дней со дня, следующего за днем получения гарантом требования Заказчика,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</w:t>
      </w:r>
      <w:r>
        <w:t xml:space="preserve">.</w:t>
      </w:r>
      <w:r/>
    </w:p>
    <w:p>
      <w:pPr>
        <w:pStyle w:val="958"/>
        <w:ind w:firstLine="709"/>
        <w:jc w:val="both"/>
      </w:pPr>
      <w:r>
        <w:t xml:space="preserve">7.5. В ходе исполнения Контракта </w:t>
      </w:r>
      <w:r>
        <w:t xml:space="preserve">Исполнитель</w:t>
      </w:r>
      <w:r>
        <w:t xml:space="preserve"> вправе измени</w:t>
      </w:r>
      <w:r>
        <w:t xml:space="preserve">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пунктами 7.6</w:t>
        </w:r>
      </w:hyperlink>
      <w:r>
        <w:t xml:space="preserve"> и </w:t>
      </w:r>
      <w:hyperlink w:tooltip="7.7. Предусмотренное пунктами 7.1 и 7.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разд" w:anchor="Par1580" w:history="1">
        <w:r>
          <w:t xml:space="preserve">7.7</w:t>
        </w:r>
      </w:hyperlink>
      <w:r>
        <w:t xml:space="preserve"> Контракта.</w:t>
      </w:r>
      <w:r/>
    </w:p>
    <w:p>
      <w:pPr>
        <w:pStyle w:val="958"/>
        <w:ind w:firstLine="709"/>
        <w:jc w:val="both"/>
      </w:pPr>
      <w:r/>
      <w:bookmarkStart w:id="36" w:name="Par1579"/>
      <w:r/>
      <w:bookmarkEnd w:id="36"/>
      <w:r>
        <w:t xml:space="preserve">7.6. Размер обеспечения исполнения Контракта уменьшается посредством направления Заказчиком информации об исполнении </w:t>
      </w:r>
      <w:r>
        <w:t xml:space="preserve">Исполнителем</w:t>
      </w:r>
      <w:r>
        <w:t xml:space="preserve"> обязательств </w:t>
      </w:r>
      <w:r>
        <w:t xml:space="preserve">по оказанию Услуг</w:t>
      </w:r>
      <w:r>
        <w:t xml:space="preserve"> или об исполнении им отдельного этапа исполнения Контракта и стоимости исполненных обязательств для включения в реестр контрактов, предусмотренный </w:t>
      </w:r>
      <w:hyperlink r:id="rId15" w:tooltip="https://login.consultant.ru/link/?req=doc&amp;base=LAW&amp;n=342439&amp;date=31.07.2020&amp;dst=101474&amp;fld=134" w:history="1">
        <w:r>
          <w:t xml:space="preserve">статьей 103</w:t>
        </w:r>
      </w:hyperlink>
      <w:r>
        <w:t xml:space="preserve"> </w:t>
      </w:r>
      <w:r>
        <w:t xml:space="preserve">Закона о контрактной системе</w:t>
      </w:r>
      <w:r>
        <w:t xml:space="preserve"> (далее - реестр контрактов). Уменьшение размера обеспечения испол</w:t>
      </w:r>
      <w:r>
        <w:t xml:space="preserve">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случае, если обеспечение исполнения Контракта осуществляется путем предоставления </w:t>
      </w:r>
      <w:r>
        <w:t xml:space="preserve">независим</w:t>
      </w:r>
      <w:r>
        <w:t xml:space="preserve">ой гарантии, требование Заказчика об уплате денежных сумм по этой гарантии может быть предъявлено в размере не более размера обеспечения исполнения Ко</w:t>
      </w:r>
      <w:r>
        <w:t xml:space="preserve">нтракта, рассчитанного Заказчиком на основании информации об исполнении Контракта, размещенной в 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</w:t>
      </w:r>
      <w:r>
        <w:t xml:space="preserve">Исполнителя</w:t>
      </w:r>
      <w:r>
        <w:t xml:space="preserve"> ему возвращаются Заказчиком в установленный в </w:t>
      </w:r>
      <w:hyperlink w:tooltip="7.3. Денежные средства, внесенные Поставщико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пунктами 7.1, 7.5 и 7.6 Контракта, возвращаются Пос" w:anchor="Par1576" w:history="1">
        <w:r>
          <w:t xml:space="preserve">пункте 7.3</w:t>
        </w:r>
      </w:hyperlink>
      <w:r>
        <w:t xml:space="preserve"> Контракта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реестре контрактов.</w:t>
      </w:r>
      <w:r/>
    </w:p>
    <w:p>
      <w:pPr>
        <w:pStyle w:val="958"/>
        <w:ind w:firstLine="709"/>
        <w:jc w:val="both"/>
      </w:pPr>
      <w:r/>
      <w:bookmarkStart w:id="37" w:name="Par1580"/>
      <w:r/>
      <w:bookmarkEnd w:id="37"/>
      <w:r>
        <w:t xml:space="preserve">7.7. Предусмотренное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7.5</w:t>
        </w:r>
      </w:hyperlink>
      <w:r>
        <w:t xml:space="preserve"> и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</w:t>
        </w:r>
      </w:hyperlink>
      <w:r>
        <w:t xml:space="preserve">6 Контракта уменьшение размера обеспечения исполнения Контракта осуществляется при условии отсутствия неисполненных </w:t>
      </w:r>
      <w:r>
        <w:t xml:space="preserve">Исполнителем</w:t>
      </w:r>
      <w:r>
        <w:t xml:space="preserve"> требований об уплате неустоек (штрафов, пеней), предъявленных Заказчиком в соответствии с </w:t>
      </w:r>
      <w:hyperlink w:tooltip="VI. Ответственность Сторон &lt;108&gt;" w:anchor="Par1550" w:history="1">
        <w:r>
          <w:t xml:space="preserve">разделом </w:t>
        </w:r>
        <w:r>
          <w:t xml:space="preserve">VI</w:t>
        </w:r>
      </w:hyperlink>
      <w:r>
        <w:t xml:space="preserve"> Контракта, а также приемки Заказчиком </w:t>
      </w:r>
      <w:r>
        <w:t xml:space="preserve">оказанных Услуг</w:t>
      </w:r>
      <w:r>
        <w:t xml:space="preserve">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</w:t>
      </w:r>
      <w:r>
        <w:t xml:space="preserve">с (если 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в случаях, определенных Правительством Российской Федерации в соответствии с </w:t>
      </w:r>
      <w:hyperlink r:id="rId16" w:tooltip="https://login.consultant.ru/link/?req=doc&amp;base=LAW&amp;n=342439&amp;date=31.07.2020&amp;dst=1716&amp;fld=134" w:history="1">
        <w:r>
          <w:t xml:space="preserve">частью 7.3 статьи 96</w:t>
        </w:r>
      </w:hyperlink>
      <w:r>
        <w:t xml:space="preserve"> </w:t>
      </w:r>
      <w:r>
        <w:t xml:space="preserve">Закон</w:t>
      </w:r>
      <w:r>
        <w:t xml:space="preserve">а</w:t>
      </w:r>
      <w:r>
        <w:t xml:space="preserve"> о контрактной системе.</w:t>
      </w:r>
      <w:r/>
    </w:p>
    <w:p>
      <w:pPr>
        <w:pStyle w:val="958"/>
        <w:ind w:firstLine="709"/>
        <w:jc w:val="both"/>
      </w:pPr>
      <w:r/>
      <w:bookmarkStart w:id="38" w:name="Par1581"/>
      <w:r/>
      <w:bookmarkEnd w:id="38"/>
      <w:r>
        <w:t xml:space="preserve">7.8. В случае отзыва в соответствии с законодательством Российской Федерации у банка, предоставившего </w:t>
      </w:r>
      <w:r>
        <w:t xml:space="preserve">независим</w:t>
      </w:r>
      <w:r>
        <w:t xml:space="preserve">ую гарантию в качестве обеспечения исполнения Контракта, лицензии на осуществление банковских операций, </w:t>
      </w:r>
      <w:r>
        <w:t xml:space="preserve">Исполнитель</w:t>
      </w:r>
      <w:r>
        <w:t xml:space="preserve"> обязан предоставить новое обеспечение исполнения Контракта не позднее одного месяца со дня надлежащего уведомления Заказчиком </w:t>
      </w:r>
      <w:r>
        <w:t xml:space="preserve">Исполнителя</w:t>
      </w:r>
      <w:r>
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</w:t>
        </w:r>
      </w:hyperlink>
      <w:r/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7.5</w:t>
        </w:r>
      </w:hyperlink>
      <w:r>
        <w:t xml:space="preserve">,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7.6</w:t>
        </w:r>
      </w:hyperlink>
      <w:r>
        <w:t xml:space="preserve"> и </w:t>
      </w:r>
      <w:hyperlink w:tooltip="7.7. Предусмотренное пунктами 7.1 и 7.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разд" w:anchor="Par1580" w:history="1">
        <w:r>
          <w:t xml:space="preserve">7.7</w:t>
        </w:r>
      </w:hyperlink>
      <w:r>
        <w:t xml:space="preserve"> Контракта.</w:t>
      </w:r>
      <w:r/>
    </w:p>
    <w:p>
      <w:pPr>
        <w:pStyle w:val="958"/>
        <w:ind w:firstLine="709"/>
        <w:jc w:val="both"/>
      </w:pPr>
      <w:r>
        <w:t xml:space="preserve">7.9. Уменьшение в соответствии с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7.5</w:t>
        </w:r>
      </w:hyperlink>
      <w:r>
        <w:t xml:space="preserve"> и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7.6</w:t>
        </w:r>
      </w:hyperlink>
      <w:r>
        <w:t xml:space="preserve"> Контракта размера обеспечения исполнения Контракта, предоставленного в виде </w:t>
      </w:r>
      <w:r>
        <w:t xml:space="preserve">независим</w:t>
      </w:r>
      <w:r>
        <w:t xml:space="preserve">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пунктом 7.6</w:t>
        </w:r>
      </w:hyperlink>
      <w:r>
        <w:t xml:space="preserve"> Контракта информации в реестр контрактов.</w:t>
      </w:r>
      <w:r/>
    </w:p>
    <w:p>
      <w:pPr>
        <w:pStyle w:val="958"/>
        <w:ind w:firstLine="709"/>
        <w:jc w:val="both"/>
      </w:pPr>
      <w:r>
        <w:t xml:space="preserve">7.10. В случае предоставления нового обеспечения исполнения Контракта в соответствии с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пунктами 7.5</w:t>
        </w:r>
      </w:hyperlink>
      <w:r>
        <w:t xml:space="preserve"> и </w:t>
      </w:r>
      <w:hyperlink w:tooltip="7.8. В случае отзыва в соответствии с законодательством Российской Федерации у банка, предоставившего банковскую гарантию в качестве обеспечения исполнения Контракта, лицензии на осуществление банковских операций, Поставщик обязан предоставить новое обеспечени" w:anchor="Par1581" w:history="1">
        <w:r>
          <w:t xml:space="preserve">7.8</w:t>
        </w:r>
      </w:hyperlink>
      <w:r>
        <w:t xml:space="preserve"> Контракта возврат </w:t>
      </w:r>
      <w:r>
        <w:t xml:space="preserve">независим</w:t>
      </w:r>
      <w:r>
        <w:t xml:space="preserve">ой гарантии Заказчиком гаранту, предоставившему указанную </w:t>
      </w:r>
      <w:r>
        <w:t xml:space="preserve">независим</w:t>
      </w:r>
      <w:r>
        <w:t xml:space="preserve">ую гарантию, не осуществляется, взыскание по ней не производится.</w:t>
      </w:r>
      <w:r/>
    </w:p>
    <w:p>
      <w:pPr>
        <w:pStyle w:val="958"/>
        <w:ind w:firstLine="709"/>
        <w:jc w:val="both"/>
      </w:pPr>
      <w:r/>
      <w:bookmarkStart w:id="39" w:name="Par1584"/>
      <w:r/>
      <w:bookmarkEnd w:id="39"/>
      <w:r>
        <w:t xml:space="preserve">7.1</w:t>
      </w:r>
      <w:r>
        <w:t xml:space="preserve">1</w:t>
      </w:r>
      <w:r>
        <w:t xml:space="preserve">. 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  <w:r/>
    </w:p>
    <w:p>
      <w:pPr>
        <w:pStyle w:val="958"/>
        <w:ind w:firstLine="709"/>
        <w:jc w:val="both"/>
      </w:pPr>
      <w:r/>
      <w:r/>
    </w:p>
    <w:p>
      <w:pPr>
        <w:pStyle w:val="958"/>
        <w:jc w:val="center"/>
        <w:rPr>
          <w:b/>
        </w:rPr>
        <w:outlineLvl w:val="1"/>
      </w:pPr>
      <w:r/>
      <w:bookmarkStart w:id="40" w:name="Par1587"/>
      <w:r/>
      <w:bookmarkEnd w:id="40"/>
      <w:r>
        <w:rPr>
          <w:b/>
        </w:rPr>
        <w:t xml:space="preserve">Раздел </w:t>
      </w:r>
      <w:r>
        <w:rPr>
          <w:b/>
        </w:rPr>
        <w:t xml:space="preserve">VIII. Обеспечение гарантийных обязательств 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8.1. Обеспечение гарантийных обязательств </w:t>
      </w:r>
      <w:r>
        <w:t xml:space="preserve">не устанавливается. </w:t>
      </w:r>
      <w:bookmarkStart w:id="41" w:name="Par1600"/>
      <w:r/>
      <w:bookmarkEnd w:id="41"/>
      <w:r/>
      <w:r/>
    </w:p>
    <w:p>
      <w:pPr>
        <w:pStyle w:val="958"/>
        <w:jc w:val="center"/>
        <w:spacing w:before="240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 xml:space="preserve">I</w:t>
      </w:r>
      <w:r>
        <w:rPr>
          <w:b/>
        </w:rPr>
        <w:t xml:space="preserve">X. Обстоятельства непреодолимой силы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9</w:t>
      </w:r>
      <w:r>
        <w:t xml:space="preserve">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  <w:r/>
    </w:p>
    <w:p>
      <w:pPr>
        <w:pStyle w:val="958"/>
        <w:ind w:firstLine="709"/>
        <w:jc w:val="both"/>
      </w:pPr>
      <w:r>
        <w:t xml:space="preserve">9</w:t>
      </w:r>
      <w:r>
        <w:t xml:space="preserve">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</w:t>
      </w:r>
      <w:r>
        <w:t xml:space="preserve">10 (десят</w:t>
      </w:r>
      <w:r>
        <w:t xml:space="preserve">и</w:t>
      </w:r>
      <w:r>
        <w:t xml:space="preserve">)</w:t>
      </w:r>
      <w:r>
        <w:t xml:space="preserve">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/>
    </w:p>
    <w:p>
      <w:pPr>
        <w:pStyle w:val="958"/>
        <w:ind w:firstLine="709"/>
        <w:jc w:val="both"/>
      </w:pPr>
      <w:r>
        <w:t xml:space="preserve">9</w:t>
      </w:r>
      <w:r>
        <w:t xml:space="preserve">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/>
    </w:p>
    <w:p>
      <w:pPr>
        <w:pStyle w:val="958"/>
        <w:ind w:firstLine="709"/>
        <w:jc w:val="both"/>
        <w:spacing w:after="240"/>
      </w:pPr>
      <w:r>
        <w:t xml:space="preserve">9</w:t>
      </w:r>
      <w:r>
        <w:t xml:space="preserve"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  <w:r/>
    </w:p>
    <w:p>
      <w:pPr>
        <w:pStyle w:val="958"/>
        <w:jc w:val="center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</w:t>
      </w:r>
      <w:r>
        <w:rPr>
          <w:b/>
        </w:rPr>
        <w:t xml:space="preserve">. Рассмотрение и разрешение споров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1</w:t>
      </w:r>
      <w:r>
        <w:t xml:space="preserve">0</w:t>
      </w:r>
      <w:r>
        <w:t xml:space="preserve">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/>
    </w:p>
    <w:p>
      <w:pPr>
        <w:pStyle w:val="958"/>
        <w:ind w:firstLine="709"/>
        <w:jc w:val="both"/>
      </w:pPr>
      <w:r>
        <w:t xml:space="preserve">1</w:t>
      </w:r>
      <w:r>
        <w:t xml:space="preserve">0</w:t>
      </w:r>
      <w:r>
        <w:t xml:space="preserve">.2. Претензия оформляется в письменной форме. В претензии перечисляются доп</w:t>
      </w:r>
      <w:r>
        <w:t xml:space="preserve">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/>
    </w:p>
    <w:p>
      <w:pPr>
        <w:pStyle w:val="958"/>
        <w:ind w:firstLine="709"/>
        <w:jc w:val="both"/>
      </w:pPr>
      <w:r>
        <w:t xml:space="preserve">1</w:t>
      </w:r>
      <w:r>
        <w:t xml:space="preserve">0</w:t>
      </w:r>
      <w:r>
        <w:t xml:space="preserve">.3. Срок рассмотрения претензии не может превышать </w:t>
      </w:r>
      <w:r>
        <w:t xml:space="preserve">10 (десять)</w:t>
      </w:r>
      <w:r>
        <w:t xml:space="preserve">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  <w:r/>
    </w:p>
    <w:p>
      <w:pPr>
        <w:pStyle w:val="958"/>
        <w:ind w:firstLine="709"/>
        <w:jc w:val="both"/>
        <w:spacing w:after="240"/>
      </w:pPr>
      <w:r>
        <w:t xml:space="preserve">1</w:t>
      </w:r>
      <w:r>
        <w:t xml:space="preserve">0</w:t>
      </w:r>
      <w:r>
        <w:t xml:space="preserve">.4. При </w:t>
      </w:r>
      <w:r>
        <w:t xml:space="preserve">неурегулировании</w:t>
      </w:r>
      <w:r>
        <w:t xml:space="preserve"> Сторонами спора в досудебном порядке, спор разрешается в судебном порядке </w:t>
      </w:r>
      <w:hyperlink w:tooltip="&lt;134&gt; Заказчиком может быть указано наименование суда." w:anchor="Par1876" w:history="1">
        <w:r>
          <w:t xml:space="preserve">в</w:t>
        </w:r>
      </w:hyperlink>
      <w:r>
        <w:t xml:space="preserve"> </w:t>
      </w:r>
      <w:r>
        <w:t xml:space="preserve">Арбитражном суде</w:t>
      </w:r>
      <w:r>
        <w:t xml:space="preserve"> г. Москвы</w:t>
      </w:r>
      <w:r>
        <w:t xml:space="preserve">.</w:t>
      </w:r>
      <w:r/>
    </w:p>
    <w:p>
      <w:pPr>
        <w:pStyle w:val="958"/>
        <w:jc w:val="center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XI. Срок действия и порядок расторжения Контракта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1</w:t>
      </w:r>
      <w:r>
        <w:t xml:space="preserve">1</w:t>
      </w:r>
      <w:r>
        <w:t xml:space="preserve">.1. Контракт вступает в силу с </w:t>
      </w:r>
      <w:r>
        <w:t xml:space="preserve">даты</w:t>
      </w:r>
      <w:r>
        <w:t xml:space="preserve"> его подписания обеими Сторонами и действует по </w:t>
      </w:r>
      <w:r>
        <w:t xml:space="preserve">31 </w:t>
      </w:r>
      <w:r>
        <w:t xml:space="preserve">декабря</w:t>
      </w:r>
      <w:r>
        <w:t xml:space="preserve"> </w:t>
      </w:r>
      <w:r>
        <w:t xml:space="preserve">2028</w:t>
      </w:r>
      <w:r>
        <w:t xml:space="preserve"> г</w:t>
      </w:r>
      <w:r>
        <w:t xml:space="preserve">ода</w:t>
      </w:r>
      <w:r>
        <w:t xml:space="preserve">. Окончание срока действия Контракта не влечет прекращения неисполненных обязательств Сторон по Контракту, в том числе гарантийных обязательств </w:t>
      </w:r>
      <w:r>
        <w:t xml:space="preserve">Исполнителя</w:t>
      </w:r>
      <w:r>
        <w:t xml:space="preserve">. </w:t>
      </w:r>
      <w:r/>
    </w:p>
    <w:p>
      <w:pPr>
        <w:pStyle w:val="958"/>
        <w:ind w:firstLine="709"/>
        <w:jc w:val="both"/>
        <w:rPr>
          <w:highlight w:val="none"/>
        </w:rPr>
      </w:pPr>
      <w:r>
        <w:t xml:space="preserve">1</w:t>
      </w:r>
      <w:r>
        <w:t xml:space="preserve">1</w:t>
      </w:r>
      <w:r>
        <w:t xml:space="preserve">.2. </w:t>
      </w:r>
      <w:r>
        <w:t xml:space="preserve"> </w:t>
      </w:r>
      <w:r>
        <w:t xml:space="preserve">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частями 9 – 23 статьи</w:t>
      </w:r>
      <w:r>
        <w:t xml:space="preserve"> 95 Закона о контрактной системе.</w:t>
      </w:r>
      <w:r>
        <w:rPr>
          <w:highlight w:val="none"/>
        </w:rPr>
      </w:r>
      <w:r>
        <w:rPr>
          <w:highlight w:val="none"/>
        </w:rPr>
      </w:r>
    </w:p>
    <w:p>
      <w:pPr>
        <w:pStyle w:val="958"/>
        <w:ind w:firstLine="709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58"/>
        <w:ind w:firstLine="709"/>
        <w:jc w:val="both"/>
        <w:spacing w:after="240"/>
      </w:pPr>
      <w:r/>
      <w:r/>
    </w:p>
    <w:p>
      <w:pPr>
        <w:pStyle w:val="958"/>
        <w:jc w:val="center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XII. Прочие положения 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1</w:t>
      </w:r>
      <w:r>
        <w:t xml:space="preserve">2</w:t>
      </w:r>
      <w:r>
        <w:t xml:space="preserve">.1. Во всем, что не предусмотрено Контрактом, Стороны руководствуются законодательством Российской Федерации.</w:t>
      </w:r>
      <w:r/>
    </w:p>
    <w:p>
      <w:pPr>
        <w:pStyle w:val="958"/>
        <w:ind w:firstLine="709"/>
        <w:jc w:val="both"/>
      </w:pPr>
      <w:r>
        <w:t xml:space="preserve">1</w:t>
      </w:r>
      <w:r>
        <w:t xml:space="preserve">2</w:t>
      </w:r>
      <w:r>
        <w:t xml:space="preserve">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  <w:r/>
    </w:p>
    <w:p>
      <w:pPr>
        <w:pStyle w:val="958"/>
        <w:ind w:firstLine="709"/>
        <w:jc w:val="both"/>
      </w:pPr>
      <w:r>
        <w:t xml:space="preserve">1</w:t>
      </w:r>
      <w:r>
        <w:t xml:space="preserve">2</w:t>
      </w:r>
      <w:r>
        <w:t xml:space="preserve">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</w:t>
      </w:r>
      <w:r/>
    </w:p>
    <w:p>
      <w:pPr>
        <w:pStyle w:val="958"/>
        <w:ind w:firstLine="709"/>
        <w:jc w:val="both"/>
      </w:pPr>
      <w:r>
        <w:t xml:space="preserve">1</w:t>
      </w:r>
      <w:r>
        <w:t xml:space="preserve">2</w:t>
      </w:r>
      <w:r>
        <w:t xml:space="preserve">.4. Изменение условий Контракта при его исполнении не допускается, за исключением случаев, предусмотренных </w:t>
      </w:r>
      <w:hyperlink r:id="rId17" w:tooltip="https://login.consultant.ru/link/?req=doc&amp;base=LAW&amp;n=342439&amp;date=31.07.2020&amp;dst=101309&amp;fld=134" w:history="1">
        <w:r>
          <w:t xml:space="preserve">статьей 95</w:t>
        </w:r>
      </w:hyperlink>
      <w:r>
        <w:t xml:space="preserve"> </w:t>
      </w:r>
      <w:r>
        <w:t xml:space="preserve">Закон</w:t>
      </w:r>
      <w:r>
        <w:t xml:space="preserve">а</w:t>
      </w:r>
      <w:r>
        <w:t xml:space="preserve"> о контрактной системе</w:t>
      </w:r>
      <w:r>
        <w:t xml:space="preserve">.</w:t>
      </w:r>
      <w:r/>
    </w:p>
    <w:p>
      <w:pPr>
        <w:pStyle w:val="958"/>
        <w:ind w:firstLine="709"/>
        <w:jc w:val="both"/>
      </w:pPr>
      <w:r>
        <w:t xml:space="preserve">1</w:t>
      </w:r>
      <w:r>
        <w:t xml:space="preserve">2</w:t>
      </w:r>
      <w:r>
        <w:t xml:space="preserve">.5. При исполнении Контракта не допускается перемена </w:t>
      </w:r>
      <w:r>
        <w:t xml:space="preserve">Исполнителя</w:t>
      </w:r>
      <w:r>
        <w:t xml:space="preserve">, за исключением случая, если новый </w:t>
      </w:r>
      <w:r>
        <w:t xml:space="preserve">исполнитель</w:t>
      </w:r>
      <w:r>
        <w:t xml:space="preserve"> является правопреемником </w:t>
      </w:r>
      <w:r>
        <w:t xml:space="preserve">Исполнителя</w:t>
      </w:r>
      <w:r>
        <w:t xml:space="preserve"> вследствие реорганизации юридического лица в форме преобразования, слияния или присоединения.</w:t>
      </w:r>
      <w:r/>
    </w:p>
    <w:p>
      <w:pPr>
        <w:pStyle w:val="958"/>
        <w:ind w:firstLine="709"/>
        <w:jc w:val="both"/>
      </w:pPr>
      <w:r>
        <w:t xml:space="preserve">Передача прав и обязанностей по Контракту правопреемнику </w:t>
      </w:r>
      <w:r>
        <w:t xml:space="preserve">Исполнителя</w:t>
      </w:r>
      <w:r>
        <w:t xml:space="preserve"> осуществляется путем заключения соответствующего дополнительного соглашения к Контракту.</w:t>
      </w:r>
      <w:r/>
    </w:p>
    <w:p>
      <w:pPr>
        <w:pStyle w:val="958"/>
        <w:ind w:firstLine="709"/>
        <w:jc w:val="both"/>
      </w:pPr>
      <w:r>
        <w:t xml:space="preserve">1</w:t>
      </w:r>
      <w:r>
        <w:t xml:space="preserve">2</w:t>
      </w:r>
      <w:r>
        <w:t xml:space="preserve">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  <w:r/>
    </w:p>
    <w:p>
      <w:pPr>
        <w:pStyle w:val="958"/>
        <w:ind w:firstLine="709"/>
        <w:jc w:val="both"/>
      </w:pPr>
      <w:r/>
      <w:bookmarkStart w:id="42" w:name="Par1633"/>
      <w:r/>
      <w:bookmarkEnd w:id="42"/>
      <w:r>
        <w:t xml:space="preserve">1</w:t>
      </w:r>
      <w:r>
        <w:t xml:space="preserve">2</w:t>
      </w:r>
      <w:r>
        <w:t xml:space="preserve">.7. Контракт составлен в форме электронного документа, подписанного усиленными электронными подписями Сторон.</w:t>
      </w:r>
      <w:r/>
    </w:p>
    <w:p>
      <w:pPr>
        <w:pStyle w:val="95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</w:t>
      </w:r>
      <w:r>
        <w:rPr>
          <w:b/>
        </w:rPr>
        <w:t xml:space="preserve">II</w:t>
      </w:r>
      <w:r>
        <w:rPr>
          <w:b/>
        </w:rPr>
        <w:t xml:space="preserve">. Перечень приложений</w:t>
      </w:r>
      <w:r>
        <w:rPr>
          <w:b/>
        </w:rPr>
      </w:r>
      <w:r>
        <w:rPr>
          <w:b/>
        </w:rPr>
      </w:r>
    </w:p>
    <w:p>
      <w:pPr>
        <w:pStyle w:val="958"/>
        <w:ind w:firstLine="709"/>
        <w:jc w:val="both"/>
      </w:pPr>
      <w:r>
        <w:t xml:space="preserve">1</w:t>
      </w:r>
      <w:r>
        <w:t xml:space="preserve">3</w:t>
      </w:r>
      <w:r>
        <w:t xml:space="preserve">.1. Неотъемлем</w:t>
      </w:r>
      <w:r>
        <w:t xml:space="preserve">ыми частями Контракта являю</w:t>
      </w:r>
      <w:r>
        <w:t xml:space="preserve">тся следующ</w:t>
      </w:r>
      <w:r>
        <w:t xml:space="preserve">ие</w:t>
      </w:r>
      <w:r>
        <w:t xml:space="preserve"> приложени</w:t>
      </w:r>
      <w:r>
        <w:t xml:space="preserve">я</w:t>
      </w:r>
      <w:r>
        <w:t xml:space="preserve">:</w:t>
      </w:r>
      <w:r/>
    </w:p>
    <w:p>
      <w:pPr>
        <w:pStyle w:val="958"/>
        <w:ind w:firstLine="709"/>
        <w:jc w:val="both"/>
        <w:rPr>
          <w:highlight w:val="none"/>
        </w:rPr>
      </w:pPr>
      <w:r>
        <w:t xml:space="preserve">Приложение </w:t>
      </w:r>
      <w:r>
        <w:t xml:space="preserve">1</w:t>
      </w:r>
      <w:r>
        <w:t xml:space="preserve"> «</w:t>
      </w:r>
      <w:r>
        <w:t xml:space="preserve">Техническое задание</w:t>
      </w:r>
      <w:r>
        <w:t xml:space="preserve">;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/>
      <w:r>
        <w:rPr>
          <w:highlight w:val="none"/>
        </w:rPr>
      </w:r>
    </w:p>
    <w:p>
      <w:pPr>
        <w:pStyle w:val="958"/>
        <w:ind w:firstLine="709"/>
        <w:jc w:val="both"/>
      </w:pPr>
      <w:r>
        <w:t xml:space="preserve">Приложение </w:t>
      </w:r>
      <w:r>
        <w:t xml:space="preserve">2</w:t>
      </w:r>
      <w:r>
        <w:t xml:space="preserve"> «Календарный план»</w:t>
      </w:r>
      <w:r>
        <w:t xml:space="preserve">.</w:t>
      </w:r>
      <w:r/>
    </w:p>
    <w:p>
      <w:pPr>
        <w:pStyle w:val="95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</w:t>
      </w:r>
      <w:r>
        <w:rPr>
          <w:b/>
        </w:rPr>
        <w:t xml:space="preserve">I</w:t>
      </w:r>
      <w:r>
        <w:rPr>
          <w:b/>
        </w:rPr>
        <w:t xml:space="preserve">V. Адреса и банковские реквизиты Сторон</w:t>
      </w:r>
      <w:r>
        <w:rPr>
          <w:b/>
        </w:rPr>
      </w:r>
      <w:r>
        <w:rPr>
          <w:b/>
        </w:rPr>
      </w:r>
    </w:p>
    <w:p>
      <w:pPr>
        <w:pStyle w:val="958"/>
        <w:jc w:val="center"/>
        <w:rPr>
          <w:b/>
        </w:rPr>
        <w:outlineLvl w:val="1"/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0065" w:type="dxa"/>
        <w:tblLook w:val="01E0" w:firstRow="1" w:lastRow="1" w:firstColumn="1" w:lastColumn="1" w:noHBand="0" w:noVBand="0"/>
      </w:tblPr>
      <w:tblGrid>
        <w:gridCol w:w="5103"/>
        <w:gridCol w:w="4962"/>
      </w:tblGrid>
      <w:tr>
        <w:tblPrEx/>
        <w:trPr>
          <w:trHeight w:val="307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567" w:leader="none"/>
              </w:tabs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Заказчик: 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567" w:leader="none"/>
              </w:tabs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Министерство энергетики Российской Федерации (Минэнерго России)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567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Юр.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109074, г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Москва, Китайгородский проезд, д. 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567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Почтовый адрес: 107996, ГСП-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6, г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Москва, ул. Щепкина, д. 42, стр. 1, 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567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Банковские реквизиты: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ИНН 7705847529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КПП 770501001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Межрегиональное операционное УФК (Минэнерго России, л/с 03951000220)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р/с 40102810045370000002 в Операционном департаменте Банка России //Межрегиональное операционное УФК г. Москва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к/с 03211643000000019500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БИК 024501901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ОКПО/ ОКТМО 00083641/45381000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Банковские реквизиты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(для обеспечения контракта):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Министерство энергетики Российской Федерации (Минэнерго России)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ИНН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7705847529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КПП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770501001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Межрегиональное операционное УФК (Минэнерго России, л/с 05951000220)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р/с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40102810045370000002 в Операционном департаменте Банка России //Межрегиональное операционное УФК г. Москва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к/с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03212643000000019502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БИК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024501901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ОКПО/ ОКТМО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00083641/45381000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right="1"/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Исполнитель: _________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Юридический адрес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Фактический адрес: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Почтовый адрес: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 электронной почты: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Телефон: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ind w:right="-88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ИНН: 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КПП: 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ОГРН: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ОКПО: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ОКТМО: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ОКВЭД: 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ОКОПФ:</w:t>
            </w:r>
            <w:r>
              <w:rPr>
                <w:rFonts w:ascii="Arial" w:hAnsi="Arial" w:eastAsia="Arial Unicode MS" w:cs="Arial"/>
                <w:sz w:val="21"/>
                <w:szCs w:val="21"/>
                <w:shd w:val="clear" w:color="auto" w:fill="f1f2f3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Дата постановки на учет в налоговом органе: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_________ г.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Банковские реквизиты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Название банка: 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БИК: 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Расчетный счёт: 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  <w:pBdr>
                <w:bottom w:val="single" w:color="000000" w:sz="12" w:space="1"/>
              </w:pBd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Корреспондентский счёт/лицевой счёт: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268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Заместитель Министра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энергетики Российской Федерации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_____________________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Э.М.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Шереметцев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pBdr>
                <w:bottom w:val="single" w:color="000000" w:sz="12" w:space="1"/>
              </w:pBd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_________________________ 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pStyle w:val="958"/>
        <w:jc w:val="center"/>
      </w:pPr>
      <w:r/>
      <w:r/>
    </w:p>
    <w:p>
      <w:pPr>
        <w:rPr>
          <w:rFonts w:ascii="Times New Roman" w:hAnsi="Times New Roman" w:eastAsia="Times New Roman" w:cs="Times New Roman"/>
          <w:color w:val="ff0000"/>
          <w:sz w:val="24"/>
          <w:szCs w:val="24"/>
          <w:lang w:eastAsia="en-US"/>
        </w:rPr>
        <w:sectPr>
          <w:footnotePr/>
          <w:endnotePr/>
          <w:type w:val="nextPage"/>
          <w:pgSz w:w="11906" w:h="16838" w:orient="portrait"/>
          <w:pgMar w:top="567" w:right="567" w:bottom="993" w:left="709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en-US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en-US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en-US"/>
        </w:rPr>
      </w:r>
    </w:p>
    <w:p>
      <w:pPr>
        <w:ind w:left="6521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6521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к государственному контракту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6521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от ________ 20___ г.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5529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Техническое задание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на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казание услуг по техническому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Минэнерго России (ГИС «Цифровые госуслуги 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инэнерго России») в 2027-2028 гг.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jc w:val="center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(заполняется по итогам проведения закупки)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both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both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both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b/>
          <w:color w:val="ff0000"/>
          <w:sz w:val="20"/>
          <w:szCs w:val="20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right"/>
        <w:spacing w:after="6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tbl>
      <w:tblPr>
        <w:tblW w:w="10349" w:type="dxa"/>
        <w:tblLook w:val="01E0" w:firstRow="1" w:lastRow="1" w:firstColumn="1" w:lastColumn="1" w:noHBand="0" w:noVBand="0"/>
      </w:tblPr>
      <w:tblGrid>
        <w:gridCol w:w="5387"/>
        <w:gridCol w:w="4962"/>
      </w:tblGrid>
      <w:tr>
        <w:tblPrEx/>
        <w:trPr>
          <w:trHeight w:val="1268"/>
        </w:trPr>
        <w:tc>
          <w:tcPr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Заместитель Министра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энергетики Российской Федерации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________________________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Э.М.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Шереметцев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ИСПОЛНИТЕЛЬ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______________________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ind w:right="141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4"/>
          <w:szCs w:val="24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5" w:right="566" w:bottom="568" w:left="1134" w:header="709" w:footer="709" w:gutter="0"/>
          <w:cols w:num="1" w:sep="0" w:space="708" w:equalWidth="1"/>
          <w:docGrid w:linePitch="360"/>
          <w:titlePg/>
        </w:sectPr>
        <w:outlineLvl w:val="1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12047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государственному контракту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от «__» ______ 202_ г.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9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97"/>
        <w:jc w:val="center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Календарный план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797"/>
        <w:jc w:val="center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 xml:space="preserve">на оказание услуг по техническому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Минэнерго России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 xml:space="preserve">(ГИС «Цифровые госуслуги Минэнерго России»)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 xml:space="preserve">в 2027-2028 гг.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</w:p>
    <w:p>
      <w:pPr>
        <w:pStyle w:val="797"/>
        <w:jc w:val="center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</w:p>
    <w:tbl>
      <w:tblPr>
        <w:tblStyle w:val="976"/>
        <w:tblW w:w="0" w:type="auto"/>
        <w:tblLayout w:type="fixed"/>
        <w:tblLook w:val="04A0" w:firstRow="1" w:lastRow="0" w:firstColumn="1" w:lastColumn="0" w:noHBand="0" w:noVBand="1"/>
      </w:tblPr>
      <w:tblGrid>
        <w:gridCol w:w="1842"/>
        <w:gridCol w:w="9213"/>
        <w:gridCol w:w="567"/>
        <w:gridCol w:w="2126"/>
        <w:gridCol w:w="1276"/>
      </w:tblGrid>
      <w:tr>
        <w:tblPrEx/>
        <w:trPr>
          <w:trHeight w:val="68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  <w:t xml:space="preserve">Наименование работ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213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  <w:t xml:space="preserve">Реализуемые мероприятия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  <w:t xml:space="preserve">Этап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  <w:t xml:space="preserve">Сроки реализации этапов (мероприятий)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  <w:t xml:space="preserve">Стоимость всего, руб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Оказание услуг </w:t>
              <w:br/>
              <w:t xml:space="preserve">по техническому сопровождению </w:t>
              <w:br/>
              <w:t xml:space="preserve">и обеспечению эксплуатации государственной информационной системы «Автоматизация процессов предоставления государственных услуг </w:t>
              <w:br/>
              <w:t xml:space="preserve">и осуществления государственных функций» Минэнерго России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(ГИС «Цифровые госуслуги Минэнерго России») </w:t>
              <w:br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в 2027-2028 гг.</w:t>
            </w:r>
            <w:r/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213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Поддержка работоспособности 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Системное обслуживание и администрирование 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Решение возникающих инцидентов и проблем, в том числе актуализация состава (наполнения) интерактивных форм государственных услуг Минэнерго России.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Управление эксплуатационными характеристиками и настройка функциональных возможностей </w:t>
              <w:br/>
              <w:t xml:space="preserve">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Управление обновлениями 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Поддержка работоспособности видов сведений СМЭВ.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Мониторинг доступности интерактивных форм заявлений оказания государственных услуг </w:t>
              <w:br/>
              <w:t xml:space="preserve">в электронном виде и организация обработки запросов по устранению технических ошибок </w:t>
              <w:br/>
              <w:t xml:space="preserve">в интерактивных формах, в том числе актуализация состава (наполнения).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Информационно-техническое сопровождение пользователей по вопросам функционирования </w:t>
              <w:br/>
              <w:t xml:space="preserve">ГИС «Цифровые госуслуги Минэнерго России» и особенностям ведомственных процессов, автоматизированных в 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Управление изменениями эксплуатационной документации 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Очное консультирование сотрудников Минэнерго России по работе с 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Информационная поддержка по вопросам методологии оказания государственных услуг </w:t>
              <w:br/>
              <w:t xml:space="preserve">в электронном виде.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797"/>
              <w:numPr>
                <w:ilvl w:val="0"/>
                <w:numId w:val="26"/>
              </w:numPr>
              <w:ind w:left="0" w:right="0" w:firstLine="0"/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Обеспечение информационной безопасности при технической поддержке ГИС «Цифровые госуслуги Минэнерго России».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11.12.2026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.03.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2027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4 409 589,33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9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01.0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4.2027 –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30.06.2027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3 615 068,73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9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01.07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.2027 –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.09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.2027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3 654 794,76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9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01.10.2027 – 10.12.2027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820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547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,18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9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11.12.2027 – 31.03.2028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437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158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,88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9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01.04.2028 – 30.06.2028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605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191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,59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9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01.07.2028 – 29.09.2028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605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191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,59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9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30.09.2028 – 11.12.2028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852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 457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,94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340"/>
        </w:trPr>
        <w:tc>
          <w:tcPr>
            <w:gridSpan w:val="4"/>
            <w:tcMar>
              <w:left w:w="57" w:type="dxa"/>
              <w:top w:w="0" w:type="dxa"/>
              <w:right w:w="57" w:type="dxa"/>
              <w:bottom w:w="0" w:type="dxa"/>
            </w:tcMar>
            <w:tcW w:w="13748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97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29 000 000,00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</w:tr>
    </w:tbl>
    <w:p>
      <w:pPr>
        <w:pStyle w:val="797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sz w:val="20"/>
          <w:szCs w:val="20"/>
          <w:lang w:eastAsia="ar-SA"/>
        </w:rPr>
        <w:t xml:space="preserve">* Стоимость каждого этапа устанавливается в размере, сниженном пропорционально снижению начальной (максимальной) цены контракта участником закупки, с которым заключается контракт.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10"/>
      <w:footnotePr/>
      <w:endnotePr/>
      <w:type w:val="nextPage"/>
      <w:pgSz w:w="16838" w:h="11906" w:orient="landscape"/>
      <w:pgMar w:top="1134" w:right="1135" w:bottom="566" w:left="568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55"/>
        <w:rPr>
          <w:rFonts w:ascii="Times New Roman" w:hAnsi="Times New Roman" w:cs="Times New Roman"/>
        </w:rPr>
      </w:pPr>
      <w:r>
        <w:rPr>
          <w:rStyle w:val="95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случае, если Контракт заключается с лицами, являющимися в соответствии с Налоговым </w:t>
      </w:r>
      <w:hyperlink r:id="rId1" w:tooltip="https://login.consultant.ru/link/?req=doc&amp;base=LAW&amp;n=357876&amp;date=31.07.2020" w:history="1">
        <w:r>
          <w:rPr>
            <w:rFonts w:ascii="Times New Roman" w:hAnsi="Times New Roman" w:cs="Times New Roman"/>
          </w:rPr>
          <w:t xml:space="preserve">кодексом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Российской Федерации </w:t>
      </w:r>
      <w:r>
        <w:rPr>
          <w:rFonts w:ascii="Times New Roman" w:hAnsi="Times New Roman" w:cs="Times New Roman"/>
        </w:rPr>
        <w:t xml:space="preserve">плательщиками НДС.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955"/>
        <w:rPr>
          <w:rFonts w:ascii="Times New Roman" w:hAnsi="Times New Roman" w:cs="Times New Roman"/>
        </w:rPr>
      </w:pPr>
      <w:r>
        <w:rPr>
          <w:rStyle w:val="95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случае, если Контракт заключается с лицами, не являющимися в соответствии с Налоговым </w:t>
      </w:r>
      <w:hyperlink r:id="rId2" w:tooltip="https://login.consultant.ru/link/?req=doc&amp;base=LAW&amp;n=357876&amp;date=31.07.2020" w:history="1">
        <w:r>
          <w:rPr>
            <w:rFonts w:ascii="Times New Roman" w:hAnsi="Times New Roman" w:cs="Times New Roman"/>
          </w:rPr>
          <w:t xml:space="preserve">кодексом</w:t>
        </w:r>
      </w:hyperlink>
      <w:r>
        <w:rPr>
          <w:rFonts w:ascii="Times New Roman" w:hAnsi="Times New Roman" w:cs="Times New Roman"/>
        </w:rPr>
        <w:t xml:space="preserve"> Российской Федерации плательщиками НДС.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4">
    <w:p>
      <w:pPr>
        <w:pStyle w:val="955"/>
      </w:pPr>
      <w:r>
        <w:rPr>
          <w:rStyle w:val="95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Условие в части НДС не включается в Контракт в случае указания предложения о цене за право заключения Контракта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  <w:r>
      <w:rPr>
        <w:sz w:val="24"/>
        <w:szCs w:val="24"/>
      </w:rPr>
    </w:r>
  </w:p>
  <w:p>
    <w:pPr>
      <w:pStyle w:val="9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  <w:r>
      <w:rPr>
        <w:sz w:val="24"/>
        <w:szCs w:val="24"/>
      </w:rPr>
    </w:r>
  </w:p>
  <w:p>
    <w:pPr>
      <w:pStyle w:val="9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egacy w:legacy="1" w:legacyIndent="367" w:legacySpace="0"/>
      <w:lvlJc w:val="left"/>
      <w:pPr/>
      <w:rPr>
        <w:rFonts w:hint="default"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283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13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349" w:hanging="360"/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1" w:hanging="360"/>
      </w:pPr>
      <w:rPr>
        <w:rFonts w:hint="default"/>
        <w:u w:val="none"/>
      </w:rPr>
    </w:lvl>
    <w:lvl w:ilvl="2">
      <w:start w:val="1"/>
      <w:numFmt w:val="decimal"/>
      <w:isLgl/>
      <w:suff w:val="tab"/>
      <w:lvlText w:val="%1.%2.%3."/>
      <w:lvlJc w:val="left"/>
      <w:pPr>
        <w:ind w:left="731" w:hanging="720"/>
      </w:pPr>
      <w:rPr>
        <w:rFonts w:hint="default"/>
        <w:u w:val="single"/>
      </w:rPr>
    </w:lvl>
    <w:lvl w:ilvl="3">
      <w:start w:val="1"/>
      <w:numFmt w:val="decimal"/>
      <w:isLgl/>
      <w:suff w:val="tab"/>
      <w:lvlText w:val="%1.%2.%3.%4."/>
      <w:lvlJc w:val="left"/>
      <w:pPr>
        <w:ind w:left="1091" w:hanging="720"/>
      </w:pPr>
      <w:rPr>
        <w:rFonts w:hint="default"/>
        <w:u w:val="single"/>
      </w:rPr>
    </w:lvl>
    <w:lvl w:ilvl="4">
      <w:start w:val="1"/>
      <w:numFmt w:val="decimal"/>
      <w:isLgl/>
      <w:suff w:val="tab"/>
      <w:lvlText w:val="%1.%2.%3.%4.%5."/>
      <w:lvlJc w:val="left"/>
      <w:pPr>
        <w:ind w:left="1811" w:hanging="1080"/>
      </w:pPr>
      <w:rPr>
        <w:rFonts w:hint="default"/>
        <w:u w:val="single"/>
      </w:rPr>
    </w:lvl>
    <w:lvl w:ilvl="5">
      <w:start w:val="1"/>
      <w:numFmt w:val="decimal"/>
      <w:isLgl/>
      <w:suff w:val="tab"/>
      <w:lvlText w:val="%1.%2.%3.%4.%5.%6."/>
      <w:lvlJc w:val="left"/>
      <w:pPr>
        <w:ind w:left="2171" w:hanging="1080"/>
      </w:pPr>
      <w:rPr>
        <w:rFonts w:hint="default"/>
        <w:u w:val="single"/>
      </w:rPr>
    </w:lvl>
    <w:lvl w:ilvl="6">
      <w:start w:val="1"/>
      <w:numFmt w:val="decimal"/>
      <w:isLgl/>
      <w:suff w:val="tab"/>
      <w:lvlText w:val="%1.%2.%3.%4.%5.%6.%7."/>
      <w:lvlJc w:val="left"/>
      <w:pPr>
        <w:ind w:left="2891" w:hanging="1440"/>
      </w:pPr>
      <w:rPr>
        <w:rFonts w:hint="default"/>
        <w:u w:val="singl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51" w:hanging="1440"/>
      </w:pPr>
      <w:rPr>
        <w:rFonts w:hint="default"/>
        <w:u w:val="singl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71" w:hanging="1800"/>
      </w:pPr>
      <w:rPr>
        <w:rFonts w:hint="default"/>
        <w:u w:val="single"/>
      </w:rPr>
    </w:lvl>
  </w:abstractNum>
  <w:abstractNum w:abstractNumId="6">
    <w:multiLevelType w:val="hybridMultilevel"/>
    <w:lvl w:ilvl="0">
      <w:start w:val="1"/>
      <w:numFmt w:val="decimal"/>
      <w:pStyle w:val="995"/>
      <w:isLgl w:val="false"/>
      <w:suff w:val="space"/>
      <w:lvlText w:val="%1."/>
      <w:lvlJc w:val="center"/>
      <w:pPr>
        <w:ind w:left="720" w:hanging="36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nothing"/>
      <w:lvlText w:val="Приложение № %1"/>
      <w:lvlJc w:val="left"/>
      <w:pPr>
        <w:ind w:left="8157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349" w:hanging="360"/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1" w:hanging="360"/>
      </w:pPr>
      <w:rPr>
        <w:rFonts w:hint="default"/>
        <w:u w:val="none"/>
      </w:rPr>
    </w:lvl>
    <w:lvl w:ilvl="2">
      <w:start w:val="1"/>
      <w:numFmt w:val="decimal"/>
      <w:isLgl/>
      <w:suff w:val="tab"/>
      <w:lvlText w:val="%1.%2.%3."/>
      <w:lvlJc w:val="left"/>
      <w:pPr>
        <w:ind w:left="731" w:hanging="720"/>
      </w:pPr>
      <w:rPr>
        <w:rFonts w:hint="default"/>
        <w:u w:val="single"/>
      </w:rPr>
    </w:lvl>
    <w:lvl w:ilvl="3">
      <w:start w:val="1"/>
      <w:numFmt w:val="decimal"/>
      <w:isLgl/>
      <w:suff w:val="tab"/>
      <w:lvlText w:val="%1.%2.%3.%4."/>
      <w:lvlJc w:val="left"/>
      <w:pPr>
        <w:ind w:left="1091" w:hanging="720"/>
      </w:pPr>
      <w:rPr>
        <w:rFonts w:hint="default"/>
        <w:u w:val="single"/>
      </w:rPr>
    </w:lvl>
    <w:lvl w:ilvl="4">
      <w:start w:val="1"/>
      <w:numFmt w:val="decimal"/>
      <w:isLgl/>
      <w:suff w:val="tab"/>
      <w:lvlText w:val="%1.%2.%3.%4.%5."/>
      <w:lvlJc w:val="left"/>
      <w:pPr>
        <w:ind w:left="1811" w:hanging="1080"/>
      </w:pPr>
      <w:rPr>
        <w:rFonts w:hint="default"/>
        <w:u w:val="single"/>
      </w:rPr>
    </w:lvl>
    <w:lvl w:ilvl="5">
      <w:start w:val="1"/>
      <w:numFmt w:val="decimal"/>
      <w:isLgl/>
      <w:suff w:val="tab"/>
      <w:lvlText w:val="%1.%2.%3.%4.%5.%6."/>
      <w:lvlJc w:val="left"/>
      <w:pPr>
        <w:ind w:left="2171" w:hanging="1080"/>
      </w:pPr>
      <w:rPr>
        <w:rFonts w:hint="default"/>
        <w:u w:val="single"/>
      </w:rPr>
    </w:lvl>
    <w:lvl w:ilvl="6">
      <w:start w:val="1"/>
      <w:numFmt w:val="decimal"/>
      <w:isLgl/>
      <w:suff w:val="tab"/>
      <w:lvlText w:val="%1.%2.%3.%4.%5.%6.%7."/>
      <w:lvlJc w:val="left"/>
      <w:pPr>
        <w:ind w:left="2891" w:hanging="1440"/>
      </w:pPr>
      <w:rPr>
        <w:rFonts w:hint="default"/>
        <w:u w:val="singl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51" w:hanging="1440"/>
      </w:pPr>
      <w:rPr>
        <w:rFonts w:hint="default"/>
        <w:u w:val="singl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71" w:hanging="1800"/>
      </w:pPr>
      <w:rPr>
        <w:rFonts w:hint="default"/>
        <w:u w:val="singl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2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4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6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8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0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2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4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6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82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pStyle w:val="996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5"/>
  </w:num>
  <w:num w:numId="5">
    <w:abstractNumId w:val="13"/>
  </w:num>
  <w:num w:numId="6">
    <w:abstractNumId w:val="3"/>
  </w:num>
  <w:num w:numId="7">
    <w:abstractNumId w:val="17"/>
  </w:num>
  <w:num w:numId="8">
    <w:abstractNumId w:val="2"/>
  </w:num>
  <w:num w:numId="9">
    <w:abstractNumId w:val="20"/>
  </w:num>
  <w:num w:numId="10">
    <w:abstractNumId w:val="14"/>
  </w:num>
  <w:num w:numId="11">
    <w:abstractNumId w:val="16"/>
  </w:num>
  <w:num w:numId="12">
    <w:abstractNumId w:val="18"/>
  </w:num>
  <w:num w:numId="13">
    <w:abstractNumId w:val="11"/>
  </w:num>
  <w:num w:numId="14">
    <w:abstractNumId w:val="12"/>
  </w:num>
  <w:num w:numId="15">
    <w:abstractNumId w:val="1"/>
  </w:num>
  <w:num w:numId="16">
    <w:abstractNumId w:val="22"/>
  </w:num>
  <w:num w:numId="17">
    <w:abstractNumId w:val="8"/>
  </w:num>
  <w:num w:numId="18">
    <w:abstractNumId w:val="19"/>
  </w:num>
  <w:num w:numId="19">
    <w:abstractNumId w:val="21"/>
  </w:num>
  <w:num w:numId="20">
    <w:abstractNumId w:val="7"/>
  </w:num>
  <w:num w:numId="21">
    <w:abstractNumId w:val="7"/>
    <w:lvlOverride w:ilvl="0">
      <w:startOverride w:val="1"/>
    </w:lvlOverride>
  </w:num>
  <w:num w:numId="22">
    <w:abstractNumId w:val="6"/>
  </w:num>
  <w:num w:numId="23">
    <w:abstractNumId w:val="9"/>
  </w:num>
  <w:num w:numId="24">
    <w:abstractNumId w:val="10"/>
  </w:num>
  <w:num w:numId="25">
    <w:abstractNumId w:val="2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0">
    <w:name w:val="Heading 1 Char"/>
    <w:basedOn w:val="952"/>
    <w:link w:val="951"/>
    <w:uiPriority w:val="9"/>
    <w:rPr>
      <w:rFonts w:ascii="Arial" w:hAnsi="Arial" w:eastAsia="Arial" w:cs="Arial"/>
      <w:sz w:val="40"/>
      <w:szCs w:val="40"/>
    </w:rPr>
  </w:style>
  <w:style w:type="paragraph" w:styleId="781">
    <w:name w:val="Heading 2"/>
    <w:basedOn w:val="950"/>
    <w:next w:val="950"/>
    <w:link w:val="7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2">
    <w:name w:val="Heading 2 Char"/>
    <w:basedOn w:val="952"/>
    <w:link w:val="781"/>
    <w:uiPriority w:val="9"/>
    <w:rPr>
      <w:rFonts w:ascii="Arial" w:hAnsi="Arial" w:eastAsia="Arial" w:cs="Arial"/>
      <w:sz w:val="34"/>
    </w:rPr>
  </w:style>
  <w:style w:type="paragraph" w:styleId="783">
    <w:name w:val="Heading 3"/>
    <w:basedOn w:val="950"/>
    <w:next w:val="950"/>
    <w:link w:val="7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4">
    <w:name w:val="Heading 3 Char"/>
    <w:basedOn w:val="952"/>
    <w:link w:val="783"/>
    <w:uiPriority w:val="9"/>
    <w:rPr>
      <w:rFonts w:ascii="Arial" w:hAnsi="Arial" w:eastAsia="Arial" w:cs="Arial"/>
      <w:sz w:val="30"/>
      <w:szCs w:val="30"/>
    </w:rPr>
  </w:style>
  <w:style w:type="paragraph" w:styleId="785">
    <w:name w:val="Heading 4"/>
    <w:basedOn w:val="950"/>
    <w:next w:val="950"/>
    <w:link w:val="7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6">
    <w:name w:val="Heading 4 Char"/>
    <w:basedOn w:val="952"/>
    <w:link w:val="785"/>
    <w:uiPriority w:val="9"/>
    <w:rPr>
      <w:rFonts w:ascii="Arial" w:hAnsi="Arial" w:eastAsia="Arial" w:cs="Arial"/>
      <w:b/>
      <w:bCs/>
      <w:sz w:val="26"/>
      <w:szCs w:val="26"/>
    </w:rPr>
  </w:style>
  <w:style w:type="paragraph" w:styleId="787">
    <w:name w:val="Heading 5"/>
    <w:basedOn w:val="950"/>
    <w:next w:val="950"/>
    <w:link w:val="7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8">
    <w:name w:val="Heading 5 Char"/>
    <w:basedOn w:val="952"/>
    <w:link w:val="787"/>
    <w:uiPriority w:val="9"/>
    <w:rPr>
      <w:rFonts w:ascii="Arial" w:hAnsi="Arial" w:eastAsia="Arial" w:cs="Arial"/>
      <w:b/>
      <w:bCs/>
      <w:sz w:val="24"/>
      <w:szCs w:val="24"/>
    </w:rPr>
  </w:style>
  <w:style w:type="paragraph" w:styleId="789">
    <w:name w:val="Heading 6"/>
    <w:basedOn w:val="950"/>
    <w:next w:val="950"/>
    <w:link w:val="7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0">
    <w:name w:val="Heading 6 Char"/>
    <w:basedOn w:val="952"/>
    <w:link w:val="789"/>
    <w:uiPriority w:val="9"/>
    <w:rPr>
      <w:rFonts w:ascii="Arial" w:hAnsi="Arial" w:eastAsia="Arial" w:cs="Arial"/>
      <w:b/>
      <w:bCs/>
      <w:sz w:val="22"/>
      <w:szCs w:val="22"/>
    </w:rPr>
  </w:style>
  <w:style w:type="paragraph" w:styleId="791">
    <w:name w:val="Heading 7"/>
    <w:basedOn w:val="950"/>
    <w:next w:val="950"/>
    <w:link w:val="7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2">
    <w:name w:val="Heading 7 Char"/>
    <w:basedOn w:val="952"/>
    <w:link w:val="7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3">
    <w:name w:val="Heading 8"/>
    <w:basedOn w:val="950"/>
    <w:next w:val="950"/>
    <w:link w:val="7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4">
    <w:name w:val="Heading 8 Char"/>
    <w:basedOn w:val="952"/>
    <w:link w:val="793"/>
    <w:uiPriority w:val="9"/>
    <w:rPr>
      <w:rFonts w:ascii="Arial" w:hAnsi="Arial" w:eastAsia="Arial" w:cs="Arial"/>
      <w:i/>
      <w:iCs/>
      <w:sz w:val="22"/>
      <w:szCs w:val="22"/>
    </w:rPr>
  </w:style>
  <w:style w:type="paragraph" w:styleId="795">
    <w:name w:val="Heading 9"/>
    <w:basedOn w:val="950"/>
    <w:next w:val="950"/>
    <w:link w:val="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6">
    <w:name w:val="Heading 9 Char"/>
    <w:basedOn w:val="952"/>
    <w:link w:val="795"/>
    <w:uiPriority w:val="9"/>
    <w:rPr>
      <w:rFonts w:ascii="Arial" w:hAnsi="Arial" w:eastAsia="Arial" w:cs="Arial"/>
      <w:i/>
      <w:iCs/>
      <w:sz w:val="21"/>
      <w:szCs w:val="21"/>
    </w:rPr>
  </w:style>
  <w:style w:type="paragraph" w:styleId="797">
    <w:name w:val="No Spacing"/>
    <w:uiPriority w:val="1"/>
    <w:qFormat/>
    <w:pPr>
      <w:spacing w:before="0" w:after="0" w:line="240" w:lineRule="auto"/>
    </w:pPr>
  </w:style>
  <w:style w:type="paragraph" w:styleId="798">
    <w:name w:val="Title"/>
    <w:basedOn w:val="950"/>
    <w:next w:val="950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2"/>
    <w:link w:val="798"/>
    <w:uiPriority w:val="10"/>
    <w:rPr>
      <w:sz w:val="48"/>
      <w:szCs w:val="48"/>
    </w:rPr>
  </w:style>
  <w:style w:type="paragraph" w:styleId="800">
    <w:name w:val="Subtitle"/>
    <w:basedOn w:val="950"/>
    <w:next w:val="950"/>
    <w:link w:val="801"/>
    <w:uiPriority w:val="11"/>
    <w:qFormat/>
    <w:pPr>
      <w:spacing w:before="200" w:after="200"/>
    </w:pPr>
    <w:rPr>
      <w:sz w:val="24"/>
      <w:szCs w:val="24"/>
    </w:rPr>
  </w:style>
  <w:style w:type="character" w:styleId="801">
    <w:name w:val="Subtitle Char"/>
    <w:basedOn w:val="952"/>
    <w:link w:val="800"/>
    <w:uiPriority w:val="11"/>
    <w:rPr>
      <w:sz w:val="24"/>
      <w:szCs w:val="24"/>
    </w:rPr>
  </w:style>
  <w:style w:type="paragraph" w:styleId="802">
    <w:name w:val="Quote"/>
    <w:basedOn w:val="950"/>
    <w:next w:val="950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50"/>
    <w:next w:val="950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52"/>
    <w:link w:val="974"/>
    <w:uiPriority w:val="99"/>
  </w:style>
  <w:style w:type="character" w:styleId="807">
    <w:name w:val="Footer Char"/>
    <w:basedOn w:val="952"/>
    <w:link w:val="977"/>
    <w:uiPriority w:val="99"/>
  </w:style>
  <w:style w:type="paragraph" w:styleId="808">
    <w:name w:val="Caption"/>
    <w:basedOn w:val="950"/>
    <w:next w:val="950"/>
    <w:link w:val="8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952"/>
    <w:link w:val="808"/>
    <w:uiPriority w:val="35"/>
    <w:rPr>
      <w:b/>
      <w:bCs/>
      <w:color w:val="4f81bd" w:themeColor="accent1"/>
      <w:sz w:val="18"/>
      <w:szCs w:val="18"/>
    </w:rPr>
  </w:style>
  <w:style w:type="table" w:styleId="810">
    <w:name w:val="Table Grid Light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Plain Table 1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2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4">
    <w:name w:val="Plain Table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Plain Table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6">
    <w:name w:val="Grid Table 1 Light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4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8">
    <w:name w:val="Grid Table 4 - Accent 1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9">
    <w:name w:val="Grid Table 4 - Accent 2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Grid Table 4 - Accent 3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1">
    <w:name w:val="Grid Table 4 - Accent 4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Grid Table 4 - Accent 5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3">
    <w:name w:val="Grid Table 4 - Accent 6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4">
    <w:name w:val="Grid Table 5 Dark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8">
    <w:name w:val="Grid Table 5 Dark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1">
    <w:name w:val="Grid Table 6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2">
    <w:name w:val="Grid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3">
    <w:name w:val="Grid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4">
    <w:name w:val="Grid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5">
    <w:name w:val="Grid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6">
    <w:name w:val="Grid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7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3">
    <w:name w:val="List Table 2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4">
    <w:name w:val="List Table 2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5">
    <w:name w:val="List Table 2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6">
    <w:name w:val="List Table 2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7">
    <w:name w:val="List Table 2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8">
    <w:name w:val="List Table 2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9">
    <w:name w:val="List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5 Dark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6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1">
    <w:name w:val="List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2">
    <w:name w:val="List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3">
    <w:name w:val="List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4">
    <w:name w:val="List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5">
    <w:name w:val="List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6">
    <w:name w:val="List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7">
    <w:name w:val="List Table 7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8">
    <w:name w:val="List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9">
    <w:name w:val="List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0">
    <w:name w:val="List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1">
    <w:name w:val="List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2">
    <w:name w:val="List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3">
    <w:name w:val="List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4">
    <w:name w:val="Lined - Accent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5">
    <w:name w:val="Lined - Accent 1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6">
    <w:name w:val="Lined - Accent 2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7">
    <w:name w:val="Lined - Accent 3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8">
    <w:name w:val="Lined - Accent 4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9">
    <w:name w:val="Lined - Accent 5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0">
    <w:name w:val="Lined - Accent 6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1">
    <w:name w:val="Bordered &amp; Lined - Accent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2">
    <w:name w:val="Bordered &amp; Lined - Accent 1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3">
    <w:name w:val="Bordered &amp; Lined - Accent 2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4">
    <w:name w:val="Bordered &amp; Lined - Accent 3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5">
    <w:name w:val="Bordered &amp; Lined - Accent 4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6">
    <w:name w:val="Bordered &amp; Lined - Accent 5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7">
    <w:name w:val="Bordered &amp; Lined - Accent 6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8">
    <w:name w:val="Bordered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9">
    <w:name w:val="Bordered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0">
    <w:name w:val="Bordered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1">
    <w:name w:val="Bordered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2">
    <w:name w:val="Bordered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3">
    <w:name w:val="Bordered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4">
    <w:name w:val="Bordered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5">
    <w:name w:val="Footnote Text Char"/>
    <w:link w:val="955"/>
    <w:uiPriority w:val="99"/>
    <w:rPr>
      <w:sz w:val="18"/>
    </w:rPr>
  </w:style>
  <w:style w:type="paragraph" w:styleId="936">
    <w:name w:val="endnote text"/>
    <w:basedOn w:val="950"/>
    <w:link w:val="937"/>
    <w:uiPriority w:val="99"/>
    <w:semiHidden/>
    <w:unhideWhenUsed/>
    <w:pPr>
      <w:spacing w:after="0" w:line="240" w:lineRule="auto"/>
    </w:pPr>
    <w:rPr>
      <w:sz w:val="20"/>
    </w:rPr>
  </w:style>
  <w:style w:type="character" w:styleId="937">
    <w:name w:val="Endnote Text Char"/>
    <w:link w:val="936"/>
    <w:uiPriority w:val="99"/>
    <w:rPr>
      <w:sz w:val="20"/>
    </w:rPr>
  </w:style>
  <w:style w:type="character" w:styleId="938">
    <w:name w:val="endnote reference"/>
    <w:basedOn w:val="952"/>
    <w:uiPriority w:val="99"/>
    <w:semiHidden/>
    <w:unhideWhenUsed/>
    <w:rPr>
      <w:vertAlign w:val="superscript"/>
    </w:rPr>
  </w:style>
  <w:style w:type="paragraph" w:styleId="939">
    <w:name w:val="toc 1"/>
    <w:basedOn w:val="950"/>
    <w:next w:val="950"/>
    <w:uiPriority w:val="39"/>
    <w:unhideWhenUsed/>
    <w:pPr>
      <w:ind w:left="0" w:right="0" w:firstLine="0"/>
      <w:spacing w:after="57"/>
    </w:pPr>
  </w:style>
  <w:style w:type="paragraph" w:styleId="940">
    <w:name w:val="toc 2"/>
    <w:basedOn w:val="950"/>
    <w:next w:val="950"/>
    <w:uiPriority w:val="39"/>
    <w:unhideWhenUsed/>
    <w:pPr>
      <w:ind w:left="283" w:right="0" w:firstLine="0"/>
      <w:spacing w:after="57"/>
    </w:pPr>
  </w:style>
  <w:style w:type="paragraph" w:styleId="941">
    <w:name w:val="toc 3"/>
    <w:basedOn w:val="950"/>
    <w:next w:val="950"/>
    <w:uiPriority w:val="39"/>
    <w:unhideWhenUsed/>
    <w:pPr>
      <w:ind w:left="567" w:right="0" w:firstLine="0"/>
      <w:spacing w:after="57"/>
    </w:pPr>
  </w:style>
  <w:style w:type="paragraph" w:styleId="942">
    <w:name w:val="toc 4"/>
    <w:basedOn w:val="950"/>
    <w:next w:val="950"/>
    <w:uiPriority w:val="39"/>
    <w:unhideWhenUsed/>
    <w:pPr>
      <w:ind w:left="850" w:right="0" w:firstLine="0"/>
      <w:spacing w:after="57"/>
    </w:pPr>
  </w:style>
  <w:style w:type="paragraph" w:styleId="943">
    <w:name w:val="toc 5"/>
    <w:basedOn w:val="950"/>
    <w:next w:val="950"/>
    <w:uiPriority w:val="39"/>
    <w:unhideWhenUsed/>
    <w:pPr>
      <w:ind w:left="1134" w:right="0" w:firstLine="0"/>
      <w:spacing w:after="57"/>
    </w:pPr>
  </w:style>
  <w:style w:type="paragraph" w:styleId="944">
    <w:name w:val="toc 6"/>
    <w:basedOn w:val="950"/>
    <w:next w:val="950"/>
    <w:uiPriority w:val="39"/>
    <w:unhideWhenUsed/>
    <w:pPr>
      <w:ind w:left="1417" w:right="0" w:firstLine="0"/>
      <w:spacing w:after="57"/>
    </w:pPr>
  </w:style>
  <w:style w:type="paragraph" w:styleId="945">
    <w:name w:val="toc 7"/>
    <w:basedOn w:val="950"/>
    <w:next w:val="950"/>
    <w:uiPriority w:val="39"/>
    <w:unhideWhenUsed/>
    <w:pPr>
      <w:ind w:left="1701" w:right="0" w:firstLine="0"/>
      <w:spacing w:after="57"/>
    </w:pPr>
  </w:style>
  <w:style w:type="paragraph" w:styleId="946">
    <w:name w:val="toc 8"/>
    <w:basedOn w:val="950"/>
    <w:next w:val="950"/>
    <w:uiPriority w:val="39"/>
    <w:unhideWhenUsed/>
    <w:pPr>
      <w:ind w:left="1984" w:right="0" w:firstLine="0"/>
      <w:spacing w:after="57"/>
    </w:pPr>
  </w:style>
  <w:style w:type="paragraph" w:styleId="947">
    <w:name w:val="toc 9"/>
    <w:basedOn w:val="950"/>
    <w:next w:val="950"/>
    <w:uiPriority w:val="39"/>
    <w:unhideWhenUsed/>
    <w:pPr>
      <w:ind w:left="2268" w:right="0" w:firstLine="0"/>
      <w:spacing w:after="57"/>
    </w:pPr>
  </w:style>
  <w:style w:type="paragraph" w:styleId="948">
    <w:name w:val="TOC Heading"/>
    <w:uiPriority w:val="39"/>
    <w:unhideWhenUsed/>
  </w:style>
  <w:style w:type="paragraph" w:styleId="949">
    <w:name w:val="table of figures"/>
    <w:basedOn w:val="950"/>
    <w:next w:val="950"/>
    <w:uiPriority w:val="99"/>
    <w:unhideWhenUsed/>
    <w:pPr>
      <w:spacing w:after="0" w:afterAutospacing="0"/>
    </w:pPr>
  </w:style>
  <w:style w:type="paragraph" w:styleId="950" w:default="1">
    <w:name w:val="Normal"/>
    <w:qFormat/>
    <w:rPr>
      <w:rFonts w:eastAsiaTheme="minorEastAsia"/>
      <w:lang w:eastAsia="ru-RU"/>
    </w:rPr>
  </w:style>
  <w:style w:type="paragraph" w:styleId="951">
    <w:name w:val="Heading 1"/>
    <w:basedOn w:val="950"/>
    <w:next w:val="950"/>
    <w:link w:val="997"/>
    <w:uiPriority w:val="9"/>
    <w:qFormat/>
    <w:pPr>
      <w:keepNext/>
      <w:spacing w:before="240" w:after="60" w:line="240" w:lineRule="auto"/>
      <w:outlineLvl w:val="0"/>
    </w:pPr>
    <w:rPr>
      <w:rFonts w:ascii="Times New Roman" w:hAnsi="Times New Roman" w:eastAsia="Times New Roman" w:cs="Times New Roman"/>
      <w:sz w:val="32"/>
      <w:szCs w:val="20"/>
    </w:rPr>
  </w:style>
  <w:style w:type="character" w:styleId="952" w:default="1">
    <w:name w:val="Default Paragraph Font"/>
    <w:uiPriority w:val="1"/>
    <w:semiHidden/>
    <w:unhideWhenUsed/>
  </w:style>
  <w:style w:type="table" w:styleId="9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4" w:default="1">
    <w:name w:val="No List"/>
    <w:uiPriority w:val="99"/>
    <w:semiHidden/>
    <w:unhideWhenUsed/>
  </w:style>
  <w:style w:type="paragraph" w:styleId="955">
    <w:name w:val="footnote text"/>
    <w:basedOn w:val="950"/>
    <w:link w:val="956"/>
    <w:uiPriority w:val="99"/>
    <w:unhideWhenUsed/>
    <w:pPr>
      <w:spacing w:after="0" w:line="240" w:lineRule="auto"/>
    </w:pPr>
    <w:rPr>
      <w:sz w:val="20"/>
      <w:szCs w:val="20"/>
    </w:rPr>
  </w:style>
  <w:style w:type="character" w:styleId="956" w:customStyle="1">
    <w:name w:val="Текст сноски Знак"/>
    <w:basedOn w:val="952"/>
    <w:link w:val="955"/>
    <w:rPr>
      <w:rFonts w:eastAsiaTheme="minorEastAsia"/>
      <w:sz w:val="20"/>
      <w:szCs w:val="20"/>
      <w:lang w:eastAsia="ru-RU"/>
    </w:rPr>
  </w:style>
  <w:style w:type="character" w:styleId="957">
    <w:name w:val="footnote reference"/>
    <w:basedOn w:val="952"/>
    <w:uiPriority w:val="99"/>
    <w:unhideWhenUsed/>
    <w:rPr>
      <w:vertAlign w:val="superscript"/>
    </w:rPr>
  </w:style>
  <w:style w:type="paragraph" w:styleId="958" w:customStyle="1">
    <w:name w:val="ConsPlusNormal"/>
    <w:link w:val="967"/>
    <w:qFormat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959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character" w:styleId="960">
    <w:name w:val="annotation reference"/>
    <w:basedOn w:val="952"/>
    <w:uiPriority w:val="99"/>
    <w:semiHidden/>
    <w:unhideWhenUsed/>
    <w:rPr>
      <w:sz w:val="16"/>
      <w:szCs w:val="16"/>
    </w:rPr>
  </w:style>
  <w:style w:type="paragraph" w:styleId="961">
    <w:name w:val="annotation text"/>
    <w:basedOn w:val="950"/>
    <w:link w:val="96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62" w:customStyle="1">
    <w:name w:val="Текст примечания Знак"/>
    <w:basedOn w:val="952"/>
    <w:link w:val="961"/>
    <w:uiPriority w:val="99"/>
    <w:semiHidden/>
    <w:rPr>
      <w:rFonts w:eastAsiaTheme="minorEastAsia"/>
      <w:sz w:val="20"/>
      <w:szCs w:val="20"/>
      <w:lang w:eastAsia="ru-RU"/>
    </w:rPr>
  </w:style>
  <w:style w:type="paragraph" w:styleId="963">
    <w:name w:val="annotation subject"/>
    <w:basedOn w:val="961"/>
    <w:next w:val="961"/>
    <w:link w:val="964"/>
    <w:uiPriority w:val="99"/>
    <w:semiHidden/>
    <w:unhideWhenUsed/>
    <w:rPr>
      <w:b/>
      <w:bCs/>
    </w:rPr>
  </w:style>
  <w:style w:type="character" w:styleId="964" w:customStyle="1">
    <w:name w:val="Тема примечания Знак"/>
    <w:basedOn w:val="962"/>
    <w:link w:val="963"/>
    <w:uiPriority w:val="99"/>
    <w:semiHidden/>
    <w:rPr>
      <w:rFonts w:eastAsiaTheme="minorEastAsia"/>
      <w:b/>
      <w:bCs/>
      <w:sz w:val="20"/>
      <w:szCs w:val="20"/>
      <w:lang w:eastAsia="ru-RU"/>
    </w:rPr>
  </w:style>
  <w:style w:type="paragraph" w:styleId="965">
    <w:name w:val="Balloon Text"/>
    <w:basedOn w:val="950"/>
    <w:link w:val="96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6" w:customStyle="1">
    <w:name w:val="Текст выноски Знак"/>
    <w:basedOn w:val="952"/>
    <w:link w:val="965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character" w:styleId="967" w:customStyle="1">
    <w:name w:val="ConsPlusNormal Знак"/>
    <w:link w:val="958"/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968">
    <w:name w:val="List Paragraph"/>
    <w:basedOn w:val="950"/>
    <w:link w:val="969"/>
    <w:uiPriority w:val="34"/>
    <w:qFormat/>
    <w:pPr>
      <w:contextualSpacing/>
      <w:ind w:left="720"/>
      <w:spacing w:after="200" w:line="276" w:lineRule="auto"/>
    </w:pPr>
    <w:rPr>
      <w:rFonts w:eastAsiaTheme="minorHAnsi"/>
      <w:lang w:eastAsia="en-US"/>
    </w:rPr>
  </w:style>
  <w:style w:type="character" w:styleId="969" w:customStyle="1">
    <w:name w:val="Абзац списка Знак"/>
    <w:link w:val="968"/>
    <w:uiPriority w:val="34"/>
  </w:style>
  <w:style w:type="paragraph" w:styleId="970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971" w:customStyle="1">
    <w:name w:val="Таблица 13"/>
    <w:basedOn w:val="950"/>
    <w:link w:val="972"/>
    <w:qFormat/>
    <w:pPr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6"/>
    </w:rPr>
  </w:style>
  <w:style w:type="character" w:styleId="972" w:customStyle="1">
    <w:name w:val="Таблица 13 Знак"/>
    <w:link w:val="971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973">
    <w:name w:val="Hyperlink"/>
    <w:basedOn w:val="952"/>
    <w:uiPriority w:val="99"/>
    <w:unhideWhenUsed/>
    <w:rPr>
      <w:color w:val="0563c1" w:themeColor="hyperlink"/>
      <w:u w:val="single"/>
    </w:rPr>
  </w:style>
  <w:style w:type="paragraph" w:styleId="974">
    <w:name w:val="Header"/>
    <w:basedOn w:val="950"/>
    <w:link w:val="975"/>
    <w:uiPriority w:val="99"/>
    <w:unhideWhenUsed/>
    <w:pPr>
      <w:jc w:val="center"/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</w:rPr>
  </w:style>
  <w:style w:type="character" w:styleId="975" w:customStyle="1">
    <w:name w:val="Верхний колонтитул Знак"/>
    <w:basedOn w:val="952"/>
    <w:link w:val="974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table" w:styleId="976">
    <w:name w:val="Table Grid"/>
    <w:basedOn w:val="95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7">
    <w:name w:val="Footer"/>
    <w:basedOn w:val="950"/>
    <w:link w:val="9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8" w:customStyle="1">
    <w:name w:val="Нижний колонтитул Знак"/>
    <w:basedOn w:val="952"/>
    <w:link w:val="977"/>
    <w:uiPriority w:val="99"/>
    <w:rPr>
      <w:rFonts w:eastAsiaTheme="minorEastAsia"/>
      <w:lang w:eastAsia="ru-RU"/>
    </w:rPr>
  </w:style>
  <w:style w:type="character" w:styleId="979" w:customStyle="1">
    <w:name w:val="Основной текст (2)_"/>
    <w:basedOn w:val="952"/>
    <w:link w:val="980"/>
    <w:rPr>
      <w:rFonts w:ascii="Times New Roman" w:hAnsi="Times New Roman" w:eastAsia="Times New Roman" w:cs="Times New Roman"/>
      <w:shd w:val="clear" w:color="auto" w:fill="ffffff"/>
    </w:rPr>
  </w:style>
  <w:style w:type="paragraph" w:styleId="980" w:customStyle="1">
    <w:name w:val="Основной текст (2)1"/>
    <w:basedOn w:val="950"/>
    <w:link w:val="979"/>
    <w:pPr>
      <w:spacing w:after="6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lang w:eastAsia="en-US"/>
    </w:rPr>
  </w:style>
  <w:style w:type="table" w:styleId="981" w:customStyle="1">
    <w:name w:val="Сетка таблицы5"/>
    <w:basedOn w:val="953"/>
    <w:next w:val="976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2" w:customStyle="1">
    <w:name w:val="align_center"/>
    <w:basedOn w:val="95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983" w:customStyle="1">
    <w:name w:val="Сетка таблицы1"/>
    <w:basedOn w:val="953"/>
    <w:next w:val="976"/>
    <w:uiPriority w:val="5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4" w:customStyle="1">
    <w:name w:val="Приложение №"/>
    <w:qFormat/>
    <w:pPr>
      <w:ind w:left="720" w:hanging="360"/>
      <w:jc w:val="right"/>
      <w:spacing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985" w:customStyle="1">
    <w:name w:val="ТЗ - Заголовок"/>
    <w:basedOn w:val="950"/>
    <w:qFormat/>
    <w:pPr>
      <w:jc w:val="center"/>
      <w:spacing w:after="0"/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986" w:customStyle="1">
    <w:name w:val="№ п/п для таблиц"/>
    <w:qFormat/>
    <w:pPr>
      <w:ind w:left="926" w:hanging="360"/>
      <w:jc w:val="center"/>
      <w:spacing w:after="0" w:line="240" w:lineRule="auto"/>
      <w:widowControl w:val="off"/>
      <w:tabs>
        <w:tab w:val="num" w:pos="643" w:leader="none"/>
      </w:tabs>
    </w:pPr>
    <w:rPr>
      <w:rFonts w:ascii="Times New Roman" w:hAnsi="Times New Roman" w:eastAsia="Times New Roman" w:cs="Times New Roman"/>
      <w:sz w:val="24"/>
      <w:szCs w:val="24"/>
    </w:rPr>
  </w:style>
  <w:style w:type="paragraph" w:styleId="987" w:customStyle="1">
    <w:name w:val="СПЕК - Заголовок"/>
    <w:basedOn w:val="950"/>
    <w:qFormat/>
    <w:pPr>
      <w:jc w:val="center"/>
      <w:spacing w:after="0"/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988" w:customStyle="1">
    <w:name w:val="СПЕК - Текст таблицы"/>
    <w:basedOn w:val="950"/>
    <w:qFormat/>
    <w:pPr>
      <w:jc w:val="center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989" w:customStyle="1">
    <w:name w:val="СУБ. ЛИЦ. - Заголовок"/>
    <w:basedOn w:val="950"/>
    <w:qFormat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990" w:customStyle="1">
    <w:name w:val="СУБ. ЛИЦ. - Текст"/>
    <w:basedOn w:val="950"/>
    <w:qFormat/>
    <w:pPr>
      <w:ind w:firstLine="709"/>
      <w:jc w:val="both"/>
      <w:spacing w:after="0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991" w:customStyle="1">
    <w:name w:val="СУБ. ЛИЦ. - 1."/>
    <w:basedOn w:val="996"/>
    <w:next w:val="992"/>
    <w:qFormat/>
    <w:pPr>
      <w:numPr>
        <w:ilvl w:val="0"/>
        <w:numId w:val="0"/>
      </w:numPr>
      <w:ind w:left="360" w:hanging="360"/>
      <w:jc w:val="center"/>
      <w:spacing w:before="240"/>
      <w:tabs>
        <w:tab w:val="num" w:pos="643" w:leader="none"/>
      </w:tabs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992" w:customStyle="1">
    <w:name w:val="СУБ. ЛИЦ. - 1.1."/>
    <w:basedOn w:val="991"/>
    <w:qFormat/>
    <w:pPr>
      <w:numPr>
        <w:ilvl w:val="1"/>
      </w:numPr>
      <w:ind w:left="792" w:firstLine="709"/>
      <w:jc w:val="both"/>
      <w:spacing w:before="0" w:after="0"/>
      <w:tabs>
        <w:tab w:val="num" w:pos="643" w:leader="none"/>
      </w:tabs>
    </w:pPr>
    <w:rPr>
      <w:b w:val="0"/>
      <w:bCs w:val="0"/>
    </w:rPr>
  </w:style>
  <w:style w:type="paragraph" w:styleId="993" w:customStyle="1">
    <w:name w:val="СУБ. ЛИЦ. - 1.1.1."/>
    <w:basedOn w:val="992"/>
    <w:qFormat/>
    <w:pPr>
      <w:numPr>
        <w:ilvl w:val="2"/>
      </w:numPr>
      <w:ind w:left="1224" w:firstLine="914"/>
      <w:tabs>
        <w:tab w:val="num" w:pos="643" w:leader="none"/>
      </w:tabs>
    </w:pPr>
  </w:style>
  <w:style w:type="paragraph" w:styleId="994" w:customStyle="1">
    <w:name w:val="Акт - Заголовок"/>
    <w:basedOn w:val="950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995" w:customStyle="1">
    <w:name w:val="Акт - 1."/>
    <w:qFormat/>
    <w:pPr>
      <w:numPr>
        <w:ilvl w:val="0"/>
        <w:numId w:val="22"/>
      </w:numPr>
      <w:ind w:left="0" w:firstLine="709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96">
    <w:name w:val="List Number"/>
    <w:basedOn w:val="950"/>
    <w:uiPriority w:val="99"/>
    <w:semiHidden/>
    <w:unhideWhenUsed/>
    <w:pPr>
      <w:numPr>
        <w:ilvl w:val="0"/>
        <w:numId w:val="18"/>
      </w:numPr>
      <w:contextualSpacing/>
    </w:pPr>
  </w:style>
  <w:style w:type="character" w:styleId="997" w:customStyle="1">
    <w:name w:val="Заголовок 1 Знак"/>
    <w:basedOn w:val="952"/>
    <w:link w:val="951"/>
    <w:rPr>
      <w:rFonts w:ascii="Times New Roman" w:hAnsi="Times New Roman" w:eastAsia="Times New Roman" w:cs="Times New Roman"/>
      <w:sz w:val="32"/>
      <w:szCs w:val="20"/>
    </w:rPr>
  </w:style>
  <w:style w:type="paragraph" w:styleId="998" w:customStyle="1">
    <w:name w:val="Название"/>
    <w:basedOn w:val="834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hyperlink" Target="consultantplus://offline/ref=7B440E791A11B05838761319EF06C2AA1622BE0E44488056AE6FABFD950FC1CC21D3847E0662978AB01CDD4E06590419A34B8EF53C4CX221F" TargetMode="External"/><Relationship Id="rId13" Type="http://schemas.openxmlformats.org/officeDocument/2006/relationships/hyperlink" Target="https://login.consultant.ru/link/?req=doc&amp;amp;amp;amp;base=LAW&amp;amp;amp;amp;n=342439&amp;amp;amp;amp;date=31.07.2020&amp;amp;amp;amp;dst=56&amp;amp;amp;amp;fld=134" TargetMode="External"/><Relationship Id="rId14" Type="http://schemas.openxmlformats.org/officeDocument/2006/relationships/hyperlink" Target="https://login.consultant.ru/link/?req=doc&amp;amp;amp;amp;base=LAW&amp;amp;amp;amp;n=342439&amp;amp;amp;amp;date=31.07.2020&amp;amp;amp;amp;dst=101309&amp;amp;amp;amp;fld=134" TargetMode="External"/><Relationship Id="rId15" Type="http://schemas.openxmlformats.org/officeDocument/2006/relationships/hyperlink" Target="https://login.consultant.ru/link/?req=doc&amp;amp;amp;amp;base=LAW&amp;amp;amp;amp;n=342439&amp;amp;amp;amp;date=31.07.2020&amp;amp;amp;amp;dst=101474&amp;amp;amp;amp;fld=134" TargetMode="External"/><Relationship Id="rId16" Type="http://schemas.openxmlformats.org/officeDocument/2006/relationships/hyperlink" Target="https://login.consultant.ru/link/?req=doc&amp;amp;amp;amp;base=LAW&amp;amp;amp;amp;n=342439&amp;amp;amp;amp;date=31.07.2020&amp;amp;amp;amp;dst=1716&amp;amp;amp;amp;fld=134" TargetMode="External"/><Relationship Id="rId17" Type="http://schemas.openxmlformats.org/officeDocument/2006/relationships/hyperlink" Target="https://login.consultant.ru/link/?req=doc&amp;amp;amp;amp;base=LAW&amp;amp;amp;amp;n=342439&amp;amp;amp;amp;date=31.07.2020&amp;amp;amp;amp;dst=101309&amp;amp;amp;amp;f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login.consultant.ru/link/?req=doc&amp;amp;amp;amp;base=LAW&amp;amp;amp;amp;n=357876&amp;amp;amp;amp;date=31.07.2020" TargetMode="External"/><Relationship Id="rId2" Type="http://schemas.openxmlformats.org/officeDocument/2006/relationships/hyperlink" Target="https://login.consultant.ru/link/?req=doc&amp;amp;amp;amp;base=LAW&amp;amp;amp;amp;n=357876&amp;amp;amp;amp;date=31.07.2020" TargetMode="External"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2235B-BAE1-45C5-93F5-F75A8F4C5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Кальницкая Юлия Сергеевна</dc:creator>
  <cp:keywords/>
  <dc:description/>
  <cp:lastModifiedBy>repetyukls</cp:lastModifiedBy>
  <cp:revision>109</cp:revision>
  <dcterms:created xsi:type="dcterms:W3CDTF">2022-05-04T10:28:00Z</dcterms:created>
  <dcterms:modified xsi:type="dcterms:W3CDTF">2026-09-29T14:41:41Z</dcterms:modified>
</cp:coreProperties>
</file>