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360"/>
        </w:tabs>
        <w:rPr>
          <w:b/>
        </w:rPr>
      </w:pPr>
    </w:p>
    <w:p>
      <w:pPr>
        <w:widowControl w:val="0"/>
        <w:ind w:left="6096"/>
        <w:jc w:val="right"/>
        <w:outlineLvl w:val="0"/>
        <w:rPr>
          <w:b/>
        </w:rPr>
      </w:pPr>
      <w:r>
        <w:rPr>
          <w:b/>
        </w:rPr>
        <w:t xml:space="preserve">Приложение № 4 к извещению </w:t>
      </w:r>
    </w:p>
    <w:p>
      <w:pPr>
        <w:tabs>
          <w:tab w:val="left" w:pos="360"/>
        </w:tabs>
        <w:jc w:val="center"/>
        <w:rPr>
          <w:b/>
        </w:rPr>
      </w:pPr>
    </w:p>
    <w:p>
      <w:pPr>
        <w:tabs>
          <w:tab w:val="left" w:pos="360"/>
        </w:tabs>
        <w:jc w:val="center"/>
        <w:rPr>
          <w:b/>
        </w:rPr>
      </w:pPr>
    </w:p>
    <w:p>
      <w:pPr>
        <w:tabs>
          <w:tab w:val="left" w:pos="360"/>
        </w:tabs>
        <w:jc w:val="center"/>
        <w:rPr>
          <w:b/>
        </w:rPr>
      </w:pPr>
    </w:p>
    <w:p>
      <w:pPr>
        <w:tabs>
          <w:tab w:val="left" w:pos="360"/>
        </w:tabs>
        <w:jc w:val="center"/>
        <w:rPr>
          <w:b/>
        </w:rPr>
      </w:pPr>
    </w:p>
    <w:p>
      <w:pPr>
        <w:tabs>
          <w:tab w:val="left" w:pos="360"/>
        </w:tabs>
        <w:jc w:val="center"/>
        <w:rPr>
          <w:b/>
        </w:rPr>
      </w:pPr>
      <w:r>
        <w:rPr>
          <w:b/>
        </w:rPr>
        <w:t>ПОРЯДОК</w:t>
      </w:r>
    </w:p>
    <w:p>
      <w:pPr>
        <w:tabs>
          <w:tab w:val="left" w:pos="360"/>
        </w:tabs>
        <w:jc w:val="center"/>
        <w:rPr>
          <w:b/>
        </w:rPr>
      </w:pPr>
      <w:r>
        <w:rPr>
          <w:b/>
        </w:rPr>
        <w:t>рассмотрения и оценки заявок на участие в конкурсе</w:t>
      </w:r>
    </w:p>
    <w:p>
      <w:pPr>
        <w:tabs>
          <w:tab w:val="left" w:pos="360"/>
        </w:tabs>
        <w:jc w:val="center"/>
      </w:pPr>
    </w:p>
    <w:p>
      <w:pPr>
        <w:tabs>
          <w:tab w:val="left" w:pos="360"/>
        </w:tabs>
        <w:jc w:val="center"/>
      </w:pPr>
    </w:p>
    <w:p>
      <w:pPr>
        <w:tabs>
          <w:tab w:val="left" w:pos="360"/>
        </w:tabs>
        <w:jc w:val="center"/>
        <w:rPr>
          <w:b/>
        </w:rPr>
      </w:pPr>
      <w:r>
        <w:rPr>
          <w:b/>
        </w:rPr>
        <w:t xml:space="preserve">I. Информация о заказчике и закупке товаров, работ, услуг </w:t>
      </w:r>
    </w:p>
    <w:p>
      <w:pPr>
        <w:tabs>
          <w:tab w:val="left" w:pos="360"/>
        </w:tabs>
        <w:jc w:val="center"/>
        <w:rPr>
          <w:b/>
        </w:rPr>
      </w:pPr>
      <w:r>
        <w:rPr>
          <w:b/>
        </w:rPr>
        <w:t>для обеспечения государственных и муниципальных нужд (далее закупка)</w:t>
      </w:r>
    </w:p>
    <w:p>
      <w:pPr>
        <w:tabs>
          <w:tab w:val="left" w:pos="360"/>
        </w:tabs>
        <w:jc w:val="center"/>
      </w:pPr>
    </w:p>
    <w:p>
      <w:pPr>
        <w:tabs>
          <w:tab w:val="left" w:pos="360"/>
        </w:tabs>
        <w:jc w:val="center"/>
        <w:rPr>
          <w:b/>
        </w:rPr>
      </w:pPr>
    </w:p>
    <w:p>
      <w:pPr>
        <w:tabs>
          <w:tab w:val="left" w:pos="360"/>
        </w:tabs>
        <w:jc w:val="center"/>
        <w:rPr>
          <w:b/>
        </w:rPr>
      </w:pPr>
    </w:p>
    <w:tbl>
      <w:tblPr>
        <w:tblW w:w="0" w:type="auto"/>
        <w:tblLayout w:type="fixed"/>
        <w:tblLook w:val="04A0" w:firstRow="1" w:lastRow="0" w:firstColumn="1" w:lastColumn="0" w:noHBand="0" w:noVBand="1"/>
      </w:tblPr>
      <w:tblGrid>
        <w:gridCol w:w="6090"/>
        <w:gridCol w:w="4252"/>
        <w:gridCol w:w="1985"/>
        <w:gridCol w:w="3109"/>
      </w:tblGrid>
      <w:tr>
        <w:tc>
          <w:tcPr>
            <w:tcW w:w="6090" w:type="dxa"/>
            <w:vMerge w:val="restart"/>
            <w:vAlign w:val="bottom"/>
          </w:tcPr>
          <w:p>
            <w:pPr>
              <w:tabs>
                <w:tab w:val="left" w:pos="360"/>
              </w:tabs>
            </w:pPr>
            <w:r>
              <w:t>Полное наименование</w:t>
            </w:r>
          </w:p>
        </w:tc>
        <w:tc>
          <w:tcPr>
            <w:tcW w:w="4252" w:type="dxa"/>
            <w:vMerge w:val="restart"/>
          </w:tcPr>
          <w:p>
            <w:pPr>
              <w:tabs>
                <w:tab w:val="left" w:pos="360"/>
              </w:tabs>
              <w:jc w:val="center"/>
            </w:pPr>
            <w:r>
              <w:t>Аппарат Государственной Думы Федерального Собрания</w:t>
            </w:r>
          </w:p>
          <w:p>
            <w:pPr>
              <w:tabs>
                <w:tab w:val="left" w:pos="360"/>
              </w:tabs>
              <w:jc w:val="center"/>
            </w:pPr>
            <w:r>
              <w:t>Российской Федерации</w:t>
            </w:r>
          </w:p>
        </w:tc>
        <w:tc>
          <w:tcPr>
            <w:tcW w:w="1985" w:type="dxa"/>
          </w:tcPr>
          <w:p>
            <w:pPr>
              <w:tabs>
                <w:tab w:val="left" w:pos="360"/>
              </w:tabs>
              <w:jc w:val="center"/>
            </w:pPr>
          </w:p>
        </w:tc>
        <w:tc>
          <w:tcPr>
            <w:tcW w:w="3109" w:type="dxa"/>
          </w:tcPr>
          <w:p>
            <w:pPr>
              <w:tabs>
                <w:tab w:val="left" w:pos="360"/>
              </w:tabs>
              <w:jc w:val="center"/>
            </w:pPr>
            <w:r>
              <w:t xml:space="preserve">Коды </w:t>
            </w:r>
          </w:p>
        </w:tc>
      </w:tr>
      <w:tr>
        <w:tc>
          <w:tcPr>
            <w:tcW w:w="6090" w:type="dxa"/>
            <w:vMerge/>
            <w:vAlign w:val="bottom"/>
          </w:tcPr>
          <w:p/>
        </w:tc>
        <w:tc>
          <w:tcPr>
            <w:tcW w:w="4252" w:type="dxa"/>
            <w:vMerge/>
          </w:tcPr>
          <w:p/>
        </w:tc>
        <w:tc>
          <w:tcPr>
            <w:tcW w:w="1985" w:type="dxa"/>
          </w:tcPr>
          <w:p>
            <w:pPr>
              <w:tabs>
                <w:tab w:val="left" w:pos="360"/>
              </w:tabs>
              <w:jc w:val="right"/>
            </w:pPr>
            <w:r>
              <w:t>ИНН</w:t>
            </w:r>
          </w:p>
        </w:tc>
        <w:tc>
          <w:tcPr>
            <w:tcW w:w="3109" w:type="dxa"/>
            <w:vAlign w:val="center"/>
          </w:tcPr>
          <w:p>
            <w:pPr>
              <w:tabs>
                <w:tab w:val="left" w:pos="360"/>
              </w:tabs>
              <w:jc w:val="center"/>
            </w:pPr>
            <w:r>
              <w:t>7707210781</w:t>
            </w:r>
          </w:p>
        </w:tc>
      </w:tr>
      <w:tr>
        <w:tc>
          <w:tcPr>
            <w:tcW w:w="6090" w:type="dxa"/>
            <w:vMerge/>
            <w:vAlign w:val="bottom"/>
          </w:tcPr>
          <w:p/>
        </w:tc>
        <w:tc>
          <w:tcPr>
            <w:tcW w:w="4252" w:type="dxa"/>
            <w:vMerge/>
          </w:tcPr>
          <w:p/>
        </w:tc>
        <w:tc>
          <w:tcPr>
            <w:tcW w:w="1985" w:type="dxa"/>
          </w:tcPr>
          <w:p>
            <w:pPr>
              <w:tabs>
                <w:tab w:val="left" w:pos="360"/>
              </w:tabs>
              <w:jc w:val="right"/>
            </w:pPr>
            <w:r>
              <w:t>КПП</w:t>
            </w:r>
          </w:p>
        </w:tc>
        <w:tc>
          <w:tcPr>
            <w:tcW w:w="3109" w:type="dxa"/>
            <w:vAlign w:val="center"/>
          </w:tcPr>
          <w:p>
            <w:pPr>
              <w:tabs>
                <w:tab w:val="left" w:pos="360"/>
              </w:tabs>
              <w:jc w:val="center"/>
            </w:pPr>
            <w:r>
              <w:t>770701001</w:t>
            </w:r>
          </w:p>
        </w:tc>
      </w:tr>
      <w:tr>
        <w:tc>
          <w:tcPr>
            <w:tcW w:w="6090" w:type="dxa"/>
          </w:tcPr>
          <w:p>
            <w:pPr>
              <w:tabs>
                <w:tab w:val="left" w:pos="360"/>
              </w:tabs>
            </w:pPr>
            <w:r>
              <w:t>Место нахождения, телефон, адрес электронной почты</w:t>
            </w:r>
          </w:p>
        </w:tc>
        <w:tc>
          <w:tcPr>
            <w:tcW w:w="4252" w:type="dxa"/>
          </w:tcPr>
          <w:p>
            <w:pPr>
              <w:widowControl w:val="0"/>
              <w:jc w:val="center"/>
            </w:pPr>
            <w:r>
              <w:t xml:space="preserve">ул. Охотный ряд д. 1, г. Москва, 103265, Российская Федерация,           </w:t>
            </w:r>
          </w:p>
          <w:p>
            <w:pPr>
              <w:widowControl w:val="0"/>
              <w:jc w:val="center"/>
            </w:pPr>
            <w:r>
              <w:t xml:space="preserve">8 (495) 692-62-28, </w:t>
            </w:r>
            <w:r>
              <w:rPr>
                <w:lang w:val="en-US"/>
              </w:rPr>
              <w:t>zemlyakova@duma.gov.ru</w:t>
            </w:r>
          </w:p>
        </w:tc>
        <w:tc>
          <w:tcPr>
            <w:tcW w:w="1985" w:type="dxa"/>
          </w:tcPr>
          <w:p>
            <w:pPr>
              <w:tabs>
                <w:tab w:val="left" w:pos="360"/>
              </w:tabs>
              <w:jc w:val="right"/>
            </w:pPr>
            <w:r>
              <w:t>по ОКТМО</w:t>
            </w:r>
          </w:p>
        </w:tc>
        <w:tc>
          <w:tcPr>
            <w:tcW w:w="3109" w:type="dxa"/>
          </w:tcPr>
          <w:p>
            <w:pPr>
              <w:tabs>
                <w:tab w:val="left" w:pos="360"/>
              </w:tabs>
              <w:jc w:val="center"/>
            </w:pPr>
            <w:r>
              <w:t>45382000</w:t>
            </w:r>
          </w:p>
        </w:tc>
      </w:tr>
      <w:tr>
        <w:tc>
          <w:tcPr>
            <w:tcW w:w="6090" w:type="dxa"/>
            <w:vMerge w:val="restart"/>
          </w:tcPr>
          <w:p>
            <w:pPr>
              <w:tabs>
                <w:tab w:val="left" w:pos="360"/>
              </w:tabs>
            </w:pPr>
            <w:r>
              <w:t>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4252" w:type="dxa"/>
            <w:vMerge w:val="restart"/>
          </w:tcPr>
          <w:p>
            <w:pPr>
              <w:tabs>
                <w:tab w:val="left" w:pos="360"/>
              </w:tabs>
            </w:pPr>
          </w:p>
        </w:tc>
        <w:tc>
          <w:tcPr>
            <w:tcW w:w="1985" w:type="dxa"/>
          </w:tcPr>
          <w:p>
            <w:pPr>
              <w:tabs>
                <w:tab w:val="left" w:pos="360"/>
              </w:tabs>
              <w:jc w:val="right"/>
            </w:pPr>
            <w:r>
              <w:t>ИНН</w:t>
            </w:r>
          </w:p>
        </w:tc>
        <w:tc>
          <w:tcPr>
            <w:tcW w:w="3109" w:type="dxa"/>
          </w:tcPr>
          <w:p>
            <w:pPr>
              <w:tabs>
                <w:tab w:val="left" w:pos="360"/>
              </w:tabs>
              <w:jc w:val="center"/>
            </w:pPr>
          </w:p>
        </w:tc>
      </w:tr>
      <w:tr>
        <w:trPr>
          <w:trHeight w:val="562"/>
        </w:trPr>
        <w:tc>
          <w:tcPr>
            <w:tcW w:w="6090" w:type="dxa"/>
            <w:vMerge/>
          </w:tcPr>
          <w:p/>
        </w:tc>
        <w:tc>
          <w:tcPr>
            <w:tcW w:w="4252" w:type="dxa"/>
            <w:vMerge/>
          </w:tcPr>
          <w:p/>
        </w:tc>
        <w:tc>
          <w:tcPr>
            <w:tcW w:w="1985" w:type="dxa"/>
          </w:tcPr>
          <w:p>
            <w:pPr>
              <w:tabs>
                <w:tab w:val="left" w:pos="360"/>
              </w:tabs>
              <w:jc w:val="right"/>
            </w:pPr>
            <w:r>
              <w:t>КПП</w:t>
            </w:r>
          </w:p>
        </w:tc>
        <w:tc>
          <w:tcPr>
            <w:tcW w:w="3109" w:type="dxa"/>
          </w:tcPr>
          <w:p>
            <w:pPr>
              <w:tabs>
                <w:tab w:val="left" w:pos="360"/>
              </w:tabs>
              <w:jc w:val="center"/>
            </w:pPr>
          </w:p>
        </w:tc>
      </w:tr>
      <w:tr>
        <w:tc>
          <w:tcPr>
            <w:tcW w:w="6090" w:type="dxa"/>
          </w:tcPr>
          <w:p>
            <w:pPr>
              <w:tabs>
                <w:tab w:val="left" w:pos="360"/>
              </w:tabs>
            </w:pPr>
            <w:r>
              <w:t>Место нахождения, телефон, адрес электронной почты</w:t>
            </w:r>
          </w:p>
        </w:tc>
        <w:tc>
          <w:tcPr>
            <w:tcW w:w="4252" w:type="dxa"/>
          </w:tcPr>
          <w:p>
            <w:pPr>
              <w:tabs>
                <w:tab w:val="left" w:pos="360"/>
              </w:tabs>
            </w:pPr>
          </w:p>
          <w:p>
            <w:pPr>
              <w:tabs>
                <w:tab w:val="left" w:pos="360"/>
              </w:tabs>
            </w:pPr>
          </w:p>
        </w:tc>
        <w:tc>
          <w:tcPr>
            <w:tcW w:w="1985" w:type="dxa"/>
          </w:tcPr>
          <w:p>
            <w:pPr>
              <w:tabs>
                <w:tab w:val="left" w:pos="360"/>
              </w:tabs>
              <w:jc w:val="right"/>
            </w:pPr>
            <w:r>
              <w:t>по ОКТМО</w:t>
            </w:r>
          </w:p>
        </w:tc>
        <w:tc>
          <w:tcPr>
            <w:tcW w:w="3109" w:type="dxa"/>
          </w:tcPr>
          <w:p>
            <w:pPr>
              <w:tabs>
                <w:tab w:val="left" w:pos="360"/>
              </w:tabs>
              <w:jc w:val="center"/>
            </w:pPr>
          </w:p>
        </w:tc>
      </w:tr>
      <w:tr>
        <w:tc>
          <w:tcPr>
            <w:tcW w:w="6090" w:type="dxa"/>
          </w:tcPr>
          <w:p>
            <w:pPr>
              <w:tabs>
                <w:tab w:val="left" w:pos="360"/>
              </w:tabs>
            </w:pPr>
            <w:r>
              <w:t>Наименование объекта закупки</w:t>
            </w:r>
          </w:p>
        </w:tc>
        <w:tc>
          <w:tcPr>
            <w:tcW w:w="9346" w:type="dxa"/>
            <w:gridSpan w:val="3"/>
          </w:tcPr>
          <w:p>
            <w:pPr>
              <w:tabs>
                <w:tab w:val="left" w:pos="360"/>
              </w:tabs>
              <w:jc w:val="both"/>
            </w:pPr>
            <w:r>
              <w:t xml:space="preserve">Оказание услуг по технической поддержке </w:t>
            </w:r>
            <w:proofErr w:type="gramStart"/>
            <w:r>
              <w:t>Фонда электронных информационных ресурсов Государственной Думы Федерального Собрания Российской Федерации</w:t>
            </w:r>
            <w:proofErr w:type="gramEnd"/>
          </w:p>
        </w:tc>
      </w:tr>
    </w:tbl>
    <w:p>
      <w:pPr>
        <w:tabs>
          <w:tab w:val="left" w:pos="360"/>
        </w:tabs>
        <w:rPr>
          <w:b/>
        </w:rPr>
      </w:pPr>
    </w:p>
    <w:p>
      <w:pPr>
        <w:tabs>
          <w:tab w:val="left" w:pos="360"/>
        </w:tabs>
        <w:rPr>
          <w:b/>
        </w:rPr>
      </w:pPr>
    </w:p>
    <w:p>
      <w:pPr>
        <w:tabs>
          <w:tab w:val="left" w:pos="360"/>
        </w:tabs>
        <w:rPr>
          <w:b/>
        </w:rPr>
      </w:pPr>
    </w:p>
    <w:p>
      <w:pPr>
        <w:tabs>
          <w:tab w:val="left" w:pos="360"/>
        </w:tabs>
        <w:rPr>
          <w:b/>
        </w:rPr>
      </w:pPr>
    </w:p>
    <w:p>
      <w:pPr>
        <w:tabs>
          <w:tab w:val="left" w:pos="360"/>
        </w:tabs>
        <w:spacing w:after="240"/>
        <w:jc w:val="center"/>
        <w:rPr>
          <w:b/>
        </w:rPr>
      </w:pPr>
      <w:r>
        <w:rPr>
          <w:b/>
        </w:rPr>
        <w:lastRenderedPageBreak/>
        <w:t>II. Критерии и показатели оценки заявок на участие в закупке</w:t>
      </w:r>
    </w:p>
    <w:tbl>
      <w:tblPr>
        <w:tblW w:w="1532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130"/>
        <w:gridCol w:w="1413"/>
        <w:gridCol w:w="1462"/>
        <w:gridCol w:w="1373"/>
        <w:gridCol w:w="1887"/>
        <w:gridCol w:w="1984"/>
        <w:gridCol w:w="4368"/>
      </w:tblGrid>
      <w:tr>
        <w:trPr>
          <w:trHeight w:val="1711"/>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72"/>
              <w:jc w:val="center"/>
              <w:rPr>
                <w:b/>
                <w:sz w:val="20"/>
              </w:rPr>
            </w:pPr>
            <w:r>
              <w:rPr>
                <w:b/>
                <w:sz w:val="20"/>
              </w:rPr>
              <w:t>№</w:t>
            </w:r>
            <w:r>
              <w:rPr>
                <w:b/>
                <w:sz w:val="20"/>
              </w:rPr>
              <w:br/>
            </w:r>
            <w:proofErr w:type="gramStart"/>
            <w:r>
              <w:rPr>
                <w:b/>
                <w:sz w:val="20"/>
              </w:rPr>
              <w:t>п</w:t>
            </w:r>
            <w:proofErr w:type="gramEnd"/>
            <w:r>
              <w:rPr>
                <w:b/>
                <w:sz w:val="20"/>
              </w:rPr>
              <w:t>/п</w:t>
            </w:r>
          </w:p>
        </w:tc>
        <w:tc>
          <w:tcPr>
            <w:tcW w:w="213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1" w:right="69"/>
              <w:jc w:val="center"/>
              <w:rPr>
                <w:b/>
                <w:sz w:val="20"/>
              </w:rPr>
            </w:pPr>
            <w:r>
              <w:rPr>
                <w:b/>
                <w:sz w:val="20"/>
              </w:rPr>
              <w:t>Критерий оценки</w:t>
            </w:r>
          </w:p>
        </w:tc>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9" w:right="69"/>
              <w:jc w:val="center"/>
              <w:rPr>
                <w:b/>
                <w:sz w:val="20"/>
              </w:rPr>
            </w:pPr>
            <w:r>
              <w:rPr>
                <w:b/>
                <w:sz w:val="20"/>
              </w:rPr>
              <w:t>Значимость критерия</w:t>
            </w:r>
          </w:p>
          <w:p>
            <w:pPr>
              <w:ind w:left="5" w:right="69"/>
              <w:jc w:val="center"/>
              <w:rPr>
                <w:b/>
                <w:sz w:val="20"/>
              </w:rPr>
            </w:pPr>
            <w:r>
              <w:rPr>
                <w:b/>
                <w:sz w:val="20"/>
              </w:rPr>
              <w:t>оценки, процентов</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right="69"/>
              <w:jc w:val="center"/>
              <w:rPr>
                <w:b/>
                <w:sz w:val="20"/>
              </w:rPr>
            </w:pPr>
            <w:r>
              <w:rPr>
                <w:b/>
                <w:sz w:val="20"/>
              </w:rPr>
              <w:t>Показатель оценки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right="69"/>
              <w:jc w:val="center"/>
              <w:rPr>
                <w:b/>
                <w:sz w:val="20"/>
              </w:rPr>
            </w:pPr>
            <w:r>
              <w:rPr>
                <w:b/>
                <w:sz w:val="20"/>
              </w:rPr>
              <w:t>Значимость показателя оценки, процентов</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right="69"/>
              <w:jc w:val="center"/>
              <w:rPr>
                <w:b/>
                <w:sz w:val="20"/>
              </w:rPr>
            </w:pPr>
            <w:r>
              <w:rPr>
                <w:b/>
                <w:sz w:val="20"/>
              </w:rPr>
              <w:t>Показатель оценки, детализирующий показатель оценки</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right="69"/>
              <w:jc w:val="center"/>
              <w:rPr>
                <w:b/>
                <w:sz w:val="20"/>
              </w:rPr>
            </w:pPr>
            <w:r>
              <w:rPr>
                <w:b/>
                <w:sz w:val="20"/>
              </w:rPr>
              <w:t>Значимость показателя,</w:t>
            </w:r>
          </w:p>
          <w:p>
            <w:pPr>
              <w:ind w:right="69"/>
              <w:jc w:val="center"/>
              <w:rPr>
                <w:b/>
                <w:sz w:val="20"/>
              </w:rPr>
            </w:pPr>
            <w:proofErr w:type="gramStart"/>
            <w:r>
              <w:rPr>
                <w:b/>
                <w:sz w:val="20"/>
              </w:rPr>
              <w:t>детализирующего</w:t>
            </w:r>
            <w:proofErr w:type="gramEnd"/>
            <w:r>
              <w:rPr>
                <w:b/>
                <w:sz w:val="20"/>
              </w:rPr>
              <w:t xml:space="preserve"> показатель оценки,</w:t>
            </w:r>
          </w:p>
          <w:p>
            <w:pPr>
              <w:spacing w:line="228" w:lineRule="auto"/>
              <w:ind w:right="69"/>
              <w:jc w:val="center"/>
              <w:rPr>
                <w:b/>
                <w:sz w:val="20"/>
              </w:rPr>
            </w:pPr>
            <w:r>
              <w:rPr>
                <w:b/>
                <w:sz w:val="20"/>
              </w:rPr>
              <w:t>процентов</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right="69"/>
              <w:jc w:val="center"/>
              <w:rPr>
                <w:b/>
                <w:sz w:val="20"/>
              </w:rPr>
            </w:pPr>
            <w:r>
              <w:rPr>
                <w:b/>
                <w:sz w:val="20"/>
              </w:rPr>
              <w:t>Формула оценки или шкала оценки</w:t>
            </w:r>
          </w:p>
        </w:tc>
      </w:tr>
      <w:tr>
        <w:trPr>
          <w:trHeight w:val="1260"/>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35" w:right="23"/>
              <w:jc w:val="center"/>
              <w:rPr>
                <w:sz w:val="20"/>
              </w:rPr>
            </w:pPr>
            <w:r>
              <w:rPr>
                <w:sz w:val="20"/>
              </w:rPr>
              <w:t>1.</w:t>
            </w:r>
          </w:p>
        </w:tc>
        <w:tc>
          <w:tcPr>
            <w:tcW w:w="213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1" w:right="69"/>
              <w:jc w:val="center"/>
              <w:rPr>
                <w:sz w:val="20"/>
              </w:rPr>
            </w:pPr>
            <w:r>
              <w:rPr>
                <w:sz w:val="20"/>
              </w:rPr>
              <w:t>Цена контракта, сумма цен  единиц товара, работы, услуги</w:t>
            </w:r>
          </w:p>
        </w:tc>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14" w:right="1"/>
              <w:jc w:val="center"/>
              <w:rPr>
                <w:sz w:val="20"/>
              </w:rPr>
            </w:pPr>
            <w:r>
              <w:rPr>
                <w:sz w:val="20"/>
              </w:rPr>
              <w:t>60</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jc w:val="center"/>
              <w:rPr>
                <w:sz w:val="20"/>
              </w:rPr>
            </w:pPr>
            <w:r>
              <w:rPr>
                <w:sz w:val="20"/>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108" w:right="119" w:firstLine="540"/>
              <w:jc w:val="both"/>
              <w:rPr>
                <w:sz w:val="20"/>
              </w:rPr>
            </w:pPr>
            <w:r>
              <w:rPr>
                <w:sz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20.12.2021 № 2369 и признании утратившими силу некоторых актов и отдельных положений некоторых актов Правительства Российской Федерации».</w:t>
            </w:r>
          </w:p>
          <w:p>
            <w:pPr>
              <w:ind w:left="108" w:right="120"/>
              <w:jc w:val="both"/>
              <w:rPr>
                <w:sz w:val="20"/>
              </w:rPr>
            </w:pPr>
          </w:p>
          <w:p>
            <w:pPr>
              <w:ind w:left="108" w:right="120"/>
              <w:jc w:val="both"/>
              <w:rPr>
                <w:sz w:val="20"/>
              </w:rPr>
            </w:pPr>
            <w:r>
              <w:rPr>
                <w:sz w:val="20"/>
              </w:rPr>
              <w:t>1. Значение количества баллов по критерию оценки «цена контракта, сумма цен единиц товара, работы, услуги», присваиваемое заявке, (</w:t>
            </w:r>
            <w:proofErr w:type="spellStart"/>
            <w:r>
              <w:rPr>
                <w:sz w:val="20"/>
              </w:rPr>
              <w:t>БЦi</w:t>
            </w:r>
            <w:proofErr w:type="spellEnd"/>
            <w:r>
              <w:rPr>
                <w:sz w:val="20"/>
              </w:rPr>
              <w:t>) определяется по одной из следующих формул:</w:t>
            </w:r>
          </w:p>
          <w:p>
            <w:pPr>
              <w:ind w:left="108" w:right="120"/>
              <w:jc w:val="both"/>
              <w:rPr>
                <w:sz w:val="20"/>
              </w:rPr>
            </w:pPr>
            <w:r>
              <w:rPr>
                <w:sz w:val="20"/>
              </w:rPr>
              <w:t xml:space="preserve">а) за исключением случаев, предусмотренных </w:t>
            </w:r>
            <w:hyperlink w:anchor="Par6" w:history="1">
              <w:r>
                <w:rPr>
                  <w:sz w:val="20"/>
                </w:rPr>
                <w:t>подпунктом «б»</w:t>
              </w:r>
            </w:hyperlink>
            <w:r>
              <w:rPr>
                <w:sz w:val="20"/>
              </w:rPr>
              <w:t xml:space="preserve"> настоящего пункта и </w:t>
            </w:r>
            <w:r>
              <w:rPr>
                <w:sz w:val="20"/>
              </w:rPr>
              <w:br/>
              <w:t>пунктом 2 - по формуле:</w:t>
            </w:r>
          </w:p>
          <w:p>
            <w:pPr>
              <w:spacing w:before="240"/>
              <w:jc w:val="center"/>
              <w:rPr>
                <w:b/>
              </w:rPr>
            </w:pPr>
            <w:r>
              <w:rPr>
                <w:b/>
                <w:noProof/>
              </w:rPr>
              <w:drawing>
                <wp:inline distT="0" distB="0" distL="0" distR="0">
                  <wp:extent cx="2016760" cy="57848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rcRect/>
                          <a:stretch/>
                        </pic:blipFill>
                        <pic:spPr>
                          <a:xfrm>
                            <a:off x="0" y="0"/>
                            <a:ext cx="2016760" cy="578485"/>
                          </a:xfrm>
                          <a:prstGeom prst="rect">
                            <a:avLst/>
                          </a:prstGeom>
                        </pic:spPr>
                      </pic:pic>
                    </a:graphicData>
                  </a:graphic>
                </wp:inline>
              </w:drawing>
            </w:r>
          </w:p>
          <w:p>
            <w:pPr>
              <w:ind w:left="108" w:right="120"/>
              <w:jc w:val="both"/>
              <w:rPr>
                <w:sz w:val="20"/>
              </w:rPr>
            </w:pPr>
            <w:r>
              <w:rPr>
                <w:sz w:val="20"/>
              </w:rPr>
              <w:t>где:</w:t>
            </w:r>
          </w:p>
          <w:p>
            <w:pPr>
              <w:ind w:left="108" w:right="120"/>
              <w:jc w:val="both"/>
              <w:rPr>
                <w:sz w:val="20"/>
              </w:rPr>
            </w:pPr>
            <w:proofErr w:type="spellStart"/>
            <w:r>
              <w:rPr>
                <w:sz w:val="20"/>
              </w:rPr>
              <w:lastRenderedPageBreak/>
              <w:t>Цi</w:t>
            </w:r>
            <w:proofErr w:type="spellEnd"/>
            <w:r>
              <w:rPr>
                <w:sz w:val="20"/>
              </w:rPr>
              <w:t xml:space="preserve"> - предложение участника закупки о цене контракта, заявка (часть заявки) которого подлежит в соответствии с Федеральным законом от 05.04.2013 № 44-ФЗ оценке по критерию оценки «цена контракта, сумма цен единиц товара, работы, услуги» (далее – ценовое предложение);</w:t>
            </w:r>
          </w:p>
          <w:p>
            <w:pPr>
              <w:ind w:left="108" w:right="120"/>
              <w:jc w:val="both"/>
              <w:rPr>
                <w:sz w:val="20"/>
              </w:rPr>
            </w:pPr>
            <w:proofErr w:type="spellStart"/>
            <w:r>
              <w:rPr>
                <w:sz w:val="20"/>
              </w:rPr>
              <w:t>Цл</w:t>
            </w:r>
            <w:proofErr w:type="spellEnd"/>
            <w:r>
              <w:rPr>
                <w:sz w:val="20"/>
              </w:rPr>
              <w:t xml:space="preserve"> - наилучшее ценовое предложение </w:t>
            </w:r>
            <w:r>
              <w:rPr>
                <w:sz w:val="20"/>
              </w:rPr>
              <w:br/>
              <w:t xml:space="preserve">из числа предложенных в соответствии </w:t>
            </w:r>
            <w:r>
              <w:rPr>
                <w:sz w:val="20"/>
              </w:rPr>
              <w:br/>
              <w:t xml:space="preserve">с Федеральным законом от 05.04.2013 </w:t>
            </w:r>
            <w:r>
              <w:rPr>
                <w:sz w:val="20"/>
              </w:rPr>
              <w:br/>
              <w:t xml:space="preserve">№ 44-ФЗ участниками закупки, заявки </w:t>
            </w:r>
            <w:r>
              <w:rPr>
                <w:sz w:val="20"/>
              </w:rPr>
              <w:br/>
              <w:t xml:space="preserve">(части заявки) которых подлежат оценке </w:t>
            </w:r>
            <w:r>
              <w:rPr>
                <w:sz w:val="20"/>
              </w:rPr>
              <w:br/>
              <w:t>по критерию оценки «цена контракта, сумма цен единиц товара, работы, услуги»;</w:t>
            </w:r>
          </w:p>
          <w:p>
            <w:pPr>
              <w:ind w:left="108" w:right="120"/>
              <w:jc w:val="both"/>
              <w:rPr>
                <w:sz w:val="20"/>
              </w:rPr>
            </w:pPr>
            <w:r>
              <w:rPr>
                <w:sz w:val="20"/>
              </w:rPr>
              <w:t xml:space="preserve">б) в случае если по результатам применения формулы, предусмотренной </w:t>
            </w:r>
            <w:hyperlink w:anchor="Par1" w:history="1">
              <w:r>
                <w:rPr>
                  <w:sz w:val="20"/>
                </w:rPr>
                <w:t>подпунктом «а»</w:t>
              </w:r>
            </w:hyperlink>
            <w:r>
              <w:rPr>
                <w:sz w:val="20"/>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от 05.04.2013 № 44-ФЗ оценке </w:t>
            </w:r>
            <w:r>
              <w:rPr>
                <w:sz w:val="20"/>
              </w:rPr>
              <w:br/>
              <w:t>по указанному критерию оценки (</w:t>
            </w:r>
            <w:proofErr w:type="spellStart"/>
            <w:r>
              <w:rPr>
                <w:sz w:val="20"/>
              </w:rPr>
              <w:t>БЦi</w:t>
            </w:r>
            <w:proofErr w:type="spellEnd"/>
            <w:r>
              <w:rPr>
                <w:sz w:val="20"/>
              </w:rPr>
              <w:t>), определяется по формуле:</w:t>
            </w:r>
          </w:p>
          <w:p>
            <w:pPr>
              <w:jc w:val="both"/>
              <w:outlineLvl w:val="0"/>
              <w:rPr>
                <w:b/>
              </w:rPr>
            </w:pPr>
          </w:p>
          <w:p>
            <w:pPr>
              <w:jc w:val="center"/>
              <w:rPr>
                <w:b/>
              </w:rPr>
            </w:pPr>
            <w:r>
              <w:rPr>
                <w:b/>
                <w:noProof/>
              </w:rPr>
              <w:drawing>
                <wp:inline distT="0" distB="0" distL="0" distR="0">
                  <wp:extent cx="2473960" cy="51117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rcRect/>
                          <a:stretch/>
                        </pic:blipFill>
                        <pic:spPr>
                          <a:xfrm>
                            <a:off x="0" y="0"/>
                            <a:ext cx="2473960" cy="511175"/>
                          </a:xfrm>
                          <a:prstGeom prst="rect">
                            <a:avLst/>
                          </a:prstGeom>
                        </pic:spPr>
                      </pic:pic>
                    </a:graphicData>
                  </a:graphic>
                </wp:inline>
              </w:drawing>
            </w:r>
          </w:p>
          <w:p>
            <w:pPr>
              <w:jc w:val="both"/>
              <w:rPr>
                <w:b/>
              </w:rPr>
            </w:pPr>
          </w:p>
          <w:p>
            <w:pPr>
              <w:ind w:left="108" w:right="120"/>
              <w:jc w:val="both"/>
              <w:rPr>
                <w:sz w:val="20"/>
              </w:rPr>
            </w:pPr>
            <w:r>
              <w:rPr>
                <w:sz w:val="20"/>
              </w:rPr>
              <w:t xml:space="preserve">где </w:t>
            </w:r>
            <w:proofErr w:type="spellStart"/>
            <w:r>
              <w:rPr>
                <w:sz w:val="20"/>
              </w:rPr>
              <w:t>Цнач</w:t>
            </w:r>
            <w:proofErr w:type="spellEnd"/>
            <w:r>
              <w:rPr>
                <w:sz w:val="20"/>
              </w:rPr>
              <w:t xml:space="preserve"> - начальная (максимальная) цена контракта. </w:t>
            </w:r>
          </w:p>
          <w:p>
            <w:pPr>
              <w:ind w:left="108" w:right="120"/>
              <w:jc w:val="both"/>
              <w:rPr>
                <w:sz w:val="20"/>
              </w:rPr>
            </w:pPr>
          </w:p>
          <w:p>
            <w:pPr>
              <w:ind w:left="108" w:right="120"/>
              <w:jc w:val="both"/>
              <w:rPr>
                <w:sz w:val="20"/>
              </w:rPr>
            </w:pPr>
            <w:r>
              <w:rPr>
                <w:sz w:val="20"/>
              </w:rPr>
              <w:t xml:space="preserve">2. Если при проведении процедуры подачи предложений о цене контракта в соответствии с Федеральным законом от 05.04.2013 № 44-ФЗ подано ценовое предложение, предусматривающее снижение такой цены контракта ниже нуля, значение количества баллов по критерию оценки «цена контракта, сумма цен единиц товара, </w:t>
            </w:r>
            <w:r>
              <w:rPr>
                <w:sz w:val="20"/>
              </w:rPr>
              <w:lastRenderedPageBreak/>
              <w:t>работы, услуги» (</w:t>
            </w:r>
            <w:proofErr w:type="spellStart"/>
            <w:r>
              <w:rPr>
                <w:sz w:val="20"/>
              </w:rPr>
              <w:t>БЦi</w:t>
            </w:r>
            <w:proofErr w:type="spellEnd"/>
            <w:r>
              <w:rPr>
                <w:sz w:val="20"/>
              </w:rPr>
              <w:t xml:space="preserve">) определяется </w:t>
            </w:r>
            <w:r>
              <w:rPr>
                <w:sz w:val="20"/>
              </w:rPr>
              <w:br/>
              <w:t>в следующем порядке:</w:t>
            </w:r>
          </w:p>
          <w:p>
            <w:pPr>
              <w:ind w:left="108" w:right="120"/>
              <w:jc w:val="both"/>
              <w:rPr>
                <w:sz w:val="20"/>
              </w:rPr>
            </w:pPr>
            <w:r>
              <w:rPr>
                <w:sz w:val="20"/>
              </w:rPr>
              <w:t xml:space="preserve">а) для подлежащей в соответствии </w:t>
            </w:r>
            <w:r>
              <w:rPr>
                <w:sz w:val="20"/>
              </w:rPr>
              <w:br/>
              <w:t xml:space="preserve">с Федеральным </w:t>
            </w:r>
            <w:hyperlink r:id="rId10" w:history="1">
              <w:r>
                <w:rPr>
                  <w:sz w:val="20"/>
                </w:rPr>
                <w:t>законом</w:t>
              </w:r>
            </w:hyperlink>
            <w:r>
              <w:rPr>
                <w:sz w:val="20"/>
              </w:rPr>
              <w:t xml:space="preserve"> от 05.04.2013 </w:t>
            </w:r>
            <w:r>
              <w:rPr>
                <w:sz w:val="20"/>
              </w:rPr>
              <w:br/>
              <w:t>№ 44-ФЗ оценке заявки участника закупки, ценовое предложение которого не предусматривает снижение цены контракта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sz w:val="20"/>
              </w:rPr>
              <w:t>БЦ</w:t>
            </w:r>
            <w:r>
              <w:rPr>
                <w:sz w:val="20"/>
                <w:vertAlign w:val="subscript"/>
              </w:rPr>
              <w:t>i</w:t>
            </w:r>
            <w:proofErr w:type="spellEnd"/>
            <w:r>
              <w:rPr>
                <w:sz w:val="20"/>
              </w:rPr>
              <w:t>) определяется по формуле:</w:t>
            </w:r>
          </w:p>
          <w:p>
            <w:pPr>
              <w:spacing w:before="280"/>
              <w:ind w:left="108" w:right="120"/>
              <w:jc w:val="center"/>
              <w:rPr>
                <w:sz w:val="20"/>
              </w:rPr>
            </w:pPr>
            <w:r>
              <w:rPr>
                <w:noProof/>
                <w:sz w:val="20"/>
              </w:rPr>
              <w:drawing>
                <wp:inline distT="0" distB="0" distL="0" distR="0">
                  <wp:extent cx="2315845" cy="53467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srcRect/>
                          <a:stretch/>
                        </pic:blipFill>
                        <pic:spPr>
                          <a:xfrm>
                            <a:off x="0" y="0"/>
                            <a:ext cx="2315845" cy="534670"/>
                          </a:xfrm>
                          <a:prstGeom prst="rect">
                            <a:avLst/>
                          </a:prstGeom>
                        </pic:spPr>
                      </pic:pic>
                    </a:graphicData>
                  </a:graphic>
                </wp:inline>
              </w:drawing>
            </w:r>
          </w:p>
          <w:p>
            <w:pPr>
              <w:ind w:left="108" w:right="120"/>
              <w:jc w:val="center"/>
              <w:rPr>
                <w:sz w:val="20"/>
              </w:rPr>
            </w:pPr>
          </w:p>
          <w:p>
            <w:pPr>
              <w:spacing w:before="280"/>
              <w:ind w:left="108" w:right="120"/>
              <w:jc w:val="both"/>
              <w:rPr>
                <w:sz w:val="20"/>
              </w:rPr>
            </w:pPr>
            <w:r>
              <w:rPr>
                <w:sz w:val="20"/>
              </w:rPr>
              <w:t xml:space="preserve">б) для подлежащей в соответствии с Федеральным </w:t>
            </w:r>
            <w:hyperlink r:id="rId12" w:history="1">
              <w:r>
                <w:rPr>
                  <w:sz w:val="20"/>
                </w:rPr>
                <w:t>законом</w:t>
              </w:r>
            </w:hyperlink>
            <w:r>
              <w:rPr>
                <w:sz w:val="20"/>
              </w:rPr>
              <w:t xml:space="preserve"> от 05.04.2013 № 44-ФЗ оценке заявки участника закупки, ценовое предложение которого предусматривает снижение цены контракта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sz w:val="20"/>
              </w:rPr>
              <w:t>БЦ</w:t>
            </w:r>
            <w:r>
              <w:rPr>
                <w:sz w:val="20"/>
                <w:vertAlign w:val="subscript"/>
              </w:rPr>
              <w:t>i</w:t>
            </w:r>
            <w:proofErr w:type="spellEnd"/>
            <w:r>
              <w:rPr>
                <w:sz w:val="20"/>
              </w:rPr>
              <w:t>) определяется по формуле:</w:t>
            </w:r>
          </w:p>
          <w:p>
            <w:pPr>
              <w:ind w:left="279" w:right="120"/>
              <w:jc w:val="center"/>
              <w:rPr>
                <w:sz w:val="20"/>
              </w:rPr>
            </w:pPr>
            <w:r>
              <w:rPr>
                <w:noProof/>
                <w:sz w:val="12"/>
              </w:rPr>
              <w:drawing>
                <wp:inline distT="0" distB="0" distL="0" distR="0">
                  <wp:extent cx="2095500" cy="4953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srcRect/>
                          <a:stretch/>
                        </pic:blipFill>
                        <pic:spPr>
                          <a:xfrm>
                            <a:off x="0" y="0"/>
                            <a:ext cx="2095500" cy="495300"/>
                          </a:xfrm>
                          <a:prstGeom prst="rect">
                            <a:avLst/>
                          </a:prstGeom>
                        </pic:spPr>
                      </pic:pic>
                    </a:graphicData>
                  </a:graphic>
                </wp:inline>
              </w:drawing>
            </w:r>
          </w:p>
        </w:tc>
      </w:tr>
      <w:tr>
        <w:trPr>
          <w:trHeight w:val="1019"/>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35" w:right="23"/>
              <w:jc w:val="center"/>
              <w:rPr>
                <w:sz w:val="20"/>
              </w:rPr>
            </w:pPr>
            <w:r>
              <w:rPr>
                <w:sz w:val="20"/>
              </w:rPr>
              <w:lastRenderedPageBreak/>
              <w:t>2.</w:t>
            </w:r>
          </w:p>
        </w:tc>
        <w:tc>
          <w:tcPr>
            <w:tcW w:w="213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1" w:right="1"/>
              <w:jc w:val="center"/>
              <w:rPr>
                <w:sz w:val="20"/>
              </w:rPr>
            </w:pPr>
            <w:r>
              <w:rPr>
                <w:sz w:val="20"/>
              </w:rPr>
              <w:t>Расходы на эксплуатацию и  ремонт товаров,</w:t>
            </w:r>
          </w:p>
          <w:p>
            <w:pPr>
              <w:ind w:left="1" w:right="61"/>
              <w:jc w:val="center"/>
              <w:rPr>
                <w:sz w:val="20"/>
              </w:rPr>
            </w:pPr>
            <w:r>
              <w:rPr>
                <w:sz w:val="20"/>
              </w:rPr>
              <w:t>использование результатов</w:t>
            </w:r>
          </w:p>
          <w:p>
            <w:pPr>
              <w:ind w:left="1" w:right="61"/>
              <w:jc w:val="center"/>
              <w:rPr>
                <w:sz w:val="20"/>
              </w:rPr>
            </w:pPr>
            <w:r>
              <w:rPr>
                <w:sz w:val="20"/>
              </w:rPr>
              <w:t xml:space="preserve"> работ (далее - расходы)</w:t>
            </w:r>
          </w:p>
        </w:tc>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36" w:right="25" w:firstLine="1"/>
              <w:jc w:val="center"/>
              <w:rPr>
                <w:sz w:val="20"/>
              </w:rPr>
            </w:pPr>
            <w:r>
              <w:rPr>
                <w:sz w:val="20"/>
              </w:rPr>
              <w:t>Не применяется</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jc w:val="center"/>
              <w:rPr>
                <w:sz w:val="20"/>
              </w:rPr>
            </w:pPr>
            <w:r>
              <w:rPr>
                <w:sz w:val="20"/>
              </w:rPr>
              <w:t>Не применяется</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279" w:right="120"/>
              <w:jc w:val="center"/>
              <w:rPr>
                <w:sz w:val="20"/>
              </w:rPr>
            </w:pPr>
            <w:r>
              <w:rPr>
                <w:sz w:val="20"/>
              </w:rPr>
              <w:t>Не применяется</w:t>
            </w:r>
          </w:p>
        </w:tc>
      </w:tr>
      <w:tr>
        <w:trPr>
          <w:trHeight w:val="1019"/>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35" w:right="23"/>
              <w:jc w:val="center"/>
              <w:rPr>
                <w:sz w:val="20"/>
              </w:rPr>
            </w:pPr>
            <w:r>
              <w:rPr>
                <w:sz w:val="20"/>
              </w:rPr>
              <w:lastRenderedPageBreak/>
              <w:t>3.</w:t>
            </w:r>
          </w:p>
        </w:tc>
        <w:tc>
          <w:tcPr>
            <w:tcW w:w="213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Качественные,</w:t>
            </w:r>
          </w:p>
          <w:p>
            <w:pPr>
              <w:jc w:val="center"/>
              <w:rPr>
                <w:sz w:val="20"/>
              </w:rPr>
            </w:pPr>
            <w:r>
              <w:rPr>
                <w:sz w:val="20"/>
              </w:rPr>
              <w:t>функциональные и  экологические</w:t>
            </w:r>
          </w:p>
          <w:p>
            <w:pPr>
              <w:ind w:left="1" w:right="1"/>
              <w:jc w:val="center"/>
              <w:rPr>
                <w:sz w:val="20"/>
              </w:rPr>
            </w:pPr>
            <w:r>
              <w:rPr>
                <w:sz w:val="20"/>
              </w:rPr>
              <w:t>характеристики объекта  закупки (далее - характеристики объекта закупки)</w:t>
            </w:r>
          </w:p>
        </w:tc>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36" w:right="25" w:firstLine="1"/>
              <w:jc w:val="center"/>
              <w:rPr>
                <w:sz w:val="20"/>
              </w:rPr>
            </w:pPr>
            <w:r>
              <w:rPr>
                <w:sz w:val="20"/>
              </w:rPr>
              <w:t>Не применяется</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jc w:val="center"/>
              <w:rPr>
                <w:sz w:val="20"/>
              </w:rPr>
            </w:pPr>
            <w:r>
              <w:rPr>
                <w:sz w:val="20"/>
              </w:rPr>
              <w:t>Не применяется</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279" w:right="120"/>
              <w:jc w:val="center"/>
              <w:rPr>
                <w:sz w:val="20"/>
              </w:rPr>
            </w:pPr>
            <w:r>
              <w:rPr>
                <w:sz w:val="20"/>
              </w:rPr>
              <w:t>Не применяется</w:t>
            </w:r>
          </w:p>
        </w:tc>
      </w:tr>
      <w:tr>
        <w:trPr>
          <w:trHeight w:val="1420"/>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ind w:left="54"/>
              <w:jc w:val="center"/>
              <w:rPr>
                <w:sz w:val="20"/>
              </w:rPr>
            </w:pPr>
            <w:r>
              <w:rPr>
                <w:sz w:val="20"/>
              </w:rPr>
              <w:t>4.</w:t>
            </w:r>
          </w:p>
        </w:tc>
        <w:tc>
          <w:tcPr>
            <w:tcW w:w="21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ind w:left="1" w:right="111"/>
              <w:jc w:val="center"/>
              <w:rPr>
                <w:sz w:val="20"/>
              </w:rPr>
            </w:pPr>
            <w:r>
              <w:rPr>
                <w:sz w:val="20"/>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pPr>
              <w:ind w:left="1" w:right="111"/>
              <w:jc w:val="center"/>
              <w:rPr>
                <w:sz w:val="20"/>
              </w:rPr>
            </w:pPr>
            <w:r>
              <w:rPr>
                <w:sz w:val="20"/>
              </w:rPr>
              <w:t>(далее – квалификация участников закупки)</w:t>
            </w:r>
          </w:p>
        </w:tc>
        <w:tc>
          <w:tcPr>
            <w:tcW w:w="14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ind w:left="17" w:right="1"/>
              <w:jc w:val="center"/>
              <w:rPr>
                <w:sz w:val="20"/>
              </w:rPr>
            </w:pPr>
            <w:r>
              <w:rPr>
                <w:sz w:val="20"/>
              </w:rPr>
              <w:t>40</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Наличие у участников закупки</w:t>
            </w:r>
          </w:p>
          <w:p>
            <w:pPr>
              <w:jc w:val="center"/>
              <w:rPr>
                <w:sz w:val="20"/>
              </w:rPr>
            </w:pPr>
            <w:r>
              <w:rPr>
                <w:sz w:val="20"/>
              </w:rPr>
              <w:t>финансовых ресурсов</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jc w:val="center"/>
              <w:rPr>
                <w:sz w:val="20"/>
              </w:rPr>
            </w:pPr>
            <w:r>
              <w:rPr>
                <w:sz w:val="20"/>
              </w:rPr>
              <w:t>Не применяется</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7"/>
              <w:jc w:val="center"/>
              <w:rPr>
                <w:sz w:val="20"/>
              </w:rPr>
            </w:pPr>
            <w:r>
              <w:rPr>
                <w:sz w:val="20"/>
              </w:rPr>
              <w:t>Не применяется</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279" w:right="120"/>
              <w:jc w:val="center"/>
              <w:rPr>
                <w:sz w:val="20"/>
              </w:rPr>
            </w:pPr>
            <w:r>
              <w:rPr>
                <w:sz w:val="20"/>
              </w:rPr>
              <w:t>Не применяется</w:t>
            </w:r>
          </w:p>
        </w:tc>
      </w:tr>
      <w:tr>
        <w:trPr>
          <w:trHeight w:val="2970"/>
        </w:trPr>
        <w:tc>
          <w:tcPr>
            <w:tcW w:w="7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1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 xml:space="preserve">Наличие у участников закупки оборудования и других материальных ресурсов на праве собственности или ином законном основании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jc w:val="center"/>
              <w:rPr>
                <w:sz w:val="20"/>
              </w:rPr>
            </w:pPr>
            <w:r>
              <w:rPr>
                <w:sz w:val="20"/>
              </w:rPr>
              <w:t>Не применяется</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7"/>
              <w:jc w:val="center"/>
              <w:rPr>
                <w:sz w:val="20"/>
              </w:rPr>
            </w:pPr>
            <w:r>
              <w:rPr>
                <w:sz w:val="20"/>
              </w:rPr>
              <w:t>Не применяется</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279" w:right="120"/>
              <w:jc w:val="center"/>
              <w:rPr>
                <w:sz w:val="20"/>
              </w:rPr>
            </w:pPr>
            <w:r>
              <w:rPr>
                <w:sz w:val="20"/>
              </w:rPr>
              <w:t>Не применяется</w:t>
            </w:r>
          </w:p>
        </w:tc>
      </w:tr>
      <w:tr>
        <w:trPr>
          <w:trHeight w:val="1259"/>
        </w:trPr>
        <w:tc>
          <w:tcPr>
            <w:tcW w:w="7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1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ind w:left="-108" w:right="120"/>
              <w:jc w:val="center"/>
              <w:rPr>
                <w:sz w:val="20"/>
              </w:rPr>
            </w:pPr>
            <w:r>
              <w:rPr>
                <w:sz w:val="20"/>
              </w:rPr>
              <w:t>Наличие у участников закупки опыта работы, связанного с предметом контракта</w:t>
            </w:r>
            <w:r>
              <w:rPr>
                <w:strike/>
                <w:sz w:val="20"/>
              </w:rPr>
              <w:t xml:space="preserve"> </w:t>
            </w:r>
          </w:p>
        </w:tc>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lang w:val="en-US"/>
              </w:rPr>
              <w:t>6</w:t>
            </w:r>
            <w:r>
              <w:rPr>
                <w:sz w:val="20"/>
              </w:rPr>
              <w:t>0</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spacing w:line="252" w:lineRule="auto"/>
              <w:jc w:val="center"/>
              <w:rPr>
                <w:sz w:val="20"/>
              </w:rPr>
            </w:pPr>
            <w:r>
              <w:rPr>
                <w:sz w:val="20"/>
              </w:rPr>
              <w:t xml:space="preserve">Характеристика квалификации участников закупки № 1 (общая цена исполненных участником закупки договоров) </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279" w:right="120"/>
              <w:jc w:val="center"/>
              <w:rPr>
                <w:lang w:val="en-US"/>
              </w:rPr>
            </w:pPr>
            <w:r>
              <w:rPr>
                <w:sz w:val="20"/>
              </w:rPr>
              <w:t>Не применяется</w:t>
            </w:r>
          </w:p>
        </w:tc>
      </w:tr>
      <w:tr>
        <w:trPr>
          <w:trHeight w:val="268"/>
        </w:trPr>
        <w:tc>
          <w:tcPr>
            <w:tcW w:w="7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1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jc w:val="center"/>
              <w:rPr>
                <w:sz w:val="20"/>
              </w:rPr>
            </w:pPr>
            <w:r>
              <w:rPr>
                <w:sz w:val="20"/>
              </w:rPr>
              <w:t xml:space="preserve">Характеристика квалификации участников закупки № 2 (общее количество исполненных участником </w:t>
            </w:r>
            <w:r>
              <w:rPr>
                <w:sz w:val="20"/>
              </w:rPr>
              <w:lastRenderedPageBreak/>
              <w:t>закупки</w:t>
            </w:r>
          </w:p>
          <w:p>
            <w:pPr>
              <w:tabs>
                <w:tab w:val="left" w:pos="1843"/>
                <w:tab w:val="left" w:pos="2127"/>
              </w:tabs>
              <w:jc w:val="center"/>
              <w:rPr>
                <w:sz w:val="20"/>
              </w:rPr>
            </w:pPr>
            <w:r>
              <w:rPr>
                <w:sz w:val="20"/>
              </w:rPr>
              <w:t xml:space="preserve">договоров) </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lastRenderedPageBreak/>
              <w:t>100</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after="60"/>
              <w:ind w:left="110" w:right="114"/>
              <w:jc w:val="both"/>
              <w:rPr>
                <w:sz w:val="20"/>
              </w:rPr>
            </w:pPr>
            <w:r>
              <w:rPr>
                <w:sz w:val="20"/>
              </w:rPr>
              <w:t>Значение показателя оценки  находится в функциональной зависимости от значения количества присваиваемых баллов. Лучшим является наибольшее значение характеристики.</w:t>
            </w:r>
          </w:p>
          <w:p>
            <w:pPr>
              <w:spacing w:after="60"/>
              <w:ind w:left="110" w:right="114"/>
              <w:jc w:val="both"/>
              <w:rPr>
                <w:sz w:val="20"/>
              </w:rPr>
            </w:pPr>
            <w:r>
              <w:rPr>
                <w:sz w:val="20"/>
              </w:rPr>
              <w:t xml:space="preserve">Значение количества баллов по данному показателю, детализирующему показатель </w:t>
            </w:r>
            <w:r>
              <w:rPr>
                <w:sz w:val="20"/>
              </w:rPr>
              <w:lastRenderedPageBreak/>
              <w:t>оценки, рассчитывается по формуле:</w:t>
            </w:r>
          </w:p>
          <w:p>
            <w:pPr>
              <w:spacing w:after="60"/>
              <w:ind w:left="110" w:right="114"/>
              <w:jc w:val="both"/>
              <w:rPr>
                <w:sz w:val="20"/>
              </w:rPr>
            </w:pPr>
            <w:r>
              <w:rPr>
                <w:noProof/>
                <w:sz w:val="28"/>
              </w:rPr>
              <w:drawing>
                <wp:anchor distT="0" distB="0" distL="114300" distR="114300" simplePos="0" relativeHeight="251662336" behindDoc="1" locked="0" layoutInCell="1" allowOverlap="1">
                  <wp:simplePos x="0" y="0"/>
                  <wp:positionH relativeFrom="margin">
                    <wp:posOffset>43180</wp:posOffset>
                  </wp:positionH>
                  <wp:positionV relativeFrom="margin">
                    <wp:posOffset>215265</wp:posOffset>
                  </wp:positionV>
                  <wp:extent cx="2286000" cy="419100"/>
                  <wp:effectExtent l="0" t="0" r="0" b="0"/>
                  <wp:wrapTight wrapText="bothSides" distL="114300" distR="114300">
                    <wp:wrapPolygon edited="0">
                      <wp:start x="15660" y="0"/>
                      <wp:lineTo x="0" y="4909"/>
                      <wp:lineTo x="0" y="13745"/>
                      <wp:lineTo x="14220" y="18655"/>
                      <wp:lineTo x="14400" y="20618"/>
                      <wp:lineTo x="21240" y="20618"/>
                      <wp:lineTo x="21240" y="8836"/>
                      <wp:lineTo x="18720" y="0"/>
                      <wp:lineTo x="15660" y="0"/>
                    </wp:wrapPolygon>
                  </wp:wrapTight>
                  <wp:docPr id="11"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rcRect r="3584"/>
                          <a:stretch/>
                        </pic:blipFill>
                        <pic:spPr>
                          <a:xfrm>
                            <a:off x="0" y="0"/>
                            <a:ext cx="2286000" cy="419100"/>
                          </a:xfrm>
                          <a:prstGeom prst="rect">
                            <a:avLst/>
                          </a:prstGeom>
                        </pic:spPr>
                      </pic:pic>
                    </a:graphicData>
                  </a:graphic>
                  <wp14:sizeRelH relativeFrom="margin">
                    <wp14:pctWidth>0</wp14:pctWidth>
                  </wp14:sizeRelH>
                  <wp14:sizeRelV relativeFrom="margin">
                    <wp14:pctHeight>0</wp14:pctHeight>
                  </wp14:sizeRelV>
                </wp:anchor>
              </w:drawing>
            </w:r>
          </w:p>
          <w:p>
            <w:pPr>
              <w:spacing w:after="60"/>
              <w:ind w:left="110" w:right="114"/>
              <w:jc w:val="both"/>
              <w:rPr>
                <w:sz w:val="20"/>
              </w:rPr>
            </w:pPr>
          </w:p>
          <w:p>
            <w:pPr>
              <w:spacing w:after="60"/>
              <w:ind w:left="110" w:right="114"/>
              <w:jc w:val="both"/>
              <w:rPr>
                <w:sz w:val="20"/>
              </w:rPr>
            </w:pPr>
          </w:p>
          <w:p>
            <w:pPr>
              <w:spacing w:after="60"/>
              <w:ind w:left="110" w:right="114"/>
              <w:jc w:val="both"/>
              <w:rPr>
                <w:sz w:val="20"/>
              </w:rPr>
            </w:pPr>
            <w:r>
              <w:rPr>
                <w:sz w:val="20"/>
              </w:rPr>
              <w:t>где:</w:t>
            </w:r>
          </w:p>
          <w:p>
            <w:pPr>
              <w:ind w:left="108" w:right="120"/>
              <w:jc w:val="both"/>
              <w:rPr>
                <w:sz w:val="20"/>
              </w:rPr>
            </w:pPr>
            <m:oMath>
              <m:sSub>
                <m:sSubPr>
                  <m:ctrlPr>
                    <w:rPr>
                      <w:rFonts w:ascii="Cambria Math" w:hAnsi="Cambria Math"/>
                    </w:rPr>
                  </m:ctrlPr>
                </m:sSubPr>
                <m:e>
                  <m:r>
                    <m:rPr>
                      <m:sty m:val="p"/>
                    </m:rPr>
                    <w:rPr>
                      <w:rFonts w:ascii="Cambria Math" w:hAnsi="Cambria Math"/>
                      <w:sz w:val="20"/>
                    </w:rPr>
                    <m:t>БХ</m:t>
                  </m:r>
                </m:e>
                <m:sub>
                  <m:r>
                    <m:rPr>
                      <m:sty m:val="p"/>
                    </m:rPr>
                    <w:rPr>
                      <w:rFonts w:ascii="Cambria Math" w:hAnsi="Cambria Math"/>
                      <w:sz w:val="20"/>
                    </w:rPr>
                    <m:t> i</m:t>
                  </m:r>
                </m:sub>
              </m:sSub>
            </m:oMath>
            <w:r>
              <w:rPr>
                <w:sz w:val="20"/>
              </w:rPr>
              <w:t xml:space="preserve"> – квалификация участника закупки;</w:t>
            </w:r>
          </w:p>
          <w:p>
            <w:pPr>
              <w:ind w:left="108" w:right="120"/>
              <w:jc w:val="both"/>
              <w:rPr>
                <w:sz w:val="20"/>
              </w:rPr>
            </w:pPr>
            <w:r>
              <w:rPr>
                <w:sz w:val="20"/>
              </w:rPr>
              <w:t>Х </w:t>
            </w:r>
            <w:r>
              <w:rPr>
                <w:sz w:val="20"/>
                <w:vertAlign w:val="subscript"/>
              </w:rPr>
              <w:t>i</w:t>
            </w:r>
            <w:r>
              <w:rPr>
                <w:sz w:val="20"/>
              </w:rPr>
              <w:t xml:space="preserve"> – значение характеристики, содержащееся в предложении участника закупки, заявка (часть заявки) которого подлежит в соответствии с Федеральным законом от 05.04.2013 № 44-ФЗ оценке по критерию оценки «квалификация участника закупки»;</w:t>
            </w:r>
          </w:p>
          <w:p>
            <w:pPr>
              <w:ind w:left="108" w:right="120"/>
              <w:jc w:val="both"/>
              <w:rPr>
                <w:sz w:val="20"/>
              </w:rPr>
            </w:pPr>
            <w:r>
              <w:rPr>
                <w:sz w:val="20"/>
              </w:rPr>
              <w:t>Х </w:t>
            </w:r>
            <w:proofErr w:type="spellStart"/>
            <w:r>
              <w:rPr>
                <w:sz w:val="20"/>
                <w:vertAlign w:val="subscript"/>
              </w:rPr>
              <w:t>min</w:t>
            </w:r>
            <w:proofErr w:type="spellEnd"/>
            <w:r>
              <w:rPr>
                <w:sz w:val="20"/>
              </w:rPr>
              <w:t xml:space="preserve"> – минимальное значение характеристики, содержащееся в заявках (частях заявок), подлежащих в соответствии с Федеральным законом от 05.04.2013 </w:t>
            </w:r>
            <w:r>
              <w:rPr>
                <w:sz w:val="20"/>
              </w:rPr>
              <w:br/>
              <w:t>№ 44-ФЗ оценке по критерию оценки «квалификация участника закупки»;</w:t>
            </w:r>
          </w:p>
          <w:p>
            <w:pPr>
              <w:ind w:left="108" w:right="120"/>
              <w:jc w:val="both"/>
              <w:rPr>
                <w:sz w:val="20"/>
              </w:rPr>
            </w:pPr>
            <w:r>
              <w:rPr>
                <w:sz w:val="20"/>
              </w:rPr>
              <w:t>X </w:t>
            </w:r>
            <w:proofErr w:type="spellStart"/>
            <w:r>
              <w:rPr>
                <w:sz w:val="20"/>
                <w:vertAlign w:val="subscript"/>
              </w:rPr>
              <w:t>max</w:t>
            </w:r>
            <w:proofErr w:type="spellEnd"/>
            <w:r>
              <w:rPr>
                <w:sz w:val="20"/>
                <w:vertAlign w:val="subscript"/>
              </w:rPr>
              <w:t xml:space="preserve"> </w:t>
            </w:r>
            <w:r>
              <w:rPr>
                <w:sz w:val="20"/>
              </w:rPr>
              <w:t xml:space="preserve">– максимальное значение характеристики, содержащееся в заявках (частях заявок), подлежащих в соответствии с Федеральным законом от 05.04.2013 </w:t>
            </w:r>
            <w:r>
              <w:rPr>
                <w:sz w:val="20"/>
              </w:rPr>
              <w:br/>
              <w:t xml:space="preserve">№ 44-ФЗ оценке по критерию оценки «квалификация участника закупки».  </w:t>
            </w:r>
          </w:p>
        </w:tc>
      </w:tr>
      <w:tr>
        <w:trPr>
          <w:trHeight w:val="1252"/>
        </w:trPr>
        <w:tc>
          <w:tcPr>
            <w:tcW w:w="7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1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73" w:type="dxa"/>
            <w:tcBorders>
              <w:top w:val="nil"/>
              <w:left w:val="single" w:sz="4" w:space="0" w:color="000000"/>
              <w:bottom w:val="single" w:sz="4" w:space="0" w:color="000000"/>
              <w:right w:val="single" w:sz="4" w:space="0" w:color="000000"/>
            </w:tcBorders>
            <w:shd w:val="clear" w:color="auto" w:fill="auto"/>
            <w:vAlign w:val="center"/>
          </w:tcPr>
          <w:p>
            <w:pPr>
              <w:jc w:val="center"/>
              <w:rPr>
                <w:sz w:val="20"/>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jc w:val="center"/>
              <w:rPr>
                <w:sz w:val="20"/>
              </w:rPr>
            </w:pPr>
            <w:r>
              <w:rPr>
                <w:sz w:val="20"/>
              </w:rPr>
              <w:t>Характеристика квалификации участников закупки № 3 (наибольшая цена одного из</w:t>
            </w:r>
          </w:p>
          <w:p>
            <w:pPr>
              <w:tabs>
                <w:tab w:val="left" w:pos="1843"/>
                <w:tab w:val="left" w:pos="2127"/>
              </w:tabs>
              <w:jc w:val="center"/>
              <w:rPr>
                <w:sz w:val="20"/>
              </w:rPr>
            </w:pPr>
            <w:r>
              <w:rPr>
                <w:sz w:val="20"/>
              </w:rPr>
              <w:t xml:space="preserve">исполненных участником закупки договоров) </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7"/>
              <w:jc w:val="center"/>
              <w:rPr>
                <w:sz w:val="20"/>
              </w:rPr>
            </w:pPr>
            <w:r>
              <w:rPr>
                <w:sz w:val="20"/>
              </w:rPr>
              <w:t>Не применяется</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before="2"/>
              <w:ind w:left="279" w:right="120"/>
              <w:jc w:val="center"/>
              <w:rPr>
                <w:sz w:val="20"/>
              </w:rPr>
            </w:pPr>
            <w:r>
              <w:rPr>
                <w:sz w:val="20"/>
              </w:rPr>
              <w:t>Не применяется</w:t>
            </w:r>
          </w:p>
        </w:tc>
      </w:tr>
      <w:tr>
        <w:trPr>
          <w:trHeight w:val="1250"/>
        </w:trPr>
        <w:tc>
          <w:tcPr>
            <w:tcW w:w="7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1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Наличие у участников закупки</w:t>
            </w:r>
          </w:p>
          <w:p>
            <w:pPr>
              <w:jc w:val="center"/>
              <w:rPr>
                <w:sz w:val="20"/>
              </w:rPr>
            </w:pPr>
            <w:r>
              <w:rPr>
                <w:sz w:val="20"/>
              </w:rPr>
              <w:t>деловой репутации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Не применяется</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843"/>
                <w:tab w:val="left" w:pos="2127"/>
              </w:tabs>
              <w:jc w:val="center"/>
              <w:rPr>
                <w:sz w:val="20"/>
              </w:rPr>
            </w:pPr>
            <w:r>
              <w:rPr>
                <w:sz w:val="20"/>
              </w:rPr>
              <w:t>Характеристика квалификации участников закупки № 1 (значение индекса деловой репутации участника закупки)</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7"/>
              <w:jc w:val="center"/>
              <w:rPr>
                <w:sz w:val="20"/>
              </w:rPr>
            </w:pPr>
            <w:r>
              <w:rPr>
                <w:sz w:val="20"/>
              </w:rPr>
              <w:t>Не применяется</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279" w:right="120"/>
              <w:jc w:val="center"/>
              <w:rPr>
                <w:sz w:val="20"/>
                <w:lang w:val="en-US"/>
              </w:rPr>
            </w:pPr>
            <w:r>
              <w:rPr>
                <w:sz w:val="20"/>
              </w:rPr>
              <w:t>Не применяется</w:t>
            </w:r>
          </w:p>
        </w:tc>
      </w:tr>
      <w:tr>
        <w:trPr>
          <w:trHeight w:val="551"/>
        </w:trPr>
        <w:tc>
          <w:tcPr>
            <w:tcW w:w="7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1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rPr>
              <w:t>Наличие у участников закупки</w:t>
            </w:r>
          </w:p>
          <w:p>
            <w:pPr>
              <w:jc w:val="center"/>
              <w:rPr>
                <w:sz w:val="20"/>
              </w:rPr>
            </w:pPr>
            <w:r>
              <w:rPr>
                <w:sz w:val="20"/>
              </w:rPr>
              <w:t>специалистов и иных</w:t>
            </w:r>
          </w:p>
          <w:p>
            <w:pPr>
              <w:jc w:val="center"/>
              <w:rPr>
                <w:sz w:val="20"/>
              </w:rPr>
            </w:pPr>
            <w:r>
              <w:rPr>
                <w:sz w:val="20"/>
              </w:rPr>
              <w:t>работников определенного уровня квалификации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sz w:val="20"/>
              </w:rPr>
            </w:pPr>
            <w:r>
              <w:rPr>
                <w:sz w:val="20"/>
                <w:lang w:val="en-US"/>
              </w:rPr>
              <w:t>4</w:t>
            </w:r>
            <w:r>
              <w:rPr>
                <w:sz w:val="20"/>
              </w:rPr>
              <w:t>0</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pPr>
              <w:tabs>
                <w:tab w:val="left" w:pos="1453"/>
                <w:tab w:val="left" w:pos="1843"/>
                <w:tab w:val="left" w:pos="2127"/>
              </w:tabs>
              <w:jc w:val="center"/>
              <w:rPr>
                <w:sz w:val="20"/>
              </w:rPr>
            </w:pPr>
            <w:r>
              <w:rPr>
                <w:sz w:val="20"/>
              </w:rPr>
              <w:t>Характеристика квалификации участников закупки № 1 (количество специалистов</w:t>
            </w:r>
            <w:r>
              <w:t xml:space="preserve"> </w:t>
            </w:r>
            <w:r>
              <w:rPr>
                <w:sz w:val="20"/>
              </w:rPr>
              <w:t xml:space="preserve">и иных работников, определенного уровня квалификации) </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pPr>
              <w:ind w:left="7"/>
              <w:jc w:val="center"/>
              <w:rPr>
                <w:sz w:val="20"/>
              </w:rPr>
            </w:pPr>
            <w:r>
              <w:rPr>
                <w:sz w:val="20"/>
              </w:rPr>
              <w:t>100</w:t>
            </w:r>
          </w:p>
        </w:tc>
        <w:tc>
          <w:tcPr>
            <w:tcW w:w="4368"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after="60"/>
              <w:ind w:left="110" w:right="114"/>
              <w:jc w:val="both"/>
              <w:rPr>
                <w:sz w:val="20"/>
              </w:rPr>
            </w:pPr>
            <w:r>
              <w:rPr>
                <w:sz w:val="20"/>
              </w:rPr>
              <w:t>Значение показателя оценки находится в функциональной зависимости от значения количества присваиваемых баллов. Лучшим является наибольшее значение характеристики.</w:t>
            </w:r>
          </w:p>
          <w:p>
            <w:pPr>
              <w:spacing w:after="60"/>
              <w:ind w:left="110" w:right="114"/>
              <w:jc w:val="both"/>
              <w:rPr>
                <w:sz w:val="20"/>
              </w:rPr>
            </w:pPr>
            <w:r>
              <w:rPr>
                <w:sz w:val="20"/>
              </w:rPr>
              <w:t>Значение количества баллов по данному показателю, детализирующему показатель оценки, рассчитывается по формуле:</w:t>
            </w:r>
          </w:p>
          <w:p>
            <w:pPr>
              <w:ind w:right="120"/>
            </w:pPr>
            <w:r>
              <w:rPr>
                <w:noProof/>
                <w:sz w:val="28"/>
              </w:rPr>
              <w:drawing>
                <wp:anchor distT="0" distB="0" distL="114300" distR="114300" simplePos="0" relativeHeight="251663360" behindDoc="1" locked="0" layoutInCell="1" allowOverlap="1">
                  <wp:simplePos x="0" y="0"/>
                  <wp:positionH relativeFrom="margin">
                    <wp:posOffset>138430</wp:posOffset>
                  </wp:positionH>
                  <wp:positionV relativeFrom="margin">
                    <wp:posOffset>1287145</wp:posOffset>
                  </wp:positionV>
                  <wp:extent cx="2286000" cy="419100"/>
                  <wp:effectExtent l="0" t="0" r="0" b="0"/>
                  <wp:wrapTight wrapText="bothSides" distL="114300" distR="114300">
                    <wp:wrapPolygon edited="0">
                      <wp:start x="15660" y="0"/>
                      <wp:lineTo x="0" y="4909"/>
                      <wp:lineTo x="0" y="13745"/>
                      <wp:lineTo x="14220" y="18655"/>
                      <wp:lineTo x="14400" y="20618"/>
                      <wp:lineTo x="21240" y="20618"/>
                      <wp:lineTo x="21240" y="8836"/>
                      <wp:lineTo x="18720" y="0"/>
                      <wp:lineTo x="15660" y="0"/>
                    </wp:wrapPolygon>
                  </wp:wrapTight>
                  <wp:docPr id="12"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4"/>
                          <a:srcRect r="3584"/>
                          <a:stretch/>
                        </pic:blipFill>
                        <pic:spPr>
                          <a:xfrm>
                            <a:off x="0" y="0"/>
                            <a:ext cx="2286000" cy="419100"/>
                          </a:xfrm>
                          <a:prstGeom prst="rect">
                            <a:avLst/>
                          </a:prstGeom>
                        </pic:spPr>
                      </pic:pic>
                    </a:graphicData>
                  </a:graphic>
                </wp:anchor>
              </w:drawing>
            </w:r>
          </w:p>
          <w:p>
            <w:pPr>
              <w:ind w:left="279" w:right="120"/>
              <w:rPr>
                <w:sz w:val="28"/>
              </w:rPr>
            </w:pPr>
          </w:p>
          <w:p>
            <w:pPr>
              <w:ind w:left="279" w:right="120"/>
              <w:rPr>
                <w:sz w:val="20"/>
              </w:rPr>
            </w:pPr>
          </w:p>
          <w:p>
            <w:pPr>
              <w:ind w:left="108" w:right="120"/>
              <w:rPr>
                <w:sz w:val="20"/>
              </w:rPr>
            </w:pPr>
            <w:r>
              <w:rPr>
                <w:sz w:val="20"/>
              </w:rPr>
              <w:t>где:</w:t>
            </w:r>
          </w:p>
          <w:p>
            <w:pPr>
              <w:ind w:left="108" w:right="120"/>
              <w:jc w:val="both"/>
              <w:rPr>
                <w:sz w:val="20"/>
              </w:rPr>
            </w:pPr>
            <m:oMath>
              <m:sSub>
                <m:sSubPr>
                  <m:ctrlPr>
                    <w:rPr>
                      <w:rFonts w:ascii="Cambria Math" w:hAnsi="Cambria Math"/>
                    </w:rPr>
                  </m:ctrlPr>
                </m:sSubPr>
                <m:e>
                  <m:r>
                    <m:rPr>
                      <m:sty m:val="p"/>
                    </m:rPr>
                    <w:rPr>
                      <w:rFonts w:ascii="Cambria Math" w:hAnsi="Cambria Math"/>
                      <w:sz w:val="20"/>
                    </w:rPr>
                    <m:t>БХ</m:t>
                  </m:r>
                </m:e>
                <m:sub>
                  <m:r>
                    <m:rPr>
                      <m:sty m:val="p"/>
                    </m:rPr>
                    <w:rPr>
                      <w:rFonts w:ascii="Cambria Math" w:hAnsi="Cambria Math"/>
                      <w:sz w:val="20"/>
                    </w:rPr>
                    <m:t> i</m:t>
                  </m:r>
                </m:sub>
              </m:sSub>
            </m:oMath>
            <w:r>
              <w:rPr>
                <w:sz w:val="20"/>
              </w:rPr>
              <w:t xml:space="preserve"> – квалификация участника закупки;</w:t>
            </w:r>
          </w:p>
          <w:p>
            <w:pPr>
              <w:ind w:left="108" w:right="120"/>
              <w:jc w:val="both"/>
              <w:rPr>
                <w:sz w:val="20"/>
              </w:rPr>
            </w:pPr>
            <w:r>
              <w:rPr>
                <w:sz w:val="20"/>
              </w:rPr>
              <w:t>Х </w:t>
            </w:r>
            <w:r>
              <w:rPr>
                <w:sz w:val="20"/>
                <w:vertAlign w:val="subscript"/>
              </w:rPr>
              <w:t>i</w:t>
            </w:r>
            <w:r>
              <w:rPr>
                <w:sz w:val="20"/>
              </w:rPr>
              <w:t xml:space="preserve"> – значение характеристики, содержащееся в предложении участника закупки, заявка (часть заявки) которого подлежит в соответствии с Федеральным законом от 05.04.2013 №44-ФЗ оценке по критерию оценки «квалификация участника закупки»;</w:t>
            </w:r>
          </w:p>
          <w:p>
            <w:pPr>
              <w:ind w:left="108" w:right="120"/>
              <w:jc w:val="both"/>
              <w:rPr>
                <w:sz w:val="20"/>
              </w:rPr>
            </w:pPr>
            <w:r>
              <w:rPr>
                <w:sz w:val="20"/>
              </w:rPr>
              <w:t>Х </w:t>
            </w:r>
            <w:proofErr w:type="spellStart"/>
            <w:r>
              <w:rPr>
                <w:sz w:val="20"/>
                <w:vertAlign w:val="subscript"/>
              </w:rPr>
              <w:t>min</w:t>
            </w:r>
            <w:proofErr w:type="spellEnd"/>
            <w:r>
              <w:rPr>
                <w:sz w:val="20"/>
              </w:rPr>
              <w:t xml:space="preserve"> – минимальное значение характеристики, содержащееся в заявках (частях заявок), подлежащих в соответствии с Федеральным законом от 05.04.2013 </w:t>
            </w:r>
            <w:r>
              <w:rPr>
                <w:sz w:val="20"/>
              </w:rPr>
              <w:br/>
              <w:t>№ 44-ФЗ оценке по критерию оценки «квалификация участника закупки»;</w:t>
            </w:r>
          </w:p>
          <w:p>
            <w:pPr>
              <w:ind w:left="108" w:right="120"/>
              <w:jc w:val="both"/>
              <w:rPr>
                <w:sz w:val="20"/>
              </w:rPr>
            </w:pPr>
            <w:r>
              <w:rPr>
                <w:sz w:val="20"/>
              </w:rPr>
              <w:t>X </w:t>
            </w:r>
            <w:proofErr w:type="spellStart"/>
            <w:r>
              <w:rPr>
                <w:sz w:val="20"/>
                <w:vertAlign w:val="subscript"/>
              </w:rPr>
              <w:t>max</w:t>
            </w:r>
            <w:proofErr w:type="spellEnd"/>
            <w:r>
              <w:rPr>
                <w:sz w:val="20"/>
                <w:vertAlign w:val="subscript"/>
              </w:rPr>
              <w:t xml:space="preserve"> </w:t>
            </w:r>
            <w:r>
              <w:rPr>
                <w:sz w:val="20"/>
              </w:rPr>
              <w:t xml:space="preserve">– максимальное значение характеристики, содержащееся в заявках (частях заявок), подлежащих в соответствии с Федеральным законом от 05.04.2013 </w:t>
            </w:r>
            <w:r>
              <w:rPr>
                <w:sz w:val="20"/>
              </w:rPr>
              <w:br/>
              <w:t>№ 44-ФЗ оценке по критерию оценки «квалификация участника закупки».</w:t>
            </w:r>
          </w:p>
        </w:tc>
      </w:tr>
    </w:tbl>
    <w:p>
      <w:pPr>
        <w:tabs>
          <w:tab w:val="left" w:pos="360"/>
        </w:tabs>
        <w:rPr>
          <w:b/>
        </w:rPr>
      </w:pPr>
    </w:p>
    <w:p>
      <w:pPr>
        <w:tabs>
          <w:tab w:val="left" w:pos="360"/>
        </w:tabs>
        <w:rPr>
          <w:b/>
        </w:rPr>
      </w:pPr>
    </w:p>
    <w:p>
      <w:pPr>
        <w:tabs>
          <w:tab w:val="left" w:pos="360"/>
        </w:tabs>
        <w:rPr>
          <w:b/>
        </w:rPr>
      </w:pPr>
    </w:p>
    <w:p>
      <w:pPr>
        <w:tabs>
          <w:tab w:val="left" w:pos="360"/>
        </w:tabs>
        <w:rPr>
          <w:b/>
        </w:rPr>
      </w:pPr>
    </w:p>
    <w:p>
      <w:pPr>
        <w:tabs>
          <w:tab w:val="left" w:pos="360"/>
        </w:tabs>
        <w:rPr>
          <w:b/>
        </w:rPr>
      </w:pPr>
    </w:p>
    <w:p>
      <w:pPr>
        <w:tabs>
          <w:tab w:val="left" w:pos="360"/>
        </w:tabs>
        <w:rPr>
          <w:b/>
        </w:rPr>
      </w:pPr>
    </w:p>
    <w:p>
      <w:pPr>
        <w:tabs>
          <w:tab w:val="left" w:pos="360"/>
        </w:tabs>
        <w:rPr>
          <w:b/>
        </w:rPr>
      </w:pPr>
    </w:p>
    <w:p>
      <w:pPr>
        <w:tabs>
          <w:tab w:val="left" w:pos="360"/>
        </w:tabs>
        <w:spacing w:after="240"/>
        <w:jc w:val="center"/>
        <w:rPr>
          <w:b/>
        </w:rPr>
      </w:pPr>
      <w:r>
        <w:rPr>
          <w:b/>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
        <w:gridCol w:w="6159"/>
        <w:gridCol w:w="8505"/>
      </w:tblGrid>
      <w:tr>
        <w:tc>
          <w:tcPr>
            <w:tcW w:w="612" w:type="dxa"/>
            <w:tcBorders>
              <w:top w:val="single" w:sz="4" w:space="0" w:color="000000"/>
              <w:left w:val="single" w:sz="4" w:space="0" w:color="000000"/>
              <w:bottom w:val="single" w:sz="4" w:space="0" w:color="000000"/>
              <w:right w:val="single" w:sz="4" w:space="0" w:color="000000"/>
            </w:tcBorders>
            <w:shd w:val="clear" w:color="auto" w:fill="D9D9D9"/>
            <w:vAlign w:val="center"/>
          </w:tcPr>
          <w:p>
            <w:pPr>
              <w:tabs>
                <w:tab w:val="left" w:pos="360"/>
              </w:tabs>
              <w:jc w:val="center"/>
            </w:pPr>
            <w:r>
              <w:t>№</w:t>
            </w:r>
          </w:p>
        </w:tc>
        <w:tc>
          <w:tcPr>
            <w:tcW w:w="6159" w:type="dxa"/>
            <w:tcBorders>
              <w:top w:val="single" w:sz="4" w:space="0" w:color="000000"/>
              <w:left w:val="single" w:sz="4" w:space="0" w:color="000000"/>
              <w:bottom w:val="single" w:sz="4" w:space="0" w:color="000000"/>
              <w:right w:val="single" w:sz="4" w:space="0" w:color="000000"/>
            </w:tcBorders>
            <w:shd w:val="clear" w:color="auto" w:fill="D9D9D9"/>
            <w:vAlign w:val="center"/>
          </w:tcPr>
          <w:p>
            <w:pPr>
              <w:tabs>
                <w:tab w:val="left" w:pos="360"/>
              </w:tabs>
              <w:jc w:val="center"/>
            </w:pPr>
            <w: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графой 3</w:t>
            </w:r>
          </w:p>
        </w:tc>
        <w:tc>
          <w:tcPr>
            <w:tcW w:w="8505" w:type="dxa"/>
            <w:tcBorders>
              <w:top w:val="single" w:sz="4" w:space="0" w:color="000000"/>
              <w:left w:val="single" w:sz="4" w:space="0" w:color="000000"/>
              <w:bottom w:val="single" w:sz="4" w:space="0" w:color="000000"/>
              <w:right w:val="single" w:sz="4" w:space="0" w:color="000000"/>
            </w:tcBorders>
            <w:shd w:val="clear" w:color="auto" w:fill="D9D9D9"/>
            <w:vAlign w:val="center"/>
          </w:tcPr>
          <w:p>
            <w:pPr>
              <w:tabs>
                <w:tab w:val="left" w:pos="360"/>
              </w:tabs>
              <w:jc w:val="center"/>
            </w:pPr>
            <w:r>
              <w:t>Положение о применении критерия оценки, показателя оценки, показателя оценки, детализирующего показатель оценки</w:t>
            </w:r>
          </w:p>
        </w:tc>
      </w:tr>
    </w:tbl>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
        <w:gridCol w:w="6159"/>
        <w:gridCol w:w="8505"/>
      </w:tblGrid>
      <w:tr>
        <w:trPr>
          <w:tblHeader/>
        </w:trPr>
        <w:tc>
          <w:tcPr>
            <w:tcW w:w="612" w:type="dxa"/>
            <w:tcBorders>
              <w:top w:val="single" w:sz="4" w:space="0" w:color="000000"/>
              <w:left w:val="single" w:sz="4" w:space="0" w:color="000000"/>
              <w:bottom w:val="single" w:sz="4" w:space="0" w:color="000000"/>
              <w:right w:val="single" w:sz="4" w:space="0" w:color="000000"/>
            </w:tcBorders>
            <w:shd w:val="clear" w:color="auto" w:fill="D9D9D9"/>
          </w:tcPr>
          <w:p>
            <w:pPr>
              <w:tabs>
                <w:tab w:val="left" w:pos="360"/>
              </w:tabs>
              <w:jc w:val="center"/>
            </w:pPr>
            <w:r>
              <w:t>1</w:t>
            </w:r>
          </w:p>
        </w:tc>
        <w:tc>
          <w:tcPr>
            <w:tcW w:w="6159" w:type="dxa"/>
            <w:tcBorders>
              <w:top w:val="single" w:sz="4" w:space="0" w:color="000000"/>
              <w:left w:val="single" w:sz="4" w:space="0" w:color="000000"/>
              <w:bottom w:val="single" w:sz="4" w:space="0" w:color="000000"/>
              <w:right w:val="single" w:sz="4" w:space="0" w:color="000000"/>
            </w:tcBorders>
            <w:shd w:val="clear" w:color="auto" w:fill="D9D9D9"/>
          </w:tcPr>
          <w:p>
            <w:pPr>
              <w:tabs>
                <w:tab w:val="left" w:pos="360"/>
              </w:tabs>
              <w:jc w:val="center"/>
            </w:pPr>
            <w:r>
              <w:t>2</w:t>
            </w:r>
          </w:p>
        </w:tc>
        <w:tc>
          <w:tcPr>
            <w:tcW w:w="8505" w:type="dxa"/>
            <w:tcBorders>
              <w:top w:val="single" w:sz="4" w:space="0" w:color="000000"/>
              <w:left w:val="single" w:sz="4" w:space="0" w:color="000000"/>
              <w:bottom w:val="single" w:sz="4" w:space="0" w:color="000000"/>
              <w:right w:val="single" w:sz="4" w:space="0" w:color="000000"/>
            </w:tcBorders>
            <w:shd w:val="clear" w:color="auto" w:fill="D9D9D9"/>
          </w:tcPr>
          <w:p>
            <w:pPr>
              <w:tabs>
                <w:tab w:val="left" w:pos="360"/>
              </w:tabs>
              <w:jc w:val="center"/>
            </w:pPr>
            <w:r>
              <w:t>3</w:t>
            </w:r>
          </w:p>
        </w:tc>
      </w:tr>
      <w:tr>
        <w:tc>
          <w:tcPr>
            <w:tcW w:w="612" w:type="dxa"/>
            <w:tcBorders>
              <w:top w:val="single" w:sz="4" w:space="0" w:color="000000"/>
              <w:left w:val="single" w:sz="4" w:space="0" w:color="000000"/>
              <w:bottom w:val="single" w:sz="4" w:space="0" w:color="000000"/>
              <w:right w:val="single" w:sz="4" w:space="0" w:color="000000"/>
            </w:tcBorders>
          </w:tcPr>
          <w:p>
            <w:pPr>
              <w:tabs>
                <w:tab w:val="left" w:pos="360"/>
              </w:tabs>
              <w:jc w:val="center"/>
            </w:pPr>
            <w:r>
              <w:t>1.</w:t>
            </w:r>
          </w:p>
        </w:tc>
        <w:tc>
          <w:tcPr>
            <w:tcW w:w="6159" w:type="dxa"/>
            <w:tcBorders>
              <w:top w:val="single" w:sz="4" w:space="0" w:color="000000"/>
              <w:left w:val="single" w:sz="4" w:space="0" w:color="000000"/>
              <w:bottom w:val="single" w:sz="4" w:space="0" w:color="000000"/>
              <w:right w:val="single" w:sz="4" w:space="0" w:color="000000"/>
            </w:tcBorders>
          </w:tcPr>
          <w:p>
            <w:pPr>
              <w:tabs>
                <w:tab w:val="left" w:pos="360"/>
              </w:tabs>
              <w:rPr>
                <w:color w:val="auto"/>
              </w:rPr>
            </w:pPr>
            <w:r>
              <w:rPr>
                <w:color w:val="auto"/>
              </w:rPr>
              <w:t xml:space="preserve">Критерий оценки: </w:t>
            </w:r>
          </w:p>
          <w:p>
            <w:pPr>
              <w:tabs>
                <w:tab w:val="left" w:pos="360"/>
              </w:tabs>
              <w:jc w:val="both"/>
              <w:rPr>
                <w:color w:val="auto"/>
              </w:rPr>
            </w:pPr>
            <w:r>
              <w:rPr>
                <w:color w:val="auto"/>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pPr>
              <w:tabs>
                <w:tab w:val="left" w:pos="360"/>
              </w:tabs>
              <w:rPr>
                <w:color w:val="auto"/>
              </w:rPr>
            </w:pPr>
          </w:p>
          <w:p>
            <w:pPr>
              <w:tabs>
                <w:tab w:val="left" w:pos="360"/>
              </w:tabs>
              <w:jc w:val="both"/>
              <w:rPr>
                <w:color w:val="auto"/>
              </w:rPr>
            </w:pPr>
            <w:r>
              <w:rPr>
                <w:color w:val="auto"/>
              </w:rPr>
              <w:t>Показатель оценки «Наличие у участников закупки опыта работы, связанного с предметом контракта».</w:t>
            </w:r>
          </w:p>
          <w:p>
            <w:pPr>
              <w:tabs>
                <w:tab w:val="left" w:pos="360"/>
              </w:tabs>
              <w:jc w:val="both"/>
              <w:rPr>
                <w:color w:val="auto"/>
              </w:rPr>
            </w:pPr>
          </w:p>
          <w:p>
            <w:pPr>
              <w:tabs>
                <w:tab w:val="left" w:pos="360"/>
              </w:tabs>
              <w:jc w:val="both"/>
              <w:rPr>
                <w:color w:val="auto"/>
              </w:rPr>
            </w:pPr>
            <w:r>
              <w:rPr>
                <w:color w:val="auto"/>
              </w:rPr>
              <w:t>Показатель оценки, детализирующий показатель оценки: «Характеристика квалификации участников закупки № 2 (общее количество исполненных участником закупки договоров)».</w:t>
            </w:r>
          </w:p>
        </w:tc>
        <w:tc>
          <w:tcPr>
            <w:tcW w:w="8505" w:type="dxa"/>
            <w:tcBorders>
              <w:top w:val="single" w:sz="4" w:space="0" w:color="000000"/>
              <w:left w:val="single" w:sz="4" w:space="0" w:color="000000"/>
              <w:bottom w:val="single" w:sz="4" w:space="0" w:color="000000"/>
              <w:right w:val="single" w:sz="4" w:space="0" w:color="000000"/>
            </w:tcBorders>
          </w:tcPr>
          <w:p>
            <w:pPr>
              <w:tabs>
                <w:tab w:val="left" w:pos="360"/>
              </w:tabs>
              <w:spacing w:after="240"/>
              <w:ind w:firstLine="357"/>
              <w:jc w:val="both"/>
              <w:rPr>
                <w:color w:val="auto"/>
              </w:rPr>
            </w:pPr>
            <w:r>
              <w:rPr>
                <w:color w:val="auto"/>
              </w:rPr>
              <w:t xml:space="preserve">Оценке подлежит количество исполненных договоров*, предметом которых является оказание услуг (выполнение работ) </w:t>
            </w:r>
            <w:r>
              <w:rPr>
                <w:rFonts w:eastAsia="Calibri"/>
                <w:color w:val="auto"/>
                <w:szCs w:val="24"/>
                <w:lang w:eastAsia="en-US" w:bidi="ru-RU"/>
              </w:rPr>
              <w:t xml:space="preserve">по сопровождению </w:t>
            </w:r>
            <w:r>
              <w:rPr>
                <w:rFonts w:eastAsia="Calibri"/>
                <w:color w:val="auto"/>
                <w:szCs w:val="24"/>
                <w:lang w:eastAsia="en-US" w:bidi="ru-RU"/>
              </w:rPr>
              <w:br/>
              <w:t xml:space="preserve">или технической поддержке </w:t>
            </w:r>
            <w:r>
              <w:rPr>
                <w:rFonts w:eastAsia="Calibri"/>
                <w:color w:val="auto"/>
                <w:szCs w:val="24"/>
                <w:lang w:eastAsia="en-US"/>
              </w:rPr>
              <w:t>информационных систем, сайтов и/или порталов.</w:t>
            </w:r>
          </w:p>
          <w:p>
            <w:pPr>
              <w:tabs>
                <w:tab w:val="left" w:pos="360"/>
              </w:tabs>
              <w:ind w:firstLine="357"/>
              <w:jc w:val="both"/>
              <w:rPr>
                <w:color w:val="auto"/>
              </w:rPr>
            </w:pPr>
            <w:r>
              <w:rPr>
                <w:color w:val="auto"/>
              </w:rPr>
              <w:t>Перечень документов, подтверждающих наличие у участника закупки опыта оказания услуги, связанного с предметом контракта:</w:t>
            </w:r>
          </w:p>
          <w:p>
            <w:pPr>
              <w:jc w:val="both"/>
              <w:rPr>
                <w:color w:val="auto"/>
              </w:rPr>
            </w:pPr>
            <w:r>
              <w:rPr>
                <w:color w:val="auto"/>
              </w:rPr>
              <w:t>- исполненные договоры;</w:t>
            </w:r>
          </w:p>
          <w:p>
            <w:pPr>
              <w:jc w:val="both"/>
              <w:rPr>
                <w:color w:val="auto"/>
              </w:rPr>
            </w:pPr>
            <w:r>
              <w:rPr>
                <w:color w:val="auto"/>
              </w:rPr>
              <w:t>- акты приемки оказанных услуг, составленные при исполнении таких договоров.</w:t>
            </w:r>
          </w:p>
          <w:p>
            <w:pPr>
              <w:tabs>
                <w:tab w:val="left" w:pos="360"/>
              </w:tabs>
              <w:ind w:firstLine="357"/>
              <w:jc w:val="both"/>
              <w:rPr>
                <w:color w:val="auto"/>
              </w:rPr>
            </w:pPr>
            <w:r>
              <w:rPr>
                <w:color w:val="auto"/>
              </w:rPr>
              <w:t>К оценке принимаются исключительно исполненные договоры, при исполнении которых Исполнителем исполнены требования об уплате неустоек (штрафов, пеней) (в случае начисления неустоек).</w:t>
            </w:r>
          </w:p>
          <w:p>
            <w:pPr>
              <w:tabs>
                <w:tab w:val="left" w:pos="360"/>
              </w:tabs>
              <w:ind w:firstLine="357"/>
              <w:jc w:val="both"/>
              <w:rPr>
                <w:color w:val="auto"/>
              </w:rPr>
            </w:pPr>
            <w:r>
              <w:rPr>
                <w:color w:val="auto"/>
              </w:rPr>
              <w:t xml:space="preserve">К оценке принимаются исключительно контракты, заключенные </w:t>
            </w:r>
            <w:r>
              <w:rPr>
                <w:color w:val="auto"/>
              </w:rPr>
              <w:br/>
              <w:t>и исполненные в соответствии с Федеральным законом от 05.04.2013 № 44-ФЗ, и договоры, заключенные и исполненные в соответствии с Федеральным законом от 18.07.2011 № 223-ФЗ.</w:t>
            </w:r>
          </w:p>
          <w:p>
            <w:pPr>
              <w:tabs>
                <w:tab w:val="left" w:pos="360"/>
              </w:tabs>
              <w:ind w:firstLine="357"/>
              <w:jc w:val="both"/>
              <w:rPr>
                <w:color w:val="auto"/>
              </w:rPr>
            </w:pPr>
            <w:r>
              <w:rPr>
                <w:color w:val="auto"/>
              </w:rPr>
              <w:t>При оценке учитывается последний акт, составленный при исполнении договора,</w:t>
            </w:r>
            <w:r>
              <w:rPr>
                <w:b/>
                <w:color w:val="auto"/>
              </w:rPr>
              <w:t xml:space="preserve"> </w:t>
            </w:r>
            <w:r>
              <w:rPr>
                <w:color w:val="auto"/>
              </w:rPr>
              <w:t xml:space="preserve"> подписанный не ранее чем за 5 лет до даты окончания срока подачи заявок.</w:t>
            </w:r>
          </w:p>
          <w:p>
            <w:pPr>
              <w:tabs>
                <w:tab w:val="left" w:pos="360"/>
              </w:tabs>
              <w:ind w:firstLine="357"/>
              <w:jc w:val="both"/>
              <w:rPr>
                <w:color w:val="auto"/>
              </w:rPr>
            </w:pPr>
            <w:r>
              <w:rPr>
                <w:color w:val="auto"/>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pPr>
              <w:tabs>
                <w:tab w:val="left" w:pos="360"/>
              </w:tabs>
              <w:ind w:firstLine="357"/>
              <w:jc w:val="both"/>
              <w:rPr>
                <w:color w:val="auto"/>
              </w:rPr>
            </w:pPr>
            <w:r>
              <w:rPr>
                <w:color w:val="auto"/>
              </w:rPr>
              <w:t xml:space="preserve">К оценке принимаются документы, предусмотренные настоящим пунктом, </w:t>
            </w:r>
            <w:r>
              <w:rPr>
                <w:color w:val="auto"/>
              </w:rPr>
              <w:br/>
              <w:t>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pPr>
              <w:tabs>
                <w:tab w:val="left" w:pos="360"/>
              </w:tabs>
              <w:ind w:firstLine="357"/>
              <w:jc w:val="both"/>
              <w:rPr>
                <w:color w:val="auto"/>
              </w:rPr>
            </w:pPr>
            <w:proofErr w:type="gramStart"/>
            <w:r>
              <w:rPr>
                <w:color w:val="auto"/>
              </w:rPr>
              <w:t xml:space="preserve">Если документы, предусмотренные настоящим пунктом, и информация </w:t>
            </w:r>
            <w:r>
              <w:rPr>
                <w:color w:val="auto"/>
              </w:rPr>
              <w:br/>
            </w:r>
            <w:r>
              <w:rPr>
                <w:color w:val="auto"/>
              </w:rPr>
              <w:lastRenderedPageBreak/>
              <w:t>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w:t>
            </w:r>
            <w:proofErr w:type="gramEnd"/>
            <w:r>
              <w:rPr>
                <w:color w:val="auto"/>
              </w:rPr>
              <w:t xml:space="preserve"> номер реестровой записи из соответствующего реестра.</w:t>
            </w:r>
          </w:p>
          <w:p>
            <w:pPr>
              <w:tabs>
                <w:tab w:val="left" w:pos="360"/>
              </w:tabs>
              <w:ind w:firstLine="317"/>
              <w:jc w:val="both"/>
              <w:rPr>
                <w:color w:val="auto"/>
              </w:rPr>
            </w:pPr>
            <w:r>
              <w:rPr>
                <w:color w:val="auto"/>
              </w:rPr>
              <w:t xml:space="preserve">Дополнительно рекомендуется в состав заявки включить сведения </w:t>
            </w:r>
            <w:r>
              <w:rPr>
                <w:color w:val="auto"/>
              </w:rPr>
              <w:br/>
              <w:t>о представленных договорах в соответствии с формой № 1, указанной</w:t>
            </w:r>
            <w:r>
              <w:rPr>
                <w:color w:val="auto"/>
              </w:rPr>
              <w:br/>
              <w:t>в приложении № 3 к извещению.</w:t>
            </w:r>
          </w:p>
          <w:p>
            <w:pPr>
              <w:tabs>
                <w:tab w:val="left" w:pos="360"/>
              </w:tabs>
              <w:jc w:val="both"/>
              <w:rPr>
                <w:i/>
                <w:color w:val="auto"/>
              </w:rPr>
            </w:pPr>
            <w:r>
              <w:rPr>
                <w:b/>
                <w:i/>
                <w:color w:val="auto"/>
                <w:sz w:val="20"/>
              </w:rPr>
              <w:t>*</w:t>
            </w:r>
            <w:r>
              <w:rPr>
                <w:i/>
                <w:color w:val="auto"/>
              </w:rPr>
              <w:t xml:space="preserve"> контракт, заключенный и исполненный в соответствии с Федеральным законом  от  05.04.2013 № 44-ФЗ, и договор, заключенный и исполненный </w:t>
            </w:r>
            <w:r>
              <w:rPr>
                <w:i/>
                <w:color w:val="auto"/>
              </w:rPr>
              <w:br/>
              <w:t>в соответствии с Федеральным законом от 18.07.2011 № 223-ФЗ.</w:t>
            </w:r>
          </w:p>
        </w:tc>
      </w:tr>
      <w:tr>
        <w:tc>
          <w:tcPr>
            <w:tcW w:w="612" w:type="dxa"/>
            <w:tcBorders>
              <w:top w:val="single" w:sz="4" w:space="0" w:color="000000"/>
              <w:left w:val="single" w:sz="4" w:space="0" w:color="000000"/>
              <w:bottom w:val="single" w:sz="4" w:space="0" w:color="000000"/>
              <w:right w:val="single" w:sz="4" w:space="0" w:color="000000"/>
            </w:tcBorders>
          </w:tcPr>
          <w:p>
            <w:pPr>
              <w:tabs>
                <w:tab w:val="left" w:pos="360"/>
              </w:tabs>
              <w:jc w:val="center"/>
            </w:pPr>
            <w:r>
              <w:lastRenderedPageBreak/>
              <w:t>5.</w:t>
            </w:r>
          </w:p>
        </w:tc>
        <w:tc>
          <w:tcPr>
            <w:tcW w:w="6159" w:type="dxa"/>
            <w:tcBorders>
              <w:top w:val="single" w:sz="4" w:space="0" w:color="000000"/>
              <w:left w:val="single" w:sz="4" w:space="0" w:color="000000"/>
              <w:bottom w:val="single" w:sz="4" w:space="0" w:color="000000"/>
              <w:right w:val="single" w:sz="4" w:space="0" w:color="000000"/>
            </w:tcBorders>
          </w:tcPr>
          <w:p>
            <w:pPr>
              <w:tabs>
                <w:tab w:val="left" w:pos="360"/>
              </w:tabs>
              <w:rPr>
                <w:color w:val="auto"/>
              </w:rPr>
            </w:pPr>
            <w:r>
              <w:rPr>
                <w:color w:val="auto"/>
              </w:rPr>
              <w:t>Критерий оценки:</w:t>
            </w:r>
          </w:p>
          <w:p>
            <w:pPr>
              <w:tabs>
                <w:tab w:val="left" w:pos="360"/>
              </w:tabs>
              <w:jc w:val="both"/>
              <w:rPr>
                <w:color w:val="auto"/>
              </w:rPr>
            </w:pPr>
            <w:r>
              <w:rPr>
                <w:color w:val="auto"/>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w:t>
            </w:r>
            <w:bookmarkStart w:id="0" w:name="_GoBack"/>
            <w:bookmarkEnd w:id="0"/>
            <w:r>
              <w:rPr>
                <w:color w:val="auto"/>
              </w:rPr>
              <w:t>деловой репутации, специалистов и иных работников определенного уровня квалификации».</w:t>
            </w:r>
          </w:p>
          <w:p>
            <w:pPr>
              <w:tabs>
                <w:tab w:val="left" w:pos="360"/>
              </w:tabs>
              <w:jc w:val="both"/>
              <w:rPr>
                <w:color w:val="auto"/>
              </w:rPr>
            </w:pPr>
          </w:p>
          <w:p>
            <w:pPr>
              <w:tabs>
                <w:tab w:val="left" w:pos="360"/>
              </w:tabs>
              <w:jc w:val="both"/>
              <w:rPr>
                <w:color w:val="auto"/>
              </w:rPr>
            </w:pPr>
            <w:r>
              <w:rPr>
                <w:color w:val="auto"/>
              </w:rPr>
              <w:t xml:space="preserve">Показатель оценки: </w:t>
            </w:r>
          </w:p>
          <w:p>
            <w:pPr>
              <w:tabs>
                <w:tab w:val="left" w:pos="360"/>
              </w:tabs>
              <w:jc w:val="both"/>
              <w:rPr>
                <w:color w:val="auto"/>
              </w:rPr>
            </w:pPr>
            <w:r>
              <w:rPr>
                <w:color w:val="auto"/>
              </w:rPr>
              <w:t>«Наличие у участников закупки специалистов и иных работников определенного уровня квалификации».</w:t>
            </w:r>
          </w:p>
          <w:p>
            <w:pPr>
              <w:tabs>
                <w:tab w:val="left" w:pos="360"/>
              </w:tabs>
              <w:jc w:val="both"/>
              <w:rPr>
                <w:color w:val="auto"/>
              </w:rPr>
            </w:pPr>
          </w:p>
          <w:p>
            <w:pPr>
              <w:tabs>
                <w:tab w:val="left" w:pos="360"/>
              </w:tabs>
              <w:jc w:val="both"/>
              <w:rPr>
                <w:color w:val="auto"/>
              </w:rPr>
            </w:pPr>
            <w:r>
              <w:rPr>
                <w:color w:val="auto"/>
              </w:rPr>
              <w:t xml:space="preserve">Показатель оценки, детализирующий показатель оценки: «Характеристика квалификации участников закупки № 1 (количество специалистов и иных работников, определенного уровня квалификации)». </w:t>
            </w:r>
          </w:p>
        </w:tc>
        <w:tc>
          <w:tcPr>
            <w:tcW w:w="8505" w:type="dxa"/>
            <w:tcBorders>
              <w:top w:val="single" w:sz="4" w:space="0" w:color="000000"/>
              <w:left w:val="single" w:sz="4" w:space="0" w:color="000000"/>
              <w:bottom w:val="single" w:sz="4" w:space="0" w:color="000000"/>
              <w:right w:val="single" w:sz="4" w:space="0" w:color="000000"/>
            </w:tcBorders>
          </w:tcPr>
          <w:p>
            <w:pPr>
              <w:tabs>
                <w:tab w:val="left" w:pos="360"/>
              </w:tabs>
              <w:ind w:firstLine="357"/>
              <w:jc w:val="both"/>
              <w:rPr>
                <w:color w:val="auto"/>
              </w:rPr>
            </w:pPr>
            <w:r>
              <w:rPr>
                <w:color w:val="auto"/>
              </w:rPr>
              <w:t>Перечень специалистов и иных работников, их квалификация, оцениваемые по показателю «Наличие у участников закупки специалистов и иных работников определенного уровня квалификации» и необходимые для оказания услуг, являющихся объектом закупки.</w:t>
            </w:r>
          </w:p>
          <w:p>
            <w:pPr>
              <w:tabs>
                <w:tab w:val="left" w:pos="-360"/>
                <w:tab w:val="left" w:pos="360"/>
              </w:tabs>
              <w:ind w:firstLine="459"/>
              <w:jc w:val="both"/>
              <w:rPr>
                <w:color w:val="auto"/>
                <w:szCs w:val="24"/>
                <w:lang w:bidi="ru-RU"/>
              </w:rPr>
            </w:pPr>
            <w:r>
              <w:rPr>
                <w:color w:val="auto"/>
              </w:rPr>
              <w:t xml:space="preserve">Оценке подлежит количество имеющихся у участника закупки специалистов и иных работников, соответствующих следующим требованиям </w:t>
            </w:r>
            <w:r>
              <w:rPr>
                <w:color w:val="auto"/>
              </w:rPr>
              <w:br/>
              <w:t xml:space="preserve">к уровню их квалификации, </w:t>
            </w:r>
            <w:r>
              <w:rPr>
                <w:color w:val="auto"/>
                <w:szCs w:val="24"/>
                <w:lang w:bidi="ru-RU"/>
              </w:rPr>
              <w:t>а именно наличие высшего образования (</w:t>
            </w:r>
            <w:proofErr w:type="spellStart"/>
            <w:r>
              <w:rPr>
                <w:color w:val="auto"/>
                <w:szCs w:val="24"/>
                <w:lang w:bidi="ru-RU"/>
              </w:rPr>
              <w:t>бакалавриат</w:t>
            </w:r>
            <w:proofErr w:type="spellEnd"/>
            <w:r>
              <w:rPr>
                <w:color w:val="auto"/>
                <w:szCs w:val="24"/>
                <w:lang w:bidi="ru-RU"/>
              </w:rPr>
              <w:t xml:space="preserve">, магистратура или </w:t>
            </w:r>
            <w:proofErr w:type="spellStart"/>
            <w:r>
              <w:rPr>
                <w:color w:val="auto"/>
                <w:szCs w:val="24"/>
                <w:lang w:bidi="ru-RU"/>
              </w:rPr>
              <w:t>специалитет</w:t>
            </w:r>
            <w:proofErr w:type="spellEnd"/>
            <w:r>
              <w:rPr>
                <w:color w:val="auto"/>
                <w:szCs w:val="24"/>
                <w:lang w:bidi="ru-RU"/>
              </w:rPr>
              <w:t>) в одной из следующих областей:</w:t>
            </w:r>
          </w:p>
          <w:p>
            <w:pPr>
              <w:widowControl w:val="0"/>
              <w:autoSpaceDE w:val="0"/>
              <w:autoSpaceDN w:val="0"/>
              <w:ind w:firstLine="459"/>
              <w:jc w:val="both"/>
              <w:rPr>
                <w:color w:val="auto"/>
                <w:szCs w:val="24"/>
                <w:lang w:bidi="ru-RU"/>
              </w:rPr>
            </w:pPr>
            <w:r>
              <w:rPr>
                <w:color w:val="auto"/>
                <w:szCs w:val="24"/>
                <w:lang w:bidi="ru-RU"/>
              </w:rPr>
              <w:t>– компьютерные и информационные науки;</w:t>
            </w:r>
          </w:p>
          <w:p>
            <w:pPr>
              <w:tabs>
                <w:tab w:val="left" w:pos="-360"/>
                <w:tab w:val="left" w:pos="360"/>
              </w:tabs>
              <w:ind w:firstLine="459"/>
              <w:jc w:val="both"/>
              <w:rPr>
                <w:color w:val="auto"/>
                <w:szCs w:val="24"/>
                <w:lang w:bidi="ru-RU"/>
              </w:rPr>
            </w:pPr>
            <w:r>
              <w:rPr>
                <w:color w:val="auto"/>
                <w:szCs w:val="24"/>
                <w:lang w:bidi="ru-RU"/>
              </w:rPr>
              <w:t>– информатика и вычислительная техника.</w:t>
            </w:r>
          </w:p>
          <w:p>
            <w:pPr>
              <w:tabs>
                <w:tab w:val="left" w:pos="360"/>
              </w:tabs>
              <w:ind w:firstLine="357"/>
              <w:jc w:val="both"/>
              <w:rPr>
                <w:color w:val="auto"/>
              </w:rPr>
            </w:pPr>
            <w:r>
              <w:rPr>
                <w:color w:val="auto"/>
              </w:rPr>
              <w:t xml:space="preserve">Перечень следующей информации (в том числе данных) и документов, подтверждающих квалификацию участника закупки, наличие специалистов </w:t>
            </w:r>
            <w:r>
              <w:rPr>
                <w:color w:val="auto"/>
              </w:rPr>
              <w:br/>
              <w:t>и иных работников, их квалификацию:</w:t>
            </w:r>
          </w:p>
          <w:p>
            <w:pPr>
              <w:widowControl w:val="0"/>
              <w:ind w:firstLine="459"/>
              <w:jc w:val="both"/>
              <w:rPr>
                <w:color w:val="auto"/>
              </w:rPr>
            </w:pPr>
            <w:r>
              <w:rPr>
                <w:color w:val="auto"/>
              </w:rPr>
              <w:t>– трудовые книжки или сведения о трудовой деятельности, предусмотренные статьей 66.1 Трудового кодекса Российской Федерации;</w:t>
            </w:r>
          </w:p>
          <w:p>
            <w:pPr>
              <w:pStyle w:val="ConsPlusNormal"/>
              <w:ind w:firstLine="459"/>
              <w:jc w:val="both"/>
              <w:rPr>
                <w:color w:val="auto"/>
              </w:rPr>
            </w:pPr>
            <w:r>
              <w:rPr>
                <w:color w:val="auto"/>
              </w:rPr>
              <w:t xml:space="preserve">– </w:t>
            </w:r>
            <w:r>
              <w:rPr>
                <w:rFonts w:ascii="Times New Roman" w:hAnsi="Times New Roman"/>
                <w:color w:val="auto"/>
                <w:sz w:val="24"/>
              </w:rPr>
              <w:t xml:space="preserve">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w:t>
            </w:r>
            <w:r>
              <w:rPr>
                <w:rFonts w:ascii="Times New Roman" w:hAnsi="Times New Roman"/>
                <w:color w:val="auto"/>
                <w:sz w:val="24"/>
              </w:rPr>
              <w:lastRenderedPageBreak/>
              <w:t>работодателями в соответствии с законодательством Российской Федерации):</w:t>
            </w:r>
          </w:p>
          <w:p>
            <w:pPr>
              <w:tabs>
                <w:tab w:val="left" w:pos="360"/>
              </w:tabs>
              <w:ind w:firstLine="530"/>
              <w:contextualSpacing/>
              <w:jc w:val="both"/>
              <w:rPr>
                <w:color w:val="auto"/>
              </w:rPr>
            </w:pPr>
            <w:r>
              <w:rPr>
                <w:color w:val="auto"/>
              </w:rPr>
              <w:t>– диплом или иной документ, подтверждающий наличие у работника соответствующего образования (прохождение обучения).</w:t>
            </w:r>
          </w:p>
          <w:p>
            <w:pPr>
              <w:tabs>
                <w:tab w:val="left" w:pos="360"/>
              </w:tabs>
              <w:ind w:firstLine="357"/>
              <w:jc w:val="both"/>
              <w:rPr>
                <w:color w:val="auto"/>
              </w:rPr>
            </w:pPr>
            <w:r>
              <w:rPr>
                <w:color w:val="auto"/>
              </w:rPr>
              <w:t xml:space="preserve">К оценке принимаются документы, предусмотренные настоящим пунктом, </w:t>
            </w:r>
            <w:r>
              <w:rPr>
                <w:color w:val="auto"/>
              </w:rPr>
              <w:br/>
              <w:t>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pPr>
              <w:tabs>
                <w:tab w:val="left" w:pos="360"/>
              </w:tabs>
              <w:ind w:firstLine="357"/>
              <w:jc w:val="both"/>
              <w:rPr>
                <w:color w:val="auto"/>
              </w:rPr>
            </w:pPr>
            <w:r>
              <w:rPr>
                <w:color w:val="auto"/>
              </w:rPr>
              <w:t>В случае наличия несоответствий в представляемых документах в связи изменением фамилии (имени, отчества) при заключении брака или по иным причинам, дополнительно представляются копии соответствующих свидетельств, предусмотренных Федеральным законом от 15.11.1997 № 143-ФЗ «Об актах гражданского состояния», подтверждающие такие изменения.</w:t>
            </w:r>
          </w:p>
          <w:p>
            <w:pPr>
              <w:tabs>
                <w:tab w:val="left" w:pos="360"/>
              </w:tabs>
              <w:ind w:firstLine="357"/>
              <w:jc w:val="both"/>
              <w:rPr>
                <w:color w:val="auto"/>
              </w:rPr>
            </w:pPr>
            <w:r>
              <w:rPr>
                <w:color w:val="auto"/>
              </w:rPr>
              <w:t xml:space="preserve">Дополнительно рекомендуется в состав заявки включить сведения </w:t>
            </w:r>
            <w:r>
              <w:rPr>
                <w:color w:val="auto"/>
              </w:rPr>
              <w:br/>
              <w:t xml:space="preserve">о предоставленных документах в соответствии с формой № 2, указанной </w:t>
            </w:r>
            <w:r>
              <w:rPr>
                <w:color w:val="auto"/>
              </w:rPr>
              <w:br/>
              <w:t>в приложении № 3 к извещению.</w:t>
            </w:r>
          </w:p>
        </w:tc>
      </w:tr>
    </w:tbl>
    <w:p>
      <w:pPr>
        <w:tabs>
          <w:tab w:val="left" w:pos="360"/>
        </w:tabs>
      </w:pPr>
    </w:p>
    <w:sectPr>
      <w:headerReference w:type="default" r:id="rId15"/>
      <w:pgSz w:w="16838" w:h="11906" w:orient="landscape"/>
      <w:pgMar w:top="1418" w:right="851" w:bottom="566" w:left="851" w:header="426"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round" w:vAnchor="text" w:hAnchor="margin" w:xAlign="center" w:y="1"/>
      <w:rPr>
        <w:sz w:val="16"/>
        <w:szCs w:val="16"/>
      </w:rPr>
    </w:pPr>
    <w:r>
      <w:rPr>
        <w:sz w:val="16"/>
        <w:szCs w:val="16"/>
      </w:rPr>
      <w:fldChar w:fldCharType="begin"/>
    </w:r>
    <w:r>
      <w:rPr>
        <w:sz w:val="16"/>
        <w:szCs w:val="16"/>
      </w:rPr>
      <w:instrText xml:space="preserve">PAGE </w:instrText>
    </w:r>
    <w:r>
      <w:rPr>
        <w:sz w:val="16"/>
        <w:szCs w:val="16"/>
      </w:rPr>
      <w:fldChar w:fldCharType="separate"/>
    </w:r>
    <w:r>
      <w:rPr>
        <w:noProof/>
        <w:sz w:val="16"/>
        <w:szCs w:val="16"/>
      </w:rPr>
      <w:t>10</w:t>
    </w:r>
    <w:r>
      <w:rPr>
        <w:sz w:val="16"/>
        <w:szCs w:val="16"/>
      </w:rPr>
      <w:fldChar w:fldCharType="end"/>
    </w:r>
  </w:p>
  <w:p>
    <w:pPr>
      <w:tabs>
        <w:tab w:val="center" w:pos="4536"/>
        <w:tab w:val="right" w:pos="9072"/>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7932B5"/>
    <w:multiLevelType w:val="multilevel"/>
    <w:tmpl w:val="2DB4B04C"/>
    <w:lvl w:ilvl="0">
      <w:start w:val="1"/>
      <w:numFmt w:val="bullet"/>
      <w:lvlText w:val=""/>
      <w:lvlJc w:val="left"/>
      <w:pPr>
        <w:ind w:left="890" w:hanging="360"/>
      </w:pPr>
      <w:rPr>
        <w:rFonts w:ascii="Symbol" w:hAnsi="Symbol"/>
      </w:rPr>
    </w:lvl>
    <w:lvl w:ilvl="1">
      <w:start w:val="1"/>
      <w:numFmt w:val="bullet"/>
      <w:lvlText w:val="o"/>
      <w:lvlJc w:val="left"/>
      <w:pPr>
        <w:ind w:left="1610" w:hanging="360"/>
      </w:pPr>
      <w:rPr>
        <w:rFonts w:ascii="Courier New" w:hAnsi="Courier New"/>
      </w:rPr>
    </w:lvl>
    <w:lvl w:ilvl="2">
      <w:start w:val="1"/>
      <w:numFmt w:val="bullet"/>
      <w:lvlText w:val=""/>
      <w:lvlJc w:val="left"/>
      <w:pPr>
        <w:ind w:left="2330" w:hanging="360"/>
      </w:pPr>
      <w:rPr>
        <w:rFonts w:ascii="Wingdings" w:hAnsi="Wingdings"/>
      </w:rPr>
    </w:lvl>
    <w:lvl w:ilvl="3">
      <w:start w:val="1"/>
      <w:numFmt w:val="bullet"/>
      <w:lvlText w:val=""/>
      <w:lvlJc w:val="left"/>
      <w:pPr>
        <w:ind w:left="3050" w:hanging="360"/>
      </w:pPr>
      <w:rPr>
        <w:rFonts w:ascii="Symbol" w:hAnsi="Symbol"/>
      </w:rPr>
    </w:lvl>
    <w:lvl w:ilvl="4">
      <w:start w:val="1"/>
      <w:numFmt w:val="bullet"/>
      <w:lvlText w:val="o"/>
      <w:lvlJc w:val="left"/>
      <w:pPr>
        <w:ind w:left="3770" w:hanging="360"/>
      </w:pPr>
      <w:rPr>
        <w:rFonts w:ascii="Courier New" w:hAnsi="Courier New"/>
      </w:rPr>
    </w:lvl>
    <w:lvl w:ilvl="5">
      <w:start w:val="1"/>
      <w:numFmt w:val="bullet"/>
      <w:lvlText w:val=""/>
      <w:lvlJc w:val="left"/>
      <w:pPr>
        <w:ind w:left="4490" w:hanging="360"/>
      </w:pPr>
      <w:rPr>
        <w:rFonts w:ascii="Wingdings" w:hAnsi="Wingdings"/>
      </w:rPr>
    </w:lvl>
    <w:lvl w:ilvl="6">
      <w:start w:val="1"/>
      <w:numFmt w:val="bullet"/>
      <w:lvlText w:val=""/>
      <w:lvlJc w:val="left"/>
      <w:pPr>
        <w:ind w:left="5210" w:hanging="360"/>
      </w:pPr>
      <w:rPr>
        <w:rFonts w:ascii="Symbol" w:hAnsi="Symbol"/>
      </w:rPr>
    </w:lvl>
    <w:lvl w:ilvl="7">
      <w:start w:val="1"/>
      <w:numFmt w:val="bullet"/>
      <w:lvlText w:val="o"/>
      <w:lvlJc w:val="left"/>
      <w:pPr>
        <w:ind w:left="5930" w:hanging="360"/>
      </w:pPr>
      <w:rPr>
        <w:rFonts w:ascii="Courier New" w:hAnsi="Courier New"/>
      </w:rPr>
    </w:lvl>
    <w:lvl w:ilvl="8">
      <w:start w:val="1"/>
      <w:numFmt w:val="bullet"/>
      <w:lvlText w:val=""/>
      <w:lvlJc w:val="left"/>
      <w:pPr>
        <w:ind w:left="665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Arial" w:hAnsi="Arial"/>
      <w:b/>
      <w:sz w:val="28"/>
    </w:rPr>
  </w:style>
  <w:style w:type="paragraph" w:styleId="2">
    <w:name w:val="heading 2"/>
    <w:basedOn w:val="a"/>
    <w:next w:val="a"/>
    <w:link w:val="20"/>
    <w:uiPriority w:val="9"/>
    <w:qFormat/>
    <w:pPr>
      <w:keepNext/>
      <w:spacing w:before="240" w:after="60"/>
      <w:outlineLvl w:val="1"/>
    </w:pPr>
    <w:rPr>
      <w:rFonts w:ascii="Arial" w:hAnsi="Arial"/>
      <w:b/>
      <w:i/>
    </w:rPr>
  </w:style>
  <w:style w:type="paragraph" w:styleId="3">
    <w:name w:val="heading 3"/>
    <w:basedOn w:val="a"/>
    <w:next w:val="a"/>
    <w:link w:val="30"/>
    <w:uiPriority w:val="9"/>
    <w:qFormat/>
    <w:pPr>
      <w:keepNext/>
      <w:spacing w:before="240" w:after="60"/>
      <w:outlineLvl w:val="2"/>
    </w:pPr>
    <w:rPr>
      <w:rFonts w:ascii="Arial" w:hAnsi="Arial"/>
    </w:rPr>
  </w:style>
  <w:style w:type="paragraph" w:styleId="4">
    <w:name w:val="heading 4"/>
    <w:basedOn w:val="a"/>
    <w:next w:val="a"/>
    <w:link w:val="40"/>
    <w:uiPriority w:val="9"/>
    <w:qFormat/>
    <w:pPr>
      <w:keepNext/>
      <w:spacing w:before="240" w:after="60"/>
      <w:outlineLvl w:val="3"/>
    </w:pPr>
    <w:rPr>
      <w:rFonts w:ascii="Arial" w:hAnsi="Arial"/>
      <w:b/>
    </w:rPr>
  </w:style>
  <w:style w:type="paragraph" w:styleId="5">
    <w:name w:val="heading 5"/>
    <w:basedOn w:val="a"/>
    <w:next w:val="a"/>
    <w:link w:val="50"/>
    <w:uiPriority w:val="9"/>
    <w:qFormat/>
    <w:pPr>
      <w:spacing w:before="240" w:after="60"/>
      <w:outlineLvl w:val="4"/>
    </w:pPr>
    <w:rPr>
      <w:sz w:val="22"/>
    </w:rPr>
  </w:style>
  <w:style w:type="paragraph" w:styleId="6">
    <w:name w:val="heading 6"/>
    <w:basedOn w:val="a"/>
    <w:next w:val="a"/>
    <w:link w:val="60"/>
    <w:uiPriority w:val="9"/>
    <w:qFormat/>
    <w:pPr>
      <w:spacing w:before="240" w:after="60"/>
      <w:outlineLvl w:val="5"/>
    </w:pPr>
    <w:rPr>
      <w: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Знак концевой сноски1"/>
    <w:basedOn w:val="13"/>
    <w:link w:val="a3"/>
    <w:rPr>
      <w:vertAlign w:val="superscript"/>
    </w:rPr>
  </w:style>
  <w:style w:type="character" w:styleId="a3">
    <w:name w:val="endnote reference"/>
    <w:basedOn w:val="a0"/>
    <w:link w:val="12"/>
    <w:rPr>
      <w:vertAlign w:val="superscript"/>
    </w:rPr>
  </w:style>
  <w:style w:type="paragraph" w:customStyle="1" w:styleId="14">
    <w:name w:val="Знак примечания1"/>
    <w:basedOn w:val="13"/>
    <w:link w:val="a4"/>
    <w:rPr>
      <w:sz w:val="16"/>
    </w:rPr>
  </w:style>
  <w:style w:type="character" w:styleId="a4">
    <w:name w:val="annotation reference"/>
    <w:basedOn w:val="a0"/>
    <w:link w:val="14"/>
    <w:rPr>
      <w:sz w:val="16"/>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annotation subject"/>
    <w:basedOn w:val="a6"/>
    <w:next w:val="a6"/>
    <w:link w:val="a7"/>
    <w:rPr>
      <w:b/>
    </w:rPr>
  </w:style>
  <w:style w:type="character" w:customStyle="1" w:styleId="a7">
    <w:name w:val="Тема примечания Знак"/>
    <w:basedOn w:val="a8"/>
    <w:link w:val="a5"/>
    <w:rPr>
      <w:b/>
      <w:sz w:val="20"/>
    </w:rPr>
  </w:style>
  <w:style w:type="paragraph" w:customStyle="1" w:styleId="Endnote">
    <w:name w:val="Endnote"/>
    <w:basedOn w:val="a"/>
    <w:link w:val="Endnote0"/>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rPr>
  </w:style>
  <w:style w:type="paragraph" w:styleId="a9">
    <w:name w:val="header"/>
    <w:basedOn w:val="a"/>
    <w:link w:val="aa"/>
    <w:pPr>
      <w:tabs>
        <w:tab w:val="center" w:pos="4677"/>
        <w:tab w:val="right" w:pos="9355"/>
      </w:tabs>
    </w:pPr>
  </w:style>
  <w:style w:type="character" w:customStyle="1" w:styleId="aa">
    <w:name w:val="Верхний колонтитул Знак"/>
    <w:basedOn w:val="1"/>
    <w:link w:val="a9"/>
  </w:style>
  <w:style w:type="paragraph" w:styleId="ab">
    <w:name w:val="List Paragraph"/>
    <w:basedOn w:val="a"/>
    <w:link w:val="ac"/>
    <w:pPr>
      <w:ind w:left="720"/>
      <w:contextualSpacing/>
    </w:pPr>
  </w:style>
  <w:style w:type="character" w:customStyle="1" w:styleId="ac">
    <w:name w:val="Абзац списка Знак"/>
    <w:basedOn w:val="1"/>
    <w:link w:val="ab"/>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style>
  <w:style w:type="paragraph" w:customStyle="1" w:styleId="af">
    <w:link w:val="af0"/>
    <w:semiHidden/>
    <w:unhideWhenUsed/>
  </w:style>
  <w:style w:type="character" w:customStyle="1" w:styleId="af0">
    <w:link w:val="af"/>
    <w:semiHidden/>
    <w:unhideWhenUsed/>
  </w:style>
  <w:style w:type="character" w:customStyle="1" w:styleId="50">
    <w:name w:val="Заголовок 5 Знак"/>
    <w:basedOn w:val="1"/>
    <w:link w:val="5"/>
    <w:rPr>
      <w:sz w:val="22"/>
    </w:rPr>
  </w:style>
  <w:style w:type="character" w:customStyle="1" w:styleId="11">
    <w:name w:val="Заголовок 1 Знак"/>
    <w:basedOn w:val="1"/>
    <w:link w:val="10"/>
    <w:rPr>
      <w:rFonts w:ascii="Arial" w:hAnsi="Arial"/>
      <w:b/>
      <w:sz w:val="28"/>
    </w:rPr>
  </w:style>
  <w:style w:type="paragraph" w:styleId="a6">
    <w:name w:val="annotation text"/>
    <w:basedOn w:val="a"/>
    <w:link w:val="a8"/>
    <w:rPr>
      <w:sz w:val="20"/>
    </w:rPr>
  </w:style>
  <w:style w:type="character" w:customStyle="1" w:styleId="a8">
    <w:name w:val="Текст примечания Знак"/>
    <w:basedOn w:val="1"/>
    <w:link w:val="a6"/>
    <w:rPr>
      <w:sz w:val="20"/>
    </w:rPr>
  </w:style>
  <w:style w:type="paragraph" w:customStyle="1" w:styleId="15">
    <w:name w:val="Гиперссылка1"/>
    <w:link w:val="af1"/>
    <w:rPr>
      <w:color w:val="0000FF"/>
      <w:u w:val="single"/>
    </w:rPr>
  </w:style>
  <w:style w:type="character" w:styleId="af1">
    <w:name w:val="Hyperlink"/>
    <w:link w:val="15"/>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af2">
    <w:name w:val="Balloon Text"/>
    <w:basedOn w:val="a"/>
    <w:link w:val="af3"/>
    <w:rPr>
      <w:rFonts w:ascii="Tahoma" w:hAnsi="Tahoma"/>
      <w:sz w:val="16"/>
    </w:rPr>
  </w:style>
  <w:style w:type="character" w:customStyle="1" w:styleId="af3">
    <w:name w:val="Текст выноски Знак"/>
    <w:basedOn w:val="1"/>
    <w:link w:val="af2"/>
    <w:rPr>
      <w:rFonts w:ascii="Tahoma" w:hAnsi="Tahoma"/>
      <w:sz w:val="16"/>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3">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4">
    <w:name w:val="Subtitle"/>
    <w:basedOn w:val="a"/>
    <w:next w:val="a"/>
    <w:link w:val="af5"/>
    <w:uiPriority w:val="11"/>
    <w:qFormat/>
    <w:pPr>
      <w:spacing w:after="60"/>
      <w:jc w:val="center"/>
    </w:pPr>
    <w:rPr>
      <w:rFonts w:ascii="Arial" w:hAnsi="Arial"/>
    </w:rPr>
  </w:style>
  <w:style w:type="character" w:customStyle="1" w:styleId="af5">
    <w:name w:val="Подзаголовок Знак"/>
    <w:basedOn w:val="1"/>
    <w:link w:val="af4"/>
    <w:rPr>
      <w:rFonts w:ascii="Arial" w:hAnsi="Arial"/>
    </w:rPr>
  </w:style>
  <w:style w:type="paragraph" w:styleId="af6">
    <w:name w:val="Title"/>
    <w:basedOn w:val="a"/>
    <w:next w:val="a"/>
    <w:link w:val="af7"/>
    <w:uiPriority w:val="10"/>
    <w:qFormat/>
    <w:pPr>
      <w:spacing w:before="240" w:after="60"/>
      <w:jc w:val="center"/>
    </w:pPr>
    <w:rPr>
      <w:rFonts w:ascii="Arial" w:hAnsi="Arial"/>
      <w:b/>
      <w:sz w:val="32"/>
    </w:rPr>
  </w:style>
  <w:style w:type="character" w:customStyle="1" w:styleId="af7">
    <w:name w:val="Название Знак"/>
    <w:basedOn w:val="1"/>
    <w:link w:val="af6"/>
    <w:rPr>
      <w:rFonts w:ascii="Arial" w:hAnsi="Arial"/>
      <w:b/>
      <w:sz w:val="32"/>
    </w:rPr>
  </w:style>
  <w:style w:type="character" w:customStyle="1" w:styleId="40">
    <w:name w:val="Заголовок 4 Знак"/>
    <w:basedOn w:val="1"/>
    <w:link w:val="4"/>
    <w:rPr>
      <w:rFonts w:ascii="Arial" w:hAnsi="Arial"/>
      <w:b/>
    </w:rPr>
  </w:style>
  <w:style w:type="paragraph" w:customStyle="1" w:styleId="18">
    <w:name w:val="Знак сноски1"/>
    <w:basedOn w:val="13"/>
    <w:link w:val="af8"/>
    <w:rPr>
      <w:vertAlign w:val="superscript"/>
    </w:rPr>
  </w:style>
  <w:style w:type="character" w:styleId="af8">
    <w:name w:val="footnote reference"/>
    <w:basedOn w:val="a0"/>
    <w:link w:val="18"/>
    <w:rPr>
      <w:vertAlign w:val="superscript"/>
    </w:rPr>
  </w:style>
  <w:style w:type="character" w:customStyle="1" w:styleId="20">
    <w:name w:val="Заголовок 2 Знак"/>
    <w:basedOn w:val="1"/>
    <w:link w:val="2"/>
    <w:rPr>
      <w:rFonts w:ascii="Arial" w:hAnsi="Arial"/>
      <w:b/>
      <w:i/>
    </w:rPr>
  </w:style>
  <w:style w:type="character" w:customStyle="1" w:styleId="60">
    <w:name w:val="Заголовок 6 Знак"/>
    <w:basedOn w:val="1"/>
    <w:link w:val="6"/>
    <w:rPr>
      <w:i/>
      <w:sz w:val="22"/>
    </w:rPr>
  </w:style>
  <w:style w:type="table" w:customStyle="1" w:styleId="af9">
    <w:basedOn w:val="TableNormal"/>
    <w:semiHidden/>
    <w:unhideWhenUsed/>
    <w:tblPr>
      <w:tblCellMar>
        <w:left w:w="108" w:type="dxa"/>
        <w:right w:w="108" w:type="dxa"/>
      </w:tblCellMar>
    </w:tblPr>
  </w:style>
  <w:style w:type="table" w:customStyle="1" w:styleId="afa">
    <w:basedOn w:val="TableNormal"/>
    <w:semiHidden/>
    <w:unhideWhenUsed/>
    <w:tblPr>
      <w:tblCellMar>
        <w:left w:w="108"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afb">
    <w:basedOn w:val="TableNormal"/>
    <w:semiHidden/>
    <w:unhideWhenUsed/>
    <w:tblPr>
      <w:tblCellMar>
        <w:left w:w="108" w:type="dxa"/>
        <w:right w:w="108" w:type="dxa"/>
      </w:tblCellMar>
    </w:tblPr>
  </w:style>
  <w:style w:type="table" w:customStyle="1" w:styleId="afc">
    <w:basedOn w:val="TableNormal"/>
    <w:semiHidden/>
    <w:unhideWhenUsed/>
    <w:pPr>
      <w:widowControl w:val="0"/>
    </w:pPr>
    <w:rPr>
      <w:rFonts w:ascii="Calibri" w:hAnsi="Calibri"/>
      <w:sz w:val="22"/>
    </w:rP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Arial" w:hAnsi="Arial"/>
      <w:b/>
      <w:sz w:val="28"/>
    </w:rPr>
  </w:style>
  <w:style w:type="paragraph" w:styleId="2">
    <w:name w:val="heading 2"/>
    <w:basedOn w:val="a"/>
    <w:next w:val="a"/>
    <w:link w:val="20"/>
    <w:uiPriority w:val="9"/>
    <w:qFormat/>
    <w:pPr>
      <w:keepNext/>
      <w:spacing w:before="240" w:after="60"/>
      <w:outlineLvl w:val="1"/>
    </w:pPr>
    <w:rPr>
      <w:rFonts w:ascii="Arial" w:hAnsi="Arial"/>
      <w:b/>
      <w:i/>
    </w:rPr>
  </w:style>
  <w:style w:type="paragraph" w:styleId="3">
    <w:name w:val="heading 3"/>
    <w:basedOn w:val="a"/>
    <w:next w:val="a"/>
    <w:link w:val="30"/>
    <w:uiPriority w:val="9"/>
    <w:qFormat/>
    <w:pPr>
      <w:keepNext/>
      <w:spacing w:before="240" w:after="60"/>
      <w:outlineLvl w:val="2"/>
    </w:pPr>
    <w:rPr>
      <w:rFonts w:ascii="Arial" w:hAnsi="Arial"/>
    </w:rPr>
  </w:style>
  <w:style w:type="paragraph" w:styleId="4">
    <w:name w:val="heading 4"/>
    <w:basedOn w:val="a"/>
    <w:next w:val="a"/>
    <w:link w:val="40"/>
    <w:uiPriority w:val="9"/>
    <w:qFormat/>
    <w:pPr>
      <w:keepNext/>
      <w:spacing w:before="240" w:after="60"/>
      <w:outlineLvl w:val="3"/>
    </w:pPr>
    <w:rPr>
      <w:rFonts w:ascii="Arial" w:hAnsi="Arial"/>
      <w:b/>
    </w:rPr>
  </w:style>
  <w:style w:type="paragraph" w:styleId="5">
    <w:name w:val="heading 5"/>
    <w:basedOn w:val="a"/>
    <w:next w:val="a"/>
    <w:link w:val="50"/>
    <w:uiPriority w:val="9"/>
    <w:qFormat/>
    <w:pPr>
      <w:spacing w:before="240" w:after="60"/>
      <w:outlineLvl w:val="4"/>
    </w:pPr>
    <w:rPr>
      <w:sz w:val="22"/>
    </w:rPr>
  </w:style>
  <w:style w:type="paragraph" w:styleId="6">
    <w:name w:val="heading 6"/>
    <w:basedOn w:val="a"/>
    <w:next w:val="a"/>
    <w:link w:val="60"/>
    <w:uiPriority w:val="9"/>
    <w:qFormat/>
    <w:pPr>
      <w:spacing w:before="240" w:after="60"/>
      <w:outlineLvl w:val="5"/>
    </w:pPr>
    <w:rPr>
      <w: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Знак концевой сноски1"/>
    <w:basedOn w:val="13"/>
    <w:link w:val="a3"/>
    <w:rPr>
      <w:vertAlign w:val="superscript"/>
    </w:rPr>
  </w:style>
  <w:style w:type="character" w:styleId="a3">
    <w:name w:val="endnote reference"/>
    <w:basedOn w:val="a0"/>
    <w:link w:val="12"/>
    <w:rPr>
      <w:vertAlign w:val="superscript"/>
    </w:rPr>
  </w:style>
  <w:style w:type="paragraph" w:customStyle="1" w:styleId="14">
    <w:name w:val="Знак примечания1"/>
    <w:basedOn w:val="13"/>
    <w:link w:val="a4"/>
    <w:rPr>
      <w:sz w:val="16"/>
    </w:rPr>
  </w:style>
  <w:style w:type="character" w:styleId="a4">
    <w:name w:val="annotation reference"/>
    <w:basedOn w:val="a0"/>
    <w:link w:val="14"/>
    <w:rPr>
      <w:sz w:val="16"/>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annotation subject"/>
    <w:basedOn w:val="a6"/>
    <w:next w:val="a6"/>
    <w:link w:val="a7"/>
    <w:rPr>
      <w:b/>
    </w:rPr>
  </w:style>
  <w:style w:type="character" w:customStyle="1" w:styleId="a7">
    <w:name w:val="Тема примечания Знак"/>
    <w:basedOn w:val="a8"/>
    <w:link w:val="a5"/>
    <w:rPr>
      <w:b/>
      <w:sz w:val="20"/>
    </w:rPr>
  </w:style>
  <w:style w:type="paragraph" w:customStyle="1" w:styleId="Endnote">
    <w:name w:val="Endnote"/>
    <w:basedOn w:val="a"/>
    <w:link w:val="Endnote0"/>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rPr>
  </w:style>
  <w:style w:type="paragraph" w:styleId="a9">
    <w:name w:val="header"/>
    <w:basedOn w:val="a"/>
    <w:link w:val="aa"/>
    <w:pPr>
      <w:tabs>
        <w:tab w:val="center" w:pos="4677"/>
        <w:tab w:val="right" w:pos="9355"/>
      </w:tabs>
    </w:pPr>
  </w:style>
  <w:style w:type="character" w:customStyle="1" w:styleId="aa">
    <w:name w:val="Верхний колонтитул Знак"/>
    <w:basedOn w:val="1"/>
    <w:link w:val="a9"/>
  </w:style>
  <w:style w:type="paragraph" w:styleId="ab">
    <w:name w:val="List Paragraph"/>
    <w:basedOn w:val="a"/>
    <w:link w:val="ac"/>
    <w:pPr>
      <w:ind w:left="720"/>
      <w:contextualSpacing/>
    </w:pPr>
  </w:style>
  <w:style w:type="character" w:customStyle="1" w:styleId="ac">
    <w:name w:val="Абзац списка Знак"/>
    <w:basedOn w:val="1"/>
    <w:link w:val="ab"/>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style>
  <w:style w:type="paragraph" w:customStyle="1" w:styleId="af">
    <w:link w:val="af0"/>
    <w:semiHidden/>
    <w:unhideWhenUsed/>
  </w:style>
  <w:style w:type="character" w:customStyle="1" w:styleId="af0">
    <w:link w:val="af"/>
    <w:semiHidden/>
    <w:unhideWhenUsed/>
  </w:style>
  <w:style w:type="character" w:customStyle="1" w:styleId="50">
    <w:name w:val="Заголовок 5 Знак"/>
    <w:basedOn w:val="1"/>
    <w:link w:val="5"/>
    <w:rPr>
      <w:sz w:val="22"/>
    </w:rPr>
  </w:style>
  <w:style w:type="character" w:customStyle="1" w:styleId="11">
    <w:name w:val="Заголовок 1 Знак"/>
    <w:basedOn w:val="1"/>
    <w:link w:val="10"/>
    <w:rPr>
      <w:rFonts w:ascii="Arial" w:hAnsi="Arial"/>
      <w:b/>
      <w:sz w:val="28"/>
    </w:rPr>
  </w:style>
  <w:style w:type="paragraph" w:styleId="a6">
    <w:name w:val="annotation text"/>
    <w:basedOn w:val="a"/>
    <w:link w:val="a8"/>
    <w:rPr>
      <w:sz w:val="20"/>
    </w:rPr>
  </w:style>
  <w:style w:type="character" w:customStyle="1" w:styleId="a8">
    <w:name w:val="Текст примечания Знак"/>
    <w:basedOn w:val="1"/>
    <w:link w:val="a6"/>
    <w:rPr>
      <w:sz w:val="20"/>
    </w:rPr>
  </w:style>
  <w:style w:type="paragraph" w:customStyle="1" w:styleId="15">
    <w:name w:val="Гиперссылка1"/>
    <w:link w:val="af1"/>
    <w:rPr>
      <w:color w:val="0000FF"/>
      <w:u w:val="single"/>
    </w:rPr>
  </w:style>
  <w:style w:type="character" w:styleId="af1">
    <w:name w:val="Hyperlink"/>
    <w:link w:val="15"/>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af2">
    <w:name w:val="Balloon Text"/>
    <w:basedOn w:val="a"/>
    <w:link w:val="af3"/>
    <w:rPr>
      <w:rFonts w:ascii="Tahoma" w:hAnsi="Tahoma"/>
      <w:sz w:val="16"/>
    </w:rPr>
  </w:style>
  <w:style w:type="character" w:customStyle="1" w:styleId="af3">
    <w:name w:val="Текст выноски Знак"/>
    <w:basedOn w:val="1"/>
    <w:link w:val="af2"/>
    <w:rPr>
      <w:rFonts w:ascii="Tahoma" w:hAnsi="Tahoma"/>
      <w:sz w:val="16"/>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3">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4">
    <w:name w:val="Subtitle"/>
    <w:basedOn w:val="a"/>
    <w:next w:val="a"/>
    <w:link w:val="af5"/>
    <w:uiPriority w:val="11"/>
    <w:qFormat/>
    <w:pPr>
      <w:spacing w:after="60"/>
      <w:jc w:val="center"/>
    </w:pPr>
    <w:rPr>
      <w:rFonts w:ascii="Arial" w:hAnsi="Arial"/>
    </w:rPr>
  </w:style>
  <w:style w:type="character" w:customStyle="1" w:styleId="af5">
    <w:name w:val="Подзаголовок Знак"/>
    <w:basedOn w:val="1"/>
    <w:link w:val="af4"/>
    <w:rPr>
      <w:rFonts w:ascii="Arial" w:hAnsi="Arial"/>
    </w:rPr>
  </w:style>
  <w:style w:type="paragraph" w:styleId="af6">
    <w:name w:val="Title"/>
    <w:basedOn w:val="a"/>
    <w:next w:val="a"/>
    <w:link w:val="af7"/>
    <w:uiPriority w:val="10"/>
    <w:qFormat/>
    <w:pPr>
      <w:spacing w:before="240" w:after="60"/>
      <w:jc w:val="center"/>
    </w:pPr>
    <w:rPr>
      <w:rFonts w:ascii="Arial" w:hAnsi="Arial"/>
      <w:b/>
      <w:sz w:val="32"/>
    </w:rPr>
  </w:style>
  <w:style w:type="character" w:customStyle="1" w:styleId="af7">
    <w:name w:val="Название Знак"/>
    <w:basedOn w:val="1"/>
    <w:link w:val="af6"/>
    <w:rPr>
      <w:rFonts w:ascii="Arial" w:hAnsi="Arial"/>
      <w:b/>
      <w:sz w:val="32"/>
    </w:rPr>
  </w:style>
  <w:style w:type="character" w:customStyle="1" w:styleId="40">
    <w:name w:val="Заголовок 4 Знак"/>
    <w:basedOn w:val="1"/>
    <w:link w:val="4"/>
    <w:rPr>
      <w:rFonts w:ascii="Arial" w:hAnsi="Arial"/>
      <w:b/>
    </w:rPr>
  </w:style>
  <w:style w:type="paragraph" w:customStyle="1" w:styleId="18">
    <w:name w:val="Знак сноски1"/>
    <w:basedOn w:val="13"/>
    <w:link w:val="af8"/>
    <w:rPr>
      <w:vertAlign w:val="superscript"/>
    </w:rPr>
  </w:style>
  <w:style w:type="character" w:styleId="af8">
    <w:name w:val="footnote reference"/>
    <w:basedOn w:val="a0"/>
    <w:link w:val="18"/>
    <w:rPr>
      <w:vertAlign w:val="superscript"/>
    </w:rPr>
  </w:style>
  <w:style w:type="character" w:customStyle="1" w:styleId="20">
    <w:name w:val="Заголовок 2 Знак"/>
    <w:basedOn w:val="1"/>
    <w:link w:val="2"/>
    <w:rPr>
      <w:rFonts w:ascii="Arial" w:hAnsi="Arial"/>
      <w:b/>
      <w:i/>
    </w:rPr>
  </w:style>
  <w:style w:type="character" w:customStyle="1" w:styleId="60">
    <w:name w:val="Заголовок 6 Знак"/>
    <w:basedOn w:val="1"/>
    <w:link w:val="6"/>
    <w:rPr>
      <w:i/>
      <w:sz w:val="22"/>
    </w:rPr>
  </w:style>
  <w:style w:type="table" w:customStyle="1" w:styleId="af9">
    <w:basedOn w:val="TableNormal"/>
    <w:semiHidden/>
    <w:unhideWhenUsed/>
    <w:tblPr>
      <w:tblCellMar>
        <w:left w:w="108" w:type="dxa"/>
        <w:right w:w="108" w:type="dxa"/>
      </w:tblCellMar>
    </w:tblPr>
  </w:style>
  <w:style w:type="table" w:customStyle="1" w:styleId="afa">
    <w:basedOn w:val="TableNormal"/>
    <w:semiHidden/>
    <w:unhideWhenUsed/>
    <w:tblPr>
      <w:tblCellMar>
        <w:left w:w="108"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afb">
    <w:basedOn w:val="TableNormal"/>
    <w:semiHidden/>
    <w:unhideWhenUsed/>
    <w:tblPr>
      <w:tblCellMar>
        <w:left w:w="108" w:type="dxa"/>
        <w:right w:w="108" w:type="dxa"/>
      </w:tblCellMar>
    </w:tblPr>
  </w:style>
  <w:style w:type="table" w:customStyle="1" w:styleId="afc">
    <w:basedOn w:val="TableNormal"/>
    <w:semiHidden/>
    <w:unhideWhenUsed/>
    <w:pPr>
      <w:widowControl w:val="0"/>
    </w:pPr>
    <w:rPr>
      <w:rFonts w:ascii="Calibri" w:hAnsi="Calibri"/>
      <w:sz w:val="22"/>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21657CAF7D9C3DC2C53D6A3F2C545C6B8ACF69611CBBEF3A206AB90C589AD1A72F9D06772A0415DECB856331C15O2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021657CAF7D9C3DC2C53D6A3F2C545C6B8ACF69611CBBEF3A206AB90C589AD1A72F9D06772A0415DECB856331C15O2P"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10</Pages>
  <Words>2234</Words>
  <Characters>12736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КАЗИНКИН Андрей Михайлович</dc:creator>
  <cp:lastModifiedBy>user1</cp:lastModifiedBy>
  <cp:revision>12</cp:revision>
  <cp:lastPrinted>2026-06-23T09:37:00Z</cp:lastPrinted>
  <dcterms:created xsi:type="dcterms:W3CDTF">2026-07-17T09:30:00Z</dcterms:created>
  <dcterms:modified xsi:type="dcterms:W3CDTF">2026-09-30T16:40:00Z</dcterms:modified>
</cp:coreProperties>
</file>