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_rels/document.xml.rels" ContentType="application/vnd.openxmlformats-package.relationships+xml"/>
  <Override PartName="/word/media/image1.png" ContentType="image/png"/>
  <Override PartName="/word/media/image2.png" ContentType="image/png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widowControl w:val="false"/>
        <w:spacing w:lineRule="auto" w:line="240" w:before="0" w:after="0"/>
        <w:jc w:val="center"/>
        <w:rPr/>
      </w:pPr>
      <w:r>
        <w:rPr>
          <w:rFonts w:ascii="Times New Roman" w:hAnsi="Times New Roman"/>
          <w:sz w:val="24"/>
          <w:szCs w:val="24"/>
        </w:rPr>
        <w:t>Обоснование начальной (максимальной) цены контракта</w:t>
      </w:r>
    </w:p>
    <w:p>
      <w:pPr>
        <w:pStyle w:val="Normal"/>
        <w:suppressAutoHyphens w:val="true"/>
        <w:spacing w:lineRule="auto" w:line="240" w:before="0" w:after="0"/>
        <w:ind w:firstLine="567"/>
        <w:jc w:val="center"/>
        <w:textAlignment w:val="baseline"/>
        <w:rPr>
          <w:shd w:fill="auto" w:val="clear"/>
        </w:rPr>
      </w:pPr>
      <w:r>
        <w:rPr>
          <w:rFonts w:eastAsia="Times New Roman" w:cs="Times New Roman" w:ascii="Times New Roman" w:hAnsi="Times New Roman"/>
          <w:b w:val="false"/>
          <w:bCs w:val="false"/>
          <w:i w:val="false"/>
          <w:iCs w:val="false"/>
          <w:color w:val="000000"/>
          <w:kern w:val="0"/>
          <w:sz w:val="24"/>
          <w:szCs w:val="24"/>
          <w:highlight w:val="white"/>
          <w:shd w:fill="auto" w:val="clear"/>
          <w:lang w:val="ru-RU" w:eastAsia="en-US" w:bidi="ar-SA"/>
        </w:rPr>
        <w:t>на 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№ 4652</w:t>
      </w:r>
    </w:p>
    <w:tbl>
      <w:tblPr>
        <w:tblW w:w="15904" w:type="dxa"/>
        <w:jc w:val="left"/>
        <w:tblInd w:w="46" w:type="dxa"/>
        <w:tblLayout w:type="fixed"/>
        <w:tblCellMar>
          <w:top w:w="113" w:type="dxa"/>
          <w:left w:w="113" w:type="dxa"/>
          <w:bottom w:w="113" w:type="dxa"/>
          <w:right w:w="113" w:type="dxa"/>
        </w:tblCellMar>
        <w:tblLook w:val="0000" w:noHBand="0" w:noVBand="0" w:firstColumn="0" w:lastRow="0" w:lastColumn="0" w:firstRow="0"/>
      </w:tblPr>
      <w:tblGrid>
        <w:gridCol w:w="3233"/>
        <w:gridCol w:w="684"/>
        <w:gridCol w:w="916"/>
        <w:gridCol w:w="717"/>
        <w:gridCol w:w="301"/>
        <w:gridCol w:w="1582"/>
        <w:gridCol w:w="1484"/>
        <w:gridCol w:w="1536"/>
        <w:gridCol w:w="1514"/>
        <w:gridCol w:w="1490"/>
        <w:gridCol w:w="920"/>
        <w:gridCol w:w="1525"/>
      </w:tblGrid>
      <w:tr>
        <w:trPr>
          <w:trHeight w:val="283" w:hRule="atLeast"/>
        </w:trPr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Основные характеристики объекта закупки</w:t>
            </w:r>
          </w:p>
        </w:tc>
        <w:tc>
          <w:tcPr>
            <w:tcW w:w="1266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numPr>
                <w:ilvl w:val="0"/>
                <w:numId w:val="0"/>
              </w:numPr>
              <w:tabs>
                <w:tab w:val="clear" w:pos="1298"/>
                <w:tab w:val="left" w:pos="5387" w:leader="none"/>
              </w:tabs>
              <w:spacing w:lineRule="auto" w:line="240" w:before="0" w:after="0"/>
              <w:ind w:hanging="0" w:left="0"/>
              <w:jc w:val="left"/>
              <w:outlineLvl w:val="0"/>
              <w:rPr>
                <w:sz w:val="20"/>
                <w:szCs w:val="20"/>
              </w:rPr>
            </w:pPr>
            <w:r>
              <w:rPr>
                <w:rFonts w:eastAsia="Times New Roman" w:cs="Times New Roman" w:ascii="Times New Roman" w:hAnsi="Times New Roman"/>
                <w:b w:val="false"/>
                <w:bCs w:val="false"/>
                <w:i w:val="false"/>
                <w:iCs w:val="false"/>
                <w:color w:val="000000"/>
                <w:kern w:val="0"/>
                <w:sz w:val="20"/>
                <w:szCs w:val="20"/>
                <w:highlight w:val="white"/>
                <w:shd w:fill="auto" w:val="clear"/>
                <w:lang w:val="ru-RU" w:eastAsia="en-US" w:bidi="ar-SA"/>
              </w:rPr>
              <w:t>оказание услуг по предоставлению сертификатов активации сервиса совместной технической поддержки для программного обеспечения в составе защищенной сети ViPNet № 4652</w:t>
            </w:r>
          </w:p>
        </w:tc>
      </w:tr>
      <w:tr>
        <w:trPr>
          <w:trHeight w:val="180" w:hRule="atLeast"/>
        </w:trPr>
        <w:tc>
          <w:tcPr>
            <w:tcW w:w="3233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>Используемый метод определения НМЦК с обоснованием:</w:t>
            </w:r>
          </w:p>
        </w:tc>
        <w:tc>
          <w:tcPr>
            <w:tcW w:w="12669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both"/>
              <w:rPr/>
            </w:pPr>
            <w:r>
              <w:rPr>
                <w:rFonts w:ascii="Times New Roman" w:hAnsi="Times New Roman"/>
                <w:sz w:val="18"/>
                <w:szCs w:val="18"/>
              </w:rPr>
              <w:t xml:space="preserve">Метод сопоставимых рыночных цен (анализа рынка) в соответствии с ч. 6 статьи 22 Федерального закона от 05.04.2013 N 44-ФЗ </w:t>
              <w:br/>
              <w:t>"О контрактной системе в сфере закупок товаров, работ, услуг для обеспечения государственных и муниципальных нужд" метод сопоставимых рыночных цен (анализа рынка) является приоритетным для определения и обоснования начальной (максимальной) цены контракта, приказом Минэкономразвития России от 02.10.2013 № 567 «Об утверждении Методических рекомендаций по применению методов определения начальной (максимальной) цены контракта, цены контракта, заключаемого с единственным поставщиком (подрядчиком, исполнителем)» применяется метод сопоставимых рыночных цен.</w:t>
            </w:r>
          </w:p>
        </w:tc>
      </w:tr>
      <w:tr>
        <w:trPr>
          <w:trHeight w:val="172" w:hRule="atLeast"/>
        </w:trPr>
        <w:tc>
          <w:tcPr>
            <w:tcW w:w="15902" w:type="dxa"/>
            <w:gridSpan w:val="1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Расчет начальной (максимальной) цены контракта методом сопоставимых рыночных цен (анализа рынка)</w:t>
            </w:r>
          </w:p>
        </w:tc>
      </w:tr>
      <w:tr>
        <w:trPr>
          <w:trHeight w:val="876" w:hRule="atLeast"/>
        </w:trPr>
        <w:tc>
          <w:tcPr>
            <w:tcW w:w="3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 xml:space="preserve">Объект закупки </w:t>
            </w:r>
            <w:r>
              <w:rPr>
                <w:rFonts w:ascii="Times New Roman" w:hAnsi="Times New Roman"/>
                <w:sz w:val="18"/>
                <w:szCs w:val="20"/>
                <w:lang w:val="en-US"/>
              </w:rPr>
              <w:t>(ОКПД2/КТРУ</w:t>
            </w:r>
            <w:r>
              <w:rPr>
                <w:rFonts w:ascii="Times New Roman" w:hAnsi="Times New Roman"/>
                <w:sz w:val="18"/>
                <w:szCs w:val="20"/>
              </w:rPr>
              <w:t>)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Единица измерения</w:t>
            </w:r>
          </w:p>
        </w:tc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Количество (объем)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jc w:val="left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Цена, указанная в источнике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 xml:space="preserve"> №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1,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от 02.10.2026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 xml:space="preserve">  № 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327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7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/01-31-04-08/01/26, (руб.)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Цена, указанная в источнике №2,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от 02.10.2026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 xml:space="preserve">  № 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328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3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/01-31-04-08/01/26, (руб.)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Цена, указанная в источнике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№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3,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от 02.10.2026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 xml:space="preserve">  № 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329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0</w:t>
            </w:r>
            <w:r>
              <w:rPr>
                <w:rFonts w:ascii="Times New Roman" w:hAnsi="Times New Roman"/>
                <w:sz w:val="18"/>
                <w:szCs w:val="18"/>
                <w:highlight w:val="white"/>
              </w:rPr>
              <w:t>/01-31-04-08/01/26, (руб.)</w:t>
            </w: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Средняя арифметическая величина цены единицы</w:t>
            </w: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Среднее квадратичное отклонение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Коэффи-циент вариации</w:t>
            </w:r>
          </w:p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(%)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НМЦК (руб.)    </w:t>
            </w:r>
            <w:r>
              <w:rPr/>
              <w:drawing>
                <wp:inline distT="0" distB="0" distL="0" distR="0">
                  <wp:extent cx="779780" cy="361950"/>
                  <wp:effectExtent l="0" t="0" r="0" b="0"/>
                  <wp:docPr id="1" name="Рисунок 79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79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9780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982" w:hRule="atLeast"/>
        </w:trPr>
        <w:tc>
          <w:tcPr>
            <w:tcW w:w="391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Услуги по предоставлению сертификата активации сервиса совместной технической поддержки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ПО ViPNet Endpoint Protection (Standalone Agent) на срок 1 год, уровень — Стандартный,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  <w:shd w:fill="auto" w:val="clear"/>
              </w:rPr>
              <w:t>сеть 4652.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shd w:fill="auto" w:val="clear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ОКПД2: 62.02.30.000</w:t>
            </w:r>
          </w:p>
        </w:tc>
        <w:tc>
          <w:tcPr>
            <w:tcW w:w="91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18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  <w:t>1 181 625,00</w:t>
            </w:r>
          </w:p>
        </w:tc>
        <w:tc>
          <w:tcPr>
            <w:tcW w:w="14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  <w:t>1 181 626,00</w:t>
            </w:r>
          </w:p>
        </w:tc>
        <w:tc>
          <w:tcPr>
            <w:tcW w:w="1536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cs="Times New Roman" w:ascii="Times New Roman" w:hAnsi="Times New Roman"/>
                <w:b w:val="false"/>
                <w:bCs w:val="false"/>
                <w:sz w:val="22"/>
                <w:szCs w:val="22"/>
                <w:shd w:fill="auto" w:val="clear"/>
              </w:rPr>
              <w:t>1 181 626,00</w:t>
            </w: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sz w:val="22"/>
                <w:szCs w:val="22"/>
              </w:rPr>
              <w:t>1 181 625.67</w:t>
            </w:r>
          </w:p>
        </w:tc>
        <w:tc>
          <w:tcPr>
            <w:tcW w:w="149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0,57735</w:t>
            </w:r>
          </w:p>
        </w:tc>
        <w:tc>
          <w:tcPr>
            <w:tcW w:w="92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0%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1 181 625,67</w:t>
            </w:r>
          </w:p>
        </w:tc>
      </w:tr>
      <w:tr>
        <w:trPr>
          <w:trHeight w:val="982" w:hRule="atLeast"/>
        </w:trPr>
        <w:tc>
          <w:tcPr>
            <w:tcW w:w="391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Услуги по предоставлению сертификата активации сервиса совместной технической поддержки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ПО ViPNet Client 5 for Linux на срок 1 год, уровень — Расширенный, сеть 4652.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ОКПД2: 62.02.30.000</w:t>
            </w:r>
          </w:p>
        </w:tc>
        <w:tc>
          <w:tcPr>
            <w:tcW w:w="9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1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1 853 635,00</w:t>
            </w:r>
          </w:p>
        </w:tc>
        <w:tc>
          <w:tcPr>
            <w:tcW w:w="1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1 853 636,00</w:t>
            </w:r>
          </w:p>
        </w:tc>
        <w:tc>
          <w:tcPr>
            <w:tcW w:w="15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1 853 636,00</w:t>
            </w:r>
          </w:p>
        </w:tc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1 853 635.67</w:t>
            </w:r>
          </w:p>
        </w:tc>
        <w:tc>
          <w:tcPr>
            <w:tcW w:w="1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0,57735</w:t>
            </w:r>
          </w:p>
        </w:tc>
        <w:tc>
          <w:tcPr>
            <w:tcW w:w="9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0%</w:t>
            </w:r>
          </w:p>
        </w:tc>
        <w:tc>
          <w:tcPr>
            <w:tcW w:w="15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1 853 635,67</w:t>
            </w:r>
          </w:p>
        </w:tc>
      </w:tr>
      <w:tr>
        <w:trPr>
          <w:trHeight w:val="982" w:hRule="atLeast"/>
        </w:trPr>
        <w:tc>
          <w:tcPr>
            <w:tcW w:w="3917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Услуги по предоставлению сертификата активации сервиса совместной технической поддержки ПО ViPNet Client 4U for</w:t>
            </w:r>
            <w:r>
              <w:rPr>
                <w:rFonts w:eastAsia="Open Sans" w:ascii="Times New Roman" w:hAnsi="Times New Roman"/>
                <w:color w:val="000000"/>
                <w:sz w:val="22"/>
                <w:szCs w:val="22"/>
                <w:shd w:fill="auto" w:val="clear"/>
              </w:rPr>
              <w:t xml:space="preserve"> </w:t>
            </w:r>
            <w:r>
              <w:rPr>
                <w:rFonts w:eastAsia="Open Sans" w:ascii="Times New Roman" w:hAnsi="Times New Roman"/>
                <w:color w:val="000000"/>
                <w:sz w:val="22"/>
                <w:szCs w:val="22"/>
                <w:shd w:fill="auto" w:val="clear"/>
                <w:lang w:val="en-US"/>
              </w:rPr>
              <w:t>Android</w:t>
            </w:r>
            <w:r>
              <w:rPr>
                <w:rFonts w:eastAsia="Open Sans" w:ascii="Times New Roman" w:hAnsi="Times New Roman"/>
                <w:color w:val="000000"/>
                <w:sz w:val="22"/>
                <w:szCs w:val="22"/>
                <w:shd w:fill="auto" w:val="clear"/>
              </w:rPr>
              <w:t xml:space="preserve"> (</w:t>
            </w:r>
            <w:r>
              <w:rPr>
                <w:rFonts w:eastAsia="Open Sans" w:ascii="Times New Roman" w:hAnsi="Times New Roman"/>
                <w:color w:val="000000"/>
                <w:sz w:val="22"/>
                <w:szCs w:val="22"/>
                <w:shd w:fill="auto" w:val="clear"/>
                <w:lang w:val="en-US"/>
              </w:rPr>
              <w:t>KC</w:t>
            </w:r>
            <w:r>
              <w:rPr>
                <w:rFonts w:eastAsia="Open Sans" w:ascii="Times New Roman" w:hAnsi="Times New Roman"/>
                <w:color w:val="000000"/>
                <w:sz w:val="22"/>
                <w:szCs w:val="22"/>
                <w:shd w:fill="auto" w:val="clear"/>
              </w:rPr>
              <w:t>1</w:t>
            </w: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) на срок 1 год, уровень – Расширенный, сеть 4652.</w:t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color w:val="000000"/>
                <w:shd w:fill="auto" w:val="clear"/>
              </w:rPr>
            </w:pPr>
            <w:r>
              <w:rPr>
                <w:rFonts w:ascii="Times New Roman" w:hAnsi="Times New Roman"/>
                <w:sz w:val="22"/>
                <w:szCs w:val="22"/>
              </w:rPr>
            </w:r>
          </w:p>
          <w:p>
            <w:pPr>
              <w:pStyle w:val="Normal"/>
              <w:widowControl w:val="false"/>
              <w:spacing w:lineRule="auto" w:line="240" w:before="0" w:after="0"/>
              <w:contextualSpacing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color w:val="000000"/>
                <w:sz w:val="22"/>
                <w:szCs w:val="22"/>
                <w:shd w:fill="auto" w:val="clear"/>
              </w:rPr>
              <w:t>ОКПД2: 62.02.30.000</w:t>
            </w:r>
          </w:p>
        </w:tc>
        <w:tc>
          <w:tcPr>
            <w:tcW w:w="91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усл. ед.</w:t>
            </w:r>
          </w:p>
        </w:tc>
        <w:tc>
          <w:tcPr>
            <w:tcW w:w="1018" w:type="dxa"/>
            <w:gridSpan w:val="2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 xml:space="preserve">     </w:t>
            </w:r>
            <w:r>
              <w:rPr>
                <w:rFonts w:ascii="Times New Roman" w:hAnsi="Times New Roman"/>
                <w:sz w:val="22"/>
                <w:szCs w:val="22"/>
              </w:rPr>
              <w:t>1</w:t>
            </w:r>
          </w:p>
        </w:tc>
        <w:tc>
          <w:tcPr>
            <w:tcW w:w="1582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355 020,00</w:t>
            </w:r>
          </w:p>
        </w:tc>
        <w:tc>
          <w:tcPr>
            <w:tcW w:w="148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355 020,00</w:t>
            </w:r>
          </w:p>
        </w:tc>
        <w:tc>
          <w:tcPr>
            <w:tcW w:w="1536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color="auto" w:fill="auto" w:val="clear"/>
            <w:vAlign w:val="center"/>
          </w:tcPr>
          <w:p>
            <w:pPr>
              <w:pStyle w:val="Normal"/>
              <w:widowControl w:val="false"/>
              <w:spacing w:before="0" w:after="0"/>
              <w:ind w:hanging="0" w:left="0" w:right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sz w:val="22"/>
                <w:szCs w:val="22"/>
              </w:rPr>
              <w:t>355 020,00</w:t>
            </w:r>
          </w:p>
        </w:tc>
        <w:tc>
          <w:tcPr>
            <w:tcW w:w="1514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355 020.00</w:t>
            </w:r>
          </w:p>
        </w:tc>
        <w:tc>
          <w:tcPr>
            <w:tcW w:w="149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0</w:t>
            </w:r>
          </w:p>
        </w:tc>
        <w:tc>
          <w:tcPr>
            <w:tcW w:w="92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0%</w:t>
            </w:r>
          </w:p>
        </w:tc>
        <w:tc>
          <w:tcPr>
            <w:tcW w:w="1525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ascii="Times New Roman" w:hAnsi="Times New Roman"/>
                <w:b w:val="false"/>
                <w:bCs w:val="false"/>
                <w:sz w:val="22"/>
                <w:szCs w:val="22"/>
              </w:rPr>
              <w:t>355 020,00</w:t>
            </w:r>
          </w:p>
        </w:tc>
      </w:tr>
      <w:tr>
        <w:trPr>
          <w:trHeight w:val="287" w:hRule="atLeast"/>
        </w:trPr>
        <w:tc>
          <w:tcPr>
            <w:tcW w:w="14377" w:type="dxa"/>
            <w:gridSpan w:val="11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spacing w:lineRule="auto" w:line="240" w:before="0" w:after="0"/>
              <w:jc w:val="right"/>
              <w:rPr/>
            </w:pPr>
            <w:r>
              <w:rPr>
                <w:rFonts w:ascii="Times New Roman" w:hAnsi="Times New Roman"/>
                <w:b/>
                <w:bCs/>
                <w:sz w:val="22"/>
                <w:szCs w:val="22"/>
                <w:shd w:fill="FFFFFF" w:val="clear"/>
              </w:rPr>
              <w:t>ИТОГО:</w:t>
            </w:r>
          </w:p>
        </w:tc>
        <w:tc>
          <w:tcPr>
            <w:tcW w:w="15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/>
                <w:sz w:val="22"/>
                <w:szCs w:val="22"/>
              </w:rPr>
            </w:pPr>
            <w:r>
              <w:rPr>
                <w:rFonts w:eastAsia="Times New Roman" w:cs="Times New Roman" w:ascii="Times New Roman" w:hAnsi="Times New Roman"/>
                <w:b/>
                <w:bCs/>
                <w:i w:val="false"/>
                <w:strike w:val="false"/>
                <w:dstrike w:val="false"/>
                <w:outline w:val="false"/>
                <w:shadow w:val="false"/>
                <w:color w:themeColor="text1" w:val="000000"/>
                <w:kern w:val="0"/>
                <w:sz w:val="22"/>
                <w:szCs w:val="22"/>
                <w:u w:val="none"/>
                <w:shd w:fill="auto" w:val="clear"/>
                <w:em w:val="none"/>
                <w:lang w:val="ru-RU" w:eastAsia="ru-RU" w:bidi="ar-SA"/>
              </w:rPr>
              <w:t>3 390 281,34</w:t>
            </w:r>
          </w:p>
        </w:tc>
      </w:tr>
      <w:tr>
        <w:trPr/>
        <w:tc>
          <w:tcPr>
            <w:tcW w:w="5550" w:type="dxa"/>
            <w:gridSpan w:val="4"/>
            <w:vMerge w:val="restart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  <w:drawing>
                <wp:anchor behindDoc="0" distT="0" distB="0" distL="0" distR="0" simplePos="0" locked="0" layoutInCell="1" allowOverlap="1" relativeHeight="3">
                  <wp:simplePos x="0" y="0"/>
                  <wp:positionH relativeFrom="column">
                    <wp:posOffset>768985</wp:posOffset>
                  </wp:positionH>
                  <wp:positionV relativeFrom="paragraph">
                    <wp:posOffset>274955</wp:posOffset>
                  </wp:positionV>
                  <wp:extent cx="1790700" cy="457200"/>
                  <wp:effectExtent l="0" t="0" r="0" b="0"/>
                  <wp:wrapNone/>
                  <wp:docPr id="2" name="Рисунок 1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790700" cy="457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827" w:type="dxa"/>
            <w:gridSpan w:val="7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где:</w:t>
            </w:r>
          </w:p>
        </w:tc>
        <w:tc>
          <w:tcPr>
            <w:tcW w:w="152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550" w:type="dxa"/>
            <w:gridSpan w:val="4"/>
            <w:vMerge w:val="continue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</w:tc>
        <w:tc>
          <w:tcPr>
            <w:tcW w:w="8827" w:type="dxa"/>
            <w:gridSpan w:val="7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 xml:space="preserve">НМЦК </w:t>
            </w:r>
            <w:r>
              <w:rPr>
                <w:rFonts w:ascii="Times New Roman" w:hAnsi="Times New Roman"/>
                <w:sz w:val="18"/>
                <w:szCs w:val="20"/>
                <w:vertAlign w:val="superscript"/>
              </w:rPr>
              <w:t xml:space="preserve">рын. 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- определяемая методом сопоставимых рыночных цен (анализа рынка);</w:t>
            </w:r>
          </w:p>
        </w:tc>
        <w:tc>
          <w:tcPr>
            <w:tcW w:w="152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550" w:type="dxa"/>
            <w:gridSpan w:val="4"/>
            <w:vMerge w:val="continue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</w:tc>
        <w:tc>
          <w:tcPr>
            <w:tcW w:w="8827" w:type="dxa"/>
            <w:gridSpan w:val="7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v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 - </w:t>
            </w:r>
            <w:r>
              <w:rPr>
                <w:rFonts w:ascii="Times New Roman" w:hAnsi="Times New Roman"/>
                <w:sz w:val="18"/>
                <w:szCs w:val="20"/>
              </w:rPr>
              <w:t>количество (объем) закупаемого товара;</w:t>
            </w:r>
          </w:p>
        </w:tc>
        <w:tc>
          <w:tcPr>
            <w:tcW w:w="152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550" w:type="dxa"/>
            <w:gridSpan w:val="4"/>
            <w:vMerge w:val="continue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</w:tc>
        <w:tc>
          <w:tcPr>
            <w:tcW w:w="8827" w:type="dxa"/>
            <w:gridSpan w:val="7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n - количество значений, используемых в расчете;</w:t>
            </w:r>
          </w:p>
        </w:tc>
        <w:tc>
          <w:tcPr>
            <w:tcW w:w="152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550" w:type="dxa"/>
            <w:gridSpan w:val="4"/>
            <w:vMerge w:val="continue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i/>
                <w:i/>
                <w:iCs/>
                <w:sz w:val="18"/>
                <w:szCs w:val="20"/>
              </w:rPr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</w:r>
          </w:p>
        </w:tc>
        <w:tc>
          <w:tcPr>
            <w:tcW w:w="8827" w:type="dxa"/>
            <w:gridSpan w:val="7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 xml:space="preserve">i </w:t>
            </w:r>
            <w:r>
              <w:rPr>
                <w:rFonts w:ascii="Times New Roman" w:hAnsi="Times New Roman"/>
                <w:sz w:val="18"/>
                <w:szCs w:val="20"/>
              </w:rPr>
              <w:t>- номер источника ценовой информации;</w:t>
            </w:r>
          </w:p>
        </w:tc>
        <w:tc>
          <w:tcPr>
            <w:tcW w:w="152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/>
            </w:pPr>
            <w:r>
              <w:rPr/>
            </w:r>
          </w:p>
        </w:tc>
      </w:tr>
      <w:tr>
        <w:trPr/>
        <w:tc>
          <w:tcPr>
            <w:tcW w:w="5550" w:type="dxa"/>
            <w:gridSpan w:val="4"/>
            <w:vMerge w:val="continue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>
                <w:rFonts w:ascii="Times New Roman" w:hAnsi="Times New Roman"/>
                <w:sz w:val="18"/>
                <w:szCs w:val="20"/>
              </w:rPr>
            </w:pPr>
            <w:r>
              <w:rPr>
                <w:rFonts w:ascii="Times New Roman" w:hAnsi="Times New Roman"/>
                <w:sz w:val="18"/>
                <w:szCs w:val="20"/>
              </w:rPr>
            </w:r>
          </w:p>
        </w:tc>
        <w:tc>
          <w:tcPr>
            <w:tcW w:w="8827" w:type="dxa"/>
            <w:gridSpan w:val="7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spacing w:lineRule="auto" w:line="240" w:before="0" w:after="0"/>
              <w:rPr/>
            </w:pPr>
            <w:r>
              <w:rPr>
                <w:rFonts w:ascii="Times New Roman" w:hAnsi="Times New Roman"/>
                <w:sz w:val="18"/>
                <w:szCs w:val="20"/>
              </w:rPr>
              <w:t>ц</w:t>
            </w:r>
            <w:r>
              <w:rPr>
                <w:rFonts w:ascii="Times New Roman" w:hAnsi="Times New Roman"/>
                <w:sz w:val="18"/>
                <w:szCs w:val="20"/>
                <w:vertAlign w:val="subscript"/>
              </w:rPr>
              <w:t>i</w:t>
            </w:r>
            <w:r>
              <w:rPr>
                <w:rFonts w:ascii="Times New Roman" w:hAnsi="Times New Roman"/>
                <w:sz w:val="18"/>
                <w:szCs w:val="20"/>
              </w:rPr>
              <w:t xml:space="preserve"> - цена единицы товара, представленная в источнике с номером </w:t>
            </w:r>
            <w:r>
              <w:rPr>
                <w:rFonts w:ascii="Times New Roman" w:hAnsi="Times New Roman"/>
                <w:i/>
                <w:iCs/>
                <w:sz w:val="18"/>
                <w:szCs w:val="20"/>
              </w:rPr>
              <w:t>i.</w:t>
            </w:r>
          </w:p>
        </w:tc>
        <w:tc>
          <w:tcPr>
            <w:tcW w:w="1525" w:type="dxa"/>
            <w:tcBorders/>
            <w:tcMar>
              <w:top w:w="0" w:type="dxa"/>
              <w:left w:w="10" w:type="dxa"/>
              <w:bottom w:w="0" w:type="dxa"/>
              <w:right w:w="10" w:type="dxa"/>
            </w:tcMar>
          </w:tcPr>
          <w:p>
            <w:pPr>
              <w:pStyle w:val="Normal"/>
              <w:widowControl/>
              <w:bidi w:val="0"/>
              <w:spacing w:lineRule="auto" w:line="240" w:before="0" w:after="0"/>
              <w:jc w:val="left"/>
              <w:rPr/>
            </w:pPr>
            <w:r>
              <w:rPr/>
            </w:r>
          </w:p>
        </w:tc>
      </w:tr>
    </w:tbl>
    <w:p>
      <w:pPr>
        <w:pStyle w:val="Normal"/>
        <w:widowControl w:val="false"/>
        <w:spacing w:lineRule="auto" w:line="240" w:before="0" w:after="0"/>
        <w:jc w:val="both"/>
        <w:rPr>
          <w:sz w:val="22"/>
          <w:szCs w:val="22"/>
        </w:rPr>
      </w:pPr>
      <w:r>
        <w:rPr>
          <w:rFonts w:eastAsia="Times New Roman" w:cs="Times New Roman" w:ascii="Times New Roman" w:hAnsi="Times New Roman"/>
          <w:b w:val="false"/>
          <w:bCs w:val="false"/>
          <w:color w:val="auto"/>
          <w:kern w:val="0"/>
          <w:sz w:val="22"/>
          <w:szCs w:val="22"/>
          <w:lang w:val="ru-RU" w:eastAsia="ru-RU" w:bidi="ar-SA"/>
        </w:rPr>
        <w:t>НМЦК принимается в размере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2"/>
          <w:szCs w:val="22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 xml:space="preserve"> </w:t>
      </w:r>
      <w:r>
        <w:rPr>
          <w:rFonts w:eastAsia="Times New Roman" w:cs="Times New Roman" w:ascii="Times New Roman" w:hAnsi="Times New Roman"/>
          <w:b/>
          <w:bCs w:val="false"/>
          <w:color w:val="000000"/>
          <w:kern w:val="0"/>
          <w:sz w:val="22"/>
          <w:szCs w:val="22"/>
          <w:shd w:fill="auto" w:val="clear"/>
          <w:lang w:val="ru-RU" w:eastAsia="ru-RU" w:bidi="ar-SA"/>
        </w:rPr>
        <w:t xml:space="preserve">3 390 281,34 </w:t>
      </w:r>
      <w:r>
        <w:rPr>
          <w:rFonts w:eastAsia="Times New Roman" w:cs="Times New Roman" w:ascii="Times New Roman" w:hAnsi="Times New Roman"/>
          <w:b/>
          <w:bCs/>
          <w:color w:val="000000"/>
          <w:kern w:val="0"/>
          <w:sz w:val="20"/>
          <w:szCs w:val="20"/>
          <w:shd w:fill="auto" w:val="clear"/>
          <w:lang w:val="ru-RU" w:eastAsia="ru-RU" w:bidi="ar-SA"/>
        </w:rPr>
        <w:t>(три миллиона триста девяносто тысяч двести восемьдесят один</w:t>
      </w:r>
      <w:r>
        <w:rPr>
          <w:rFonts w:eastAsia="Times New Roman" w:cs="Times New Roman" w:ascii="Times New Roman" w:hAnsi="Times New Roman"/>
          <w:b/>
          <w:bCs w:val="false"/>
          <w:color w:val="000000"/>
          <w:kern w:val="0"/>
          <w:sz w:val="20"/>
          <w:szCs w:val="20"/>
          <w:shd w:fill="auto" w:val="clear"/>
          <w:lang w:val="ru-RU" w:eastAsia="ru-RU" w:bidi="ar-SA"/>
        </w:rPr>
        <w:t>) рубль 34 копейки</w:t>
      </w:r>
      <w:r>
        <w:rPr>
          <w:rFonts w:eastAsia="Times New Roman" w:cs="Times New Roman" w:ascii="Times New Roman" w:hAnsi="Times New Roman"/>
          <w:b w:val="false"/>
          <w:bCs w:val="false"/>
          <w:color w:val="000000"/>
          <w:kern w:val="0"/>
          <w:sz w:val="22"/>
          <w:szCs w:val="22"/>
          <w:shd w:fill="auto" w:val="clear"/>
          <w:lang w:val="ru-RU" w:eastAsia="ru-RU" w:bidi="ar-SA"/>
        </w:rPr>
        <w:t xml:space="preserve"> с учетом НДС.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eastAsia="Times New Roman" w:cs="Times New Roman" w:ascii="Times New Roman" w:hAnsi="Times New Roman"/>
          <w:b w:val="false"/>
          <w:bCs w:val="false"/>
          <w:i/>
          <w:iCs/>
          <w:color w:val="auto"/>
          <w:kern w:val="0"/>
          <w:sz w:val="24"/>
          <w:szCs w:val="24"/>
          <w:lang w:val="ru-RU" w:eastAsia="ru-RU" w:bidi="ar-SA"/>
        </w:rPr>
        <w:t>Нормативный правовой (правовой) акт, устанавливающий требования к отдельным видам товаров, работ, услуг (в том числе предельные цены товаров, работ, услуг), для указанного объекта закупки отсутствуют.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>Обоснование начальной (максимальной) цены контракта подготовлено на основании анализа рынка, предоставленного главный специалист-эксперт отдела информационно-телекоммуникационной инфраструктуры Департамента цифрового развития города Севастополя А.И. Шульгой от 06.10.2026.</w:t>
      </w:r>
    </w:p>
    <w:p>
      <w:pPr>
        <w:pStyle w:val="Normal"/>
        <w:widowControl w:val="false"/>
        <w:spacing w:lineRule="auto" w:line="240" w:before="0" w:after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Начальник отдела государственных закупок 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ascii="Times New Roman" w:hAnsi="Times New Roman"/>
          <w:sz w:val="24"/>
          <w:szCs w:val="24"/>
        </w:rPr>
        <w:t xml:space="preserve">Департамента цифрового развития города Севастополя       ________________     / Егоров С.А. / </w:t>
      </w:r>
    </w:p>
    <w:p>
      <w:pPr>
        <w:pStyle w:val="Normal"/>
        <w:widowControl w:val="false"/>
        <w:spacing w:lineRule="auto" w:line="240" w:before="0" w:after="0"/>
        <w:jc w:val="both"/>
        <w:rPr/>
      </w:pPr>
      <w:r>
        <w:rPr>
          <w:rFonts w:ascii="Times New Roman" w:hAnsi="Times New Roman"/>
          <w:sz w:val="24"/>
          <w:szCs w:val="24"/>
          <w:u w:val="none"/>
        </w:rPr>
        <w:t>"06" октября 2026 г.</w:t>
      </w:r>
      <w:r>
        <w:rPr>
          <w:rFonts w:ascii="Times New Roman" w:hAnsi="Times New Roman"/>
          <w:u w:val="none"/>
        </w:rPr>
        <w:t xml:space="preserve">                                                     </w:t>
      </w:r>
      <w:r>
        <w:rPr/>
        <w:t xml:space="preserve">                                                                                                                                                                </w:t>
      </w:r>
    </w:p>
    <w:sectPr>
      <w:type w:val="nextPage"/>
      <w:pgSz w:orient="landscape" w:w="16838" w:h="11906"/>
      <w:pgMar w:left="567" w:right="567" w:gutter="0" w:header="0" w:top="350" w:footer="0" w:bottom="406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variable"/>
  </w:font>
  <w:font w:name="Arial">
    <w:charset w:val="01"/>
    <w:family w:val="roman"/>
    <w:pitch w:val="variable"/>
  </w:font>
  <w:font w:name="Segoe UI">
    <w:charset w:val="01"/>
    <w:family w:val="roman"/>
    <w:pitch w:val="variable"/>
  </w:font>
  <w:font w:name="OpenSymbol">
    <w:altName w:val="Arial Unicode MS"/>
    <w:charset w:val="01"/>
    <w:family w:val="roman"/>
    <w:pitch w:val="variable"/>
  </w:font>
  <w:font w:name="Times New Roman">
    <w:charset w:val="01"/>
    <w:family w:val="roman"/>
    <w:pitch w:val="variable"/>
  </w:font>
  <w:font w:name="Open Sans">
    <w:charset w:val="01"/>
    <w:family w:val="roman"/>
    <w:pitch w:val="variable"/>
  </w:font>
  <w:font w:name="Courier New"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90"/>
  <w:revisionView w:insDel="0" w:formatting="0"/>
  <w:defaultTabStop w:val="1298"/>
  <w:autoHyphenation w:val="true"/>
  <w:compat>
    <w:doNotBreakWrappedTables/>
    <w:compatSetting w:name="compatibilityMode" w:uri="http://schemas.microsoft.com/office/word" w:val="12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Times New Roman" w:cs="Calibri"/>
        <w:lang w:val="ru-RU" w:eastAsia="ru-RU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suppressAutoHyphens w:val="true"/>
      <w:bidi w:val="0"/>
      <w:spacing w:lineRule="auto" w:line="259" w:before="0" w:after="160"/>
      <w:jc w:val="left"/>
    </w:pPr>
    <w:rPr>
      <w:rFonts w:ascii="Calibri" w:hAnsi="Calibri" w:eastAsia="Times New Roman" w:cs="Times New Roman"/>
      <w:color w:val="auto"/>
      <w:kern w:val="0"/>
      <w:sz w:val="22"/>
      <w:szCs w:val="22"/>
      <w:lang w:val="ru-RU" w:eastAsia="ru-RU" w:bidi="ar-SA"/>
    </w:rPr>
  </w:style>
  <w:style w:type="paragraph" w:styleId="Heading1">
    <w:name w:val="Heading 1"/>
    <w:basedOn w:val="Normal"/>
    <w:next w:val="Normal"/>
    <w:link w:val="1"/>
    <w:uiPriority w:val="9"/>
    <w:qFormat/>
    <w:pPr>
      <w:keepNext w:val="true"/>
      <w:keepLines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paragraph" w:styleId="Heading2">
    <w:name w:val="Heading 2"/>
    <w:basedOn w:val="Normal"/>
    <w:next w:val="Normal"/>
    <w:link w:val="2"/>
    <w:uiPriority w:val="9"/>
    <w:unhideWhenUsed/>
    <w:qFormat/>
    <w:pPr>
      <w:keepNext w:val="true"/>
      <w:keepLines/>
      <w:spacing w:before="360" w:after="200"/>
      <w:outlineLvl w:val="1"/>
    </w:pPr>
    <w:rPr>
      <w:rFonts w:ascii="Arial" w:hAnsi="Arial" w:eastAsia="Arial" w:cs="Arial"/>
      <w:sz w:val="34"/>
    </w:rPr>
  </w:style>
  <w:style w:type="paragraph" w:styleId="Heading3">
    <w:name w:val="Heading 3"/>
    <w:basedOn w:val="Normal"/>
    <w:next w:val="Normal"/>
    <w:link w:val="3"/>
    <w:uiPriority w:val="9"/>
    <w:unhideWhenUsed/>
    <w:qFormat/>
    <w:pPr>
      <w:keepNext w:val="true"/>
      <w:keepLines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320" w:after="200"/>
      <w:outlineLvl w:val="5"/>
    </w:pPr>
    <w:rPr>
      <w:rFonts w:ascii="Arial" w:hAnsi="Arial" w:eastAsia="Arial" w:cs="Arial"/>
      <w:b/>
      <w:bCs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320" w:after="200"/>
      <w:outlineLvl w:val="6"/>
    </w:pPr>
    <w:rPr>
      <w:rFonts w:ascii="Arial" w:hAnsi="Arial" w:eastAsia="Arial" w:cs="Arial"/>
      <w:b/>
      <w:bCs/>
      <w:i/>
      <w:iCs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spacing w:before="320" w:after="200"/>
      <w:outlineLvl w:val="7"/>
    </w:pPr>
    <w:rPr>
      <w:rFonts w:ascii="Arial" w:hAnsi="Arial" w:eastAsia="Arial" w:cs="Arial"/>
      <w:i/>
      <w:iCs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1" w:customStyle="1">
    <w:name w:val="Заголовок 1 Знак"/>
    <w:basedOn w:val="DefaultParagraphFont"/>
    <w:uiPriority w:val="9"/>
    <w:qFormat/>
    <w:rPr>
      <w:rFonts w:ascii="Arial" w:hAnsi="Arial" w:eastAsia="Arial" w:cs="Arial"/>
      <w:sz w:val="40"/>
      <w:szCs w:val="40"/>
    </w:rPr>
  </w:style>
  <w:style w:type="character" w:styleId="2" w:customStyle="1">
    <w:name w:val="Заголовок 2 Знак"/>
    <w:basedOn w:val="DefaultParagraphFont"/>
    <w:uiPriority w:val="9"/>
    <w:qFormat/>
    <w:rPr>
      <w:rFonts w:ascii="Arial" w:hAnsi="Arial" w:eastAsia="Arial" w:cs="Arial"/>
      <w:sz w:val="34"/>
    </w:rPr>
  </w:style>
  <w:style w:type="character" w:styleId="3" w:customStyle="1">
    <w:name w:val="Заголовок 3 Знак"/>
    <w:basedOn w:val="DefaultParagraphFont"/>
    <w:uiPriority w:val="9"/>
    <w:qFormat/>
    <w:rPr>
      <w:rFonts w:ascii="Arial" w:hAnsi="Arial" w:eastAsia="Arial" w:cs="Arial"/>
      <w:sz w:val="30"/>
      <w:szCs w:val="30"/>
    </w:rPr>
  </w:style>
  <w:style w:type="character" w:styleId="4" w:customStyle="1">
    <w:name w:val="Заголовок 4 Знак"/>
    <w:basedOn w:val="DefaultParagraphFont"/>
    <w:uiPriority w:val="9"/>
    <w:qFormat/>
    <w:rPr>
      <w:rFonts w:ascii="Arial" w:hAnsi="Arial" w:eastAsia="Arial" w:cs="Arial"/>
      <w:b/>
      <w:bCs/>
      <w:sz w:val="26"/>
      <w:szCs w:val="26"/>
    </w:rPr>
  </w:style>
  <w:style w:type="character" w:styleId="5" w:customStyle="1">
    <w:name w:val="Заголовок 5 Знак"/>
    <w:basedOn w:val="DefaultParagraphFont"/>
    <w:uiPriority w:val="9"/>
    <w:qFormat/>
    <w:rPr>
      <w:rFonts w:ascii="Arial" w:hAnsi="Arial" w:eastAsia="Arial" w:cs="Arial"/>
      <w:b/>
      <w:bCs/>
      <w:sz w:val="24"/>
      <w:szCs w:val="24"/>
    </w:rPr>
  </w:style>
  <w:style w:type="character" w:styleId="6" w:customStyle="1">
    <w:name w:val="Заголовок 6 Знак"/>
    <w:basedOn w:val="DefaultParagraphFont"/>
    <w:uiPriority w:val="9"/>
    <w:qFormat/>
    <w:rPr>
      <w:rFonts w:ascii="Arial" w:hAnsi="Arial" w:eastAsia="Arial" w:cs="Arial"/>
      <w:b/>
      <w:bCs/>
      <w:sz w:val="22"/>
      <w:szCs w:val="22"/>
    </w:rPr>
  </w:style>
  <w:style w:type="character" w:styleId="7" w:customStyle="1">
    <w:name w:val="Заголовок 7 Знак"/>
    <w:basedOn w:val="DefaultParagraphFont"/>
    <w:uiPriority w:val="9"/>
    <w:qFormat/>
    <w:rPr>
      <w:rFonts w:ascii="Arial" w:hAnsi="Arial" w:eastAsia="Arial" w:cs="Arial"/>
      <w:b/>
      <w:bCs/>
      <w:i/>
      <w:iCs/>
      <w:sz w:val="22"/>
      <w:szCs w:val="22"/>
    </w:rPr>
  </w:style>
  <w:style w:type="character" w:styleId="8" w:customStyle="1">
    <w:name w:val="Заголовок 8 Знак"/>
    <w:basedOn w:val="DefaultParagraphFont"/>
    <w:uiPriority w:val="9"/>
    <w:qFormat/>
    <w:rPr>
      <w:rFonts w:ascii="Arial" w:hAnsi="Arial" w:eastAsia="Arial" w:cs="Arial"/>
      <w:i/>
      <w:iCs/>
      <w:sz w:val="22"/>
      <w:szCs w:val="22"/>
    </w:rPr>
  </w:style>
  <w:style w:type="character" w:styleId="9" w:customStyle="1">
    <w:name w:val="Заголовок 9 Знак"/>
    <w:basedOn w:val="DefaultParagraphFont"/>
    <w:uiPriority w:val="9"/>
    <w:qFormat/>
    <w:rPr>
      <w:rFonts w:ascii="Arial" w:hAnsi="Arial" w:eastAsia="Arial" w:cs="Arial"/>
      <w:i/>
      <w:iCs/>
      <w:sz w:val="21"/>
      <w:szCs w:val="21"/>
    </w:rPr>
  </w:style>
  <w:style w:type="character" w:styleId="Style5" w:customStyle="1">
    <w:name w:val="Заголовок Знак"/>
    <w:basedOn w:val="DefaultParagraphFont"/>
    <w:uiPriority w:val="10"/>
    <w:qFormat/>
    <w:rPr>
      <w:sz w:val="48"/>
      <w:szCs w:val="48"/>
    </w:rPr>
  </w:style>
  <w:style w:type="character" w:styleId="Style6" w:customStyle="1">
    <w:name w:val="Подзаголовок Знак"/>
    <w:basedOn w:val="DefaultParagraphFont"/>
    <w:uiPriority w:val="11"/>
    <w:qFormat/>
    <w:rPr>
      <w:sz w:val="24"/>
      <w:szCs w:val="24"/>
    </w:rPr>
  </w:style>
  <w:style w:type="character" w:styleId="21" w:customStyle="1">
    <w:name w:val="Цитата 2 Знак"/>
    <w:link w:val="Quote"/>
    <w:uiPriority w:val="29"/>
    <w:qFormat/>
    <w:rPr>
      <w:i/>
    </w:rPr>
  </w:style>
  <w:style w:type="character" w:styleId="Style7" w:customStyle="1">
    <w:name w:val="Выделенная цитата Знак"/>
    <w:link w:val="IntenseQuote"/>
    <w:uiPriority w:val="30"/>
    <w:qFormat/>
    <w:rPr>
      <w:i/>
    </w:rPr>
  </w:style>
  <w:style w:type="character" w:styleId="Style8" w:customStyle="1">
    <w:name w:val="Верхний колонтитул Знак"/>
    <w:basedOn w:val="DefaultParagraphFont"/>
    <w:uiPriority w:val="99"/>
    <w:qFormat/>
    <w:rPr/>
  </w:style>
  <w:style w:type="character" w:styleId="FooterChar" w:customStyle="1">
    <w:name w:val="Footer Char"/>
    <w:basedOn w:val="DefaultParagraphFont"/>
    <w:uiPriority w:val="99"/>
    <w:qFormat/>
    <w:rPr/>
  </w:style>
  <w:style w:type="character" w:styleId="Style9" w:customStyle="1">
    <w:name w:val="Нижний колонтитул Знак"/>
    <w:uiPriority w:val="99"/>
    <w:qFormat/>
    <w:rPr/>
  </w:style>
  <w:style w:type="character" w:styleId="Hyperlink">
    <w:name w:val="Hyperlink"/>
    <w:uiPriority w:val="99"/>
    <w:unhideWhenUsed/>
    <w:rPr>
      <w:color w:themeColor="hyperlink" w:val="0563C1"/>
      <w:u w:val="single"/>
    </w:rPr>
  </w:style>
  <w:style w:type="character" w:styleId="Style10" w:customStyle="1">
    <w:name w:val="Текст сноски Знак"/>
    <w:uiPriority w:val="99"/>
    <w:qFormat/>
    <w:rPr>
      <w:sz w:val="18"/>
    </w:rPr>
  </w:style>
  <w:style w:type="character" w:styleId="Style11">
    <w:name w:val="Символ сноски"/>
    <w:uiPriority w:val="99"/>
    <w:unhideWhenUsed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2" w:customStyle="1">
    <w:name w:val="Текст концевой сноски Знак"/>
    <w:uiPriority w:val="99"/>
    <w:qFormat/>
    <w:rPr>
      <w:sz w:val="20"/>
    </w:rPr>
  </w:style>
  <w:style w:type="character" w:styleId="Style13">
    <w:name w:val="Символ концевой сноски"/>
    <w:uiPriority w:val="99"/>
    <w:semiHidden/>
    <w:unhideWhenUsed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Style14" w:customStyle="1">
    <w:name w:val="Текст выноски Знак"/>
    <w:basedOn w:val="DefaultParagraphFont"/>
    <w:link w:val="BalloonText"/>
    <w:uiPriority w:val="99"/>
    <w:semiHidden/>
    <w:qFormat/>
    <w:rPr>
      <w:rFonts w:ascii="Segoe UI" w:hAnsi="Segoe UI" w:cs="Segoe UI"/>
      <w:sz w:val="18"/>
      <w:szCs w:val="18"/>
    </w:rPr>
  </w:style>
  <w:style w:type="character" w:styleId="Style15">
    <w:name w:val="Символ нумерации"/>
    <w:qFormat/>
    <w:rPr/>
  </w:style>
  <w:style w:type="character" w:styleId="Style16">
    <w:name w:val="Маркеры"/>
    <w:qFormat/>
    <w:rPr>
      <w:rFonts w:ascii="OpenSymbol" w:hAnsi="OpenSymbol" w:eastAsia="OpenSymbol" w:cs="OpenSymbol"/>
    </w:rPr>
  </w:style>
  <w:style w:type="character" w:styleId="Strong">
    <w:name w:val="Strong"/>
    <w:qFormat/>
    <w:rPr>
      <w:b/>
      <w:bCs/>
    </w:rPr>
  </w:style>
  <w:style w:type="character" w:styleId="EndnoteTextChar">
    <w:name w:val="Endnote Text Char"/>
    <w:qFormat/>
    <w:rPr>
      <w:sz w:val="20"/>
    </w:rPr>
  </w:style>
  <w:style w:type="character" w:styleId="FootnoteTextChar">
    <w:name w:val="Footnote Text Char"/>
    <w:qFormat/>
    <w:rPr>
      <w:sz w:val="18"/>
    </w:rPr>
  </w:style>
  <w:style w:type="character" w:styleId="CaptionChar">
    <w:name w:val="Caption Char"/>
    <w:qFormat/>
    <w:rPr/>
  </w:style>
  <w:style w:type="character" w:styleId="HeaderChar">
    <w:name w:val="Header Char"/>
    <w:basedOn w:val="DefaultParagraphFont"/>
    <w:qFormat/>
    <w:rPr>
      <w:rFonts w:ascii="Times New Roman" w:hAnsi="Times New Roman" w:eastAsia="Times New Roman" w:cs="Times New Roman"/>
      <w:color w:val="000000"/>
      <w:sz w:val="24"/>
      <w:szCs w:val="24"/>
    </w:rPr>
  </w:style>
  <w:style w:type="character" w:styleId="IntenseQuoteChar">
    <w:name w:val="Intense Quote Char"/>
    <w:qFormat/>
    <w:rPr>
      <w:i/>
    </w:rPr>
  </w:style>
  <w:style w:type="character" w:styleId="QuoteChar">
    <w:name w:val="Quote Char"/>
    <w:qFormat/>
    <w:rPr>
      <w:i/>
    </w:rPr>
  </w:style>
  <w:style w:type="character" w:styleId="SubtitleChar">
    <w:name w:val="Subtitle Char"/>
    <w:basedOn w:val="DefaultParagraphFont"/>
    <w:qFormat/>
    <w:rPr>
      <w:rFonts w:ascii="Times New Roman" w:hAnsi="Times New Roman" w:eastAsia="Times New Roman" w:cs="Times New Roman"/>
      <w:color w:val="000000"/>
    </w:rPr>
  </w:style>
  <w:style w:type="character" w:styleId="TitleChar">
    <w:name w:val="Title Char"/>
    <w:basedOn w:val="DefaultParagraphFont"/>
    <w:qFormat/>
    <w:rPr>
      <w:rFonts w:ascii="Times New Roman" w:hAnsi="Times New Roman" w:eastAsia="Times New Roman" w:cs="Times New Roman"/>
      <w:color w:val="000000"/>
      <w:sz w:val="48"/>
      <w:szCs w:val="48"/>
    </w:rPr>
  </w:style>
  <w:style w:type="character" w:styleId="Heading9Char">
    <w:name w:val="Heading 9 Char"/>
    <w:basedOn w:val="DefaultParagraphFont"/>
    <w:qFormat/>
    <w:rPr>
      <w:rFonts w:ascii="Arial" w:hAnsi="Arial" w:eastAsia="Arial" w:cs="Arial"/>
      <w:i/>
      <w:iCs/>
      <w:color w:val="000000"/>
      <w:sz w:val="21"/>
      <w:szCs w:val="21"/>
    </w:rPr>
  </w:style>
  <w:style w:type="character" w:styleId="Heading8Char">
    <w:name w:val="Heading 8 Char"/>
    <w:basedOn w:val="DefaultParagraphFont"/>
    <w:qFormat/>
    <w:rPr>
      <w:rFonts w:ascii="Arial" w:hAnsi="Arial" w:eastAsia="Arial" w:cs="Arial"/>
      <w:i/>
      <w:iCs/>
      <w:color w:val="000000"/>
      <w:sz w:val="22"/>
      <w:szCs w:val="22"/>
    </w:rPr>
  </w:style>
  <w:style w:type="character" w:styleId="Heading7Char">
    <w:name w:val="Heading 7 Char"/>
    <w:basedOn w:val="DefaultParagraphFont"/>
    <w:qFormat/>
    <w:rPr>
      <w:rFonts w:ascii="Arial" w:hAnsi="Arial" w:eastAsia="Arial" w:cs="Arial"/>
      <w:b/>
      <w:bCs/>
      <w:i/>
      <w:iCs/>
      <w:color w:val="000000"/>
      <w:sz w:val="22"/>
      <w:szCs w:val="22"/>
    </w:rPr>
  </w:style>
  <w:style w:type="character" w:styleId="Heading6Char">
    <w:name w:val="Heading 6 Char"/>
    <w:basedOn w:val="DefaultParagraphFont"/>
    <w:qFormat/>
    <w:rPr>
      <w:rFonts w:ascii="Arial" w:hAnsi="Arial" w:eastAsia="Arial" w:cs="Arial"/>
      <w:b/>
      <w:bCs/>
      <w:color w:val="000000"/>
      <w:sz w:val="22"/>
      <w:szCs w:val="22"/>
    </w:rPr>
  </w:style>
  <w:style w:type="character" w:styleId="Heading5Char">
    <w:name w:val="Heading 5 Char"/>
    <w:basedOn w:val="DefaultParagraphFont"/>
    <w:qFormat/>
    <w:rPr>
      <w:rFonts w:ascii="Arial" w:hAnsi="Arial" w:eastAsia="Arial" w:cs="Arial"/>
      <w:b/>
      <w:bCs/>
      <w:color w:val="000000"/>
    </w:rPr>
  </w:style>
  <w:style w:type="character" w:styleId="Heading4Char">
    <w:name w:val="Heading 4 Char"/>
    <w:basedOn w:val="DefaultParagraphFont"/>
    <w:qFormat/>
    <w:rPr>
      <w:rFonts w:ascii="Arial" w:hAnsi="Arial" w:eastAsia="Arial" w:cs="Arial"/>
      <w:b/>
      <w:bCs/>
      <w:color w:val="000000"/>
      <w:sz w:val="26"/>
      <w:szCs w:val="26"/>
    </w:rPr>
  </w:style>
  <w:style w:type="character" w:styleId="Heading3Char">
    <w:name w:val="Heading 3 Char"/>
    <w:basedOn w:val="DefaultParagraphFont"/>
    <w:qFormat/>
    <w:rPr>
      <w:rFonts w:ascii="Arial" w:hAnsi="Arial" w:eastAsia="Arial" w:cs="Arial"/>
      <w:color w:val="000000"/>
      <w:sz w:val="30"/>
      <w:szCs w:val="30"/>
    </w:rPr>
  </w:style>
  <w:style w:type="character" w:styleId="Heading2Char">
    <w:name w:val="Heading 2 Char"/>
    <w:basedOn w:val="DefaultParagraphFont"/>
    <w:qFormat/>
    <w:rPr>
      <w:rFonts w:ascii="Arial" w:hAnsi="Arial" w:eastAsia="Arial" w:cs="Arial"/>
      <w:color w:val="000000"/>
      <w:sz w:val="34"/>
      <w:szCs w:val="24"/>
    </w:rPr>
  </w:style>
  <w:style w:type="character" w:styleId="Heading1Char">
    <w:name w:val="Heading 1 Char"/>
    <w:basedOn w:val="DefaultParagraphFont"/>
    <w:qFormat/>
    <w:rPr>
      <w:rFonts w:ascii="Arial" w:hAnsi="Arial" w:eastAsia="Arial" w:cs="Arial"/>
      <w:color w:val="000000"/>
      <w:sz w:val="40"/>
      <w:szCs w:val="40"/>
    </w:rPr>
  </w:style>
  <w:style w:type="paragraph" w:styleId="Style17">
    <w:name w:val="Заголовок"/>
    <w:basedOn w:val="Normal"/>
    <w:next w:val="BodyText"/>
    <w:qFormat/>
    <w:pPr>
      <w:keepNext w:val="true"/>
      <w:spacing w:before="240" w:after="120"/>
    </w:pPr>
    <w:rPr>
      <w:rFonts w:ascii="Open Sans" w:hAnsi="Open Sans" w:eastAsia="WenQuanYi Micro Hei" w:cs="Lohit Devanagari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ohit Devanagari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cs="Lohit Devanagari"/>
    </w:rPr>
  </w:style>
  <w:style w:type="paragraph" w:styleId="ListParagraph">
    <w:name w:val="List Paragraph"/>
    <w:basedOn w:val="Normal"/>
    <w:uiPriority w:val="34"/>
    <w:qFormat/>
    <w:pPr>
      <w:spacing w:before="0" w:after="160"/>
      <w:ind w:left="720"/>
      <w:contextualSpacing/>
    </w:pPr>
    <w:rPr/>
  </w:style>
  <w:style w:type="paragraph" w:styleId="NoSpacing">
    <w:name w:val="No Spacing"/>
    <w:uiPriority w:val="1"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0"/>
      <w:szCs w:val="20"/>
      <w:lang w:val="ru-RU" w:eastAsia="ru-RU" w:bidi="ar-SA"/>
    </w:rPr>
  </w:style>
  <w:style w:type="paragraph" w:styleId="Title">
    <w:name w:val="Title"/>
    <w:basedOn w:val="Normal"/>
    <w:next w:val="Normal"/>
    <w:link w:val="Style5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Subtitle">
    <w:name w:val="Subtitle"/>
    <w:basedOn w:val="Normal"/>
    <w:next w:val="Normal"/>
    <w:link w:val="Style6"/>
    <w:uiPriority w:val="11"/>
    <w:qFormat/>
    <w:pPr>
      <w:spacing w:before="200" w:after="200"/>
    </w:pPr>
    <w:rPr>
      <w:sz w:val="24"/>
      <w:szCs w:val="24"/>
    </w:rPr>
  </w:style>
  <w:style w:type="paragraph" w:styleId="Quote">
    <w:name w:val="Quote"/>
    <w:basedOn w:val="Normal"/>
    <w:next w:val="Normal"/>
    <w:link w:val="21"/>
    <w:uiPriority w:val="29"/>
    <w:qFormat/>
    <w:pPr>
      <w:ind w:left="720" w:right="720"/>
    </w:pPr>
    <w:rPr>
      <w:i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Style19">
    <w:name w:val="Колонтитул"/>
    <w:basedOn w:val="Normal"/>
    <w:qFormat/>
    <w:pPr/>
    <w:rPr/>
  </w:style>
  <w:style w:type="paragraph" w:styleId="Header">
    <w:name w:val="Header"/>
    <w:basedOn w:val="Normal"/>
    <w:link w:val="Style8"/>
    <w:uiPriority w:val="99"/>
    <w:unhideWhenUsed/>
    <w:pPr>
      <w:tabs>
        <w:tab w:val="clear" w:pos="129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Footer">
    <w:name w:val="Footer"/>
    <w:basedOn w:val="Normal"/>
    <w:link w:val="Style9"/>
    <w:uiPriority w:val="99"/>
    <w:unhideWhenUsed/>
    <w:pPr>
      <w:tabs>
        <w:tab w:val="clear" w:pos="1298"/>
        <w:tab w:val="center" w:pos="7143" w:leader="none"/>
        <w:tab w:val="right" w:pos="14287" w:leader="none"/>
      </w:tabs>
      <w:spacing w:lineRule="auto" w:line="240" w:before="0" w:after="0"/>
    </w:pPr>
    <w:rPr/>
  </w:style>
  <w:style w:type="paragraph" w:styleId="Caption1">
    <w:name w:val="caption1"/>
    <w:basedOn w:val="Normal"/>
    <w:next w:val="Normal"/>
    <w:uiPriority w:val="35"/>
    <w:semiHidden/>
    <w:unhideWhenUsed/>
    <w:qFormat/>
    <w:pPr>
      <w:spacing w:lineRule="auto" w:line="276"/>
    </w:pPr>
    <w:rPr>
      <w:b/>
      <w:bCs/>
      <w:color w:themeColor="accent1" w:val="5B9BD5"/>
      <w:sz w:val="18"/>
      <w:szCs w:val="18"/>
    </w:rPr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 w:before="0" w:after="40"/>
    </w:pPr>
    <w:rPr>
      <w:sz w:val="18"/>
    </w:rPr>
  </w:style>
  <w:style w:type="paragraph" w:styleId="EndnoteText">
    <w:name w:val="Endnote Text"/>
    <w:basedOn w:val="Normal"/>
    <w:link w:val="Style12"/>
    <w:uiPriority w:val="99"/>
    <w:semiHidden/>
    <w:unhideWhenUsed/>
    <w:pPr>
      <w:spacing w:lineRule="auto" w:line="240" w:before="0" w:after="0"/>
    </w:pPr>
    <w:rPr>
      <w:sz w:val="20"/>
    </w:rPr>
  </w:style>
  <w:style w:type="paragraph" w:styleId="TOC1">
    <w:name w:val="TOC 1"/>
    <w:basedOn w:val="Normal"/>
    <w:next w:val="Normal"/>
    <w:uiPriority w:val="39"/>
    <w:unhideWhenUsed/>
    <w:pPr>
      <w:spacing w:before="0" w:after="57"/>
    </w:pPr>
    <w:rPr/>
  </w:style>
  <w:style w:type="paragraph" w:styleId="TOC2">
    <w:name w:val="TOC 2"/>
    <w:basedOn w:val="Normal"/>
    <w:next w:val="Normal"/>
    <w:uiPriority w:val="39"/>
    <w:unhideWhenUsed/>
    <w:pPr>
      <w:spacing w:before="0" w:after="57"/>
      <w:ind w:left="283"/>
    </w:pPr>
    <w:rPr/>
  </w:style>
  <w:style w:type="paragraph" w:styleId="TOC3">
    <w:name w:val="TOC 3"/>
    <w:basedOn w:val="Normal"/>
    <w:next w:val="Normal"/>
    <w:uiPriority w:val="39"/>
    <w:unhideWhenUsed/>
    <w:pPr>
      <w:spacing w:before="0" w:after="57"/>
      <w:ind w:left="567"/>
    </w:pPr>
    <w:rPr/>
  </w:style>
  <w:style w:type="paragraph" w:styleId="TOC4">
    <w:name w:val="TOC 4"/>
    <w:basedOn w:val="Normal"/>
    <w:next w:val="Normal"/>
    <w:uiPriority w:val="39"/>
    <w:unhideWhenUsed/>
    <w:pPr>
      <w:spacing w:before="0" w:after="57"/>
      <w:ind w:left="850"/>
    </w:pPr>
    <w:rPr/>
  </w:style>
  <w:style w:type="paragraph" w:styleId="TOC5">
    <w:name w:val="TOC 5"/>
    <w:basedOn w:val="Normal"/>
    <w:next w:val="Normal"/>
    <w:uiPriority w:val="39"/>
    <w:unhideWhenUsed/>
    <w:pPr>
      <w:spacing w:before="0" w:after="57"/>
      <w:ind w:left="1134"/>
    </w:pPr>
    <w:rPr/>
  </w:style>
  <w:style w:type="paragraph" w:styleId="TOC6">
    <w:name w:val="TOC 6"/>
    <w:basedOn w:val="Normal"/>
    <w:next w:val="Normal"/>
    <w:uiPriority w:val="39"/>
    <w:unhideWhenUsed/>
    <w:pPr>
      <w:spacing w:before="0" w:after="57"/>
      <w:ind w:left="1417"/>
    </w:pPr>
    <w:rPr/>
  </w:style>
  <w:style w:type="paragraph" w:styleId="TOC7">
    <w:name w:val="TOC 7"/>
    <w:basedOn w:val="Normal"/>
    <w:next w:val="Normal"/>
    <w:uiPriority w:val="39"/>
    <w:unhideWhenUsed/>
    <w:pPr>
      <w:spacing w:before="0" w:after="57"/>
      <w:ind w:left="1701"/>
    </w:pPr>
    <w:rPr/>
  </w:style>
  <w:style w:type="paragraph" w:styleId="TOC8">
    <w:name w:val="TOC 8"/>
    <w:basedOn w:val="Normal"/>
    <w:next w:val="Normal"/>
    <w:uiPriority w:val="39"/>
    <w:unhideWhenUsed/>
    <w:pPr>
      <w:spacing w:before="0" w:after="57"/>
      <w:ind w:left="1984"/>
    </w:pPr>
    <w:rPr/>
  </w:style>
  <w:style w:type="paragraph" w:styleId="TOC9">
    <w:name w:val="TOC 9"/>
    <w:basedOn w:val="Normal"/>
    <w:next w:val="Normal"/>
    <w:uiPriority w:val="39"/>
    <w:unhideWhenUsed/>
    <w:pPr>
      <w:spacing w:before="0" w:after="57"/>
      <w:ind w:left="2268"/>
    </w:pPr>
    <w:rPr/>
  </w:style>
  <w:style w:type="paragraph" w:styleId="IndexHeading">
    <w:name w:val="Index Heading"/>
    <w:basedOn w:val="Style17"/>
    <w:pPr/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Calibri" w:hAnsi="Calibri" w:eastAsia="Times New Roman" w:cs="Calibri"/>
      <w:color w:val="auto"/>
      <w:kern w:val="0"/>
      <w:sz w:val="20"/>
      <w:szCs w:val="20"/>
      <w:lang w:val="ru-RU" w:eastAsia="ru-RU" w:bidi="ar-SA"/>
    </w:rPr>
  </w:style>
  <w:style w:type="paragraph" w:styleId="TableofFigures">
    <w:name w:val="Table of Figures"/>
    <w:basedOn w:val="Normal"/>
    <w:next w:val="Normal"/>
    <w:uiPriority w:val="99"/>
    <w:unhideWhenUsed/>
    <w:pPr>
      <w:spacing w:before="0" w:after="0"/>
    </w:pPr>
    <w:rPr/>
  </w:style>
  <w:style w:type="paragraph" w:styleId="BalloonText">
    <w:name w:val="Balloon Text"/>
    <w:basedOn w:val="Normal"/>
    <w:link w:val="Style14"/>
    <w:uiPriority w:val="99"/>
    <w:semiHidden/>
    <w:unhideWhenUsed/>
    <w:qFormat/>
    <w:pPr>
      <w:spacing w:lineRule="auto" w:line="240" w:before="0" w:after="0"/>
    </w:pPr>
    <w:rPr>
      <w:rFonts w:ascii="Segoe UI" w:hAnsi="Segoe UI" w:cs="Segoe UI"/>
      <w:sz w:val="18"/>
      <w:szCs w:val="18"/>
    </w:rPr>
  </w:style>
  <w:style w:type="paragraph" w:styleId="Style20">
    <w:name w:val="Содержимое таблицы"/>
    <w:basedOn w:val="Normal"/>
    <w:qFormat/>
    <w:pPr>
      <w:widowControl w:val="false"/>
      <w:suppressLineNumbers/>
    </w:pPr>
    <w:rPr/>
  </w:style>
  <w:style w:type="paragraph" w:styleId="Style21">
    <w:name w:val="Заголовок таблицы"/>
    <w:basedOn w:val="Style20"/>
    <w:qFormat/>
    <w:pPr>
      <w:suppressLineNumbers/>
      <w:jc w:val="center"/>
    </w:pPr>
    <w:rPr>
      <w:b/>
      <w:bCs/>
    </w:rPr>
  </w:style>
  <w:style w:type="paragraph" w:styleId="ConsPlusNonformat">
    <w:name w:val="ConsPlusNonformat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ourier New" w:hAnsi="Courier New" w:eastAsia="Times New Roman" w:cs="Courier New"/>
      <w:color w:val="auto"/>
      <w:kern w:val="0"/>
      <w:sz w:val="20"/>
      <w:szCs w:val="20"/>
      <w:lang w:val="ru-RU" w:eastAsia="ru-RU" w:bidi="ar-SA"/>
    </w:rPr>
  </w:style>
  <w:style w:type="paragraph" w:styleId="ConsPlusTitle">
    <w:name w:val="ConsPlusTitle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/>
      <w:b/>
      <w:color w:val="auto"/>
      <w:kern w:val="0"/>
      <w:sz w:val="22"/>
      <w:szCs w:val="20"/>
      <w:lang w:val="ru-RU" w:eastAsia="ru-RU" w:bidi="ar-SA"/>
    </w:rPr>
  </w:style>
  <w:style w:type="paragraph" w:styleId="ConsPlusNormal">
    <w:name w:val="ConsPlusNormal"/>
    <w:qFormat/>
    <w:pPr>
      <w:widowControl w:val="false"/>
      <w:suppressAutoHyphens w:val="true"/>
      <w:bidi w:val="0"/>
      <w:spacing w:lineRule="auto" w:line="240" w:beforeAutospacing="0" w:before="0" w:afterAutospacing="0" w:after="0"/>
      <w:jc w:val="left"/>
    </w:pPr>
    <w:rPr>
      <w:rFonts w:ascii="Calibri" w:hAnsi="Calibri" w:eastAsia="Times New Roman" w:cs="Calibri"/>
      <w:color w:val="auto"/>
      <w:kern w:val="0"/>
      <w:sz w:val="22"/>
      <w:szCs w:val="20"/>
      <w:lang w:val="ru-RU" w:eastAsia="ru-RU" w:bidi="ar-SA"/>
    </w:rPr>
  </w:style>
  <w:style w:type="paragraph" w:styleId="11">
    <w:name w:val="Обычный1"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val="ru-RU" w:eastAsia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0">
    <w:name w:val="Table Grid"/>
    <w:basedOn w:val="a1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1">
    <w:name w:val="Plain Table 1"/>
    <w:basedOn w:val="a1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2F2F2" w:fill="F2F2F2" w:themeFill="text1" w:themeFillTint="d"/>
      </w:tcPr>
    </w:tblStylePr>
    <w:tblStylePr w:type="band1Horz">
      <w:tblPr/>
      <w:tcPr>
        <w:shd w:val="clear" w:color="F2F2F2" w:fill="F2F2F2" w:themeFill="text1" w:themeFillTint="d"/>
      </w:tcPr>
    </w:tblStylePr>
  </w:style>
  <w:style w:type="table" w:styleId="23">
    <w:name w:val="Plain Table 2"/>
    <w:basedOn w:val="a1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1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41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51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  <w:tcPr>
        <w:shd w:val="clear" w:color="F2F2F2" w:fill="F2F2F2" w:themeFill="text1" w:themeFillTint="d"/>
      </w:tcPr>
    </w:tblStylePr>
  </w:style>
  <w:style w:type="table" w:styleId="-1">
    <w:name w:val="Grid Table 1 Light"/>
    <w:basedOn w:val="a1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6A6A6A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989898" w:themeColor="text1" w:sz="4" w:space="0"/>
          <w:left w:val="single" w:color="989898" w:themeColor="text1" w:sz="4" w:space="0"/>
          <w:bottom w:val="single" w:color="989898" w:themeColor="text1" w:sz="4" w:space="0"/>
          <w:right w:val="single" w:color="989898" w:themeColor="text1" w:sz="4" w:space="0"/>
        </w:tcBorders>
      </w:tcPr>
    </w:tblStyle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9EC4E6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F4B286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CACACA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DA6A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91ACDC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AAD190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  <w:style w:type="table" w:styleId="-2">
    <w:name w:val="Grid Table 2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A6A6A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A6A6A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68A2D8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68A2D8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3">
    <w:name w:val="Grid Table 3"/>
    <w:basedOn w:val="a1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DEAF6" w:fill="DDEAF6" w:themeFill="accent1" w:themeFillTint="34"/>
      </w:tcPr>
    </w:tblStylePr>
    <w:tblStylePr w:type="band1Horz">
      <w:rPr>
        <w:sz w:val="22"/>
      </w:rPr>
      <w:tblPr/>
      <w:tcPr>
        <w:shd w:val="clear" w:color="DDEAF6" w:fill="DDEAF6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4">
    <w:name w:val="Grid Table 4"/>
    <w:basedOn w:val="a1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000000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BCBCB" w:fill="CBCBCB" w:themeFill="text1" w:themeFillTint="34"/>
      </w:tcPr>
    </w:tblStylePr>
    <w:tblStylePr w:type="band1Horz">
      <w:rPr>
        <w:sz w:val="22"/>
      </w:rPr>
      <w:tblPr/>
      <w:tcPr>
        <w:shd w:val="clear" w:color="CBCBCB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8A2D8" w:themeColor="accent1" w:sz="4" w:space="0"/>
          <w:left w:val="single" w:color="68A2D8" w:themeColor="accent1" w:sz="4" w:space="0"/>
          <w:bottom w:val="single" w:color="68A2D8" w:themeColor="accent1" w:sz="4" w:space="0"/>
          <w:right w:val="single" w:color="68A2D8" w:themeColor="accent1" w:sz="4" w:space="0"/>
        </w:tcBorders>
        <w:shd w:val="clear" w:color="68A2D8" w:fill="68A2D8" w:themeFill="accent1" w:themeFillTint="ea"/>
      </w:tcPr>
    </w:tblStylePr>
    <w:tblStylePr w:type="lastRow">
      <w:rPr>
        <w:b/>
      </w:rPr>
      <w:tblPr/>
      <w:tcPr>
        <w:tcBorders>
          <w:top w:val="single" w:color="68A2D8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EEBF6" w:fill="DEEBF6" w:themeFill="accent1" w:themeFillTint="32"/>
      </w:tcPr>
    </w:tblStylePr>
    <w:tblStylePr w:type="band1Horz">
      <w:rPr>
        <w:sz w:val="22"/>
      </w:rPr>
      <w:tblPr/>
      <w:tcPr>
        <w:shd w:val="clear" w:color="DEEBF6" w:fill="DEEBF6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184" w:themeColor="accent2" w:sz="4" w:space="0"/>
          <w:left w:val="single" w:color="F4B184" w:themeColor="accent2" w:sz="4" w:space="0"/>
          <w:bottom w:val="single" w:color="F4B184" w:themeColor="accent2" w:sz="4" w:space="0"/>
          <w:right w:val="single" w:color="F4B184" w:themeColor="accent2" w:sz="4" w:space="0"/>
        </w:tcBorders>
        <w:shd w:val="clear" w:color="F4B184" w:fill="F4B184" w:themeFill="accent2" w:themeFillTint="97"/>
      </w:tcPr>
    </w:tblStylePr>
    <w:tblStylePr w:type="lastRow">
      <w:rPr>
        <w:b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A5A5A5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865" w:themeColor="accent4" w:sz="4" w:space="0"/>
          <w:left w:val="single" w:color="FFD865" w:themeColor="accent4" w:sz="4" w:space="0"/>
          <w:bottom w:val="single" w:color="FFD865" w:themeColor="accent4" w:sz="4" w:space="0"/>
          <w:right w:val="single" w:color="FFD865" w:themeColor="accent4" w:sz="4" w:space="0"/>
        </w:tcBorders>
        <w:shd w:val="clear" w:color="FFD865" w:fill="FFD865" w:themeFill="accent4" w:themeFillTint="9a"/>
      </w:tcPr>
    </w:tblStylePr>
    <w:tblStylePr w:type="lastRow">
      <w:rPr>
        <w:b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4472C4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70AD47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  <w:tcPr>
        <w:shd w:val="clear" w:color="E1EFD8" w:fill="E1EFD8" w:themeFill="accent6" w:themeFillTint="34"/>
      </w:tcPr>
    </w:tblStylePr>
  </w:style>
  <w:style w:type="table" w:styleId="-5">
    <w:name w:val="Grid Table 5 Dark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000000" w:fill="000000" w:themeFill="text1"/>
      </w:tcPr>
    </w:tblStylePr>
    <w:tblStylePr w:type="firstCol">
      <w:rPr>
        <w:b/>
        <w:sz w:val="22"/>
      </w:rPr>
      <w:tblPr/>
      <w:tcPr>
        <w:shd w:val="clear" w:color="000000" w:fill="000000" w:themeFill="text1"/>
      </w:tcPr>
    </w:tblStylePr>
    <w:tblStylePr w:type="lastCol">
      <w:rPr>
        <w:b/>
        <w:sz w:val="22"/>
      </w:rPr>
      <w:tblPr/>
      <w:tcPr>
        <w:shd w:val="clear" w:color="000000" w:fill="000000" w:themeFill="text1"/>
      </w:tcPr>
    </w:tblStylePr>
    <w:tblStylePr w:type="band1Vert">
      <w:tblPr/>
      <w:tcPr>
        <w:shd w:val="clear" w:color="8A8A8A" w:fill="8A8A8A" w:themeFill="text1" w:themeFillTint="75"/>
      </w:tcPr>
    </w:tblStylePr>
    <w:tblStylePr w:type="band1Horz">
      <w:tblPr/>
      <w:tcPr>
        <w:shd w:val="clear" w:color="8A8A8A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5B9BD5" w:fill="5B9BD5" w:themeFill="accent1"/>
      </w:tcPr>
    </w:tblStylePr>
    <w:tblStylePr w:type="firstCol">
      <w:rPr>
        <w:b/>
        <w:sz w:val="22"/>
      </w:rPr>
      <w:tblPr/>
      <w:tcPr>
        <w:shd w:val="clear" w:color="5B9BD5" w:fill="5B9BD5" w:themeFill="accent1"/>
      </w:tcPr>
    </w:tblStylePr>
    <w:tblStylePr w:type="lastCol">
      <w:rPr>
        <w:b/>
        <w:sz w:val="22"/>
      </w:rPr>
      <w:tblPr/>
      <w:tcPr>
        <w:shd w:val="clear" w:color="5B9BD5" w:fill="5B9BD5" w:themeFill="accent1"/>
      </w:tcPr>
    </w:tblStylePr>
    <w:tblStylePr w:type="band1Vert">
      <w:tblPr/>
      <w:tcPr>
        <w:shd w:val="clear" w:color="B3D0EB" w:fill="B3D0EB" w:themeFill="accent1" w:themeFillTint="75"/>
      </w:tcPr>
    </w:tblStylePr>
    <w:tblStylePr w:type="band1Horz">
      <w:tblPr/>
      <w:tcPr>
        <w:shd w:val="clear" w:color="B3D0EB" w:fill="B3D0EB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ED7D31" w:fill="ED7D31" w:themeFill="accent2"/>
      </w:tcPr>
    </w:tblStylePr>
    <w:tblStylePr w:type="firstCol">
      <w:rPr>
        <w:b/>
        <w:sz w:val="22"/>
      </w:rPr>
      <w:tblPr/>
      <w:tcPr>
        <w:shd w:val="clear" w:color="ED7D31" w:fill="ED7D31" w:themeFill="accent2"/>
      </w:tcPr>
    </w:tblStylePr>
    <w:tblStylePr w:type="lastCol">
      <w:rPr>
        <w:b/>
        <w:sz w:val="22"/>
      </w:rPr>
      <w:tblPr/>
      <w:tcPr>
        <w:shd w:val="clear" w:color="ED7D31" w:fill="ED7D31" w:themeFill="accent2"/>
      </w:tcPr>
    </w:tblStylePr>
    <w:tblStylePr w:type="band1Vert">
      <w:tblPr/>
      <w:tcPr>
        <w:shd w:val="clear" w:color="F6C3A0" w:fill="F6C3A0" w:themeFill="accent2" w:themeFillTint="75"/>
      </w:tcPr>
    </w:tblStylePr>
    <w:tblStylePr w:type="band1Horz">
      <w:tblPr/>
      <w:tcPr>
        <w:shd w:val="clear" w:color="F6C3A0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A5A5A5" w:fill="A5A5A5" w:themeFill="accent3"/>
      </w:tcPr>
    </w:tblStylePr>
    <w:tblStylePr w:type="firstCol">
      <w:rPr>
        <w:b/>
        <w:sz w:val="22"/>
      </w:rPr>
      <w:tblPr/>
      <w:tcPr>
        <w:shd w:val="clear" w:color="A5A5A5" w:fill="A5A5A5" w:themeFill="accent3"/>
      </w:tcPr>
    </w:tblStylePr>
    <w:tblStylePr w:type="lastCol">
      <w:rPr>
        <w:b/>
        <w:sz w:val="22"/>
      </w:rPr>
      <w:tblPr/>
      <w:tcPr>
        <w:shd w:val="clear" w:color="A5A5A5" w:fill="A5A5A5" w:themeFill="accent3"/>
      </w:tcPr>
    </w:tblStylePr>
    <w:tblStylePr w:type="band1Vert">
      <w:tblPr/>
      <w:tcPr>
        <w:shd w:val="clear" w:color="D5D5D5" w:fill="D5D5D5" w:themeFill="accent3" w:themeFillTint="75"/>
      </w:tcPr>
    </w:tblStylePr>
    <w:tblStylePr w:type="band1Horz">
      <w:tblPr/>
      <w:tcPr>
        <w:shd w:val="clear" w:color="D5D5D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C000" w:fill="FFC000" w:themeFill="accent4"/>
      </w:tcPr>
    </w:tblStylePr>
    <w:tblStylePr w:type="firstCol">
      <w:rPr>
        <w:b/>
        <w:sz w:val="22"/>
      </w:rPr>
      <w:tblPr/>
      <w:tcPr>
        <w:shd w:val="clear" w:color="FFC000" w:fill="FFC000" w:themeFill="accent4"/>
      </w:tcPr>
    </w:tblStylePr>
    <w:tblStylePr w:type="lastCol">
      <w:rPr>
        <w:b/>
        <w:sz w:val="22"/>
      </w:rPr>
      <w:tblPr/>
      <w:tcPr>
        <w:shd w:val="clear" w:color="FFC000" w:fill="FFC000" w:themeFill="accent4"/>
      </w:tcPr>
    </w:tblStylePr>
    <w:tblStylePr w:type="band1Vert">
      <w:tblPr/>
      <w:tcPr>
        <w:shd w:val="clear" w:color="FFE28A" w:fill="FFE28A" w:themeFill="accent4" w:themeFillTint="75"/>
      </w:tcPr>
    </w:tblStylePr>
    <w:tblStylePr w:type="band1Horz">
      <w:tblPr/>
      <w:tcPr>
        <w:shd w:val="clear" w:color="FFE28A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4472C4" w:fill="4472C4" w:themeFill="accent5"/>
      </w:tcPr>
    </w:tblStylePr>
    <w:tblStylePr w:type="firstCol">
      <w:rPr>
        <w:b/>
        <w:sz w:val="22"/>
      </w:rPr>
      <w:tblPr/>
      <w:tcPr>
        <w:shd w:val="clear" w:color="4472C4" w:fill="4472C4" w:themeFill="accent5"/>
      </w:tcPr>
    </w:tblStylePr>
    <w:tblStylePr w:type="lastCol">
      <w:rPr>
        <w:b/>
        <w:sz w:val="22"/>
      </w:rPr>
      <w:tblPr/>
      <w:tcPr>
        <w:shd w:val="clear" w:color="4472C4" w:fill="4472C4" w:themeFill="accent5"/>
      </w:tcPr>
    </w:tblStylePr>
    <w:tblStylePr w:type="band1Vert">
      <w:tblPr/>
      <w:tcPr>
        <w:shd w:val="clear" w:color="A9BEE4" w:fill="A9BEE4" w:themeFill="accent5" w:themeFillTint="75"/>
      </w:tcPr>
    </w:tblStylePr>
    <w:tblStylePr w:type="band1Horz">
      <w:tblPr/>
      <w:tcPr>
        <w:shd w:val="clear" w:color="A9BEE4" w:fill="A9BE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70AD47" w:fill="70AD47" w:themeFill="accent6"/>
      </w:tcPr>
    </w:tblStylePr>
    <w:tblStylePr w:type="firstCol">
      <w:rPr>
        <w:b/>
        <w:sz w:val="22"/>
      </w:rPr>
      <w:tblPr/>
      <w:tcPr>
        <w:shd w:val="clear" w:color="70AD47" w:fill="70AD47" w:themeFill="accent6"/>
      </w:tcPr>
    </w:tblStylePr>
    <w:tblStylePr w:type="lastCol">
      <w:rPr>
        <w:b/>
        <w:sz w:val="22"/>
      </w:rPr>
      <w:tblPr/>
      <w:tcPr>
        <w:shd w:val="clear" w:color="70AD47" w:fill="70AD47" w:themeFill="accent6"/>
      </w:tcPr>
    </w:tblStylePr>
    <w:tblStylePr w:type="band1Vert">
      <w:tblPr/>
      <w:tcPr>
        <w:shd w:val="clear" w:color="BCDBA8" w:fill="BCDBA8" w:themeFill="accent6" w:themeFillTint="75"/>
      </w:tcPr>
    </w:tblStylePr>
    <w:tblStylePr w:type="band1Horz">
      <w:tblPr/>
      <w:tcPr>
        <w:shd w:val="clear" w:color="BCDBA8" w:fill="BCDBA8" w:themeFill="accent6" w:themeFillTint="75"/>
      </w:tcPr>
    </w:tblStylePr>
  </w:style>
  <w:style w:type="table" w:styleId="-6">
    <w:name w:val="Grid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CBCBCB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CBCBCB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ACCCEA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1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2F2F2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2F2F2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CCCEA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ACCCEA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CCCEA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ACCCEA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DEAF6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DDEAF6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BE5D6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BE5D6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CECEC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ECECEC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2CB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2CB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5AFDD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95AFDD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8E2F3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D8E2F3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DD394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ADD394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1EFD8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E1EFD8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tblPr/>
      <w:tcPr>
        <w:shd w:val="clear" w:color="BFBFBF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tblPr/>
      <w:tcPr>
        <w:shd w:val="clear" w:color="D5E5F4" w:fill="D5E5F4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tblPr/>
      <w:tcPr>
        <w:shd w:val="clear" w:color="FADECB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tblPr/>
      <w:tcPr>
        <w:shd w:val="clear" w:color="E8E8E8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tblPr/>
      <w:tcPr>
        <w:shd w:val="clear" w:color="FFEFBF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tblPr/>
      <w:tcPr>
        <w:shd w:val="clear" w:color="CFDBF0" w:fill="CFDB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tblPr/>
      <w:tcPr>
        <w:shd w:val="clear" w:color="DAEBCF" w:fill="DAEBCF" w:themeFill="accent6" w:themeFillTint="40"/>
      </w:tcPr>
    </w:tblStylePr>
  </w:style>
  <w:style w:type="table" w:styleId="-20">
    <w:name w:val="List Table 2"/>
    <w:basedOn w:val="a1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6F6F6F" w:themeColor="text1" w:sz="4" w:space="0"/>
          <w:left w:val="none" w:color="000000" w:sz="4" w:space="0"/>
          <w:bottom w:val="single" w:color="6F6F6F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2C6E7" w:themeColor="accent1" w:sz="4" w:space="0"/>
          <w:left w:val="none" w:color="000000" w:sz="4" w:space="0"/>
          <w:bottom w:val="single" w:color="A2C6E7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4B58A" w:themeColor="accent2" w:sz="4" w:space="0"/>
          <w:left w:val="none" w:color="000000" w:sz="4" w:space="0"/>
          <w:bottom w:val="single" w:color="F4B58A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CCCCCC" w:themeColor="accent3" w:sz="4" w:space="0"/>
          <w:left w:val="none" w:color="000000" w:sz="4" w:space="0"/>
          <w:bottom w:val="single" w:color="CCCCCC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DB6F" w:themeColor="accent4" w:sz="4" w:space="0"/>
          <w:left w:val="none" w:color="000000" w:sz="4" w:space="0"/>
          <w:bottom w:val="single" w:color="FFDB6F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95AFDD" w:themeColor="accent5" w:sz="4" w:space="0"/>
          <w:left w:val="none" w:color="000000" w:sz="4" w:space="0"/>
          <w:bottom w:val="single" w:color="95AFDD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DD394" w:themeColor="accent6" w:sz="4" w:space="0"/>
          <w:left w:val="none" w:color="000000" w:sz="4" w:space="0"/>
          <w:bottom w:val="single" w:color="ADD394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30">
    <w:name w:val="List Table 3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4B184" w:themeColor="accent2" w:sz="4" w:space="0"/>
          <w:right w:val="single" w:color="F4B184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F4B184" w:themeColor="accent2" w:sz="4" w:space="0"/>
          <w:bottom w:val="single" w:color="F4B184" w:themeColor="accent2" w:sz="4" w:space="0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C9C9C9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C9C9C9" w:themeColor="accent3" w:sz="4" w:space="0"/>
          <w:right w:val="single" w:color="C9C9C9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C9C9C9" w:themeColor="accent3" w:sz="4" w:space="0"/>
          <w:bottom w:val="single" w:color="C9C9C9" w:themeColor="accent3" w:sz="4" w:space="0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D865" w:themeColor="accent4" w:sz="4" w:space="0"/>
          <w:right w:val="single" w:color="FFD865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D865" w:themeColor="accent4" w:sz="4" w:space="0"/>
          <w:bottom w:val="single" w:color="FFD865" w:themeColor="accent4" w:sz="4" w:space="0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8DA9DB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8DA9DB" w:themeColor="accent5" w:sz="4" w:space="0"/>
          <w:right w:val="single" w:color="8DA9DB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8DA9DB" w:themeColor="accent5" w:sz="4" w:space="0"/>
          <w:bottom w:val="single" w:color="8DA9DB" w:themeColor="accent5" w:sz="4" w:space="0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A9D08E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9D08E" w:themeColor="accent6" w:sz="4" w:space="0"/>
          <w:right w:val="single" w:color="A9D08E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A9D08E" w:themeColor="accent6" w:sz="4" w:space="0"/>
          <w:bottom w:val="single" w:color="A9D08E" w:themeColor="accent6" w:sz="4" w:space="0"/>
        </w:tcBorders>
      </w:tcPr>
    </w:tblStylePr>
  </w:style>
  <w:style w:type="table" w:styleId="-40">
    <w:name w:val="List Table 4"/>
    <w:basedOn w:val="a1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000000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BFBFBF" w:fill="BFBFBF" w:themeFill="text1" w:themeFillTint="40"/>
      </w:tcPr>
    </w:tblStylePr>
    <w:tblStylePr w:type="band1Horz">
      <w:rPr>
        <w:sz w:val="22"/>
      </w:rPr>
      <w:tblPr/>
      <w:tcPr>
        <w:shd w:val="clear" w:color="BFBFBF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5B9BD5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5E5F4" w:fill="D5E5F4" w:themeFill="accent1" w:themeFillTint="40"/>
      </w:tcPr>
    </w:tblStylePr>
    <w:tblStylePr w:type="band1Horz">
      <w:rPr>
        <w:sz w:val="22"/>
      </w:rPr>
      <w:tblPr/>
      <w:tcPr>
        <w:shd w:val="clear" w:color="D5E5F4" w:fill="D5E5F4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ED7D31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ADECB" w:fill="FADECB" w:themeFill="accent2" w:themeFillTint="40"/>
      </w:tcPr>
    </w:tblStylePr>
    <w:tblStylePr w:type="band1Horz">
      <w:rPr>
        <w:sz w:val="22"/>
      </w:rPr>
      <w:tblPr/>
      <w:tcPr>
        <w:shd w:val="clear" w:color="FADECB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A5A5A5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E8E8E8" w:fill="E8E8E8" w:themeFill="accent3" w:themeFillTint="40"/>
      </w:tcPr>
    </w:tblStylePr>
    <w:tblStylePr w:type="band1Horz">
      <w:rPr>
        <w:sz w:val="22"/>
      </w:rPr>
      <w:tblPr/>
      <w:tcPr>
        <w:shd w:val="clear" w:color="E8E8E8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C000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EFBF" w:fill="FFEFBF" w:themeFill="accent4" w:themeFillTint="40"/>
      </w:tcPr>
    </w:tblStylePr>
    <w:tblStylePr w:type="band1Horz">
      <w:rPr>
        <w:sz w:val="22"/>
      </w:rPr>
      <w:tblPr/>
      <w:tcPr>
        <w:shd w:val="clear" w:color="FFEFBF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4472C4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CFDBF0" w:fill="CFDBF0" w:themeFill="accent5" w:themeFillTint="40"/>
      </w:tcPr>
    </w:tblStylePr>
    <w:tblStylePr w:type="band1Horz">
      <w:rPr>
        <w:sz w:val="22"/>
      </w:rPr>
      <w:tblPr/>
      <w:tcPr>
        <w:shd w:val="clear" w:color="CFDBF0" w:fill="CFDB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70AD47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DAEBCF" w:fill="DAEBCF" w:themeFill="accent6" w:themeFillTint="40"/>
      </w:tcPr>
    </w:tblStylePr>
    <w:tblStylePr w:type="band1Horz">
      <w:rPr>
        <w:sz w:val="22"/>
      </w:rPr>
      <w:tblPr/>
      <w:tcPr>
        <w:shd w:val="clear" w:color="DAEBCF" w:fill="DAEBCF" w:themeFill="accent6" w:themeFillTint="40"/>
      </w:tcPr>
    </w:tblStylePr>
  </w:style>
  <w:style w:type="table" w:styleId="-50">
    <w:name w:val="List Table 5 Dark"/>
    <w:basedOn w:val="a1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F7F7F" w:themeColor="text1" w:sz="32" w:space="0"/>
          <w:bottom w:val="single" w:color="FFFFFF" w:themeColor="light1" w:sz="12" w:space="0"/>
        </w:tcBorders>
        <w:shd w:val="clear" w:color="7F7F7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F7F7F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F7F7F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7F7F7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7F7F7F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5B9BD5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5B9BD5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5B9BD5" w:fill="5B9BD5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4B184" w:themeColor="accent2" w:sz="32" w:space="0"/>
          <w:bottom w:val="single" w:color="FFFFFF" w:themeColor="light1" w:sz="12" w:space="0"/>
        </w:tcBorders>
        <w:shd w:val="clear" w:color="F4B184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4B184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4B184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4B184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4B184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C9C9C9" w:themeColor="accent3" w:sz="32" w:space="0"/>
          <w:bottom w:val="single" w:color="FFFFFF" w:themeColor="light1" w:sz="12" w:space="0"/>
        </w:tcBorders>
        <w:shd w:val="clear" w:color="C9C9C9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C9C9C9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C9C9C9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C9C9C9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C9C9C9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D865" w:themeColor="accent4" w:sz="32" w:space="0"/>
          <w:bottom w:val="single" w:color="FFFFFF" w:themeColor="light1" w:sz="12" w:space="0"/>
        </w:tcBorders>
        <w:shd w:val="clear" w:color="FFD865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D865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D865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D865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D865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8DA9DB" w:themeColor="accent5" w:sz="32" w:space="0"/>
          <w:bottom w:val="single" w:color="FFFFFF" w:themeColor="light1" w:sz="12" w:space="0"/>
        </w:tcBorders>
        <w:shd w:val="clear" w:color="8DA9DB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8DA9DB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8DA9DB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8DA9DB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8DA9DB" w:fill="8DA9DB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9D08E" w:themeColor="accent6" w:sz="32" w:space="0"/>
          <w:bottom w:val="single" w:color="FFFFFF" w:themeColor="light1" w:sz="12" w:space="0"/>
        </w:tcBorders>
        <w:shd w:val="clear" w:color="A9D08E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9D08E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9D08E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A9D08E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A9D08E" w:fill="A9D08E" w:themeFill="accent6" w:themeFillTint="98"/>
      </w:tcPr>
    </w:tblStylePr>
  </w:style>
  <w:style w:type="table" w:styleId="-60">
    <w:name w:val="List Table 6 Colorful"/>
    <w:basedOn w:val="a1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7F7F7F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7F7F7F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F4B184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F4B184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C9C9C9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C9C9C9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D865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D865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8DA9DB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8DA9DB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A9D08E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A9D08E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1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F7F7F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7F7F7F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7F7F7F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BFBFB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BFBFB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5E5F4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D5E5F4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4B184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F4B184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4B184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F4B184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ADECB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ADECB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C9C9C9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C9C9C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9C9C9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C9C9C9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E8E8E8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E8E8E8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D865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D865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D865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D865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EFB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EFB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8DA9DB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8DA9DB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8DA9DB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8DA9DB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CFDBF0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CFDBF0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9D08E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A9D08E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9D08E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A9D08E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DAEBC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DAEBC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Lined-Accent1">
    <w:name w:val="Lined - Accent 1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Lined-Accent2">
    <w:name w:val="Lined - Accent 2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Lined-Accent6">
    <w:name w:val="Lined - Accent 6"/>
    <w:basedOn w:val="a1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7F7F7F" w:fill="7F7F7F" w:themeFill="text1" w:themeFillTint="80"/>
      </w:tcPr>
    </w:tblStylePr>
    <w:tblStylePr w:type="lastRow">
      <w:rPr>
        <w:sz w:val="22"/>
      </w:rPr>
      <w:tblPr/>
      <w:tcPr>
        <w:shd w:val="clear" w:color="7F7F7F" w:fill="7F7F7F" w:themeFill="text1" w:themeFillTint="80"/>
      </w:tcPr>
    </w:tblStylePr>
    <w:tblStylePr w:type="firstCol">
      <w:rPr>
        <w:sz w:val="22"/>
      </w:rPr>
      <w:tblPr/>
      <w:tcPr>
        <w:shd w:val="clear" w:color="7F7F7F" w:fill="7F7F7F" w:themeFill="text1" w:themeFillTint="80"/>
      </w:tcPr>
    </w:tblStylePr>
    <w:tblStylePr w:type="lastCol">
      <w:rPr>
        <w:sz w:val="22"/>
      </w:rPr>
      <w:tblPr/>
      <w:tcPr>
        <w:shd w:val="clear" w:color="7F7F7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2F2F2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2F2F2" w:fill="F2F2F2" w:themeFill="text1" w:themeFillTint="d"/>
      </w:tcPr>
    </w:tblStylePr>
  </w:style>
  <w:style w:type="table" w:customStyle="1" w:styleId="BorderedLined-Accent1">
    <w:name w:val="Bordered &amp; Lined - Accent 1"/>
    <w:basedOn w:val="a1"/>
    <w:uiPriority w:val="99"/>
    <w:tblPr>
      <w:tblStyleRowBandSize w:val="1"/>
      <w:tblStyleColBandSize w:val="1"/>
      <w:tblBorders>
        <w:top w:val="single" w:color="245A8D" w:themeColor="accent1" w:sz="4" w:space="0"/>
        <w:left w:val="single" w:color="245A8D" w:themeColor="accent1" w:sz="4" w:space="0"/>
        <w:bottom w:val="single" w:color="245A8D" w:themeColor="accent1" w:sz="4" w:space="0"/>
        <w:right w:val="single" w:color="245A8D" w:themeColor="accent1" w:sz="4" w:space="0"/>
        <w:insideH w:val="single" w:color="245A8D" w:themeColor="accent1" w:sz="4" w:space="0"/>
        <w:insideV w:val="single" w:color="245A8D" w:themeColor="accent1" w:sz="4" w:space="0"/>
      </w:tblBorders>
    </w:tblPr>
    <w:tblStylePr w:type="firstRow">
      <w:rPr>
        <w:sz w:val="22"/>
      </w:rPr>
      <w:tblPr/>
      <w:tcPr>
        <w:shd w:val="clear" w:color="68A2D8" w:fill="68A2D8" w:themeFill="accent1" w:themeFillTint="ea"/>
      </w:tcPr>
    </w:tblStylePr>
    <w:tblStylePr w:type="lastRow">
      <w:rPr>
        <w:sz w:val="22"/>
      </w:rPr>
      <w:tblPr/>
      <w:tcPr>
        <w:shd w:val="clear" w:color="68A2D8" w:fill="68A2D8" w:themeFill="accent1" w:themeFillTint="ea"/>
      </w:tcPr>
    </w:tblStylePr>
    <w:tblStylePr w:type="firstCol">
      <w:rPr>
        <w:sz w:val="22"/>
      </w:rPr>
      <w:tblPr/>
      <w:tcPr>
        <w:shd w:val="clear" w:color="68A2D8" w:fill="68A2D8" w:themeFill="accent1" w:themeFillTint="ea"/>
      </w:tcPr>
    </w:tblStylePr>
    <w:tblStylePr w:type="lastCol">
      <w:rPr>
        <w:sz w:val="22"/>
      </w:rPr>
      <w:tblPr/>
      <w:tcPr>
        <w:shd w:val="clear" w:color="68A2D8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CBDFF1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CBDFF1" w:fill="CBDFF1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tblPr>
      <w:tblStyleRowBandSize w:val="1"/>
      <w:tblStyleColBandSize w:val="1"/>
      <w:tblBorders>
        <w:top w:val="single" w:color="99460D" w:themeColor="accent2" w:sz="4" w:space="0"/>
        <w:left w:val="single" w:color="99460D" w:themeColor="accent2" w:sz="4" w:space="0"/>
        <w:bottom w:val="single" w:color="99460D" w:themeColor="accent2" w:sz="4" w:space="0"/>
        <w:right w:val="single" w:color="99460D" w:themeColor="accent2" w:sz="4" w:space="0"/>
        <w:insideH w:val="single" w:color="99460D" w:themeColor="accent2" w:sz="4" w:space="0"/>
        <w:insideV w:val="single" w:color="99460D" w:themeColor="accent2" w:sz="4" w:space="0"/>
      </w:tblBorders>
    </w:tblPr>
    <w:tblStylePr w:type="firstRow">
      <w:rPr>
        <w:sz w:val="22"/>
      </w:rPr>
      <w:tblPr/>
      <w:tcPr>
        <w:shd w:val="clear" w:color="F4B184" w:fill="F4B184" w:themeFill="accent2" w:themeFillTint="97"/>
      </w:tcPr>
    </w:tblStylePr>
    <w:tblStylePr w:type="lastRow">
      <w:rPr>
        <w:sz w:val="22"/>
      </w:rPr>
      <w:tblPr/>
      <w:tcPr>
        <w:shd w:val="clear" w:color="F4B184" w:fill="F4B184" w:themeFill="accent2" w:themeFillTint="97"/>
      </w:tcPr>
    </w:tblStylePr>
    <w:tblStylePr w:type="firstCol">
      <w:rPr>
        <w:sz w:val="22"/>
      </w:rPr>
      <w:tblPr/>
      <w:tcPr>
        <w:shd w:val="clear" w:color="F4B184" w:fill="F4B184" w:themeFill="accent2" w:themeFillTint="97"/>
      </w:tcPr>
    </w:tblStylePr>
    <w:tblStylePr w:type="lastCol">
      <w:rPr>
        <w:sz w:val="22"/>
      </w:rPr>
      <w:tblPr/>
      <w:tcPr>
        <w:shd w:val="clear" w:color="F4B184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BE5D6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BE5D6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tblPr>
      <w:tblStyleRowBandSize w:val="1"/>
      <w:tblStyleColBandSize w:val="1"/>
      <w:tblBorders>
        <w:top w:val="single" w:color="606060" w:themeColor="accent3" w:sz="4" w:space="0"/>
        <w:left w:val="single" w:color="606060" w:themeColor="accent3" w:sz="4" w:space="0"/>
        <w:bottom w:val="single" w:color="606060" w:themeColor="accent3" w:sz="4" w:space="0"/>
        <w:right w:val="single" w:color="606060" w:themeColor="accent3" w:sz="4" w:space="0"/>
        <w:insideH w:val="single" w:color="606060" w:themeColor="accent3" w:sz="4" w:space="0"/>
        <w:insideV w:val="single" w:color="606060" w:themeColor="accent3" w:sz="4" w:space="0"/>
      </w:tblBorders>
    </w:tblPr>
    <w:tblStylePr w:type="firstRow">
      <w:rPr>
        <w:sz w:val="22"/>
      </w:rPr>
      <w:tblPr/>
      <w:tcPr>
        <w:shd w:val="clear" w:color="A5A5A5" w:fill="A5A5A5" w:themeFill="accent3" w:themeFillTint="fe"/>
      </w:tcPr>
    </w:tblStylePr>
    <w:tblStylePr w:type="lastRow">
      <w:rPr>
        <w:sz w:val="22"/>
      </w:rPr>
      <w:tblPr/>
      <w:tcPr>
        <w:shd w:val="clear" w:color="A5A5A5" w:fill="A5A5A5" w:themeFill="accent3" w:themeFillTint="fe"/>
      </w:tcPr>
    </w:tblStylePr>
    <w:tblStylePr w:type="firstCol">
      <w:rPr>
        <w:sz w:val="22"/>
      </w:rPr>
      <w:tblPr/>
      <w:tcPr>
        <w:shd w:val="clear" w:color="A5A5A5" w:fill="A5A5A5" w:themeFill="accent3" w:themeFillTint="fe"/>
      </w:tcPr>
    </w:tblStylePr>
    <w:tblStylePr w:type="lastCol">
      <w:rPr>
        <w:sz w:val="22"/>
      </w:rPr>
      <w:tblPr/>
      <w:tcPr>
        <w:shd w:val="clear" w:color="A5A5A5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CECEC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CECEC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tblPr>
      <w:tblStyleRowBandSize w:val="1"/>
      <w:tblStyleColBandSize w:val="1"/>
      <w:tblBorders>
        <w:top w:val="single" w:color="957000" w:themeColor="accent4" w:sz="4" w:space="0"/>
        <w:left w:val="single" w:color="957000" w:themeColor="accent4" w:sz="4" w:space="0"/>
        <w:bottom w:val="single" w:color="957000" w:themeColor="accent4" w:sz="4" w:space="0"/>
        <w:right w:val="single" w:color="957000" w:themeColor="accent4" w:sz="4" w:space="0"/>
        <w:insideH w:val="single" w:color="957000" w:themeColor="accent4" w:sz="4" w:space="0"/>
        <w:insideV w:val="single" w:color="957000" w:themeColor="accent4" w:sz="4" w:space="0"/>
      </w:tblBorders>
    </w:tblPr>
    <w:tblStylePr w:type="firstRow">
      <w:rPr>
        <w:sz w:val="22"/>
      </w:rPr>
      <w:tblPr/>
      <w:tcPr>
        <w:shd w:val="clear" w:color="FFD865" w:fill="FFD865" w:themeFill="accent4" w:themeFillTint="9a"/>
      </w:tcPr>
    </w:tblStylePr>
    <w:tblStylePr w:type="lastRow">
      <w:rPr>
        <w:sz w:val="22"/>
      </w:rPr>
      <w:tblPr/>
      <w:tcPr>
        <w:shd w:val="clear" w:color="FFD865" w:fill="FFD865" w:themeFill="accent4" w:themeFillTint="9a"/>
      </w:tcPr>
    </w:tblStylePr>
    <w:tblStylePr w:type="firstCol">
      <w:rPr>
        <w:sz w:val="22"/>
      </w:rPr>
      <w:tblPr/>
      <w:tcPr>
        <w:shd w:val="clear" w:color="FFD865" w:fill="FFD865" w:themeFill="accent4" w:themeFillTint="9a"/>
      </w:tcPr>
    </w:tblStylePr>
    <w:tblStylePr w:type="lastCol">
      <w:rPr>
        <w:sz w:val="22"/>
      </w:rPr>
      <w:tblPr/>
      <w:tcPr>
        <w:shd w:val="clear" w:color="FFD865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2CB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2CB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tblPr>
      <w:tblStyleRowBandSize w:val="1"/>
      <w:tblStyleColBandSize w:val="1"/>
      <w:tblBorders>
        <w:top w:val="single" w:color="254175" w:themeColor="accent5" w:sz="4" w:space="0"/>
        <w:left w:val="single" w:color="254175" w:themeColor="accent5" w:sz="4" w:space="0"/>
        <w:bottom w:val="single" w:color="254175" w:themeColor="accent5" w:sz="4" w:space="0"/>
        <w:right w:val="single" w:color="254175" w:themeColor="accent5" w:sz="4" w:space="0"/>
        <w:insideH w:val="single" w:color="254175" w:themeColor="accent5" w:sz="4" w:space="0"/>
        <w:insideV w:val="single" w:color="254175" w:themeColor="accent5" w:sz="4" w:space="0"/>
      </w:tblBorders>
    </w:tblPr>
    <w:tblStylePr w:type="firstRow">
      <w:rPr>
        <w:sz w:val="22"/>
      </w:rPr>
      <w:tblPr/>
      <w:tcPr>
        <w:shd w:val="clear" w:color="4472C4" w:fill="4472C4" w:themeFill="accent5"/>
      </w:tcPr>
    </w:tblStylePr>
    <w:tblStylePr w:type="lastRow">
      <w:rPr>
        <w:sz w:val="22"/>
      </w:rPr>
      <w:tblPr/>
      <w:tcPr>
        <w:shd w:val="clear" w:color="4472C4" w:fill="4472C4" w:themeFill="accent5"/>
      </w:tcPr>
    </w:tblStylePr>
    <w:tblStylePr w:type="firstCol">
      <w:rPr>
        <w:sz w:val="22"/>
      </w:rPr>
      <w:tblPr/>
      <w:tcPr>
        <w:shd w:val="clear" w:color="4472C4" w:fill="4472C4" w:themeFill="accent5"/>
      </w:tcPr>
    </w:tblStylePr>
    <w:tblStylePr w:type="lastCol">
      <w:rPr>
        <w:sz w:val="22"/>
      </w:rPr>
      <w:tblPr/>
      <w:tcPr>
        <w:shd w:val="clear" w:color="4472C4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D8E2F3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D8E2F3" w:fill="D8E2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tblPr>
      <w:tblStyleRowBandSize w:val="1"/>
      <w:tblStyleColBandSize w:val="1"/>
      <w:tblBorders>
        <w:top w:val="single" w:color="416429" w:themeColor="accent6" w:sz="4" w:space="0"/>
        <w:left w:val="single" w:color="416429" w:themeColor="accent6" w:sz="4" w:space="0"/>
        <w:bottom w:val="single" w:color="416429" w:themeColor="accent6" w:sz="4" w:space="0"/>
        <w:right w:val="single" w:color="416429" w:themeColor="accent6" w:sz="4" w:space="0"/>
        <w:insideH w:val="single" w:color="416429" w:themeColor="accent6" w:sz="4" w:space="0"/>
        <w:insideV w:val="single" w:color="416429" w:themeColor="accent6" w:sz="4" w:space="0"/>
      </w:tblBorders>
    </w:tblPr>
    <w:tblStylePr w:type="firstRow">
      <w:rPr>
        <w:sz w:val="22"/>
      </w:rPr>
      <w:tblPr/>
      <w:tcPr>
        <w:shd w:val="clear" w:color="70AD47" w:fill="70AD47" w:themeFill="accent6"/>
      </w:tcPr>
    </w:tblStylePr>
    <w:tblStylePr w:type="lastRow">
      <w:rPr>
        <w:sz w:val="22"/>
      </w:rPr>
      <w:tblPr/>
      <w:tcPr>
        <w:shd w:val="clear" w:color="70AD47" w:fill="70AD47" w:themeFill="accent6"/>
      </w:tcPr>
    </w:tblStylePr>
    <w:tblStylePr w:type="firstCol">
      <w:rPr>
        <w:sz w:val="22"/>
      </w:rPr>
      <w:tblPr/>
      <w:tcPr>
        <w:shd w:val="clear" w:color="70AD47" w:fill="70AD47" w:themeFill="accent6"/>
      </w:tcPr>
    </w:tblStylePr>
    <w:tblStylePr w:type="lastCol">
      <w:rPr>
        <w:sz w:val="22"/>
      </w:rPr>
      <w:tblPr/>
      <w:tcPr>
        <w:shd w:val="clear" w:color="70AD47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E1EFD8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E1EFD8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7F7F7F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7F7F7F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F7F7F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D9D9D9" w:themeColor="text1" w:sz="4" w:space="0"/>
          <w:left w:val="single" w:color="D9D9D9" w:themeColor="text1" w:sz="4" w:space="0"/>
          <w:bottom w:val="single" w:color="D9D9D9" w:themeColor="text1" w:sz="4" w:space="0"/>
          <w:right w:val="single" w:color="D9D9D9" w:themeColor="text1" w:sz="4" w:space="0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BCD6EE" w:themeColor="accent1" w:sz="4" w:space="0"/>
          <w:left w:val="single" w:color="BCD6EE" w:themeColor="accent1" w:sz="4" w:space="0"/>
          <w:bottom w:val="single" w:color="BCD6EE" w:themeColor="accent1" w:sz="4" w:space="0"/>
          <w:right w:val="single" w:color="BCD6EE" w:themeColor="accent1" w:sz="4" w:space="0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F4B184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F4B184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4B184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F7CAAB" w:themeColor="accent2" w:sz="4" w:space="0"/>
          <w:left w:val="single" w:color="F7CAAB" w:themeColor="accent2" w:sz="4" w:space="0"/>
          <w:bottom w:val="single" w:color="F7CAAB" w:themeColor="accent2" w:sz="4" w:space="0"/>
          <w:right w:val="single" w:color="F7CAAB" w:themeColor="accent2" w:sz="4" w:space="0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C9C9C9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C9C9C9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C9C9C9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DADADA" w:themeColor="accent3" w:sz="4" w:space="0"/>
          <w:left w:val="single" w:color="DADADA" w:themeColor="accent3" w:sz="4" w:space="0"/>
          <w:bottom w:val="single" w:color="DADADA" w:themeColor="accent3" w:sz="4" w:space="0"/>
          <w:right w:val="single" w:color="DADADA" w:themeColor="accent3" w:sz="4" w:space="0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D865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D865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D865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E598" w:themeColor="accent4" w:sz="4" w:space="0"/>
          <w:left w:val="single" w:color="FFE598" w:themeColor="accent4" w:sz="4" w:space="0"/>
          <w:bottom w:val="single" w:color="FFE598" w:themeColor="accent4" w:sz="4" w:space="0"/>
          <w:right w:val="single" w:color="FFE598" w:themeColor="accent4" w:sz="4" w:space="0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8DA9DB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8DA9DB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8DA9DB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B3C5E7" w:themeColor="accent5" w:sz="4" w:space="0"/>
          <w:left w:val="single" w:color="B3C5E7" w:themeColor="accent5" w:sz="4" w:space="0"/>
          <w:bottom w:val="single" w:color="B3C5E7" w:themeColor="accent5" w:sz="4" w:space="0"/>
          <w:right w:val="single" w:color="B3C5E7" w:themeColor="accent5" w:sz="4" w:space="0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A9D08E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A9D08E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9D08E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C4DFB2" w:themeColor="accent6" w:sz="4" w:space="0"/>
          <w:left w:val="single" w:color="C4DFB2" w:themeColor="accent6" w:sz="4" w:space="0"/>
          <w:bottom w:val="single" w:color="C4DFB2" w:themeColor="accent6" w:sz="4" w:space="0"/>
          <w:right w:val="single" w:color="C4DFB2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2.png"/><Relationship Id="rId4" Type="http://schemas.openxmlformats.org/officeDocument/2006/relationships/fontTable" Target="fontTable.xml"/><Relationship Id="rId5" Type="http://schemas.openxmlformats.org/officeDocument/2006/relationships/settings" Target="settings.xml"/><Relationship Id="rId6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itchFamily="0" charset="1"/>
        <a:ea typeface="Arial" pitchFamily="0" charset="1"/>
        <a:cs typeface="Arial" pitchFamily="0" charset="1"/>
      </a:majorFont>
      <a:minorFont>
        <a:latin typeface="Calibri" pitchFamily="0" charset="1"/>
        <a:ea typeface="Arial" pitchFamily="0" charset="1"/>
        <a:cs typeface="Arial" pitchFamily="0" charset="1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1897</TotalTime>
  <Application>LibreOffice/7.6.7.2$Linux_X86_64 LibreOffice_project/60$Build-2</Application>
  <AppVersion>15.0000</AppVersion>
  <Pages>2</Pages>
  <Words>464</Words>
  <Characters>3089</Characters>
  <CharactersWithSpaces>3738</CharactersWithSpaces>
  <Paragraphs>76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Теселкин Владимир Андреевич</dc:creator>
  <dc:description/>
  <dc:language>ru-RU</dc:language>
  <cp:lastModifiedBy/>
  <cp:lastPrinted>2025-10-29T15:10:02Z</cp:lastPrinted>
  <dcterms:modified xsi:type="dcterms:W3CDTF">2026-10-07T12:49:54Z</dcterms:modified>
  <cp:revision>113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