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word/theme/theme1.xml" ContentType="application/vnd.openxmlformats-officedocument.theme+xml"/>
  <Override PartName="/word/fontTable.xml" ContentType="application/vnd.openxmlformats-officedocument.wordprocessingml.fontTable+xml"/>
  <Override PartName="/word/endnotes.xml" ContentType="application/vnd.openxmlformats-officedocument.wordprocessingml.endnotes+xml"/>
  <Override PartName="/word/numbering.xml" ContentType="application/vnd.openxmlformats-officedocument.wordprocessingml.numbering+xml"/>
  <Override PartName="/word/webSettings.xml" ContentType="application/vnd.openxmlformats-officedocument.wordprocessingml.webSettings+xml"/>
  <Override PartName="/docProps/app.xml" ContentType="application/vnd.openxmlformats-officedocument.extended-properties+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ind w:firstLine="709"/>
        <w:jc w:val="right"/>
        <w:spacing w:line="276" w:lineRule="auto"/>
        <w:widowControl w:val="off"/>
        <w:rPr>
          <w:bCs/>
          <w:color w:val="000000"/>
          <w:lang w:eastAsia="en-US"/>
        </w:rPr>
        <w:outlineLvl w:val="0"/>
      </w:pPr>
      <w:r>
        <w:rPr>
          <w:bCs/>
          <w:color w:val="000000"/>
          <w:lang w:eastAsia="en-US"/>
        </w:rPr>
        <w:t xml:space="preserve">ПРОЕКТ</w:t>
      </w:r>
      <w:r>
        <w:rPr>
          <w:bCs/>
          <w:color w:val="000000"/>
          <w:lang w:eastAsia="en-US"/>
        </w:rPr>
      </w:r>
      <w:r>
        <w:rPr>
          <w:bCs/>
          <w:color w:val="000000"/>
          <w:lang w:eastAsia="en-US"/>
        </w:rPr>
      </w:r>
    </w:p>
    <w:p>
      <w:pPr>
        <w:ind w:firstLine="709"/>
        <w:jc w:val="right"/>
        <w:spacing w:line="276" w:lineRule="auto"/>
        <w:widowControl w:val="off"/>
        <w:rPr>
          <w:b/>
          <w:bCs/>
          <w:color w:val="000000"/>
          <w:lang w:eastAsia="en-US"/>
        </w:rPr>
        <w:outlineLvl w:val="0"/>
      </w:pPr>
      <w:r>
        <w:rPr>
          <w:b/>
          <w:bCs/>
          <w:color w:val="000000"/>
          <w:lang w:eastAsia="en-US"/>
        </w:rPr>
      </w:r>
      <w:r>
        <w:rPr>
          <w:b/>
          <w:bCs/>
          <w:color w:val="000000"/>
          <w:lang w:eastAsia="en-US"/>
        </w:rPr>
      </w:r>
      <w:r>
        <w:rPr>
          <w:b/>
          <w:bCs/>
          <w:color w:val="000000"/>
          <w:lang w:eastAsia="en-US"/>
        </w:rPr>
      </w:r>
    </w:p>
    <w:p>
      <w:pPr>
        <w:ind w:firstLine="709"/>
        <w:jc w:val="right"/>
        <w:spacing w:line="276" w:lineRule="auto"/>
        <w:widowControl w:val="off"/>
        <w:rPr>
          <w:bCs/>
          <w:color w:val="000000"/>
          <w:lang w:eastAsia="en-US"/>
        </w:rPr>
        <w:outlineLvl w:val="0"/>
      </w:pPr>
      <w:r>
        <w:rPr>
          <w:b/>
          <w:bCs/>
          <w:color w:val="000000"/>
          <w:lang w:eastAsia="en-US"/>
        </w:rPr>
        <w:t xml:space="preserve"> </w:t>
      </w:r>
      <w:r>
        <w:rPr>
          <w:bCs/>
          <w:color w:val="000000"/>
          <w:lang w:eastAsia="en-US"/>
        </w:rPr>
        <w:t xml:space="preserve">УТВЕРЖДАЮ</w:t>
      </w:r>
      <w:r>
        <w:rPr>
          <w:bCs/>
          <w:color w:val="000000"/>
          <w:lang w:eastAsia="en-US"/>
        </w:rPr>
      </w:r>
      <w:r>
        <w:rPr>
          <w:bCs/>
          <w:color w:val="000000"/>
          <w:lang w:eastAsia="en-US"/>
        </w:rPr>
      </w:r>
    </w:p>
    <w:p>
      <w:pPr>
        <w:ind w:firstLine="709"/>
        <w:jc w:val="right"/>
        <w:spacing w:line="276" w:lineRule="auto"/>
        <w:rPr>
          <w:color w:val="000000"/>
        </w:rPr>
      </w:pPr>
      <w:r>
        <w:rPr>
          <w:color w:val="000000"/>
        </w:rPr>
        <w:t xml:space="preserve">Первый заместитель </w:t>
      </w:r>
      <w:r>
        <w:rPr>
          <w:color w:val="000000"/>
        </w:rPr>
      </w:r>
      <w:r>
        <w:rPr>
          <w:color w:val="000000"/>
        </w:rPr>
      </w:r>
    </w:p>
    <w:p>
      <w:pPr>
        <w:ind w:firstLine="709"/>
        <w:jc w:val="right"/>
        <w:spacing w:line="276" w:lineRule="auto"/>
        <w:rPr>
          <w:color w:val="000000"/>
        </w:rPr>
      </w:pPr>
      <w:r>
        <w:rPr>
          <w:color w:val="000000"/>
        </w:rPr>
        <w:t xml:space="preserve">директора Департамента </w:t>
      </w:r>
      <w:r>
        <w:rPr>
          <w:color w:val="000000"/>
        </w:rPr>
      </w:r>
      <w:r>
        <w:rPr>
          <w:color w:val="000000"/>
        </w:rPr>
      </w:r>
    </w:p>
    <w:p>
      <w:pPr>
        <w:ind w:firstLine="709"/>
        <w:jc w:val="right"/>
        <w:spacing w:line="276" w:lineRule="auto"/>
        <w:rPr>
          <w:color w:val="000000"/>
        </w:rPr>
      </w:pPr>
      <w:r>
        <w:rPr>
          <w:color w:val="000000"/>
        </w:rPr>
        <w:t xml:space="preserve">информационных технологий</w:t>
      </w:r>
      <w:r>
        <w:rPr>
          <w:color w:val="000000"/>
        </w:rPr>
      </w:r>
      <w:r>
        <w:rPr>
          <w:color w:val="000000"/>
        </w:rPr>
      </w:r>
    </w:p>
    <w:p>
      <w:pPr>
        <w:ind w:firstLine="709"/>
        <w:jc w:val="right"/>
        <w:spacing w:line="276" w:lineRule="auto"/>
        <w:rPr>
          <w:color w:val="000000"/>
        </w:rPr>
      </w:pPr>
      <w:r>
        <w:rPr>
          <w:color w:val="000000"/>
        </w:rPr>
        <w:t xml:space="preserve">и цифрового развития</w:t>
      </w:r>
      <w:r>
        <w:rPr>
          <w:color w:val="000000"/>
        </w:rPr>
      </w:r>
      <w:r>
        <w:rPr>
          <w:color w:val="000000"/>
        </w:rPr>
      </w:r>
    </w:p>
    <w:p>
      <w:pPr>
        <w:ind w:firstLine="709"/>
        <w:jc w:val="right"/>
        <w:spacing w:line="276" w:lineRule="auto"/>
        <w:rPr>
          <w:color w:val="000000"/>
        </w:rPr>
      </w:pPr>
      <w:r>
        <w:rPr>
          <w:color w:val="000000"/>
        </w:rPr>
        <w:t xml:space="preserve">Ханты-Мансийского автономного</w:t>
      </w:r>
      <w:r>
        <w:rPr>
          <w:color w:val="000000"/>
        </w:rPr>
      </w:r>
      <w:r>
        <w:rPr>
          <w:color w:val="000000"/>
        </w:rPr>
      </w:r>
    </w:p>
    <w:p>
      <w:pPr>
        <w:ind w:firstLine="709"/>
        <w:jc w:val="right"/>
        <w:spacing w:line="276" w:lineRule="auto"/>
        <w:rPr>
          <w:color w:val="000000"/>
        </w:rPr>
      </w:pPr>
      <w:r>
        <w:rPr>
          <w:color w:val="000000"/>
        </w:rPr>
        <w:t xml:space="preserve">округа – Югры</w:t>
      </w:r>
      <w:r>
        <w:rPr>
          <w:color w:val="000000"/>
        </w:rPr>
      </w:r>
      <w:r>
        <w:rPr>
          <w:color w:val="000000"/>
        </w:rPr>
      </w:r>
    </w:p>
    <w:p>
      <w:pPr>
        <w:ind w:firstLine="709"/>
        <w:jc w:val="right"/>
        <w:spacing w:line="276" w:lineRule="auto"/>
        <w:rPr>
          <w:color w:val="000000"/>
        </w:rPr>
      </w:pPr>
      <w:r>
        <w:rPr>
          <w:color w:val="000000"/>
        </w:rPr>
      </w:r>
      <w:r>
        <w:rPr>
          <w:color w:val="000000"/>
        </w:rPr>
      </w:r>
      <w:r>
        <w:rPr>
          <w:color w:val="000000"/>
        </w:rPr>
      </w:r>
    </w:p>
    <w:p>
      <w:pPr>
        <w:ind w:firstLine="709"/>
        <w:jc w:val="right"/>
        <w:spacing w:line="276" w:lineRule="auto"/>
        <w:shd w:val="clear" w:color="auto" w:fill="ffffff"/>
        <w:widowControl w:val="off"/>
        <w:rPr>
          <w:bCs/>
          <w:color w:val="000000"/>
        </w:rPr>
      </w:pPr>
      <w:r>
        <w:rPr>
          <w:bCs/>
          <w:color w:val="000000"/>
        </w:rPr>
        <w:t xml:space="preserve">_____________Ю.С.Колесников</w:t>
      </w:r>
      <w:r>
        <w:rPr>
          <w:bCs/>
          <w:color w:val="000000"/>
        </w:rPr>
      </w:r>
      <w:r>
        <w:rPr>
          <w:bCs/>
          <w:color w:val="000000"/>
        </w:rPr>
      </w:r>
    </w:p>
    <w:p>
      <w:pPr>
        <w:ind w:firstLine="0"/>
        <w:jc w:val="left"/>
        <w:spacing w:line="276" w:lineRule="auto"/>
        <w:shd w:val="clear" w:color="auto" w:fill="ffffff"/>
        <w:widowControl w:val="off"/>
        <w:rPr>
          <w:bCs/>
          <w:color w:val="000000"/>
        </w:rPr>
      </w:pPr>
      <w:r>
        <w:rPr>
          <w:bCs/>
          <w:color w:val="000000"/>
        </w:rPr>
      </w:r>
      <w:r>
        <w:rPr>
          <w:bCs/>
          <w:color w:val="000000"/>
        </w:rPr>
      </w:r>
      <w:r>
        <w:rPr>
          <w:bCs/>
          <w:color w:val="000000"/>
        </w:rPr>
      </w:r>
    </w:p>
    <w:p>
      <w:pPr>
        <w:ind w:firstLine="0"/>
        <w:jc w:val="center"/>
        <w:spacing w:line="276" w:lineRule="auto"/>
        <w:shd w:val="clear" w:color="auto" w:fill="ffffff"/>
        <w:rPr>
          <w:bCs/>
          <w:caps/>
          <w:color w:val="000000"/>
        </w:rPr>
      </w:pPr>
      <w:r>
        <w:rPr>
          <w:bCs/>
          <w:spacing w:val="8"/>
        </w:rPr>
        <w:tab/>
      </w:r>
      <w:r>
        <w:rPr>
          <w:bCs/>
          <w:caps/>
          <w:color w:val="000000"/>
        </w:rPr>
        <w:t xml:space="preserve">ГОСУДАРСТВЕННый КОНТРАКТ</w:t>
      </w:r>
      <w:r>
        <w:rPr>
          <w:bCs/>
          <w:caps/>
          <w:color w:val="000000"/>
        </w:rPr>
      </w:r>
      <w:r>
        <w:rPr>
          <w:bCs/>
          <w:caps/>
          <w:color w:val="000000"/>
        </w:rPr>
      </w:r>
    </w:p>
    <w:p>
      <w:pPr>
        <w:ind w:left="-142" w:firstLine="0"/>
        <w:jc w:val="center"/>
        <w:spacing w:line="276" w:lineRule="auto"/>
      </w:pPr>
      <w:r>
        <w:t xml:space="preserve">(идентификационный код закупки </w:t>
      </w:r>
      <w:r/>
    </w:p>
    <w:p>
      <w:pPr>
        <w:ind w:left="-142" w:firstLine="0"/>
        <w:jc w:val="center"/>
        <w:spacing w:line="276" w:lineRule="auto"/>
        <w:rPr>
          <w:bCs/>
        </w:rPr>
      </w:pPr>
      <w:r>
        <w:rPr>
          <w:bCs/>
        </w:rPr>
      </w:r>
      <w:r>
        <w:rPr>
          <w:bCs/>
        </w:rPr>
        <w:t xml:space="preserve">262860104192086010100102190010000244</w:t>
      </w:r>
      <w:r>
        <w:t xml:space="preserve">)</w:t>
      </w:r>
      <w:r>
        <w:rPr>
          <w:bCs/>
        </w:rPr>
      </w:r>
      <w:r>
        <w:rPr>
          <w:bCs/>
        </w:rPr>
      </w:r>
    </w:p>
    <w:p>
      <w:pPr>
        <w:ind w:firstLine="0"/>
        <w:spacing w:line="276" w:lineRule="auto"/>
      </w:pPr>
      <w:r/>
      <w:r/>
    </w:p>
    <w:p>
      <w:pPr>
        <w:ind w:firstLine="0"/>
        <w:spacing w:line="276" w:lineRule="auto"/>
        <w:widowControl w:val="off"/>
        <w:tabs>
          <w:tab w:val="left" w:pos="6946" w:leader="none"/>
        </w:tabs>
      </w:pPr>
      <w:r>
        <w:t xml:space="preserve">г. Ханты-Мансийск </w:t>
      </w:r>
      <w:r/>
    </w:p>
    <w:p>
      <w:pPr>
        <w:ind w:firstLine="709"/>
        <w:spacing w:line="276" w:lineRule="auto"/>
      </w:pPr>
      <w:r/>
      <w:r/>
    </w:p>
    <w:p>
      <w:pPr>
        <w:ind w:firstLine="709"/>
        <w:spacing w:line="276" w:lineRule="auto"/>
      </w:pPr>
      <w:r>
        <w:t xml:space="preserve">Департамент информационных технологий и цифрового развития Ханты-Мансийского автономного округа – Югры (Депинформтехнологий Югры), именуемый в дальнейшем «Заказчик», в лице ___________________________, действующего на основании ___________, с одной стороны</w:t>
      </w:r>
      <w:r>
        <w:t xml:space="preserve">, и ____________________________________________, именуем__ в дальнейшем «Подрядчик», в лице _______________________, действующего на основании _______________________, с другой стороны, вместе именуемые «Стороны», </w:t>
      </w:r>
      <w:r/>
    </w:p>
    <w:p>
      <w:pPr>
        <w:ind w:firstLine="709"/>
        <w:spacing w:line="276" w:lineRule="auto"/>
      </w:pPr>
      <w:r>
        <w:t xml:space="preserve">в соответствии с законодательством Росси</w:t>
      </w:r>
      <w:r>
        <w:t xml:space="preserve">йской Федерации, Федеральным законом от 05.04.2013 № 44-ФЗ «О контрактной системе в сфере закупок товаров, работ, услуг для обеспечения государственных и муниципальных нужд» (далее – Федеральный закон) и иными нормативными правовыми актами о контрактной си</w:t>
      </w:r>
      <w:r>
        <w:t xml:space="preserve">стеме в сфере закупок, Гражданским кодексом Российской Федерации, Бюджетным кодексом Российской Федерации, </w:t>
      </w:r>
      <w:r/>
    </w:p>
    <w:p>
      <w:pPr>
        <w:ind w:firstLine="709"/>
        <w:spacing w:line="276" w:lineRule="auto"/>
      </w:pPr>
      <w:r>
        <w:t xml:space="preserve">на основании решения комиссии по осуществлению закупок для государственных нужд Ханты-Мансийского автономного округа – Югры Департамента государстве</w:t>
      </w:r>
      <w:r>
        <w:t xml:space="preserve">нного заказа Ханты-Мансийского автономного округа – Югры (протокол_________ от _____ № _____),</w:t>
      </w:r>
      <w:r/>
    </w:p>
    <w:p>
      <w:pPr>
        <w:ind w:firstLine="709"/>
        <w:spacing w:line="276" w:lineRule="auto"/>
      </w:pPr>
      <w:r>
        <w:t xml:space="preserve">заключили настоящий государственный контракт, именуемый в дальнейшем «Контракт», о нижеследующем.</w:t>
      </w:r>
      <w:r/>
    </w:p>
    <w:p>
      <w:pPr>
        <w:ind w:firstLine="709"/>
        <w:spacing w:line="276" w:lineRule="auto"/>
      </w:pPr>
      <w:r/>
      <w:r/>
    </w:p>
    <w:p>
      <w:pPr>
        <w:ind w:firstLine="0"/>
        <w:jc w:val="center"/>
        <w:spacing w:line="276" w:lineRule="auto"/>
      </w:pPr>
      <w:r>
        <w:t xml:space="preserve">1. Предмет Контракта</w:t>
      </w:r>
      <w:r/>
    </w:p>
    <w:p>
      <w:pPr>
        <w:ind w:firstLine="709"/>
        <w:jc w:val="center"/>
        <w:spacing w:line="276" w:lineRule="auto"/>
      </w:pPr>
      <w:r/>
      <w:r/>
    </w:p>
    <w:p>
      <w:pPr>
        <w:ind w:firstLine="709"/>
        <w:spacing w:line="276" w:lineRule="auto"/>
        <w:shd w:val="clear" w:color="auto" w:fill="ffffff"/>
        <w:rPr>
          <w:bCs/>
          <w:color w:val="000000"/>
        </w:rPr>
      </w:pPr>
      <w:r>
        <w:rPr>
          <w:color w:val="000000"/>
        </w:rPr>
        <w:t xml:space="preserve">1.1.</w:t>
      </w:r>
      <w:r>
        <w:rPr>
          <w:color w:val="000000"/>
        </w:rPr>
        <w:tab/>
      </w:r>
      <w:r>
        <w:rPr>
          <w:bCs/>
          <w:color w:val="000000"/>
        </w:rPr>
        <w:t xml:space="preserve">Подрядчик обязуется своевременно вы</w:t>
      </w:r>
      <w:r>
        <w:rPr>
          <w:bCs/>
          <w:color w:val="000000"/>
        </w:rPr>
        <w:t xml:space="preserve">полнить работы по </w:t>
      </w:r>
      <w:r>
        <w:rPr>
          <w:bCs/>
          <w:color w:val="000000"/>
        </w:rPr>
        <w:t xml:space="preserve">созданию Единой централизованной системы управления финансово-хозяйственной деятельностью</w:t>
      </w:r>
      <w:r>
        <w:rPr>
          <w:bCs/>
          <w:color w:val="000000"/>
        </w:rPr>
        <w:t xml:space="preserve"> </w:t>
      </w:r>
      <w:r>
        <w:t xml:space="preserve">(далее – работы), а Заказчик обязу</w:t>
      </w:r>
      <w:r>
        <w:t xml:space="preserve">ется принять и оплатить их в соответствии с условиями Контракта.</w:t>
      </w:r>
      <w:r>
        <w:rPr>
          <w:bCs/>
          <w:color w:val="000000"/>
        </w:rPr>
      </w:r>
      <w:r>
        <w:rPr>
          <w:bCs/>
          <w:color w:val="000000"/>
        </w:rPr>
      </w:r>
    </w:p>
    <w:p>
      <w:pPr>
        <w:ind w:firstLine="709"/>
        <w:spacing w:line="276" w:lineRule="auto"/>
        <w:shd w:val="clear" w:color="auto" w:fill="ffffff"/>
        <w:rPr>
          <w:bCs/>
          <w:color w:val="000000"/>
        </w:rPr>
      </w:pPr>
      <w:r>
        <w:rPr>
          <w:color w:val="000000"/>
        </w:rPr>
        <w:t xml:space="preserve">1.2.</w:t>
      </w:r>
      <w:r>
        <w:rPr>
          <w:color w:val="000000"/>
        </w:rPr>
        <w:tab/>
      </w:r>
      <w:r>
        <w:rPr>
          <w:bCs/>
          <w:color w:val="000000"/>
        </w:rPr>
        <w:t xml:space="preserve">Состав, порядок, результат работ определены в Описании объекта закупки к Контракту (прилагается отдельным файлом). </w:t>
      </w:r>
      <w:r>
        <w:rPr>
          <w:bCs/>
          <w:color w:val="000000"/>
        </w:rPr>
      </w:r>
      <w:r>
        <w:rPr>
          <w:bCs/>
          <w:color w:val="000000"/>
        </w:rPr>
      </w:r>
    </w:p>
    <w:p>
      <w:pPr>
        <w:ind w:firstLine="709"/>
        <w:spacing w:line="276" w:lineRule="auto"/>
        <w:shd w:val="clear" w:color="auto" w:fill="ffffff"/>
        <w:rPr>
          <w:bCs/>
          <w:color w:val="000000"/>
        </w:rPr>
      </w:pPr>
      <w:r>
        <w:rPr>
          <w:bCs/>
          <w:color w:val="000000"/>
        </w:rPr>
        <w:t xml:space="preserve">1.3.</w:t>
      </w:r>
      <w:r>
        <w:rPr>
          <w:bCs/>
          <w:color w:val="000000"/>
        </w:rPr>
        <w:tab/>
        <w:t xml:space="preserve">Работы выполняются Подрядчиком в соответствии с национальными ста</w:t>
      </w:r>
      <w:r>
        <w:rPr>
          <w:bCs/>
          <w:color w:val="000000"/>
        </w:rPr>
        <w:t xml:space="preserve">ндартами и государственными стандартами в части требований к проектированию, стадиям создания, видам, комплектности и обозначению документов, видам испытаний при развитии информационных систем, а также в соответствии с качественными, количественными и иным</w:t>
      </w:r>
      <w:r>
        <w:rPr>
          <w:bCs/>
          <w:color w:val="000000"/>
        </w:rPr>
        <w:t xml:space="preserve">и характеристиками работ, определенными в Описании объекта закупки, согласно требованиям Федерального закона, Федерального закона от 27.07.2006 № 149-ФЗ «Об информации, информационных технологиях и о защите информации», а также иных нормативных правовых ак</w:t>
      </w:r>
      <w:r>
        <w:rPr>
          <w:bCs/>
          <w:color w:val="000000"/>
        </w:rPr>
        <w:t xml:space="preserve">тов в сфере контрактной системы, информационных технологий, защиты информации, правовой защиты интересов государства в области интеллектуальной собственности, регулирующих соответствующие отношения и непосредственно указанных в Описании объекта закупки. </w:t>
      </w:r>
      <w:r>
        <w:rPr>
          <w:bCs/>
          <w:color w:val="000000"/>
        </w:rPr>
      </w:r>
      <w:r>
        <w:rPr>
          <w:bCs/>
          <w:color w:val="000000"/>
        </w:rPr>
      </w:r>
    </w:p>
    <w:p>
      <w:pPr>
        <w:ind w:firstLine="709"/>
        <w:spacing w:line="276" w:lineRule="auto"/>
        <w:shd w:val="clear" w:color="auto" w:fill="ffffff"/>
        <w:rPr>
          <w:color w:val="000000"/>
        </w:rPr>
      </w:pPr>
      <w:r>
        <w:rPr>
          <w:color w:val="000000"/>
        </w:rPr>
        <w:t xml:space="preserve">1</w:t>
      </w:r>
      <w:r>
        <w:rPr>
          <w:color w:val="000000"/>
        </w:rPr>
        <w:t xml:space="preserve">.4. Место выполнения работ: удаленно, по месту нахождения Подрядчика. </w:t>
      </w:r>
      <w:r>
        <w:rPr>
          <w:color w:val="000000"/>
        </w:rPr>
      </w:r>
      <w:r>
        <w:rPr>
          <w:color w:val="000000"/>
        </w:rPr>
      </w:r>
    </w:p>
    <w:p>
      <w:pPr>
        <w:ind w:firstLine="709"/>
        <w:spacing w:line="276" w:lineRule="auto"/>
        <w:shd w:val="clear" w:color="auto" w:fill="ffffff"/>
        <w:rPr>
          <w:color w:val="000000"/>
        </w:rPr>
      </w:pPr>
      <w:r>
        <w:rPr>
          <w:color w:val="000000"/>
        </w:rPr>
      </w:r>
      <w:r>
        <w:rPr>
          <w:color w:val="000000"/>
        </w:rPr>
      </w:r>
      <w:r>
        <w:rPr>
          <w:color w:val="000000"/>
        </w:rPr>
      </w:r>
    </w:p>
    <w:p>
      <w:pPr>
        <w:ind w:firstLine="0"/>
        <w:jc w:val="center"/>
        <w:spacing w:line="276" w:lineRule="auto"/>
        <w:widowControl w:val="off"/>
      </w:pPr>
      <w:r>
        <w:t xml:space="preserve">2. Цена Контракта и порядок расчетов</w:t>
      </w:r>
      <w:r/>
    </w:p>
    <w:p>
      <w:pPr>
        <w:ind w:firstLine="709"/>
        <w:jc w:val="center"/>
        <w:spacing w:line="276" w:lineRule="auto"/>
        <w:widowControl w:val="off"/>
      </w:pPr>
      <w:r/>
      <w:r/>
    </w:p>
    <w:p>
      <w:pPr>
        <w:ind w:firstLine="709"/>
        <w:spacing w:line="276" w:lineRule="auto"/>
        <w:widowControl w:val="off"/>
      </w:pPr>
      <w:r>
        <w:t xml:space="preserve">2.1. Цена Контракта является твердой, не может изменяться в ходе заключения и исполнения Контракта за исключением случаев, установленных Контрактом и (или) предусмотренных законодательством Российской Федерации.</w:t>
      </w:r>
      <w:r/>
    </w:p>
    <w:p>
      <w:pPr>
        <w:ind w:firstLine="709"/>
        <w:spacing w:line="276" w:lineRule="auto"/>
        <w:widowControl w:val="off"/>
        <w:rPr>
          <w:b/>
          <w:i/>
        </w:rPr>
      </w:pPr>
      <w:r>
        <w:t xml:space="preserve">Источник финансирования: за счет средств бюд</w:t>
      </w:r>
      <w:r>
        <w:t xml:space="preserve">жета Ханты-Мансийского автономного округа – Югры.</w:t>
      </w:r>
      <w:r>
        <w:rPr>
          <w:b/>
          <w:i/>
        </w:rPr>
      </w:r>
      <w:r>
        <w:rPr>
          <w:b/>
          <w:i/>
        </w:rPr>
      </w:r>
    </w:p>
    <w:p>
      <w:pPr>
        <w:ind w:firstLine="709"/>
        <w:spacing w:line="276" w:lineRule="auto"/>
        <w:widowControl w:val="off"/>
        <w:rPr>
          <w:i/>
        </w:rPr>
      </w:pPr>
      <w:r>
        <w:t xml:space="preserve">2.2. Цена Контракта составляет _________________________ рублей __ копеек, включая налог на добавленную стоимость __%. (</w:t>
      </w:r>
      <w:r>
        <w:rPr>
          <w:i/>
        </w:rPr>
        <w:t xml:space="preserve">налогом на добавленную стоимость не облагается).</w:t>
      </w:r>
      <w:r>
        <w:rPr>
          <w:i/>
        </w:rPr>
      </w:r>
      <w:r>
        <w:rPr>
          <w:i/>
        </w:rPr>
      </w:r>
    </w:p>
    <w:p>
      <w:pPr>
        <w:ind w:firstLine="709"/>
        <w:spacing w:line="276" w:lineRule="auto"/>
        <w:widowControl w:val="off"/>
      </w:pPr>
      <w:r>
        <w:t xml:space="preserve">2.3. В цену Контракта включены все расходы Подрядчика, необходимые для осуществления им своих обязательств по Контракту в полном объеме и надлежащего качества, в том числе все подлежащие к уплате налоги, сборы и другие обязательные платежи и иные расходы, </w:t>
      </w:r>
      <w:r>
        <w:t xml:space="preserve">связанные с выполнением работ.</w:t>
      </w:r>
      <w:r/>
    </w:p>
    <w:p>
      <w:pPr>
        <w:ind w:firstLine="709"/>
        <w:spacing w:line="276" w:lineRule="auto"/>
      </w:pPr>
      <w:r>
        <w:t xml:space="preserve">Сумма, подлежащая у</w:t>
      </w:r>
      <w:r>
        <w:rPr>
          <w:iCs/>
        </w:rPr>
        <w:t xml:space="preserve">плате Подрядчику, уменьшается</w:t>
      </w:r>
      <w:r>
        <w:t xml:space="preserve">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w:t>
      </w:r>
      <w:r>
        <w:t xml:space="preserve">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r/>
    </w:p>
    <w:p>
      <w:pPr>
        <w:ind w:firstLine="709"/>
        <w:spacing w:line="276" w:lineRule="auto"/>
        <w:rPr>
          <w:iCs/>
        </w:rPr>
      </w:pPr>
      <w:r>
        <w:rPr>
          <w:iCs/>
        </w:rPr>
        <w:t xml:space="preserve">2.4. Оплата результатов работ исполнения Контракта производится Заказчиком в рублях Российс</w:t>
      </w:r>
      <w:r>
        <w:rPr>
          <w:iCs/>
        </w:rPr>
        <w:t xml:space="preserve">кой Федерации, в безналичном порядке на основании документа о приемке, сформированного Подрядчиком в Единой информационной системе в сфере закупок (ЕИС) (далее – документ о приемке), путем перечисления денежных средств на расчетный счет Подрядчика, указанн</w:t>
      </w:r>
      <w:r>
        <w:rPr>
          <w:iCs/>
        </w:rPr>
        <w:t xml:space="preserve">ый в разделе 14 Контракта в течение 7 (семи) рабочих дней с даты подписания Заказчиком документа о приемке.</w:t>
      </w:r>
      <w:r>
        <w:rPr>
          <w:iCs/>
        </w:rPr>
      </w:r>
      <w:r>
        <w:rPr>
          <w:iCs/>
        </w:rPr>
      </w:r>
    </w:p>
    <w:p>
      <w:pPr>
        <w:ind w:firstLine="709"/>
        <w:spacing w:line="276" w:lineRule="auto"/>
        <w:rPr>
          <w:lang w:eastAsia="ar-SA"/>
        </w:rPr>
      </w:pPr>
      <w:r>
        <w:t xml:space="preserve">2.5. </w:t>
      </w:r>
      <w:r>
        <w:rPr>
          <w:lang w:eastAsia="ar-SA"/>
        </w:rPr>
        <w:t xml:space="preserve">Цена Контракта может быть снижена по соглашению Сторон без изменения предусмотренных Контрактом объема работ и иных условий исполнения Контракт</w:t>
      </w:r>
      <w:r>
        <w:rPr>
          <w:lang w:eastAsia="ar-SA"/>
        </w:rPr>
        <w:t xml:space="preserve">а.</w:t>
      </w:r>
      <w:r>
        <w:rPr>
          <w:lang w:eastAsia="ar-SA"/>
        </w:rPr>
      </w:r>
      <w:r>
        <w:rPr>
          <w:lang w:eastAsia="ar-SA"/>
        </w:rPr>
      </w:r>
    </w:p>
    <w:p>
      <w:pPr>
        <w:ind w:firstLine="709"/>
        <w:spacing w:line="276" w:lineRule="auto"/>
        <w:widowControl w:val="off"/>
        <w:pBdr>
          <w:top w:val="none" w:color="000000" w:sz="4" w:space="0"/>
          <w:left w:val="none" w:color="000000" w:sz="4" w:space="0"/>
          <w:bottom w:val="none" w:color="000000" w:sz="4" w:space="0"/>
          <w:right w:val="none" w:color="000000" w:sz="4" w:space="0"/>
        </w:pBdr>
      </w:pPr>
      <w:r>
        <w:t xml:space="preserve">2.6. В случае уменьшения Заказчику как получателю бюджетных средств главным распорядителем (распорядителем) бюджетных средств ранее доведенных лимитов бюджетных обязательств, приводящих к невозможности исполнения Заказчиком бюджетных обязательств, вытек</w:t>
      </w:r>
      <w:r>
        <w:t xml:space="preserve">ающих из заключенных им обязательств по Контракту (пункт 6 статьи 161 Бюджетного кодекса Российской Федерации), Заказчик в соответствии с Федеральным законом обеспечивает согласование новых условий исполнения Контракта, в том числе по цене и (или) срокам и</w:t>
      </w:r>
      <w:r>
        <w:t xml:space="preserve">х исполнения и (или) количеству (объему) товара (работы, услуги ).</w:t>
      </w:r>
      <w:r/>
    </w:p>
    <w:p>
      <w:pPr>
        <w:ind w:firstLine="709"/>
        <w:spacing w:line="276" w:lineRule="auto"/>
        <w:widowControl w:val="off"/>
        <w:pBdr>
          <w:top w:val="none" w:color="000000" w:sz="4" w:space="0"/>
          <w:left w:val="none" w:color="000000" w:sz="4" w:space="0"/>
          <w:bottom w:val="none" w:color="000000" w:sz="4" w:space="0"/>
          <w:right w:val="none" w:color="000000" w:sz="4" w:space="0"/>
        </w:pBdr>
      </w:pPr>
      <w:r>
        <w:t xml:space="preserve">При этом, если Сторонами не достигнуто соглашение о снижении цены Контракта без сокращения объемов работ и (или) об изменении сроков исполнения Контракта, Заказчик обеспечивает согласование</w:t>
      </w:r>
      <w:r>
        <w:t xml:space="preserve"> существенных условий Контракта в части сокращения объемов работ.</w:t>
      </w:r>
      <w:r/>
    </w:p>
    <w:p>
      <w:pPr>
        <w:ind w:firstLine="709"/>
        <w:spacing w:line="276" w:lineRule="auto"/>
      </w:pPr>
      <w:r/>
      <w:r/>
    </w:p>
    <w:p>
      <w:pPr>
        <w:ind w:firstLine="0"/>
        <w:jc w:val="center"/>
        <w:spacing w:line="276" w:lineRule="auto"/>
      </w:pPr>
      <w:r>
        <w:t xml:space="preserve">3. Права и обязанности Сторон</w:t>
      </w:r>
      <w:r/>
    </w:p>
    <w:p>
      <w:pPr>
        <w:ind w:firstLine="709"/>
        <w:jc w:val="center"/>
        <w:spacing w:line="276" w:lineRule="auto"/>
      </w:pPr>
      <w:r/>
      <w:r/>
    </w:p>
    <w:p>
      <w:pPr>
        <w:ind w:firstLine="709"/>
        <w:spacing w:line="276" w:lineRule="auto"/>
      </w:pPr>
      <w:r>
        <w:t xml:space="preserve">3.1. Заказчик имеет право:</w:t>
      </w:r>
      <w:r/>
    </w:p>
    <w:p>
      <w:pPr>
        <w:ind w:firstLine="709"/>
        <w:spacing w:line="276" w:lineRule="auto"/>
      </w:pPr>
      <w:r>
        <w:t xml:space="preserve">3.1.1. Досрочно принять и оплатить результаты работ в соответствии с условиями Контракта.</w:t>
      </w:r>
      <w:r/>
    </w:p>
    <w:p>
      <w:pPr>
        <w:ind w:firstLine="709"/>
        <w:spacing w:line="276" w:lineRule="auto"/>
      </w:pPr>
      <w:r>
        <w:t xml:space="preserve">3.1.2. Требовать возмещения неустойки и (</w:t>
      </w:r>
      <w:r>
        <w:t xml:space="preserve">или) убытков, причиненных по вине Подрядчика.</w:t>
      </w:r>
      <w:r/>
    </w:p>
    <w:p>
      <w:pPr>
        <w:ind w:firstLine="709"/>
        <w:spacing w:line="276" w:lineRule="auto"/>
      </w:pPr>
      <w:r>
        <w:t xml:space="preserve">3.1.3. Создать приемочную комиссию, состоящую из не менее пяти человек, для проверки соответствия качества выполненных работ требованиям, установленным Контрактом.</w:t>
      </w:r>
      <w:r/>
    </w:p>
    <w:p>
      <w:pPr>
        <w:ind w:firstLine="709"/>
        <w:spacing w:line="276" w:lineRule="auto"/>
      </w:pPr>
      <w:r>
        <w:t xml:space="preserve">3.1.4. Привлекать экспертов, экспертные органи</w:t>
      </w:r>
      <w:r>
        <w:t xml:space="preserve">зации для проверки соответствия качества выполняемых работ требованиям, установленным Контрактом.</w:t>
      </w:r>
      <w:r/>
    </w:p>
    <w:p>
      <w:pPr>
        <w:ind w:firstLine="709"/>
        <w:spacing w:line="276" w:lineRule="auto"/>
      </w:pPr>
      <w:r>
        <w:t xml:space="preserve">3.1.5.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w:t>
      </w:r>
      <w:r>
        <w:t xml:space="preserve">него отказа от исполнения отдельных видов обязательств (в том числе выявление факта отсутствия, несоответствия результатов работ Описанию объекта закупки, в том числе нарушения срока выполнения работ).</w:t>
      </w:r>
      <w:r/>
    </w:p>
    <w:p>
      <w:pPr>
        <w:ind w:firstLine="709"/>
        <w:spacing w:line="276" w:lineRule="auto"/>
      </w:pPr>
      <w:r>
        <w:t xml:space="preserve">3.1.6. Запрашивать у Подрядчика мотивированные пояснен</w:t>
      </w:r>
      <w:r>
        <w:t xml:space="preserve">ия по выявленным фактам отступления от исполнения условий Контракта в форме электронного документа, подписанного усиленной электронной подписью лица, имеющего право действовать от имени Заказчика (далее – запрос). При этом такой запрос направляется по адре</w:t>
      </w:r>
      <w:r>
        <w:t xml:space="preserve">су электронной почты Подрядчика, указанному в Контракте.</w:t>
      </w:r>
      <w:r/>
    </w:p>
    <w:p>
      <w:pPr>
        <w:ind w:firstLine="709"/>
        <w:spacing w:line="276" w:lineRule="auto"/>
      </w:pPr>
      <w:r>
        <w:t xml:space="preserve">3.1.7. Осуществлять иные права, предусмотренные Контрактом и (или) законодательством Российской Федерации.</w:t>
      </w:r>
      <w:r/>
    </w:p>
    <w:p>
      <w:pPr>
        <w:ind w:firstLine="709"/>
        <w:spacing w:line="276" w:lineRule="auto"/>
      </w:pPr>
      <w:r>
        <w:t xml:space="preserve">3.2. Заказчик обязан:</w:t>
      </w:r>
      <w:r/>
    </w:p>
    <w:p>
      <w:pPr>
        <w:ind w:firstLine="709"/>
        <w:spacing w:line="276" w:lineRule="auto"/>
      </w:pPr>
      <w:r>
        <w:t xml:space="preserve">3.2.1. Осуществлять контроль за исполнением Подрядчиком условий Контракта в соответствии с законодательством Российской Федерации.</w:t>
      </w:r>
      <w:r/>
    </w:p>
    <w:p>
      <w:pPr>
        <w:ind w:firstLine="709"/>
        <w:spacing w:line="276" w:lineRule="auto"/>
      </w:pPr>
      <w:r>
        <w:t xml:space="preserve">3.2.2. Обеспечить приемку результатов работ.</w:t>
      </w:r>
      <w:r/>
    </w:p>
    <w:p>
      <w:pPr>
        <w:ind w:firstLine="709"/>
        <w:spacing w:line="276" w:lineRule="auto"/>
        <w:tabs>
          <w:tab w:val="num" w:pos="2443" w:leader="none"/>
        </w:tabs>
      </w:pPr>
      <w:r>
        <w:t xml:space="preserve">3.2.3. Оплатить результаты работ в порядке, предусмотренном Контрактом.</w:t>
      </w:r>
      <w:r/>
    </w:p>
    <w:p>
      <w:pPr>
        <w:ind w:firstLine="709"/>
        <w:spacing w:line="276" w:lineRule="auto"/>
        <w:tabs>
          <w:tab w:val="num" w:pos="2443" w:leader="none"/>
        </w:tabs>
      </w:pPr>
      <w:r>
        <w:t xml:space="preserve">3.2.4.</w:t>
      </w:r>
      <w:r>
        <w:rPr>
          <w:color w:val="000000"/>
        </w:rPr>
        <w:t xml:space="preserve"> С</w:t>
      </w:r>
      <w:r>
        <w:rPr>
          <w:color w:val="000000"/>
        </w:rPr>
        <w:t xml:space="preserve">воевременно предоставить Подрядчику информацию, необходимую для исполнения Контракта.</w:t>
      </w:r>
      <w:r/>
    </w:p>
    <w:p>
      <w:pPr>
        <w:ind w:firstLine="709"/>
        <w:spacing w:line="276" w:lineRule="auto"/>
      </w:pPr>
      <w:r>
        <w:rPr>
          <w:color w:val="000000"/>
          <w:spacing w:val="-1"/>
        </w:rPr>
        <w:t xml:space="preserve">3.2.5. Уведомлять Подрядчика обо всех нарушениях исполнения условий Контракта, за исключением выявленных при приемке результатов работ, посредством электронного уведомлен</w:t>
      </w:r>
      <w:r>
        <w:rPr>
          <w:color w:val="000000"/>
          <w:spacing w:val="-1"/>
        </w:rPr>
        <w:t xml:space="preserve">ия. При этом такое уведомление (претензия), в том числе требование к сроку устранения выявленного нарушения, формируется Заказчиком в</w:t>
      </w:r>
      <w:r>
        <w:rPr>
          <w:color w:val="000000"/>
        </w:rPr>
        <w:t xml:space="preserve"> ЕИС, подписывается усиленной электронной подписью лица, имеющего право действовать от имени Заказчика, и размещается в ЕИС</w:t>
      </w:r>
      <w:r>
        <w:rPr>
          <w:color w:val="000000"/>
        </w:rPr>
        <w:t xml:space="preserve"> в соответствии с </w:t>
      </w:r>
      <w:r>
        <w:rPr>
          <w:rFonts w:eastAsia="Calibri"/>
          <w:color w:val="000000"/>
        </w:rPr>
        <w:t xml:space="preserve">ч. 16 ст. 94 Федерального закона</w:t>
      </w:r>
      <w:r>
        <w:rPr>
          <w:color w:val="000000"/>
          <w:spacing w:val="-1"/>
        </w:rPr>
        <w:t xml:space="preserve">.</w:t>
      </w:r>
      <w:r/>
    </w:p>
    <w:p>
      <w:pPr>
        <w:ind w:firstLine="709"/>
        <w:spacing w:line="276" w:lineRule="auto"/>
        <w:tabs>
          <w:tab w:val="num" w:pos="2443" w:leader="none"/>
        </w:tabs>
      </w:pPr>
      <w:r>
        <w:t xml:space="preserve">3.2.6. Принять решение об одностороннем отказе от исполнения Контракта, если в ходе его исполнения установлено, что результаты работ, предлагаемые Подрядчиком к приемке Заказчику, не соответствуют установ</w:t>
      </w:r>
      <w:r>
        <w:t xml:space="preserve">ленным извещением об осуществлении закупки и (или) документацией о закупке требованиям к участникам закупки и (или) работам, или Подрядчик представил недостоверную информацию о своем соответствии и (или) соответствии выполняемых работ таким требованиям, чт</w:t>
      </w:r>
      <w:r>
        <w:t xml:space="preserve">о позволило ему стать победителем определения Подрядчика.</w:t>
      </w:r>
      <w:r/>
    </w:p>
    <w:p>
      <w:pPr>
        <w:ind w:firstLine="709"/>
        <w:spacing w:line="276" w:lineRule="auto"/>
        <w:tabs>
          <w:tab w:val="num" w:pos="2443" w:leader="none"/>
        </w:tabs>
      </w:pPr>
      <w:r>
        <w:t xml:space="preserve">3.2.7. Выполнять иные обязанности, предусмотренные Контрактом.</w:t>
      </w:r>
      <w:r/>
    </w:p>
    <w:p>
      <w:pPr>
        <w:ind w:firstLine="709"/>
        <w:spacing w:line="276" w:lineRule="auto"/>
        <w:shd w:val="clear" w:color="auto" w:fill="ffffff"/>
        <w:tabs>
          <w:tab w:val="left" w:pos="540" w:leader="none"/>
        </w:tabs>
        <w:rPr>
          <w:bCs/>
          <w:color w:val="000000"/>
        </w:rPr>
      </w:pPr>
      <w:r>
        <w:rPr>
          <w:bCs/>
          <w:color w:val="000000"/>
        </w:rPr>
        <w:t xml:space="preserve">3.3. Подрядчик обязан:</w:t>
      </w:r>
      <w:r>
        <w:rPr>
          <w:bCs/>
          <w:color w:val="000000"/>
        </w:rPr>
      </w:r>
      <w:r>
        <w:rPr>
          <w:bCs/>
          <w:color w:val="000000"/>
        </w:rPr>
      </w:r>
    </w:p>
    <w:p>
      <w:pPr>
        <w:ind w:firstLine="709"/>
        <w:spacing w:line="276" w:lineRule="auto"/>
        <w:tabs>
          <w:tab w:val="num" w:pos="2443" w:leader="none"/>
        </w:tabs>
      </w:pPr>
      <w:r>
        <w:t xml:space="preserve">3.3.1. Выполнить работы и передать их результаты Заказчику своевременно и в полном объеме в соответствии с услов</w:t>
      </w:r>
      <w:r>
        <w:t xml:space="preserve">иями Контракта.</w:t>
      </w:r>
      <w:r/>
    </w:p>
    <w:p>
      <w:pPr>
        <w:ind w:firstLine="709"/>
        <w:spacing w:line="276" w:lineRule="auto"/>
        <w:tabs>
          <w:tab w:val="num" w:pos="2443" w:leader="none"/>
        </w:tabs>
      </w:pPr>
      <w:r>
        <w:t xml:space="preserve">3.3.2. По окончании выполнения работ, не позднее даты, указанной в п. 4.1 Контракта, разместить в ЕИС документ о приемке, соответствующий сдаче результатов работ.</w:t>
      </w:r>
      <w:r/>
    </w:p>
    <w:p>
      <w:pPr>
        <w:ind w:firstLine="709"/>
        <w:spacing w:line="276" w:lineRule="auto"/>
        <w:tabs>
          <w:tab w:val="num" w:pos="2443" w:leader="none"/>
        </w:tabs>
      </w:pPr>
      <w:r>
        <w:t xml:space="preserve">3.3.3. Не предоставлять другим лицам или разглашать иным способом конфиденциа</w:t>
      </w:r>
      <w:r>
        <w:t xml:space="preserve">льную информацию, полученную в результате исполнения обязательств по Контракту.</w:t>
      </w:r>
      <w:r/>
    </w:p>
    <w:p>
      <w:pPr>
        <w:ind w:firstLine="709"/>
        <w:spacing w:line="276" w:lineRule="auto"/>
        <w:tabs>
          <w:tab w:val="num" w:pos="0" w:leader="none"/>
        </w:tabs>
      </w:pPr>
      <w:r>
        <w:t xml:space="preserve">3.3.4. По требованию Заказчика своими средствами и за свой счет в срок, согласованный с Заказчиком, устранить допущенные недостатки в результатах работ или иные отступления от </w:t>
      </w:r>
      <w:r>
        <w:t xml:space="preserve">условий Контракта, а также предоставлять мотивированные пояснения по выявленным фактам отступлений от условий Контракта по запросу Заказчика.</w:t>
      </w:r>
      <w:r/>
    </w:p>
    <w:p>
      <w:pPr>
        <w:ind w:firstLine="709"/>
        <w:spacing w:line="276" w:lineRule="auto"/>
      </w:pPr>
      <w:r>
        <w:t xml:space="preserve">3.3.5. Предоставлять своевременно достоверную информацию о ходе исполнения своих обязательств, в том числе о сложн</w:t>
      </w:r>
      <w:r>
        <w:t xml:space="preserve">остях, возникающих при исполнении Контракта.</w:t>
      </w:r>
      <w:r/>
    </w:p>
    <w:p>
      <w:pPr>
        <w:ind w:firstLine="709"/>
        <w:spacing w:line="276" w:lineRule="auto"/>
        <w:rPr>
          <w:iCs/>
        </w:rPr>
      </w:pPr>
      <w:r>
        <w:rPr>
          <w:iCs/>
        </w:rPr>
        <w:t xml:space="preserve">3.3.6. Бесплатно осуществлять гарантийные обязательства в отношении результатов работ. </w:t>
      </w:r>
      <w:r>
        <w:rPr>
          <w:iCs/>
        </w:rPr>
      </w:r>
      <w:r>
        <w:rPr>
          <w:iCs/>
        </w:rPr>
      </w:r>
    </w:p>
    <w:p>
      <w:pPr>
        <w:ind w:firstLine="709"/>
        <w:spacing w:line="276" w:lineRule="auto"/>
        <w:rPr>
          <w:iCs/>
        </w:rPr>
      </w:pPr>
      <w:r>
        <w:rPr>
          <w:iCs/>
        </w:rPr>
        <w:t xml:space="preserve">Гарантийные обязательства составляют 12 (двенадцать) месяцев с даты подписания Заказчиком документа о приемке.</w:t>
      </w:r>
      <w:r>
        <w:rPr>
          <w:iCs/>
        </w:rPr>
      </w:r>
      <w:r>
        <w:rPr>
          <w:iCs/>
        </w:rPr>
      </w:r>
    </w:p>
    <w:p>
      <w:pPr>
        <w:contextualSpacing/>
        <w:ind w:firstLine="709"/>
        <w:spacing w:line="276" w:lineRule="auto"/>
        <w:widowControl w:val="off"/>
        <w:rPr>
          <w:spacing w:val="-1"/>
          <w:highlight w:val="yellow"/>
        </w:rPr>
      </w:pPr>
      <w:r>
        <w:rPr>
          <w:spacing w:val="-1"/>
          <w:highlight w:val="white"/>
        </w:rPr>
        <w:t xml:space="preserve">3.3.7. Без у</w:t>
      </w:r>
      <w:r>
        <w:rPr>
          <w:spacing w:val="-1"/>
          <w:highlight w:val="white"/>
        </w:rPr>
        <w:t xml:space="preserve">величения цены Контракта передать Заказчику исключительное право на разработанные в ходе выполнения работ по Контракту результаты в полном объеме, включая исходные коды программ для ЭВМ, библиотеки зависимостей, базы данных, а также проектную, техническую,</w:t>
      </w:r>
      <w:r>
        <w:rPr>
          <w:spacing w:val="-1"/>
          <w:highlight w:val="white"/>
        </w:rPr>
        <w:t xml:space="preserve"> рабочую, сопроводительную и методическую документацию к Системе или ее частям (в случаях передачи исключительного права). </w:t>
      </w:r>
      <w:r>
        <w:rPr>
          <w:spacing w:val="-1"/>
          <w:highlight w:val="white"/>
        </w:rPr>
      </w:r>
      <w:r>
        <w:rPr>
          <w:spacing w:val="-1"/>
          <w:highlight w:val="yellow"/>
        </w:rPr>
      </w:r>
    </w:p>
    <w:p>
      <w:pPr>
        <w:contextualSpacing/>
        <w:ind w:firstLine="709"/>
        <w:spacing w:line="276" w:lineRule="auto"/>
        <w:widowControl w:val="off"/>
        <w:rPr>
          <w:spacing w:val="-1"/>
        </w:rPr>
      </w:pPr>
      <w:r>
        <w:rPr>
          <w:spacing w:val="-1"/>
        </w:rPr>
        <w:t xml:space="preserve">3.3.8. Без увеличения цены Контракта передать Заказчику права на использование охраняемых результатов интеллектуальной деятельности,</w:t>
      </w:r>
      <w:r>
        <w:rPr>
          <w:spacing w:val="-1"/>
        </w:rPr>
        <w:t xml:space="preserve"> права на которые принадлежат Подрядчику и которые использовались при выполнении работ по Контракту, в объеме, необходимом для использования Заказчиком результатов работ по Контракту по их целевому назначению и в соответствии с условиями Контракта на весь </w:t>
      </w:r>
      <w:r>
        <w:rPr>
          <w:spacing w:val="-1"/>
        </w:rPr>
        <w:t xml:space="preserve">срок действия использованных исключительных прав или на иной срок, установленный Заказчиком. Подрядчик передает Заказчику указанные права посредством заключения лицензионного договора &lt;1&gt;.</w:t>
      </w:r>
      <w:r>
        <w:rPr>
          <w:spacing w:val="-1"/>
        </w:rPr>
      </w:r>
      <w:r>
        <w:rPr>
          <w:spacing w:val="-1"/>
        </w:rPr>
      </w:r>
    </w:p>
    <w:p>
      <w:pPr>
        <w:contextualSpacing/>
        <w:ind w:firstLine="709"/>
        <w:spacing w:line="276" w:lineRule="auto"/>
        <w:widowControl w:val="off"/>
        <w:rPr>
          <w:spacing w:val="-1"/>
        </w:rPr>
      </w:pPr>
      <w:r>
        <w:rPr>
          <w:spacing w:val="-1"/>
        </w:rPr>
        <w:t xml:space="preserve">&lt;1&gt; Включается в условия Контракта при использовании в ходе исполне</w:t>
      </w:r>
      <w:r>
        <w:rPr>
          <w:spacing w:val="-1"/>
        </w:rPr>
        <w:t xml:space="preserve">ния Контракта ранее созданных Подрядчиком результатов интеллектуальной деятельности.</w:t>
      </w:r>
      <w:r>
        <w:rPr>
          <w:spacing w:val="-1"/>
        </w:rPr>
      </w:r>
      <w:r>
        <w:rPr>
          <w:spacing w:val="-1"/>
        </w:rPr>
      </w:r>
    </w:p>
    <w:p>
      <w:pPr>
        <w:contextualSpacing/>
        <w:ind w:firstLine="709"/>
        <w:spacing w:line="276" w:lineRule="auto"/>
        <w:widowControl w:val="off"/>
        <w:rPr>
          <w:spacing w:val="-1"/>
          <w:highlight w:val="white"/>
        </w:rPr>
      </w:pPr>
      <w:r>
        <w:rPr>
          <w:spacing w:val="-1"/>
          <w:highlight w:val="white"/>
        </w:rPr>
        <w:t xml:space="preserve">3.3.9. Согласовать с Заказчиком необходимость использования при выполнении работ охраняемых результатов интеллектуальной деятельности, в случае если права на них принадлеж</w:t>
      </w:r>
      <w:r>
        <w:rPr>
          <w:spacing w:val="-1"/>
          <w:highlight w:val="white"/>
        </w:rPr>
        <w:t xml:space="preserve">ат третьим лицам, объем и порядок приобретения прав на их использование &lt;2&gt;.</w:t>
      </w:r>
      <w:r>
        <w:rPr>
          <w:spacing w:val="-1"/>
          <w:highlight w:val="white"/>
        </w:rPr>
      </w:r>
      <w:r>
        <w:rPr>
          <w:spacing w:val="-1"/>
          <w:highlight w:val="white"/>
        </w:rPr>
      </w:r>
    </w:p>
    <w:p>
      <w:pPr>
        <w:contextualSpacing/>
        <w:ind w:firstLine="709"/>
        <w:spacing w:line="276" w:lineRule="auto"/>
        <w:widowControl w:val="off"/>
        <w:rPr>
          <w:spacing w:val="-1"/>
          <w:highlight w:val="white"/>
        </w:rPr>
      </w:pPr>
      <w:r>
        <w:rPr>
          <w:spacing w:val="-1"/>
          <w:highlight w:val="white"/>
        </w:rPr>
        <w:t xml:space="preserve">&lt;2&gt; Включается в условия Контракта при использовании в ходе исполнения Контракта охраняемых результатов интеллектуальной деятельности, права на которые принадлежат третьим лицам.</w:t>
      </w:r>
      <w:r>
        <w:rPr>
          <w:spacing w:val="-1"/>
          <w:highlight w:val="white"/>
        </w:rPr>
      </w:r>
      <w:r>
        <w:rPr>
          <w:spacing w:val="-1"/>
          <w:highlight w:val="white"/>
        </w:rPr>
      </w:r>
    </w:p>
    <w:p>
      <w:pPr>
        <w:contextualSpacing/>
        <w:ind w:firstLine="709"/>
        <w:spacing w:line="276" w:lineRule="auto"/>
        <w:widowControl w:val="off"/>
        <w:rPr>
          <w:spacing w:val="-1"/>
          <w:highlight w:val="white"/>
        </w:rPr>
      </w:pPr>
      <w:r>
        <w:rPr>
          <w:spacing w:val="-1"/>
          <w:highlight w:val="white"/>
        </w:rPr>
        <w:t xml:space="preserve">3.3.10. Обеспечить передачу Заказчику полученных по Контракту результатов работ, не нарушающих исключительных прав других лиц и не являющихся предметом залога, ареста или иного обременения.</w:t>
      </w:r>
      <w:r>
        <w:rPr>
          <w:spacing w:val="-1"/>
          <w:highlight w:val="white"/>
        </w:rPr>
      </w:r>
      <w:r>
        <w:rPr>
          <w:spacing w:val="-1"/>
          <w:highlight w:val="white"/>
        </w:rPr>
      </w:r>
    </w:p>
    <w:p>
      <w:pPr>
        <w:contextualSpacing/>
        <w:ind w:firstLine="709"/>
        <w:spacing w:line="276" w:lineRule="auto"/>
        <w:widowControl w:val="off"/>
        <w:rPr>
          <w:spacing w:val="-1"/>
          <w:highlight w:val="white"/>
        </w:rPr>
      </w:pPr>
      <w:r>
        <w:rPr>
          <w:spacing w:val="-1"/>
          <w:highlight w:val="white"/>
        </w:rPr>
        <w:t xml:space="preserve">3.3.11. В случае использования при выполнении работ по Контракту п</w:t>
      </w:r>
      <w:r>
        <w:rPr>
          <w:spacing w:val="-1"/>
          <w:highlight w:val="white"/>
        </w:rPr>
        <w:t xml:space="preserve">рограмм для электронных вычислительных машин (программных комплексов или компонентов), разработанных третьими лицами, условия, на которых передаются права на их использование (исполнение), должны обеспечить отсутствие ограничений, препятствующих использова</w:t>
      </w:r>
      <w:r>
        <w:rPr>
          <w:spacing w:val="-1"/>
          <w:highlight w:val="white"/>
        </w:rPr>
        <w:t xml:space="preserve">нию результатов работ по их назначению. При этом права, полученные Заказчиком, должны позволять ему передавать, дорабатывать, развивать результаты работ, созданные в процессе исполнения Контракта, а в случае явного указания в Описании объекта закупки, явля</w:t>
      </w:r>
      <w:r>
        <w:rPr>
          <w:spacing w:val="-1"/>
          <w:highlight w:val="white"/>
        </w:rPr>
        <w:t xml:space="preserve">ющемся неотъемлемой частью Контракта, осуществлять переработку программ для электронных вычислительных машин (программных комплексов или компонентов), разработанных ранее третьими лицами в соответствии с требованиями законодательства Российской Федерации.</w:t>
      </w:r>
      <w:r>
        <w:rPr>
          <w:spacing w:val="-1"/>
          <w:highlight w:val="white"/>
        </w:rPr>
      </w:r>
      <w:r>
        <w:rPr>
          <w:spacing w:val="-1"/>
          <w:highlight w:val="white"/>
        </w:rPr>
      </w:r>
    </w:p>
    <w:p>
      <w:pPr>
        <w:contextualSpacing/>
        <w:ind w:firstLine="709"/>
        <w:spacing w:line="276" w:lineRule="auto"/>
        <w:widowControl w:val="off"/>
        <w:rPr>
          <w:spacing w:val="-1"/>
        </w:rPr>
      </w:pPr>
      <w:r>
        <w:rPr>
          <w:spacing w:val="-1"/>
          <w:highlight w:val="white"/>
        </w:rPr>
        <w:t xml:space="preserve">3.3.12. Обеспечить отсутствие наруше</w:t>
      </w:r>
      <w:r>
        <w:rPr>
          <w:spacing w:val="-1"/>
        </w:rPr>
        <w:t xml:space="preserve">ний исключительных, авторских и смежных прав третьих лиц при реализации технических, программных, организационных и иных решений, предусмотренных Описанием объекта закупки на выполнение работ.</w:t>
      </w:r>
      <w:r>
        <w:rPr>
          <w:spacing w:val="-1"/>
        </w:rPr>
      </w:r>
      <w:r>
        <w:rPr>
          <w:spacing w:val="-1"/>
        </w:rPr>
      </w:r>
    </w:p>
    <w:p>
      <w:pPr>
        <w:contextualSpacing/>
        <w:ind w:firstLine="709"/>
        <w:spacing w:line="276" w:lineRule="auto"/>
        <w:widowControl w:val="off"/>
        <w:rPr>
          <w:spacing w:val="-1"/>
        </w:rPr>
      </w:pPr>
      <w:r>
        <w:rPr>
          <w:spacing w:val="-1"/>
        </w:rPr>
        <w:t xml:space="preserve">3.3.13. Обеспечить выполнен</w:t>
      </w:r>
      <w:r>
        <w:rPr>
          <w:spacing w:val="-1"/>
        </w:rPr>
        <w:t xml:space="preserve">ие требований к порядку развития государственных информационных систем, предусмотренных </w:t>
      </w:r>
      <w:hyperlink r:id="rId9" w:tooltip="https://login.consultant.ru/link/?req=doc&amp;base=LAW&amp;n=378973&amp;date=01.07.2021&amp;dst=100121&amp;fld=134" w:history="1">
        <w:r>
          <w:rPr>
            <w:spacing w:val="-1"/>
          </w:rPr>
          <w:t xml:space="preserve">пунктом 3 части 1 статьи 13</w:t>
        </w:r>
      </w:hyperlink>
      <w:r>
        <w:rPr>
          <w:spacing w:val="-1"/>
        </w:rPr>
        <w:t xml:space="preserve"> Федерального закона от 27.07.2006 № 149-ФЗ «Об информации, информационных технологиях и о защите информации», устанавливаемых к таким информационным системам указанным Федеральным </w:t>
      </w:r>
      <w:hyperlink r:id="rId10" w:tooltip="https://login.consultant.ru/link/?req=doc&amp;base=LAW&amp;n=378973&amp;date=01.07.2021" w:history="1">
        <w:r>
          <w:rPr>
            <w:spacing w:val="-1"/>
          </w:rPr>
          <w:t xml:space="preserve">законом</w:t>
        </w:r>
      </w:hyperlink>
      <w:r>
        <w:rPr>
          <w:spacing w:val="-1"/>
        </w:rPr>
        <w:t xml:space="preserve"> и иными нормативными правовыми актами Российской Федерации.</w:t>
      </w:r>
      <w:r>
        <w:t xml:space="preserve"> </w:t>
      </w:r>
      <w:r>
        <w:rPr>
          <w:spacing w:val="-1"/>
        </w:rPr>
      </w:r>
      <w:r>
        <w:rPr>
          <w:spacing w:val="-1"/>
        </w:rPr>
      </w:r>
    </w:p>
    <w:p>
      <w:pPr>
        <w:ind w:firstLine="709"/>
        <w:spacing w:line="276" w:lineRule="auto"/>
        <w:tabs>
          <w:tab w:val="num" w:pos="2443" w:leader="none"/>
        </w:tabs>
      </w:pPr>
      <w:r>
        <w:rPr>
          <w:color w:val="000000"/>
          <w:spacing w:val="-1"/>
        </w:rPr>
        <w:t xml:space="preserve">3.3.14 Уведомлять З</w:t>
      </w:r>
      <w:r>
        <w:rPr>
          <w:color w:val="000000"/>
          <w:spacing w:val="-1"/>
        </w:rPr>
        <w:t xml:space="preserve">аказчика обо всех выявленных нарушениях условий исполнения Контракта Заказчиком посредством электронного уведомления. При этом такое уведомление формируется Подрядчиком в</w:t>
      </w:r>
      <w:r>
        <w:rPr>
          <w:color w:val="000000"/>
        </w:rPr>
        <w:t xml:space="preserve"> ЕИС, подписывается усиленной электронной подписью лица, имеющего право действовать от</w:t>
      </w:r>
      <w:r>
        <w:rPr>
          <w:color w:val="000000"/>
        </w:rPr>
        <w:t xml:space="preserve"> имени Подрядчика, и размещается в ЕИС в соответствии с </w:t>
      </w:r>
      <w:r>
        <w:rPr>
          <w:rFonts w:eastAsia="Calibri"/>
          <w:color w:val="000000"/>
        </w:rPr>
        <w:t xml:space="preserve">ч. 16 ст. 94 Федерального закона</w:t>
      </w:r>
      <w:r>
        <w:rPr>
          <w:color w:val="000000"/>
        </w:rPr>
        <w:t xml:space="preserve">.</w:t>
      </w:r>
      <w:r/>
    </w:p>
    <w:p>
      <w:pPr>
        <w:ind w:firstLine="709"/>
        <w:spacing w:line="276" w:lineRule="auto"/>
      </w:pPr>
      <w:r>
        <w:t xml:space="preserve">3.3.15 </w:t>
      </w:r>
      <w:r>
        <w:rPr>
          <w:color w:val="000000"/>
          <w:spacing w:val="-1"/>
        </w:rPr>
        <w:t xml:space="preserve">Своевременно устранять все нарушения, выявленные и оформленные Заказчиком в уведомлении (п. 3.2.</w:t>
      </w:r>
      <w:r>
        <w:rPr>
          <w:color w:val="000000"/>
          <w:spacing w:val="-1"/>
          <w:lang w:val="en-US"/>
        </w:rPr>
        <w:t xml:space="preserve">5</w:t>
      </w:r>
      <w:r>
        <w:rPr>
          <w:color w:val="000000"/>
          <w:spacing w:val="-1"/>
        </w:rPr>
        <w:t xml:space="preserve">). </w:t>
      </w:r>
      <w:r/>
    </w:p>
    <w:p>
      <w:pPr>
        <w:ind w:firstLine="709"/>
        <w:spacing w:line="276" w:lineRule="auto"/>
      </w:pPr>
      <w:r>
        <w:t xml:space="preserve">3.4. Подрядчик вправе:</w:t>
      </w:r>
      <w:r/>
    </w:p>
    <w:p>
      <w:pPr>
        <w:ind w:firstLine="709"/>
        <w:spacing w:line="276" w:lineRule="auto"/>
      </w:pPr>
      <w:r>
        <w:t xml:space="preserve">3.4.1. Требовать приемки и оплаты р</w:t>
      </w:r>
      <w:r>
        <w:t xml:space="preserve">езультатов работ в объеме, порядке, сроки и на условиях, предусмотренных Контрактом.</w:t>
      </w:r>
      <w:r/>
    </w:p>
    <w:p>
      <w:pPr>
        <w:ind w:firstLine="709"/>
        <w:spacing w:line="276" w:lineRule="auto"/>
        <w:shd w:val="clear" w:color="auto" w:fill="ffffff"/>
        <w:tabs>
          <w:tab w:val="left" w:pos="0" w:leader="none"/>
        </w:tabs>
      </w:pPr>
      <w:r>
        <w:t xml:space="preserve">3.4.2.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w:t>
      </w:r>
      <w:r>
        <w:t xml:space="preserve">т исполнения отдельных видов обязательств.</w:t>
      </w:r>
      <w:r/>
    </w:p>
    <w:p>
      <w:pPr>
        <w:ind w:firstLine="709"/>
        <w:spacing w:line="276" w:lineRule="auto"/>
        <w:shd w:val="clear" w:color="auto" w:fill="ffffff"/>
        <w:tabs>
          <w:tab w:val="left" w:pos="0" w:leader="none"/>
        </w:tabs>
      </w:pPr>
      <w:r>
        <w:t xml:space="preserve">3.4.3. По согласованию с Заказчиком досрочно выполнить работы.</w:t>
      </w:r>
      <w:r/>
    </w:p>
    <w:p>
      <w:pPr>
        <w:ind w:firstLine="709"/>
        <w:jc w:val="center"/>
        <w:spacing w:line="276" w:lineRule="auto"/>
      </w:pPr>
      <w:r/>
      <w:r/>
    </w:p>
    <w:p>
      <w:pPr>
        <w:ind w:firstLine="0"/>
        <w:jc w:val="center"/>
        <w:spacing w:line="276" w:lineRule="auto"/>
      </w:pPr>
      <w:r>
        <w:t xml:space="preserve">4. Срок выполнения работ</w:t>
      </w:r>
      <w:r/>
    </w:p>
    <w:p>
      <w:pPr>
        <w:ind w:firstLine="0"/>
        <w:jc w:val="center"/>
        <w:spacing w:line="276" w:lineRule="auto"/>
      </w:pPr>
      <w:r/>
      <w:r/>
    </w:p>
    <w:p>
      <w:pPr>
        <w:numPr>
          <w:ilvl w:val="1"/>
          <w:numId w:val="26"/>
        </w:numPr>
        <w:ind w:left="-142" w:firstLine="851"/>
        <w:spacing w:line="276" w:lineRule="auto"/>
        <w:widowControl w:val="off"/>
        <w:rPr>
          <w:lang w:eastAsia="zh-CN"/>
        </w:rPr>
      </w:pPr>
      <w:r>
        <w:rPr>
          <w:color w:val="000000"/>
          <w:lang w:eastAsia="zh-CN"/>
        </w:rPr>
        <w:t xml:space="preserve">Подрядчик выполняет работы в соответствии с этапами:</w:t>
      </w:r>
      <w:r>
        <w:rPr>
          <w:lang w:eastAsia="zh-CN"/>
        </w:rPr>
      </w:r>
      <w:r>
        <w:rPr>
          <w:lang w:eastAsia="zh-CN"/>
        </w:rPr>
      </w:r>
    </w:p>
    <w:p>
      <w:pPr>
        <w:ind w:left="450" w:firstLine="0"/>
        <w:spacing w:line="276" w:lineRule="auto"/>
        <w:widowControl w:val="off"/>
      </w:pPr>
      <w:r>
        <w:rPr>
          <w:highlight w:val="none"/>
        </w:rPr>
      </w:r>
      <w:r>
        <w:t xml:space="preserve">1 этап – с даты подписания </w:t>
      </w:r>
      <w:r>
        <w:t xml:space="preserve">Контракта</w:t>
      </w:r>
      <w:r>
        <w:t xml:space="preserve"> по 25.11.2026; </w:t>
      </w:r>
      <w:r>
        <w:rPr>
          <w:lang w:eastAsia="zh-CN"/>
        </w:rPr>
      </w:r>
      <w:r/>
    </w:p>
    <w:p>
      <w:pPr>
        <w:ind w:left="450" w:firstLine="0"/>
        <w:spacing w:line="276" w:lineRule="auto"/>
        <w:widowControl w:val="off"/>
      </w:pPr>
      <w:r>
        <w:t xml:space="preserve">2 этап – с даты подписания </w:t>
      </w:r>
      <w:r>
        <w:t xml:space="preserve">Контракта</w:t>
      </w:r>
      <w:r>
        <w:t xml:space="preserve"> по 05.12.2026; </w:t>
      </w:r>
      <w:r>
        <w:rPr>
          <w:lang w:eastAsia="zh-CN"/>
        </w:rPr>
      </w:r>
      <w:r/>
    </w:p>
    <w:p>
      <w:pPr>
        <w:ind w:left="450" w:firstLine="0"/>
        <w:spacing w:line="276" w:lineRule="auto"/>
        <w:widowControl w:val="off"/>
      </w:pPr>
      <w:r>
        <w:t xml:space="preserve">3 этап – с даты подписания </w:t>
      </w:r>
      <w:r>
        <w:t xml:space="preserve">Контракта по</w:t>
      </w:r>
      <w:r>
        <w:t xml:space="preserve"> 31.01.2027; </w:t>
      </w:r>
      <w:r>
        <w:rPr>
          <w:lang w:eastAsia="zh-CN"/>
        </w:rPr>
      </w:r>
      <w:r/>
    </w:p>
    <w:p>
      <w:pPr>
        <w:ind w:left="450" w:firstLine="0"/>
        <w:spacing w:line="276" w:lineRule="auto"/>
        <w:widowControl w:val="off"/>
        <w:rPr>
          <w:lang w:eastAsia="zh-CN"/>
        </w:rPr>
      </w:pPr>
      <w:r>
        <w:t xml:space="preserve">4 этап – с 06.12.2026 по 30.04.2027.</w:t>
      </w:r>
      <w:r>
        <w:rPr>
          <w:lang w:eastAsia="zh-CN"/>
        </w:rPr>
      </w:r>
    </w:p>
    <w:p>
      <w:pPr>
        <w:spacing w:line="276" w:lineRule="auto"/>
        <w:widowControl w:val="off"/>
      </w:pPr>
      <w:r/>
      <w:r/>
    </w:p>
    <w:p>
      <w:pPr>
        <w:ind w:firstLine="0"/>
        <w:jc w:val="center"/>
        <w:spacing w:line="276" w:lineRule="auto"/>
        <w:shd w:val="clear" w:color="auto" w:fill="ffffff"/>
        <w:tabs>
          <w:tab w:val="left" w:pos="0" w:leader="none"/>
        </w:tabs>
      </w:pPr>
      <w:r>
        <w:t xml:space="preserve">5. Порядок сдачи и приемки работ</w:t>
      </w:r>
      <w:r/>
    </w:p>
    <w:p>
      <w:pPr>
        <w:ind w:left="86" w:firstLine="623"/>
        <w:jc w:val="center"/>
        <w:spacing w:line="240" w:lineRule="auto"/>
        <w:shd w:val="clear" w:color="auto" w:fill="ffffff"/>
        <w:tabs>
          <w:tab w:val="left" w:pos="1498" w:leader="none"/>
        </w:tabs>
        <w:rPr>
          <w:color w:val="000000"/>
        </w:rPr>
      </w:pPr>
      <w:r>
        <w:rPr>
          <w:color w:val="000000"/>
        </w:rPr>
      </w:r>
      <w:r>
        <w:rPr>
          <w:color w:val="000000"/>
        </w:rPr>
      </w:r>
      <w:r>
        <w:rPr>
          <w:color w:val="000000"/>
        </w:rPr>
      </w:r>
    </w:p>
    <w:p>
      <w:pPr>
        <w:ind w:firstLine="709"/>
        <w:spacing w:line="276" w:lineRule="auto"/>
        <w:tabs>
          <w:tab w:val="left" w:pos="1498" w:leader="none"/>
        </w:tabs>
      </w:pPr>
      <w:r>
        <w:rPr>
          <w:color w:val="000000"/>
        </w:rPr>
        <w:t xml:space="preserve">5.1. </w:t>
      </w:r>
      <w:r>
        <w:t xml:space="preserve">Подрядчик, в соответствии с п. 3.3.2 Контракта, размещает в ЕИС подписанный усиленной электронной подписью документ о приемке.</w:t>
      </w:r>
      <w:r/>
    </w:p>
    <w:p>
      <w:pPr>
        <w:ind w:firstLine="709"/>
        <w:spacing w:line="276" w:lineRule="auto"/>
        <w:shd w:val="clear" w:color="auto" w:fill="ffffff"/>
        <w:tabs>
          <w:tab w:val="left" w:pos="0" w:leader="none"/>
        </w:tabs>
        <w:rPr>
          <w:color w:val="000000"/>
        </w:rPr>
      </w:pPr>
      <w:r>
        <w:rPr>
          <w:color w:val="000000"/>
        </w:rPr>
        <w:t xml:space="preserve">5.2. Заказчик принимает результаты работ в течение 10 (десяти) рабочих дней с даты размещения Подрядчиком в ЕИС соответствующег</w:t>
      </w:r>
      <w:r>
        <w:rPr>
          <w:color w:val="000000"/>
        </w:rPr>
        <w:t xml:space="preserve">о документа о приемке, и подписывает его усиленной электронной подписью, либо формирует в ЕИС мотивированный отказ от приемки.</w:t>
      </w:r>
      <w:r>
        <w:rPr>
          <w:color w:val="000000"/>
        </w:rPr>
      </w:r>
      <w:r>
        <w:rPr>
          <w:color w:val="000000"/>
        </w:rPr>
      </w:r>
    </w:p>
    <w:p>
      <w:pPr>
        <w:ind w:firstLine="709"/>
        <w:spacing w:line="276" w:lineRule="auto"/>
        <w:shd w:val="clear" w:color="auto" w:fill="ffffff"/>
        <w:tabs>
          <w:tab w:val="left" w:pos="0" w:leader="none"/>
        </w:tabs>
        <w:rPr>
          <w:color w:val="000000"/>
        </w:rPr>
      </w:pPr>
      <w:r>
        <w:rPr>
          <w:color w:val="000000"/>
        </w:rPr>
        <w:t xml:space="preserve">Подписанный Заказчиком в ЕИС документ о приемке результата работ подтверждает исполнение Подрядчиком соответствующего обязательст</w:t>
      </w:r>
      <w:r>
        <w:rPr>
          <w:color w:val="000000"/>
        </w:rPr>
        <w:t xml:space="preserve">ва по Контракту.</w:t>
      </w:r>
      <w:r>
        <w:rPr>
          <w:color w:val="000000"/>
        </w:rPr>
      </w:r>
      <w:r>
        <w:rPr>
          <w:color w:val="000000"/>
        </w:rPr>
      </w:r>
    </w:p>
    <w:p>
      <w:pPr>
        <w:ind w:firstLine="709"/>
        <w:spacing w:line="276" w:lineRule="auto"/>
        <w:shd w:val="clear" w:color="auto" w:fill="ffffff"/>
        <w:tabs>
          <w:tab w:val="left" w:pos="0" w:leader="none"/>
        </w:tabs>
        <w:rPr>
          <w:color w:val="000000"/>
        </w:rPr>
      </w:pPr>
      <w:r>
        <w:rPr>
          <w:color w:val="000000"/>
        </w:rPr>
        <w:t xml:space="preserve">Документ о приемке считается подписанным с момента подписания его Заказчиком и Подрядчиком усиленной электронной подписью лиц, имеющих право действовать от имени Заказчика и Подрядчика в ЕИС.</w:t>
      </w:r>
      <w:r>
        <w:rPr>
          <w:color w:val="000000"/>
        </w:rPr>
      </w:r>
      <w:r>
        <w:rPr>
          <w:color w:val="000000"/>
        </w:rPr>
      </w:r>
    </w:p>
    <w:p>
      <w:pPr>
        <w:ind w:firstLine="623"/>
        <w:spacing w:line="276" w:lineRule="auto"/>
        <w:rPr>
          <w:rFonts w:eastAsia="Calibri"/>
          <w:lang w:eastAsia="en-US"/>
        </w:rPr>
      </w:pPr>
      <w:r>
        <w:rPr>
          <w:rFonts w:eastAsia="Calibri"/>
          <w:lang w:eastAsia="en-US"/>
        </w:rPr>
        <w:t xml:space="preserve">5.3. Приемка и оформление результатов работ пос</w:t>
      </w:r>
      <w:r>
        <w:rPr>
          <w:rFonts w:eastAsia="Calibri"/>
          <w:lang w:eastAsia="en-US"/>
        </w:rPr>
        <w:t xml:space="preserve">ле устранения выявленных нарушений осуществляется в тот же срок и в том же порядке, указанном в разделе 5 Контракта.</w:t>
      </w:r>
      <w:r>
        <w:rPr>
          <w:rFonts w:eastAsia="Calibri"/>
          <w:lang w:eastAsia="en-US"/>
        </w:rPr>
      </w:r>
      <w:r>
        <w:rPr>
          <w:rFonts w:eastAsia="Calibri"/>
          <w:lang w:eastAsia="en-US"/>
        </w:rPr>
      </w:r>
    </w:p>
    <w:p>
      <w:pPr>
        <w:ind w:left="450" w:firstLine="0"/>
        <w:spacing w:line="276" w:lineRule="auto"/>
        <w:shd w:val="clear" w:color="auto" w:fill="ffffff"/>
        <w:tabs>
          <w:tab w:val="left" w:pos="0" w:leader="none"/>
        </w:tabs>
      </w:pPr>
      <w:r/>
      <w:r/>
    </w:p>
    <w:p>
      <w:pPr>
        <w:ind w:firstLine="0"/>
        <w:jc w:val="center"/>
        <w:spacing w:line="276" w:lineRule="auto"/>
        <w:shd w:val="clear" w:color="auto" w:fill="ffffff"/>
        <w:tabs>
          <w:tab w:val="left" w:pos="0" w:leader="none"/>
        </w:tabs>
        <w:rPr>
          <w:color w:val="000000"/>
        </w:rPr>
      </w:pPr>
      <w:r>
        <w:rPr>
          <w:color w:val="000000"/>
        </w:rPr>
        <w:t xml:space="preserve">6. Обеспечение исполнения Контракта</w:t>
      </w:r>
      <w:r>
        <w:rPr>
          <w:color w:val="000000"/>
        </w:rPr>
      </w:r>
      <w:r>
        <w:rPr>
          <w:color w:val="000000"/>
        </w:rPr>
      </w:r>
    </w:p>
    <w:p>
      <w:pPr>
        <w:ind w:firstLine="709"/>
        <w:spacing w:line="276" w:lineRule="auto"/>
        <w:widowControl w:val="off"/>
      </w:pPr>
      <w:r/>
      <w:r/>
    </w:p>
    <w:p>
      <w:pPr>
        <w:ind w:firstLine="709"/>
        <w:spacing w:line="276" w:lineRule="auto"/>
        <w:rPr>
          <w:lang w:eastAsia="zh-CN"/>
        </w:rPr>
      </w:pPr>
      <w:r>
        <w:rPr>
          <w:lang w:eastAsia="zh-CN"/>
        </w:rPr>
        <w:t xml:space="preserve">6.1. Исполнение Контракта обеспечивается предоставлением независимой гарантии, выданной гарантом и со</w:t>
      </w:r>
      <w:r>
        <w:rPr>
          <w:lang w:eastAsia="zh-CN"/>
        </w:rPr>
        <w:t xml:space="preserve">ответствующей требованиям Федерального закона,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w:t>
      </w:r>
      <w:r>
        <w:rPr>
          <w:lang w:eastAsia="zh-CN"/>
        </w:rPr>
      </w:r>
      <w:r>
        <w:rPr>
          <w:lang w:eastAsia="zh-CN"/>
        </w:rPr>
      </w:r>
    </w:p>
    <w:p>
      <w:pPr>
        <w:ind w:firstLine="709"/>
        <w:spacing w:line="276" w:lineRule="auto"/>
        <w:rPr>
          <w:lang w:eastAsia="zh-CN"/>
        </w:rPr>
      </w:pPr>
      <w:r>
        <w:rPr>
          <w:lang w:eastAsia="zh-CN"/>
        </w:rPr>
        <w:t xml:space="preserve">Способ обеспечения ис</w:t>
      </w:r>
      <w:r>
        <w:rPr>
          <w:lang w:eastAsia="zh-CN"/>
        </w:rPr>
        <w:t xml:space="preserve">полнения Контракта, срок действия независимой гарантии определяются в соответствии с требованиями Федерального закона.</w:t>
      </w:r>
      <w:r>
        <w:rPr>
          <w:lang w:eastAsia="zh-CN"/>
        </w:rPr>
      </w:r>
      <w:r>
        <w:rPr>
          <w:lang w:eastAsia="zh-CN"/>
        </w:rPr>
      </w:r>
    </w:p>
    <w:p>
      <w:pPr>
        <w:ind w:firstLine="709"/>
        <w:spacing w:line="276" w:lineRule="auto"/>
        <w:rPr>
          <w:lang w:eastAsia="zh-CN"/>
        </w:rPr>
      </w:pPr>
      <w:r>
        <w:rPr>
          <w:lang w:eastAsia="zh-CN"/>
        </w:rPr>
        <w:t xml:space="preserve">6.2. Обеспечение исполнения Контракта предоставляется Заказчику до заключения Контракта. Размер обеспечения исполнения Контракта составля</w:t>
      </w:r>
      <w:r>
        <w:rPr>
          <w:lang w:eastAsia="zh-CN"/>
        </w:rPr>
        <w:t xml:space="preserve">ет _______ рублей (5 процентов от начальной (максимальной) цены Контракта).</w:t>
      </w:r>
      <w:r>
        <w:rPr>
          <w:lang w:eastAsia="zh-CN"/>
        </w:rPr>
      </w:r>
      <w:r>
        <w:rPr>
          <w:lang w:eastAsia="zh-CN"/>
        </w:rPr>
      </w:r>
    </w:p>
    <w:p>
      <w:pPr>
        <w:ind w:firstLine="709"/>
        <w:spacing w:line="276" w:lineRule="auto"/>
        <w:rPr>
          <w:lang w:eastAsia="zh-CN"/>
        </w:rPr>
      </w:pPr>
      <w:r>
        <w:rPr>
          <w:lang w:eastAsia="zh-CN"/>
        </w:rPr>
        <w:t xml:space="preserve">В случае, если Подрядчиком предложена цена Контракта, которая на двадцать пять и более процентов ниже начальной (максимальной) цены контракта, Подрядчик предоставляет обеспечение исполнения Контракта в соответствии со статьей 37 Федерального закона</w:t>
      </w:r>
      <w:r>
        <w:rPr>
          <w:i/>
          <w:iCs/>
        </w:rPr>
        <w:t xml:space="preserve">.</w:t>
      </w:r>
      <w:r>
        <w:rPr>
          <w:lang w:eastAsia="zh-CN"/>
        </w:rPr>
      </w:r>
      <w:r>
        <w:rPr>
          <w:lang w:eastAsia="zh-CN"/>
        </w:rPr>
      </w:r>
    </w:p>
    <w:p>
      <w:pPr>
        <w:ind w:firstLine="709"/>
        <w:spacing w:line="276" w:lineRule="auto"/>
        <w:rPr>
          <w:lang w:eastAsia="zh-CN"/>
        </w:rPr>
      </w:pPr>
      <w:r>
        <w:rPr>
          <w:lang w:eastAsia="zh-CN"/>
        </w:rPr>
        <w:t xml:space="preserve">6.3. В</w:t>
      </w:r>
      <w:r>
        <w:rPr>
          <w:lang w:eastAsia="zh-CN"/>
        </w:rPr>
        <w:t xml:space="preserve"> ходе исполнения контракта Подрядчик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w:t>
      </w:r>
      <w:r>
        <w:rPr>
          <w:lang w:eastAsia="zh-CN"/>
        </w:rPr>
        <w:t xml:space="preserve">еньшен в порядке и случаях, которые предусмотрены частями 7.2 и 7.3 статьи 96 Федерального закона. </w:t>
      </w:r>
      <w:r>
        <w:rPr>
          <w:lang w:eastAsia="zh-CN"/>
        </w:rPr>
      </w:r>
      <w:r>
        <w:rPr>
          <w:lang w:eastAsia="zh-CN"/>
        </w:rPr>
      </w:r>
    </w:p>
    <w:p>
      <w:pPr>
        <w:ind w:firstLine="709"/>
        <w:spacing w:line="276" w:lineRule="auto"/>
        <w:rPr>
          <w:lang w:eastAsia="zh-CN"/>
        </w:rPr>
      </w:pPr>
      <w:r>
        <w:rPr>
          <w:lang w:eastAsia="zh-CN"/>
        </w:rPr>
        <w:t xml:space="preserve">6.4. Срок действия независимой гарантии обеспечения исполнения Контракта должен превышать предусмотренный Контрактом срок исполнения обязательств, которые д</w:t>
      </w:r>
      <w:r>
        <w:rPr>
          <w:lang w:eastAsia="zh-CN"/>
        </w:rPr>
        <w:t xml:space="preserve">олжны быть обеспечены такой гарантией, не менее чем на один месяц, в том числе в случае его изменения в соответствии со статьей 95 Федерального закона.</w:t>
      </w:r>
      <w:r>
        <w:rPr>
          <w:lang w:eastAsia="zh-CN"/>
        </w:rPr>
      </w:r>
      <w:r>
        <w:rPr>
          <w:lang w:eastAsia="zh-CN"/>
        </w:rPr>
      </w:r>
    </w:p>
    <w:p>
      <w:pPr>
        <w:ind w:firstLine="709"/>
        <w:spacing w:line="276" w:lineRule="auto"/>
        <w:rPr>
          <w:lang w:eastAsia="zh-CN"/>
        </w:rPr>
      </w:pPr>
      <w:r>
        <w:rPr>
          <w:lang w:eastAsia="zh-CN"/>
        </w:rPr>
        <w:t xml:space="preserve">В случае отзыва в соответствии с законодательством Российской Федерации у гаранта, предоставившего незав</w:t>
      </w:r>
      <w:r>
        <w:rPr>
          <w:lang w:eastAsia="zh-CN"/>
        </w:rPr>
        <w:t xml:space="preserve">исимую гарантию в качестве обеспечения исполнения Контракта, лицензии на осуществление банковских операций Подрядчик обязан предоставить новое обеспечение исполнения контракта не позднее одного месяца со дня надлежащего уведомления Заказчиком Подрядчика о </w:t>
      </w:r>
      <w:r>
        <w:rPr>
          <w:lang w:eastAsia="zh-CN"/>
        </w:rPr>
        <w:t xml:space="preserve">необходимости предоставить соответствующее обеспечение.</w:t>
      </w:r>
      <w:r>
        <w:rPr>
          <w:lang w:eastAsia="zh-CN"/>
        </w:rPr>
      </w:r>
      <w:r>
        <w:rPr>
          <w:lang w:eastAsia="zh-CN"/>
        </w:rPr>
      </w:r>
    </w:p>
    <w:p>
      <w:pPr>
        <w:pStyle w:val="918"/>
        <w:ind w:firstLine="709"/>
        <w:spacing w:line="276" w:lineRule="auto"/>
        <w:rPr>
          <w:sz w:val="28"/>
          <w:szCs w:val="28"/>
        </w:rPr>
        <w:pBdr>
          <w:top w:val="none" w:color="000000" w:sz="4" w:space="0"/>
          <w:left w:val="none" w:color="000000" w:sz="4" w:space="0"/>
          <w:bottom w:val="none" w:color="000000" w:sz="4" w:space="0"/>
          <w:right w:val="none" w:color="000000" w:sz="4" w:space="0"/>
        </w:pBdr>
      </w:pPr>
      <w:r>
        <w:rPr>
          <w:sz w:val="28"/>
          <w:szCs w:val="28"/>
        </w:rPr>
        <w:t xml:space="preserve">За каждый день просрочки исполнения Подрядчиком обязательства, по предоставлению нового обеспечения исполнения Контракта, начисляется пеня в порядке, определенном п.7.6 Контракта.</w:t>
      </w:r>
      <w:r>
        <w:rPr>
          <w:sz w:val="28"/>
          <w:szCs w:val="28"/>
        </w:rPr>
      </w:r>
      <w:r>
        <w:rPr>
          <w:sz w:val="28"/>
          <w:szCs w:val="28"/>
        </w:rPr>
      </w:r>
    </w:p>
    <w:p>
      <w:pPr>
        <w:ind w:firstLine="709"/>
        <w:spacing w:line="276" w:lineRule="auto"/>
        <w:rPr>
          <w:lang w:eastAsia="zh-CN"/>
        </w:rPr>
      </w:pPr>
      <w:r>
        <w:rPr>
          <w:lang w:eastAsia="zh-CN"/>
        </w:rPr>
        <w:t xml:space="preserve">6.5. Независимая гар</w:t>
      </w:r>
      <w:r>
        <w:rPr>
          <w:lang w:eastAsia="zh-CN"/>
        </w:rPr>
        <w:t xml:space="preserve">антия оформляется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гаранта, на условиях, определенных гражданским законодател</w:t>
      </w:r>
      <w:r>
        <w:rPr>
          <w:lang w:eastAsia="zh-CN"/>
        </w:rPr>
        <w:t xml:space="preserve">ьством, Федеральным законом, с учетом требований, установленных постановлением Правительства Российской Федерации от 08.11.2013 № 1005 «О независимых гарантиях, используемых для целей Федерального закона «О контрактной системе в сфере закупок товаров, рабо</w:t>
      </w:r>
      <w:r>
        <w:rPr>
          <w:lang w:eastAsia="zh-CN"/>
        </w:rPr>
        <w:t xml:space="preserve">т, услуг для обеспечения государственных и муниципальных нужд».</w:t>
      </w:r>
      <w:r>
        <w:rPr>
          <w:lang w:eastAsia="zh-CN"/>
        </w:rPr>
      </w:r>
      <w:r>
        <w:rPr>
          <w:lang w:eastAsia="zh-CN"/>
        </w:rPr>
      </w:r>
    </w:p>
    <w:p>
      <w:pPr>
        <w:ind w:firstLine="709"/>
        <w:spacing w:line="276" w:lineRule="auto"/>
        <w:rPr>
          <w:lang w:eastAsia="zh-CN"/>
        </w:rPr>
      </w:pPr>
      <w:r>
        <w:rPr>
          <w:lang w:eastAsia="zh-CN"/>
        </w:rPr>
        <w:t xml:space="preserve">6.6. Денежные средства возвращаются в полном объеме либо в части, оставшейся после удовлетворения требований Заказчика, возникших в период действия обеспечения в срок, не превышающий пятнадцат</w:t>
      </w:r>
      <w:r>
        <w:rPr>
          <w:lang w:eastAsia="zh-CN"/>
        </w:rPr>
        <w:t xml:space="preserve">ь дней с момента подписания Сторонами документов, подтверждающих надлежащее исполнение обязательств по Контракту.</w:t>
      </w:r>
      <w:r>
        <w:rPr>
          <w:lang w:eastAsia="zh-CN"/>
        </w:rPr>
      </w:r>
      <w:r>
        <w:rPr>
          <w:lang w:eastAsia="zh-CN"/>
        </w:rPr>
      </w:r>
    </w:p>
    <w:p>
      <w:pPr>
        <w:ind w:firstLine="709"/>
        <w:spacing w:line="276" w:lineRule="auto"/>
        <w:rPr>
          <w:lang w:eastAsia="zh-CN"/>
        </w:rPr>
      </w:pPr>
      <w:r>
        <w:rPr>
          <w:lang w:eastAsia="zh-CN"/>
        </w:rPr>
        <w:t xml:space="preserve">6.7. Предусмотренное частью 7 статьи 96 Федерального закона уменьшение размера обеспечения исполнения Контракта осуществляется при условии отс</w:t>
      </w:r>
      <w:r>
        <w:rPr>
          <w:lang w:eastAsia="zh-CN"/>
        </w:rPr>
        <w:t xml:space="preserve">утствия неисполненных Подрядчиком требований об уплате неустоек (штрафов, пеней), предъявленных Заказчиком в соответствии с Федеральным законом, а также приемки Заказчиком выполненных работ по Контракту. </w:t>
      </w:r>
      <w:r>
        <w:rPr>
          <w:lang w:eastAsia="zh-CN"/>
        </w:rPr>
      </w:r>
      <w:r>
        <w:rPr>
          <w:lang w:eastAsia="zh-CN"/>
        </w:rPr>
      </w:r>
    </w:p>
    <w:p>
      <w:pPr>
        <w:ind w:firstLine="709"/>
        <w:spacing w:line="276" w:lineRule="auto"/>
        <w:rPr>
          <w:lang w:eastAsia="zh-CN"/>
        </w:rPr>
      </w:pPr>
      <w:r>
        <w:rPr>
          <w:lang w:eastAsia="zh-CN"/>
        </w:rPr>
        <w:t xml:space="preserve">6.8. Реквизиты для обеспечения исполнения Контракта</w:t>
      </w:r>
      <w:r>
        <w:rPr>
          <w:lang w:eastAsia="zh-CN"/>
        </w:rPr>
        <w:t xml:space="preserve"> внесением денежных средств:</w:t>
      </w:r>
      <w:r>
        <w:rPr>
          <w:lang w:eastAsia="zh-CN"/>
        </w:rPr>
      </w:r>
      <w:r>
        <w:rPr>
          <w:lang w:eastAsia="zh-CN"/>
        </w:rPr>
      </w:r>
    </w:p>
    <w:p>
      <w:pPr>
        <w:ind w:firstLine="709"/>
        <w:spacing w:line="276" w:lineRule="auto"/>
        <w:rPr>
          <w:lang w:eastAsia="zh-CN"/>
        </w:rPr>
      </w:pPr>
      <w:r>
        <w:rPr>
          <w:lang w:eastAsia="zh-CN"/>
        </w:rPr>
        <w:t xml:space="preserve">ИНН 8601041920</w:t>
      </w:r>
      <w:r>
        <w:rPr>
          <w:lang w:eastAsia="zh-CN"/>
        </w:rPr>
      </w:r>
      <w:r>
        <w:rPr>
          <w:lang w:eastAsia="zh-CN"/>
        </w:rPr>
      </w:r>
    </w:p>
    <w:p>
      <w:pPr>
        <w:ind w:firstLine="709"/>
        <w:spacing w:line="276" w:lineRule="auto"/>
        <w:rPr>
          <w:lang w:eastAsia="zh-CN"/>
        </w:rPr>
      </w:pPr>
      <w:r>
        <w:rPr>
          <w:lang w:eastAsia="zh-CN"/>
        </w:rPr>
        <w:t xml:space="preserve">КПП 860101001</w:t>
      </w:r>
      <w:r>
        <w:rPr>
          <w:lang w:eastAsia="zh-CN"/>
        </w:rPr>
      </w:r>
      <w:r>
        <w:rPr>
          <w:lang w:eastAsia="zh-CN"/>
        </w:rPr>
      </w:r>
    </w:p>
    <w:p>
      <w:pPr>
        <w:ind w:firstLine="709"/>
        <w:spacing w:line="276" w:lineRule="auto"/>
        <w:rPr>
          <w:lang w:eastAsia="zh-CN"/>
        </w:rPr>
      </w:pPr>
      <w:r>
        <w:rPr>
          <w:lang w:eastAsia="zh-CN"/>
        </w:rPr>
        <w:t xml:space="preserve">Получатель: Депфин Югры (Депинформтехнологий Югры, л/с 570025866) </w:t>
      </w:r>
      <w:r>
        <w:rPr>
          <w:lang w:eastAsia="zh-CN"/>
        </w:rPr>
      </w:r>
      <w:r>
        <w:rPr>
          <w:lang w:eastAsia="zh-CN"/>
        </w:rPr>
      </w:r>
    </w:p>
    <w:p>
      <w:pPr>
        <w:ind w:firstLine="709"/>
        <w:spacing w:line="276" w:lineRule="auto"/>
        <w:rPr>
          <w:lang w:eastAsia="zh-CN"/>
        </w:rPr>
      </w:pPr>
      <w:r>
        <w:rPr>
          <w:lang w:eastAsia="zh-CN"/>
        </w:rPr>
        <w:t xml:space="preserve">Банк получателя: </w:t>
      </w:r>
      <w:r>
        <w:rPr>
          <w:bCs/>
          <w:iCs/>
          <w:lang w:eastAsia="zh-CN"/>
        </w:rPr>
        <w:t xml:space="preserve">ОКЦ № 8 УГУ Банка России</w:t>
      </w:r>
      <w:r>
        <w:rPr>
          <w:lang w:eastAsia="zh-CN"/>
        </w:rPr>
        <w:t xml:space="preserve">//УФК по Ханты-Мансийскому автономному округу – Югре г. Ханты-Мансийск</w:t>
      </w:r>
      <w:r>
        <w:rPr>
          <w:lang w:eastAsia="zh-CN"/>
        </w:rPr>
      </w:r>
      <w:r>
        <w:rPr>
          <w:lang w:eastAsia="zh-CN"/>
        </w:rPr>
      </w:r>
    </w:p>
    <w:p>
      <w:pPr>
        <w:ind w:firstLine="709"/>
        <w:spacing w:line="276" w:lineRule="auto"/>
        <w:rPr>
          <w:lang w:eastAsia="zh-CN"/>
        </w:rPr>
      </w:pPr>
      <w:r>
        <w:rPr>
          <w:lang w:eastAsia="zh-CN"/>
        </w:rPr>
        <w:t xml:space="preserve">БИК 007162163</w:t>
      </w:r>
      <w:r>
        <w:rPr>
          <w:lang w:eastAsia="zh-CN"/>
        </w:rPr>
      </w:r>
      <w:r>
        <w:rPr>
          <w:lang w:eastAsia="zh-CN"/>
        </w:rPr>
      </w:r>
    </w:p>
    <w:p>
      <w:pPr>
        <w:ind w:firstLine="709"/>
        <w:spacing w:line="276" w:lineRule="auto"/>
        <w:rPr>
          <w:lang w:eastAsia="zh-CN"/>
        </w:rPr>
      </w:pPr>
      <w:r>
        <w:rPr>
          <w:lang w:eastAsia="zh-CN"/>
        </w:rPr>
        <w:t xml:space="preserve">Казна</w:t>
      </w:r>
      <w:r>
        <w:rPr>
          <w:lang w:eastAsia="zh-CN"/>
        </w:rPr>
        <w:t xml:space="preserve">чейский счет 03222643718000008700</w:t>
      </w:r>
      <w:r>
        <w:rPr>
          <w:lang w:eastAsia="zh-CN"/>
        </w:rPr>
      </w:r>
      <w:r>
        <w:rPr>
          <w:lang w:eastAsia="zh-CN"/>
        </w:rPr>
      </w:r>
    </w:p>
    <w:p>
      <w:pPr>
        <w:ind w:firstLine="709"/>
        <w:spacing w:line="276" w:lineRule="auto"/>
        <w:rPr>
          <w:lang w:eastAsia="zh-CN"/>
        </w:rPr>
      </w:pPr>
      <w:r>
        <w:rPr>
          <w:lang w:eastAsia="zh-CN"/>
        </w:rPr>
        <w:t xml:space="preserve">Единый казначейский счет 40102810245370000007</w:t>
      </w:r>
      <w:r>
        <w:rPr>
          <w:lang w:eastAsia="zh-CN"/>
        </w:rPr>
      </w:r>
      <w:r>
        <w:rPr>
          <w:lang w:eastAsia="zh-CN"/>
        </w:rPr>
      </w:r>
    </w:p>
    <w:p>
      <w:pPr>
        <w:ind w:firstLine="709"/>
        <w:spacing w:line="276" w:lineRule="auto"/>
        <w:rPr>
          <w:lang w:eastAsia="zh-CN"/>
        </w:rPr>
      </w:pPr>
      <w:r>
        <w:rPr>
          <w:lang w:eastAsia="zh-CN"/>
        </w:rPr>
        <w:t xml:space="preserve">КБК 57040000000020000190</w:t>
      </w:r>
      <w:r>
        <w:rPr>
          <w:lang w:eastAsia="zh-CN"/>
        </w:rPr>
      </w:r>
      <w:r>
        <w:rPr>
          <w:lang w:eastAsia="zh-CN"/>
        </w:rPr>
      </w:r>
    </w:p>
    <w:p>
      <w:pPr>
        <w:ind w:firstLine="709"/>
        <w:spacing w:line="276" w:lineRule="auto"/>
        <w:rPr>
          <w:lang w:eastAsia="zh-CN"/>
        </w:rPr>
      </w:pPr>
      <w:r>
        <w:rPr>
          <w:lang w:eastAsia="zh-CN"/>
        </w:rPr>
        <w:t xml:space="preserve">ОКТМО 71871000</w:t>
      </w:r>
      <w:r>
        <w:rPr>
          <w:lang w:eastAsia="zh-CN"/>
        </w:rPr>
      </w:r>
      <w:r>
        <w:rPr>
          <w:lang w:eastAsia="zh-CN"/>
        </w:rPr>
      </w:r>
    </w:p>
    <w:p>
      <w:pPr>
        <w:ind w:firstLine="0"/>
        <w:spacing w:line="276" w:lineRule="auto"/>
        <w:widowControl w:val="off"/>
      </w:pPr>
      <w:r>
        <w:rPr>
          <w:lang w:eastAsia="zh-CN"/>
        </w:rPr>
        <w:t xml:space="preserve">Назначение платежа: Обеспечение исполнения государственного Контракта № ____ от ______</w:t>
      </w:r>
      <w:r>
        <w:t xml:space="preserve">.</w:t>
      </w:r>
      <w:r/>
    </w:p>
    <w:p>
      <w:pPr>
        <w:ind w:firstLine="709"/>
        <w:spacing w:line="276" w:lineRule="auto"/>
        <w:widowControl w:val="off"/>
      </w:pPr>
      <w:r/>
      <w:r/>
    </w:p>
    <w:p>
      <w:pPr>
        <w:ind w:firstLine="0"/>
        <w:jc w:val="center"/>
        <w:spacing w:line="276" w:lineRule="auto"/>
        <w:widowControl w:val="off"/>
      </w:pPr>
      <w:r>
        <w:t xml:space="preserve">7. Ответственность Сторон</w:t>
      </w:r>
      <w:r/>
    </w:p>
    <w:p>
      <w:pPr>
        <w:ind w:firstLine="709"/>
        <w:spacing w:line="276" w:lineRule="auto"/>
        <w:widowControl w:val="off"/>
      </w:pPr>
      <w:r/>
      <w:r/>
    </w:p>
    <w:p>
      <w:pPr>
        <w:ind w:firstLine="709"/>
        <w:spacing w:line="276" w:lineRule="auto"/>
        <w:widowControl w:val="off"/>
      </w:pPr>
      <w:r>
        <w:t xml:space="preserve">7.1. Стороны несут ответственность за неисполнение и ненадлежащее исполнение Контракта, в том числе за неполное и (или) несвоевременное исполнение своих обязательств по Контракту, в соответствии с положениями Гражданского кодекса Российской Федерации, Феде</w:t>
      </w:r>
      <w:r>
        <w:t xml:space="preserve">рального закона в порядке, установленном постановлением Правительства Российской Федерации от 30.08.2017 № 1042 «Об утверждении Правил определения размера штрафа, начисляемого в случае ненадлежащего исполнения заказчиком, неисполнения или ненадлежащего исп</w:t>
      </w:r>
      <w:r>
        <w:t xml:space="preserve">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о внесении изменений в постановление Правительства Российской Ф</w:t>
      </w:r>
      <w:r>
        <w:t xml:space="preserve">едерации от 15.05.2017 № 570 и признании утратившим силу постановления Правительства Российской Федерации от 25.11.2013 № 1063», за исключением случаев, если законодательством Российской Федерации установлен иной порядок начисления штрафов.</w:t>
      </w:r>
      <w:r/>
    </w:p>
    <w:p>
      <w:pPr>
        <w:ind w:firstLine="709"/>
        <w:spacing w:line="276" w:lineRule="auto"/>
        <w:widowControl w:val="off"/>
      </w:pPr>
      <w:r>
        <w:t xml:space="preserve">7.2. Размер штр</w:t>
      </w:r>
      <w:r>
        <w:t xml:space="preserve">афа устанавливается Контрактом в порядке, установленном пунктами 7.3-7.5, в том числе рассчитывается как процент цены Контракта (далее – цена Контракта).</w:t>
      </w:r>
      <w:r/>
    </w:p>
    <w:p>
      <w:pPr>
        <w:ind w:firstLine="709"/>
        <w:spacing w:line="276" w:lineRule="auto"/>
        <w:widowControl w:val="off"/>
      </w:pPr>
      <w:r>
        <w:t xml:space="preserve">7.3. За каждый факт неисполнения или ненадлежащего исполнения Подрядчиком обязательств, предусмотренны</w:t>
      </w:r>
      <w:r>
        <w:t xml:space="preserve">х Контрактом, за исключением просрочки исполнения обязательств, предусмотренных Контрактом, размер штрафа устанавливается в следующем порядке: </w:t>
      </w:r>
      <w:r/>
    </w:p>
    <w:p>
      <w:pPr>
        <w:ind w:firstLine="709"/>
        <w:spacing w:line="276" w:lineRule="auto"/>
      </w:pPr>
      <w:r>
        <w:t xml:space="preserve">а) 10 процентов цены Контракта в случае, если цена Контракта не превышает 3 млн. рублей.</w:t>
      </w:r>
      <w:r/>
    </w:p>
    <w:p>
      <w:pPr>
        <w:ind w:firstLine="709"/>
        <w:spacing w:line="276" w:lineRule="auto"/>
        <w:widowControl w:val="off"/>
      </w:pPr>
      <w:r>
        <w:t xml:space="preserve">б) 5 процентов цены Кон</w:t>
      </w:r>
      <w:r>
        <w:t xml:space="preserve">тракта в случае, если цена Контракта составляет от 3 млн. рублей до 50 млн. рублей (включительно).</w:t>
      </w:r>
      <w:r/>
    </w:p>
    <w:p>
      <w:pPr>
        <w:pStyle w:val="918"/>
        <w:ind w:firstLine="709"/>
        <w:spacing w:line="276" w:lineRule="auto"/>
        <w:rPr>
          <w:i/>
          <w:sz w:val="28"/>
          <w:szCs w:val="28"/>
        </w:rPr>
      </w:pPr>
      <w:r>
        <w:rPr>
          <w:sz w:val="28"/>
          <w:szCs w:val="28"/>
        </w:rPr>
        <w:t xml:space="preserve">За каждый факт неисполнения или ненадлежащего исполнения Подрядчиком обязательств, предусмотренных Контрактом, заключенным с победителем закупки (или с иным </w:t>
      </w:r>
      <w:r>
        <w:rPr>
          <w:sz w:val="28"/>
          <w:szCs w:val="28"/>
        </w:rPr>
        <w:t xml:space="preserve">участником закупки в случаях, установленных Федеральным законом), предложившим наиболее высокую цену за право заключения Контракта, размер штрафа рассчитывается в порядке, установленном пунктом 5 Правил, за исключением просрочки исполнения обязательств (в </w:t>
      </w:r>
      <w:r>
        <w:rPr>
          <w:sz w:val="28"/>
          <w:szCs w:val="28"/>
        </w:rPr>
        <w:t xml:space="preserve">том числе гарантийного обязательства), предусмотренных Контрактом.</w:t>
      </w:r>
      <w:r>
        <w:rPr>
          <w:i/>
          <w:sz w:val="28"/>
          <w:szCs w:val="28"/>
        </w:rPr>
      </w:r>
      <w:r>
        <w:rPr>
          <w:i/>
          <w:sz w:val="28"/>
          <w:szCs w:val="28"/>
        </w:rPr>
      </w:r>
    </w:p>
    <w:p>
      <w:pPr>
        <w:ind w:firstLine="709"/>
        <w:spacing w:line="276" w:lineRule="auto"/>
        <w:widowControl w:val="off"/>
      </w:pPr>
      <w:r>
        <w:t xml:space="preserve">7.4. За каждый факт неисполнения или ненадлежащего исполнения Подрядчиком обязательства, предусмотренного Контрактом, которое не имеет стоимостного выражения, размер штрафа определяется в с</w:t>
      </w:r>
      <w:r>
        <w:t xml:space="preserve">ледующем порядке:</w:t>
      </w:r>
      <w:r/>
    </w:p>
    <w:p>
      <w:pPr>
        <w:ind w:firstLine="709"/>
        <w:spacing w:line="276" w:lineRule="auto"/>
        <w:widowControl w:val="off"/>
      </w:pPr>
      <w:r>
        <w:t xml:space="preserve">а) 1000 рублей, если цена Контракта не превышает 3 млн. рублей;</w:t>
      </w:r>
      <w:r/>
    </w:p>
    <w:p>
      <w:pPr>
        <w:ind w:firstLine="709"/>
        <w:spacing w:line="276" w:lineRule="auto"/>
        <w:widowControl w:val="off"/>
      </w:pPr>
      <w:r>
        <w:t xml:space="preserve">б) 5000 рублей, если цена Контракта составляет от 3 млн. рублей до 50 млн. рублей (включительно).</w:t>
      </w:r>
      <w:r/>
    </w:p>
    <w:p>
      <w:pPr>
        <w:ind w:firstLine="709"/>
        <w:spacing w:line="276" w:lineRule="auto"/>
        <w:widowControl w:val="off"/>
      </w:pPr>
      <w:r>
        <w:t xml:space="preserve">7.5. За каждый факт неисполнения Заказчиком обязательств, предусмотренных Ко</w:t>
      </w:r>
      <w:r>
        <w:t xml:space="preserve">нтрактом, за исключением просрочки исполнения обязательств, предусмотренных Контрактом, размер штрафа устанавливается в следующем порядке:</w:t>
      </w:r>
      <w:r/>
    </w:p>
    <w:p>
      <w:pPr>
        <w:ind w:firstLine="709"/>
        <w:spacing w:line="276" w:lineRule="auto"/>
        <w:widowControl w:val="off"/>
      </w:pPr>
      <w:r>
        <w:t xml:space="preserve">а) 1000 рублей, если цена Контракта не превышает 3 млн. рублей;</w:t>
      </w:r>
      <w:r/>
    </w:p>
    <w:p>
      <w:pPr>
        <w:ind w:firstLine="709"/>
        <w:spacing w:line="276" w:lineRule="auto"/>
        <w:widowControl w:val="off"/>
      </w:pPr>
      <w:r>
        <w:t xml:space="preserve">б) 5000 рублей, если цена Контракта составляет от 3 м</w:t>
      </w:r>
      <w:r>
        <w:t xml:space="preserve">лн. рублей до 50 млн. рублей (включительно).</w:t>
      </w:r>
      <w:r/>
    </w:p>
    <w:p>
      <w:pPr>
        <w:ind w:firstLine="709"/>
        <w:spacing w:line="276" w:lineRule="auto"/>
        <w:widowControl w:val="off"/>
      </w:pPr>
      <w:r>
        <w:t xml:space="preserve">7.6. Пеня начисляется за каждый день просрочки исполнения Подрядчиком обязательства, предусмотренного Контрактом, начин</w:t>
      </w:r>
      <w:r>
        <w:t xml:space="preserve">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w:t>
      </w:r>
      <w:r>
        <w:t xml:space="preserve">акта, уменьшенной на сумму, пропорциональную объему обязательств, предусмотренных Контрактом и фактически исполненных Подрядчиком, за исключением случаев, если законодательством Российской Федерации установлен иной порядок начисления пени.</w:t>
      </w:r>
      <w:r/>
    </w:p>
    <w:p>
      <w:pPr>
        <w:ind w:firstLine="709"/>
        <w:spacing w:line="276" w:lineRule="auto"/>
        <w:widowControl w:val="off"/>
      </w:pPr>
      <w:r>
        <w:t xml:space="preserve">7.7. В случае пр</w:t>
      </w:r>
      <w:r>
        <w:t xml:space="preserve">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Подрядчик вправе потребовать уплаты неустоек (штрафов, пеней). Пен</w:t>
      </w:r>
      <w:r>
        <w:t xml:space="preserve">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w:t>
      </w:r>
      <w:r/>
    </w:p>
    <w:p>
      <w:pPr>
        <w:ind w:firstLine="709"/>
        <w:spacing w:line="276" w:lineRule="auto"/>
        <w:widowControl w:val="off"/>
      </w:pPr>
      <w:r>
        <w:t xml:space="preserve">7.8. </w:t>
      </w:r>
      <w:r>
        <w:t xml:space="preserve">Общая сумма начисленных штрафов за неисполнение или ненадлежащее исполнение Стороной</w:t>
      </w:r>
      <w:r>
        <w:t xml:space="preserve"> обязательств, предусмотренных Контрактом, не может превышать цену Контракта.</w:t>
      </w:r>
      <w:r/>
    </w:p>
    <w:p>
      <w:pPr>
        <w:ind w:firstLine="709"/>
        <w:jc w:val="center"/>
        <w:spacing w:line="276" w:lineRule="auto"/>
      </w:pPr>
      <w:r/>
      <w:r/>
    </w:p>
    <w:p>
      <w:pPr>
        <w:ind w:firstLine="0"/>
        <w:jc w:val="center"/>
        <w:spacing w:line="276" w:lineRule="auto"/>
      </w:pPr>
      <w:r>
        <w:t xml:space="preserve">8. Форс-мажорные обстоятельства</w:t>
      </w:r>
      <w:r/>
    </w:p>
    <w:p>
      <w:pPr>
        <w:ind w:firstLine="709"/>
        <w:jc w:val="center"/>
        <w:spacing w:line="276" w:lineRule="auto"/>
      </w:pPr>
      <w:r/>
      <w:r/>
    </w:p>
    <w:p>
      <w:pPr>
        <w:ind w:firstLine="709"/>
        <w:spacing w:line="276" w:lineRule="auto"/>
        <w:tabs>
          <w:tab w:val="left" w:pos="2400" w:leader="none"/>
        </w:tabs>
      </w:pPr>
      <w:r>
        <w:t xml:space="preserve">8.1. Стороны освобождаются от ответственности за частичное или полное невыполнение обязательств по Контракту, если оно явилось следствием обстоятельств непреодолимой силы (форс-мажор), а именно: пожара, наводнения, землетрясения, войны, военных действий, б</w:t>
      </w:r>
      <w:r>
        <w:t xml:space="preserve">локады, эмбарго, общих забастовок, запрещающих (либо ограничивающих) актов властей, и если эти обстоятельства непосредственно повлияли на исполнение Контракта. </w:t>
      </w:r>
      <w:r/>
    </w:p>
    <w:p>
      <w:pPr>
        <w:ind w:firstLine="709"/>
        <w:spacing w:line="276" w:lineRule="auto"/>
        <w:tabs>
          <w:tab w:val="left" w:pos="2400" w:leader="none"/>
        </w:tabs>
      </w:pPr>
      <w:r>
        <w:t xml:space="preserve">8.2. Сторона, для которой создалась невозможность выполнения обязательств по Контракту, обязана</w:t>
      </w:r>
      <w:r>
        <w:t xml:space="preserve"> немедленно (в течение 3 (трех) дней) известить другую Сторону о наступлении и прекращении вышеуказанных обстоятельств. Несвоевременное извещение об этих обстоятельствах лишает соответствующую Сторону права ссылаться на них в будущем.</w:t>
      </w:r>
      <w:r/>
    </w:p>
    <w:p>
      <w:pPr>
        <w:ind w:firstLine="709"/>
        <w:spacing w:line="276" w:lineRule="auto"/>
        <w:tabs>
          <w:tab w:val="left" w:pos="2400" w:leader="none"/>
        </w:tabs>
      </w:pPr>
      <w:r>
        <w:t xml:space="preserve">8.3. Обязанность дока</w:t>
      </w:r>
      <w:r>
        <w:t xml:space="preserve">зать наличие обстоятельств непреодолимой силы лежит на Стороне Контракта, не выполнившей свои обязательства по Контракту.</w:t>
      </w:r>
      <w:r/>
    </w:p>
    <w:p>
      <w:pPr>
        <w:ind w:firstLine="709"/>
        <w:spacing w:line="276" w:lineRule="auto"/>
        <w:tabs>
          <w:tab w:val="left" w:pos="2400" w:leader="none"/>
        </w:tabs>
      </w:pPr>
      <w:r>
        <w:t xml:space="preserve">Доказательством наличия вышеуказанных обстоятельств и их продолжительности будут служить документы компетентного органа, который вправ</w:t>
      </w:r>
      <w:r>
        <w:t xml:space="preserve">е свидетельствовать такие обстоятельства.</w:t>
      </w:r>
      <w:r/>
    </w:p>
    <w:p>
      <w:pPr>
        <w:ind w:firstLine="709"/>
        <w:spacing w:line="276" w:lineRule="auto"/>
        <w:tabs>
          <w:tab w:val="left" w:pos="2400" w:leader="none"/>
        </w:tabs>
      </w:pPr>
      <w:r>
        <w:t xml:space="preserve">8.4. Если обстоятельства и их последствия будут длиться более 1 (одного) месяца, то Стороны вправе расторгнуть Контракт. В этом случае ни одна из Сторон не имеет права потребовать от другой Стороны возмещения убытк</w:t>
      </w:r>
      <w:r>
        <w:t xml:space="preserve">ов.</w:t>
      </w:r>
      <w:r/>
    </w:p>
    <w:p>
      <w:pPr>
        <w:ind w:firstLine="709"/>
        <w:jc w:val="center"/>
        <w:spacing w:line="276" w:lineRule="auto"/>
        <w:widowControl w:val="off"/>
      </w:pPr>
      <w:r/>
      <w:r/>
    </w:p>
    <w:p>
      <w:pPr>
        <w:ind w:firstLine="0"/>
        <w:jc w:val="center"/>
        <w:spacing w:line="276" w:lineRule="auto"/>
        <w:widowControl w:val="off"/>
      </w:pPr>
      <w:r>
        <w:t xml:space="preserve">9. Порядок разрешения споров</w:t>
      </w:r>
      <w:r/>
    </w:p>
    <w:p>
      <w:pPr>
        <w:ind w:firstLine="709"/>
        <w:jc w:val="center"/>
        <w:spacing w:line="276" w:lineRule="auto"/>
        <w:widowControl w:val="off"/>
      </w:pPr>
      <w:r/>
      <w:r/>
    </w:p>
    <w:p>
      <w:pPr>
        <w:ind w:firstLine="709"/>
        <w:spacing w:line="276" w:lineRule="auto"/>
      </w:pPr>
      <w:r>
        <w:t xml:space="preserve">9.1 Стороны должны приложить все усилия, чтобы путем прямых переговоров разрешить все противоречия или спорные вопросы, возникающие между ними в рамках Контракта.</w:t>
      </w:r>
      <w:r/>
    </w:p>
    <w:p>
      <w:pPr>
        <w:ind w:firstLine="709"/>
        <w:spacing w:line="276" w:lineRule="auto"/>
      </w:pPr>
      <w:r>
        <w:t xml:space="preserve">9.2. Все разногласия и споры, которые могут возникнуть при</w:t>
      </w:r>
      <w:r>
        <w:t xml:space="preserve"> исполнении Контракта, подлежат предварительному разрешению путем переговоров, а также в случае выявления факта нарушения исполнения Контракта, посредством электронного уведомления, в </w:t>
      </w:r>
      <w:r>
        <w:rPr>
          <w:color w:val="000000"/>
        </w:rPr>
        <w:t xml:space="preserve">соответствии с </w:t>
      </w:r>
      <w:r>
        <w:rPr>
          <w:rFonts w:eastAsia="Calibri"/>
          <w:color w:val="000000"/>
        </w:rPr>
        <w:t xml:space="preserve">ч. 16 ст. 94 Федерального закона</w:t>
      </w:r>
      <w:r>
        <w:t xml:space="preserve">.</w:t>
      </w:r>
      <w:r/>
    </w:p>
    <w:p>
      <w:pPr>
        <w:ind w:firstLine="709"/>
        <w:spacing w:line="276" w:lineRule="auto"/>
      </w:pPr>
      <w:r>
        <w:t xml:space="preserve">9.3. Уведомление (прете</w:t>
      </w:r>
      <w:r>
        <w:t xml:space="preserve">нзия) оформляется в ЕИС в электронном виде и направляется той Стороне по Контракту, которой допущены нарушения его условий в соответствии с условиями Контракта. В претензии перечисляются допущенные при исполнении Контракта нарушения со ссылкой на соответст</w:t>
      </w:r>
      <w:r>
        <w:t xml:space="preserve">вующие положения Контракта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r/>
    </w:p>
    <w:p>
      <w:pPr>
        <w:ind w:firstLine="709"/>
        <w:spacing w:line="276" w:lineRule="auto"/>
      </w:pPr>
      <w:r>
        <w:t xml:space="preserve">9.4. Любые не разрешенные Сторонами споры и разногласия, возникши</w:t>
      </w:r>
      <w:r>
        <w:t xml:space="preserve">е в период действия Контракта (в том числе в период гарантийного сопровождения Контракта), подлежат разрешению в Арбитражном суде Ханты-Мансийского автономного округа – Югры.</w:t>
      </w:r>
      <w:r/>
    </w:p>
    <w:p>
      <w:pPr>
        <w:ind w:firstLine="709"/>
        <w:spacing w:line="276" w:lineRule="auto"/>
      </w:pPr>
      <w:r/>
      <w:r/>
    </w:p>
    <w:p>
      <w:pPr>
        <w:ind w:firstLine="0"/>
        <w:jc w:val="center"/>
        <w:spacing w:line="276" w:lineRule="auto"/>
      </w:pPr>
      <w:r>
        <w:t xml:space="preserve">10. Расторжение Контракта</w:t>
      </w:r>
      <w:r/>
    </w:p>
    <w:p>
      <w:pPr>
        <w:ind w:firstLine="0"/>
        <w:jc w:val="center"/>
        <w:spacing w:line="276" w:lineRule="auto"/>
      </w:pPr>
      <w:r/>
      <w:r/>
    </w:p>
    <w:p>
      <w:pPr>
        <w:ind w:firstLine="709"/>
        <w:spacing w:line="276" w:lineRule="auto"/>
      </w:pPr>
      <w:r>
        <w:t xml:space="preserve">10.1. Расторжение Контракта допускается по соглашению</w:t>
      </w:r>
      <w:r>
        <w:t xml:space="preserve"> Сторон, по решению суда, а также в случае одностороннего отказа Стороны Контракта от исполнения Контракта в соответствии с гражданским законодательством.</w:t>
      </w:r>
      <w:r/>
    </w:p>
    <w:p>
      <w:pPr>
        <w:ind w:firstLine="709"/>
        <w:spacing w:line="276" w:lineRule="auto"/>
      </w:pPr>
      <w:r>
        <w:t xml:space="preserve">10.2. Заказчик вправе провести экспертизу выполненных работ с привлечением экспертов, экспертных орга</w:t>
      </w:r>
      <w:r>
        <w:t xml:space="preserve">низаций до принятия решения об одностороннем отказе от исполнения Контракта.</w:t>
      </w:r>
      <w:r/>
    </w:p>
    <w:p>
      <w:pPr>
        <w:ind w:firstLine="709"/>
        <w:spacing w:line="276" w:lineRule="auto"/>
      </w:pPr>
      <w:r>
        <w:t xml:space="preserve">10.3. Заказчик формирует с использованием ЕИС решение об одностороннем отказе от исполнения Контракта, подписывает его усиленной квалифицированной электронной подписью лица, имеющ</w:t>
      </w:r>
      <w:r>
        <w:t xml:space="preserve">его право действовать от имени Заказчика, и размещает в ЕИС.</w:t>
      </w:r>
      <w:r/>
    </w:p>
    <w:p>
      <w:pPr>
        <w:ind w:firstLine="709"/>
        <w:spacing w:line="276" w:lineRule="auto"/>
      </w:pPr>
      <w:r>
        <w:t xml:space="preserve">10.4. Датой поступления Подрядчику решения об одностороннем отказе от исполнения Контракта считается дата размещения решения Заказчика в ЕИС согласно п. 10.3 Контракта в соответствии с часовой зо</w:t>
      </w:r>
      <w:r>
        <w:t xml:space="preserve">ной, в которой находится Подрядчик. Поступление данного решения считается надлежащим уведомлением Подрядчика об одностороннем отказе от исполнения Контракта.</w:t>
      </w:r>
      <w:r/>
    </w:p>
    <w:p>
      <w:pPr>
        <w:ind w:firstLine="709"/>
        <w:spacing w:line="276" w:lineRule="auto"/>
      </w:pPr>
      <w:r>
        <w:t xml:space="preserve">10.5. Решение Заказчика об одностороннем отказе от исполнения Контракта вступает в силу и Контракт</w:t>
      </w:r>
      <w:r>
        <w:t xml:space="preserve"> считается расторгнутым через 10 дней с даты надлежащего уведомления Подрядчика об одностороннем отказе от исполнения Контракта.</w:t>
      </w:r>
      <w:r/>
    </w:p>
    <w:p>
      <w:pPr>
        <w:ind w:firstLine="709"/>
        <w:spacing w:line="276" w:lineRule="auto"/>
      </w:pPr>
      <w:r>
        <w:t xml:space="preserve">10.6. Заказчик обязан отменить не вступившее в силу решение об одностороннем отказе от исполнения Контракта, если в течение дес</w:t>
      </w:r>
      <w:r>
        <w:t xml:space="preserve">ятидневного срока с даты надлежащего уведомления Подрядчика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Заказчику компенсированы з</w:t>
      </w:r>
      <w:r>
        <w:t xml:space="preserve">атраты на проведение экспертизы выполненных работ. Данное правило не применяется в случае повторного нарушения Подрядчиком условий Контракта, которые в соответствии с гражданским законодательством являются основанием для одностороннего отказа Заказчика от </w:t>
      </w:r>
      <w:r>
        <w:t xml:space="preserve">исполнения Контракта.</w:t>
      </w:r>
      <w:r/>
    </w:p>
    <w:p>
      <w:pPr>
        <w:ind w:firstLine="709"/>
        <w:spacing w:line="276" w:lineRule="auto"/>
      </w:pPr>
      <w:r>
        <w:t xml:space="preserve">10.7. При отмене не вступившего в силу решения об одностороннем отказе от исполнения Контракта, размещенного в ЕИС согласно п. 10.3 Контракта, Заказчик не позднее одного дня, следующего за днем отмены, формирует с использованием ЕИС и</w:t>
      </w:r>
      <w:r>
        <w:t xml:space="preserve">звещение об отмене указанного решения, подписывает его усиленной квалифицированной электронной подписью лица, имеющего право действовать от имени Заказчика, и размещает в ЕИС.</w:t>
      </w:r>
      <w:r/>
    </w:p>
    <w:p>
      <w:pPr>
        <w:ind w:firstLine="709"/>
        <w:spacing w:line="276" w:lineRule="auto"/>
      </w:pPr>
      <w:r>
        <w:t xml:space="preserve">10.8. Подрядчик формирует с использованием ЕИС решение об одностороннем отказе от исполнения Контракта, подписывает его усиленной квалифицированной электронной подписью лица, имеющего право действовать от имени Подрядчика, и размещает в ЕИС.</w:t>
      </w:r>
      <w:r/>
    </w:p>
    <w:p>
      <w:pPr>
        <w:ind w:firstLine="709"/>
        <w:spacing w:line="276" w:lineRule="auto"/>
      </w:pPr>
      <w:r>
        <w:t xml:space="preserve">10.9. Датой по</w:t>
      </w:r>
      <w:r>
        <w:t xml:space="preserve">ступления Заказчику решения об одностороннем отказе от исполнения Контракта считается дата размещения решения Подрядчика в ЕИС согласно п. 10.8 Контракта в соответствии с часовой зоной, в которой находится Заказчик. Поступление данного решения считается на</w:t>
      </w:r>
      <w:r>
        <w:t xml:space="preserve">длежащим уведомлением Заказчика об одностороннем отказе от исполнения Контракта.</w:t>
      </w:r>
      <w:r/>
    </w:p>
    <w:p>
      <w:pPr>
        <w:ind w:firstLine="709"/>
        <w:spacing w:line="276" w:lineRule="auto"/>
      </w:pPr>
      <w:r>
        <w:t xml:space="preserve">10.10. Решение Подрядчика об одностороннем отказе от исполнения Контракта вступает в силу и Контракт считается расторгнутым через 10 дней с даты надлежащего уведомления Заказч</w:t>
      </w:r>
      <w:r>
        <w:t xml:space="preserve">ика об одностороннем отказе от исполнения Контракта.</w:t>
      </w:r>
      <w:r/>
    </w:p>
    <w:p>
      <w:pPr>
        <w:ind w:firstLine="709"/>
        <w:spacing w:line="276" w:lineRule="auto"/>
      </w:pPr>
      <w:r>
        <w:t xml:space="preserve">10.11. Подрядчик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Заказчика о принятом реше</w:t>
      </w:r>
      <w:r>
        <w:t xml:space="preserve">нии об одностороннем отказе от исполнения Контракта устранены нарушения условий Контракта, послужившие основанием для принятия указанного решения.</w:t>
      </w:r>
      <w:r/>
    </w:p>
    <w:p>
      <w:pPr>
        <w:ind w:firstLine="709"/>
        <w:spacing w:line="276" w:lineRule="auto"/>
      </w:pPr>
      <w:r>
        <w:t xml:space="preserve">10.12. При отмене не вступившего в силу решения об одностороннем отказе от исполнения Контракта, размещенного</w:t>
      </w:r>
      <w:r>
        <w:t xml:space="preserve"> в ЕИС согласно п. 10.8 Контракта, Подрядчик не позднее одного дня, следующего за днем отмены, формирует с использованием ЕИС извещение об отмене указанного решения, подписывает его усиленной квалифицированной электронной подписью лица, имеющего право дейс</w:t>
      </w:r>
      <w:r>
        <w:t xml:space="preserve">твовать от имени Подрядчика, и размещает в ЕИС.</w:t>
      </w:r>
      <w:r/>
    </w:p>
    <w:p>
      <w:pPr>
        <w:ind w:firstLine="709"/>
        <w:spacing w:line="276" w:lineRule="auto"/>
      </w:pPr>
      <w:r>
        <w:t xml:space="preserve">10.13.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w:t>
      </w:r>
      <w:r>
        <w:t xml:space="preserve">ственно обусловленного обстоятельствами, являющимися основанием для принятия решения об одностороннем отказе от исполнения Контракта.</w:t>
      </w:r>
      <w:r/>
    </w:p>
    <w:p>
      <w:pPr>
        <w:ind w:firstLine="709"/>
        <w:spacing w:line="276" w:lineRule="auto"/>
      </w:pPr>
      <w:r>
        <w:t xml:space="preserve">10.14. Расторжение Контракта по соглашению Сторон совершается в письменной форме и возможно в случае наступления условий, </w:t>
      </w:r>
      <w:r>
        <w:t xml:space="preserve">при которых для одной из Сторон или обеих Сторон дальнейшее исполнение обязательств по Контракту невозможно либо возникает нецелесообразность исполнения Контракта.</w:t>
      </w:r>
      <w:r/>
    </w:p>
    <w:p>
      <w:pPr>
        <w:ind w:firstLine="709"/>
        <w:spacing w:line="276" w:lineRule="auto"/>
      </w:pPr>
      <w:r>
        <w:t xml:space="preserve">10.15. В случае расторжения Контракта по соглашению Сторон Подрядчик возвращает Заказчику вс</w:t>
      </w:r>
      <w:r>
        <w:t xml:space="preserve">е денежные средства, перечисленные для исполнения обязательств по Контракту, а Заказчик оплачивает расходы (издержки) Подрядчика за фактически исполненные обязательства по Контракту.</w:t>
      </w:r>
      <w:r/>
    </w:p>
    <w:p>
      <w:pPr>
        <w:ind w:firstLine="709"/>
        <w:spacing w:line="276" w:lineRule="auto"/>
      </w:pPr>
      <w:r>
        <w:t xml:space="preserve">10.16. Требование о расторжении Контракта может быть заявлено Стороной в </w:t>
      </w:r>
      <w:r>
        <w:t xml:space="preserve">суд только после получения отказа другой Стороны на предложение расторгнуть Контракт либо неполучения ответа в течение 10 (десяти) дней с даты получения предложения о расторжении Контракта.</w:t>
      </w:r>
      <w:r/>
    </w:p>
    <w:p>
      <w:pPr>
        <w:ind w:firstLine="709"/>
        <w:spacing w:line="276" w:lineRule="auto"/>
      </w:pPr>
      <w:r/>
      <w:r/>
    </w:p>
    <w:p>
      <w:pPr>
        <w:ind w:firstLine="0"/>
        <w:jc w:val="center"/>
        <w:spacing w:line="276" w:lineRule="auto"/>
      </w:pPr>
      <w:r>
        <w:t xml:space="preserve">11.Срок действия Контракта</w:t>
      </w:r>
      <w:r/>
    </w:p>
    <w:p>
      <w:pPr>
        <w:ind w:firstLine="0"/>
        <w:jc w:val="center"/>
        <w:spacing w:line="276" w:lineRule="auto"/>
      </w:pPr>
      <w:r/>
      <w:r/>
    </w:p>
    <w:p>
      <w:pPr>
        <w:ind w:firstLine="709"/>
        <w:spacing w:line="276" w:lineRule="auto"/>
      </w:pPr>
      <w:r>
        <w:t xml:space="preserve">11.1. Контракт вступает в силу со дня</w:t>
      </w:r>
      <w:r>
        <w:t xml:space="preserve"> подписания его Сторонами и действует до полного исполнения Сторонами своих обязательств.</w:t>
      </w:r>
      <w:r/>
    </w:p>
    <w:p>
      <w:pPr>
        <w:ind w:firstLine="709"/>
        <w:jc w:val="center"/>
        <w:spacing w:line="276" w:lineRule="auto"/>
      </w:pPr>
      <w:r/>
      <w:r/>
    </w:p>
    <w:p>
      <w:pPr>
        <w:ind w:firstLine="0"/>
        <w:jc w:val="center"/>
        <w:spacing w:line="276" w:lineRule="auto"/>
        <w:rPr>
          <w:rFonts w:eastAsia="Calibri"/>
          <w:lang w:eastAsia="en-US"/>
        </w:rPr>
      </w:pPr>
      <w:r>
        <w:t xml:space="preserve">12.</w:t>
      </w:r>
      <w:r>
        <w:rPr>
          <w:rFonts w:eastAsia="Calibri"/>
          <w:b/>
          <w:i/>
          <w:lang w:eastAsia="en-US"/>
        </w:rPr>
        <w:t xml:space="preserve"> </w:t>
      </w:r>
      <w:r>
        <w:rPr>
          <w:rFonts w:eastAsia="Calibri"/>
          <w:lang w:eastAsia="en-US"/>
        </w:rPr>
        <w:t xml:space="preserve">Антикоррупционная оговорка</w:t>
      </w:r>
      <w:r>
        <w:rPr>
          <w:rFonts w:eastAsia="Calibri"/>
          <w:lang w:eastAsia="en-US"/>
        </w:rPr>
      </w:r>
      <w:r>
        <w:rPr>
          <w:rFonts w:eastAsia="Calibri"/>
          <w:lang w:eastAsia="en-US"/>
        </w:rPr>
      </w:r>
    </w:p>
    <w:p>
      <w:pPr>
        <w:ind w:firstLine="0"/>
        <w:jc w:val="center"/>
        <w:spacing w:line="276" w:lineRule="auto"/>
        <w:rPr>
          <w:rFonts w:eastAsia="Calibri"/>
          <w:b/>
          <w:i/>
          <w:lang w:eastAsia="en-US"/>
        </w:rPr>
      </w:pPr>
      <w:r>
        <w:rPr>
          <w:rFonts w:eastAsia="Calibri"/>
          <w:b/>
          <w:i/>
          <w:lang w:eastAsia="en-US"/>
        </w:rPr>
      </w:r>
      <w:r>
        <w:rPr>
          <w:rFonts w:eastAsia="Calibri"/>
          <w:b/>
          <w:i/>
          <w:lang w:eastAsia="en-US"/>
        </w:rPr>
      </w:r>
      <w:r>
        <w:rPr>
          <w:rFonts w:eastAsia="Calibri"/>
          <w:b/>
          <w:i/>
          <w:lang w:eastAsia="en-US"/>
        </w:rPr>
      </w:r>
    </w:p>
    <w:p>
      <w:pPr>
        <w:ind w:firstLine="709"/>
        <w:spacing w:line="276" w:lineRule="auto"/>
      </w:pPr>
      <w:r>
        <w:t xml:space="preserve">12.1. При исполнении своих обязательств по Контракту Стороны, их аффилированные лица, работники или посредники не выплачивают, не пре</w:t>
      </w:r>
      <w:r>
        <w:t xml:space="preserve">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w:t>
      </w:r>
      <w:r>
        <w:t xml:space="preserve">мерных целей. При исполнении своих обязательств по контракту Стороны, их аффилированные лица, работники или посредники не осуществляют действия, квалифицируемые применимым для целей контракта законодательством как дача или получение взятки, коммерческий по</w:t>
      </w:r>
      <w:r>
        <w:t xml:space="preserve">дкуп, а также иные действия, нарушающие требования применимого законодательства и международных актов о противодействии коррупции и легализации (отмывании) доходов, полученных преступным путем.</w:t>
      </w:r>
      <w:r/>
    </w:p>
    <w:p>
      <w:pPr>
        <w:ind w:firstLine="709"/>
        <w:spacing w:line="276" w:lineRule="auto"/>
      </w:pPr>
      <w:r>
        <w:t xml:space="preserve">12.2. В случае возникновения у Стороны добросовестных и обосно</w:t>
      </w:r>
      <w:r>
        <w:t xml:space="preserve">ванных подозрений, что произошло или может произойти нарушение каких-либо положений настоящего раздела Контракта, соответствующая Сторона обязуется уведомить другую Сторону в письменной форме не позднее 5 рабочих дней с момента возникновения указанных подо</w:t>
      </w:r>
      <w:r>
        <w:t xml:space="preserve">зрений. В письменном уведомлении указываются лица, причастные к нарушению условий контракта, фактические обстоятельства дела и предоставляются материалы, достоверно подтверждающие или дающие основание предполагать, что произошло или может произойти нарушен</w:t>
      </w:r>
      <w:r>
        <w:t xml:space="preserve">ие настоящего раздела Контракта.</w:t>
      </w:r>
      <w:r/>
    </w:p>
    <w:p>
      <w:pPr>
        <w:ind w:firstLine="709"/>
        <w:spacing w:line="276" w:lineRule="auto"/>
      </w:pPr>
      <w:r>
        <w:t xml:space="preserve">Каналы уведомления Подрядчика о нарушениях каких-либо положений настоящего раздела: ______________, официальный сайт ____________________ (при наличии).</w:t>
      </w:r>
      <w:r/>
    </w:p>
    <w:p>
      <w:pPr>
        <w:ind w:firstLine="709"/>
        <w:spacing w:line="276" w:lineRule="auto"/>
      </w:pPr>
      <w:r>
        <w:t xml:space="preserve">Каналы уведомления Заказчика о нарушениях каких-либо положений настоящ</w:t>
      </w:r>
      <w:r>
        <w:t xml:space="preserve">его раздела: электронная почта </w:t>
      </w:r>
      <w:r>
        <w:rPr>
          <w:lang w:val="en-US"/>
        </w:rPr>
        <w:t xml:space="preserve">depIT</w:t>
      </w:r>
      <w:r>
        <w:t xml:space="preserve">@</w:t>
      </w:r>
      <w:r>
        <w:rPr>
          <w:lang w:val="en-US"/>
        </w:rPr>
        <w:t xml:space="preserve">admhmao</w:t>
      </w:r>
      <w:r>
        <w:t xml:space="preserve">.</w:t>
      </w:r>
      <w:r>
        <w:rPr>
          <w:lang w:val="en-US"/>
        </w:rPr>
        <w:t xml:space="preserve">ru</w:t>
      </w:r>
      <w:r>
        <w:t xml:space="preserve">, официальный сайт www.depIT.admhmao.ru. </w:t>
      </w:r>
      <w:r/>
    </w:p>
    <w:p>
      <w:pPr>
        <w:ind w:firstLine="709"/>
        <w:spacing w:line="276" w:lineRule="auto"/>
      </w:pPr>
      <w:r>
        <w:t xml:space="preserve">12.3. Сторона, получившая письменное уведомление о нарушении положений настоящего раздела Контракта, обязана в течение 10 рабочих дней с даты его получения рассмотреть</w:t>
      </w:r>
      <w:r>
        <w:t xml:space="preserve"> его и в течение 5 рабочих дней с даты окончания рассмотрения сообщить уведомившей Стороне об итогах его рассмотрения.</w:t>
      </w:r>
      <w:r/>
    </w:p>
    <w:p>
      <w:pPr>
        <w:ind w:firstLine="709"/>
        <w:spacing w:line="276" w:lineRule="auto"/>
      </w:pPr>
      <w:r>
        <w:t xml:space="preserve">12.4. Стороны гарантируют осуществление надлежащего разбирательства по фактам нарушения положений настоящего раздела контракта с соблюден</w:t>
      </w:r>
      <w:r>
        <w:t xml:space="preserve">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w:t>
      </w:r>
      <w:r>
        <w:t xml:space="preserve">сообщивших о факте нарушений условий настоящего раздела контракта.</w:t>
      </w:r>
      <w:r/>
    </w:p>
    <w:p>
      <w:pPr>
        <w:ind w:firstLine="709"/>
        <w:spacing w:line="276" w:lineRule="auto"/>
      </w:pPr>
      <w:r>
        <w:t xml:space="preserve">12.5. В случае подтверждения факта нарушений одной Стороной положений настоящего раздела и/или неполучения другой Стороной информации об итогах рассмотрения письменного уведомления о наруше</w:t>
      </w:r>
      <w:r>
        <w:t xml:space="preserve">нии условий настоящего раздела контракта, другая Сторона имеет право расторгнуть настоящий контракт.</w:t>
      </w:r>
      <w:r/>
    </w:p>
    <w:p>
      <w:pPr>
        <w:ind w:firstLine="0"/>
        <w:spacing w:line="276" w:lineRule="auto"/>
      </w:pPr>
      <w:r/>
      <w:r/>
    </w:p>
    <w:p>
      <w:pPr>
        <w:ind w:firstLine="0"/>
        <w:jc w:val="center"/>
        <w:spacing w:line="276" w:lineRule="auto"/>
      </w:pPr>
      <w:r>
        <w:t xml:space="preserve">13. Прочие условия</w:t>
      </w:r>
      <w:r/>
    </w:p>
    <w:p>
      <w:pPr>
        <w:ind w:firstLine="709"/>
        <w:jc w:val="center"/>
        <w:spacing w:line="276" w:lineRule="auto"/>
      </w:pPr>
      <w:r/>
      <w:r/>
    </w:p>
    <w:p>
      <w:pPr>
        <w:ind w:firstLine="709"/>
        <w:spacing w:line="276" w:lineRule="auto"/>
      </w:pPr>
      <w:r>
        <w:t xml:space="preserve">13.1.</w:t>
      </w:r>
      <w:r>
        <w:rPr>
          <w:i/>
        </w:rPr>
        <w:t xml:space="preserve"> </w:t>
      </w:r>
      <w:r>
        <w:t xml:space="preserve">Контракт составлен в форме электронного документа. После заключения Контракта Стороны вправе изготовить копию Контракта на </w:t>
      </w:r>
      <w:r>
        <w:t xml:space="preserve">бумажном носителе в 2 (двух) экземплярах, имеющих одинаковую юридическую силу, по одному для Заказчика и Подрядчика).</w:t>
      </w:r>
      <w:r/>
    </w:p>
    <w:p>
      <w:pPr>
        <w:ind w:firstLine="709"/>
        <w:spacing w:line="276" w:lineRule="auto"/>
      </w:pPr>
      <w:r>
        <w:t xml:space="preserve">13.2. Приложение к Контракту – Описание объекта закупки (прикреплено отдельным файлом) является его неотъемной частью.</w:t>
      </w:r>
      <w:r/>
    </w:p>
    <w:p>
      <w:pPr>
        <w:ind w:firstLine="709"/>
        <w:spacing w:line="276" w:lineRule="auto"/>
      </w:pPr>
      <w:r>
        <w:t xml:space="preserve">13.4. В случае изме</w:t>
      </w:r>
      <w:r>
        <w:t xml:space="preserve">нения наименования, адреса места нахождения или банковских реквизитов Стороны, она письменно извещает об этом другую Сторону.</w:t>
      </w:r>
      <w:r/>
    </w:p>
    <w:p>
      <w:pPr>
        <w:ind w:firstLine="709"/>
        <w:spacing w:line="276" w:lineRule="auto"/>
      </w:pPr>
      <w:r>
        <w:t xml:space="preserve">13.5. При исполнении Контракта не допускается перемена Подрядчика, за исключением случаев, если новый Подрядчик является правопрее</w:t>
      </w:r>
      <w:r>
        <w:t xml:space="preserve">мником Подрядчика по Контракту вследствие реорганизации юридического лица в форме преобразования, слияния или присоединения.</w:t>
      </w:r>
      <w:r/>
    </w:p>
    <w:p>
      <w:pPr>
        <w:ind w:firstLine="709"/>
        <w:spacing w:line="276" w:lineRule="auto"/>
      </w:pPr>
      <w:r>
        <w:t xml:space="preserve">13.6. В случае перемены Заказчика по Контракту права и обязанности Заказчика по такому Контракту переходят к новому Заказчику в том</w:t>
      </w:r>
      <w:r>
        <w:t xml:space="preserve"> же объеме и на тех же условиях.</w:t>
      </w:r>
      <w:r/>
    </w:p>
    <w:p>
      <w:pPr>
        <w:ind w:firstLine="709"/>
        <w:spacing w:line="276" w:lineRule="auto"/>
      </w:pPr>
      <w:r>
        <w:t xml:space="preserve">13.7. Все изменения и дополнения к Контракту оформляются дополнительными соглашениями, которые подписываются уполномоченными лицами Сторон.</w:t>
      </w:r>
      <w:r/>
    </w:p>
    <w:p>
      <w:pPr>
        <w:ind w:firstLine="709"/>
        <w:spacing w:line="276" w:lineRule="auto"/>
      </w:pPr>
      <w:r>
        <w:t xml:space="preserve">13.8. Передача исходных кодов, разработанных в хо</w:t>
      </w:r>
      <w:r>
        <w:t xml:space="preserve">де выполнения работ программ для электронных вычислительных машин (далее - программа для ЭВМ) и дистрибутивов должна сопровождаться передачей всех необходимых для сборки и запуска программы для ЭВМ библиотек зависимостей, инструкций и программных сценариев</w:t>
      </w:r>
      <w:r>
        <w:t xml:space="preserve"> (скриптов) для проведения компиляции, создания дистрибутива и установки (развертывания) программы для ЭВМ. </w:t>
      </w:r>
      <w:r/>
    </w:p>
    <w:p>
      <w:pPr>
        <w:ind w:firstLine="709"/>
        <w:spacing w:line="276" w:lineRule="auto"/>
      </w:pPr>
      <w:r>
        <w:t xml:space="preserve">13.8.1. Для проведения компиляции, создания дистрибутива и установки (развертывания) программы для ЭВМ должны использоваться свободно распространяе</w:t>
      </w:r>
      <w:r>
        <w:t xml:space="preserve">мые компиляторы, интерпретаторы и иное программное обеспечение, необходимое для указанных целей, дистрибутивы которых должны быть переданы вместе с исходными кодами разработанных в ходе выполнения работ программ для ЭВМ.</w:t>
      </w:r>
      <w:r/>
    </w:p>
    <w:p>
      <w:pPr>
        <w:ind w:firstLine="709"/>
        <w:spacing w:line="276" w:lineRule="auto"/>
        <w:rPr>
          <w:highlight w:val="yellow"/>
        </w:rPr>
      </w:pPr>
      <w:r>
        <w:rPr>
          <w:highlight w:val="yellow"/>
        </w:rPr>
        <w:t xml:space="preserve">13.8.2. В случае использования для </w:t>
      </w:r>
      <w:r>
        <w:rPr>
          <w:highlight w:val="yellow"/>
        </w:rPr>
        <w:t xml:space="preserve">проведения компиляции, создания дистрибутива и установки (развертывания) программы для ЭВМ компиляторов, интерпретаторов и иного программного обеспечения, права на использование, копирование и модификацию которых принадлежат третьим лицам, подрядчик (испол</w:t>
      </w:r>
      <w:r>
        <w:rPr>
          <w:highlight w:val="yellow"/>
        </w:rPr>
        <w:t xml:space="preserve">нитель) за свой счет передает Заказчику дистрибутивы и права на использование таких компиляторов, интерпретаторов и иного программного обеспечения.</w:t>
      </w:r>
      <w:r>
        <w:rPr>
          <w:highlight w:val="yellow"/>
        </w:rPr>
      </w:r>
      <w:r>
        <w:rPr>
          <w:highlight w:val="yellow"/>
        </w:rPr>
      </w:r>
    </w:p>
    <w:p>
      <w:pPr>
        <w:ind w:firstLine="709"/>
        <w:spacing w:line="276" w:lineRule="auto"/>
      </w:pPr>
      <w:r>
        <w:t xml:space="preserve">13.8.3. Подрядчик в процессе сдачи-приемки работ по Контракту должен провести демонстрацию процесса компиляц</w:t>
      </w:r>
      <w:r>
        <w:t xml:space="preserve">ии, создания дистрибутива и установки (развертывания) разработанных программ для ЭВМ, а также в соответствии с инструкциями, приведенными в рабочей документации на Систему.</w:t>
      </w:r>
      <w:r/>
    </w:p>
    <w:p>
      <w:pPr>
        <w:ind w:firstLine="709"/>
        <w:spacing w:line="276" w:lineRule="auto"/>
      </w:pPr>
      <w:r>
        <w:t xml:space="preserve">13.8.4. Документация на Систему и ее части (техническая и рабочая) должна содержать</w:t>
      </w:r>
      <w:r>
        <w:t xml:space="preserve"> исчерпывающее описание принятых проектных решений в объеме, достаточном для ее дальнейшего развития и эксплуатации.</w:t>
      </w:r>
      <w:r/>
    </w:p>
    <w:p>
      <w:pPr>
        <w:ind w:firstLine="709"/>
        <w:spacing w:line="276" w:lineRule="auto"/>
      </w:pPr>
      <w:r>
        <w:t xml:space="preserve">13.8.5. Техническая и рабочая документация должна содержать описание разработанных результатов работ, в том числе программ для ЭВМ, приклад</w:t>
      </w:r>
      <w:r>
        <w:t xml:space="preserve">ных программных интерфейсов, алгоритмов и протоколов информационного взаимодействия, технических требований, спецификаций и форматов обмена данными для взаимодействия с другими информационными системами, в объеме, достаточном для их установки, настройки, э</w:t>
      </w:r>
      <w:r>
        <w:t xml:space="preserve">ксплуатации и развития в дальнейшем без привлечения Подрядчика.</w:t>
      </w:r>
      <w:r/>
    </w:p>
    <w:p>
      <w:pPr>
        <w:ind w:firstLine="709"/>
        <w:spacing w:line="276" w:lineRule="auto"/>
      </w:pPr>
      <w:r>
        <w:t xml:space="preserve">13.8.6. Передача Заказчику комплекта документов, материалов и сведений, предусмотренных нормативными правовыми актами Российской Федерации в сфере информационных технологий, защиты информации,</w:t>
      </w:r>
      <w:r>
        <w:t xml:space="preserve"> правовой защиты интересов государства в области интеллектуальной собственности, включая документы, подтверждающие отказ авторов (разработчиков) от исключительных прав на передаваемые объекты интеллектуальной собственности в пользу исполнителя, с проектами</w:t>
      </w:r>
      <w:r>
        <w:t xml:space="preserve"> заявок на государственную регистрацию в установленном порядке прав Заказчика на результаты интеллектуальной деятельности, в том числе, но не исключая: изобретения, полезные модели, промышленные образцы, программы для электронных вычислительных машин, базы</w:t>
      </w:r>
      <w:r>
        <w:t xml:space="preserve"> данных, топологии интегральных микросхем, а также исключительные права на результаты работ, включая объекты авторских прав и потенциально патентоспособные технические решения, секреты производства (ноу-хау), созданные в рамках Контракта, осуществляется По</w:t>
      </w:r>
      <w:r>
        <w:t xml:space="preserve">дрядчиком в составе отчетной документации, предусмотренной условиями Контракта.</w:t>
      </w:r>
      <w:r/>
    </w:p>
    <w:p>
      <w:pPr>
        <w:pStyle w:val="907"/>
        <w:ind w:firstLine="709"/>
        <w:jc w:val="both"/>
        <w:spacing w:line="276" w:lineRule="auto"/>
        <w:rPr>
          <w:highlight w:val="yellow"/>
        </w:rPr>
      </w:pPr>
      <w:r>
        <w:rPr>
          <w:rFonts w:ascii="Times New Roman" w:hAnsi="Times New Roman" w:cs="Times New Roman"/>
          <w:sz w:val="28"/>
          <w:szCs w:val="28"/>
          <w:highlight w:val="yellow"/>
          <w:lang w:bidi="ru-RU"/>
        </w:rPr>
        <w:t xml:space="preserve">13.8.7. Исключительные права на результаты интеллектуальной деятельности, в том числе, но не исключая: изобретения, полезные модели, промышленные образцы, программы для электро</w:t>
      </w:r>
      <w:r>
        <w:rPr>
          <w:rFonts w:ascii="Times New Roman" w:hAnsi="Times New Roman" w:cs="Times New Roman"/>
          <w:sz w:val="28"/>
          <w:szCs w:val="28"/>
          <w:highlight w:val="yellow"/>
          <w:lang w:bidi="ru-RU"/>
        </w:rPr>
        <w:t xml:space="preserve">нных вычислительных машин, базы данных, а также исключительные права на результаты работ, включая объекты авторских прав и потенциально патентоспособные технические решения, секреты производства (ноу-хау), созданные в рамках Контракта, принадлежат в лице з</w:t>
      </w:r>
      <w:r>
        <w:rPr>
          <w:rFonts w:ascii="Times New Roman" w:hAnsi="Times New Roman" w:cs="Times New Roman"/>
          <w:sz w:val="28"/>
          <w:szCs w:val="28"/>
          <w:highlight w:val="yellow"/>
          <w:lang w:bidi="ru-RU"/>
        </w:rPr>
        <w:t xml:space="preserve">аказчика: субъекту Российской Федерации </w:t>
      </w:r>
      <w:r>
        <w:rPr>
          <w:rFonts w:ascii="Times New Roman" w:hAnsi="Times New Roman" w:cs="Times New Roman"/>
          <w:sz w:val="28"/>
          <w:szCs w:val="28"/>
          <w:highlight w:val="yellow"/>
          <w:lang w:bidi="ru-RU"/>
        </w:rPr>
        <w:br/>
      </w:r>
      <w:r>
        <w:rPr>
          <w:rFonts w:ascii="Times New Roman" w:hAnsi="Times New Roman" w:cs="Times New Roman"/>
          <w:color w:val="000000"/>
          <w:sz w:val="28"/>
          <w:szCs w:val="28"/>
          <w:highlight w:val="yellow"/>
        </w:rPr>
        <w:t xml:space="preserve">–</w:t>
      </w:r>
      <w:r>
        <w:rPr>
          <w:rFonts w:ascii="Times New Roman" w:hAnsi="Times New Roman" w:cs="Times New Roman"/>
          <w:sz w:val="28"/>
          <w:szCs w:val="28"/>
          <w:highlight w:val="yellow"/>
          <w:lang w:bidi="ru-RU"/>
        </w:rPr>
        <w:t xml:space="preserve"> </w:t>
      </w:r>
      <w:r>
        <w:rPr>
          <w:rFonts w:ascii="Times New Roman" w:hAnsi="Times New Roman" w:cs="Times New Roman"/>
          <w:color w:val="000000"/>
          <w:sz w:val="28"/>
          <w:szCs w:val="28"/>
          <w:highlight w:val="yellow"/>
        </w:rPr>
        <w:t xml:space="preserve">Ханты-Мансийскому автономному округу – Югре</w:t>
      </w:r>
      <w:r>
        <w:rPr>
          <w:rFonts w:ascii="Times New Roman" w:hAnsi="Times New Roman" w:cs="Times New Roman"/>
          <w:sz w:val="28"/>
          <w:szCs w:val="28"/>
          <w:highlight w:val="yellow"/>
          <w:lang w:bidi="ru-RU"/>
        </w:rPr>
        <w:t xml:space="preserve">.</w:t>
      </w:r>
      <w:r>
        <w:rPr>
          <w:highlight w:val="yellow"/>
        </w:rPr>
      </w:r>
      <w:r>
        <w:rPr>
          <w:highlight w:val="yellow"/>
        </w:rPr>
      </w:r>
    </w:p>
    <w:p>
      <w:pPr>
        <w:pStyle w:val="907"/>
        <w:ind w:firstLine="709"/>
        <w:jc w:val="both"/>
        <w:spacing w:line="276" w:lineRule="auto"/>
      </w:pPr>
      <w:r>
        <w:rPr>
          <w:rFonts w:ascii="Times New Roman" w:hAnsi="Times New Roman" w:cs="Times New Roman"/>
          <w:sz w:val="28"/>
          <w:szCs w:val="28"/>
          <w:lang w:bidi="ru-RU"/>
        </w:rPr>
        <w:t xml:space="preserve">13.8.8. Право собственности на результаты работ, отчетные документы и материалы, полученные в ходе выполнения работ по Контракту, считаются переданными с момента подпис</w:t>
      </w:r>
      <w:r>
        <w:rPr>
          <w:rFonts w:ascii="Times New Roman" w:hAnsi="Times New Roman" w:cs="Times New Roman"/>
          <w:sz w:val="28"/>
          <w:szCs w:val="28"/>
          <w:lang w:bidi="ru-RU"/>
        </w:rPr>
        <w:t xml:space="preserve">ания Сторонами документа о приемке.</w:t>
      </w:r>
      <w:r/>
    </w:p>
    <w:p>
      <w:pPr>
        <w:ind w:firstLine="709"/>
        <w:spacing w:line="276" w:lineRule="auto"/>
      </w:pPr>
      <w:r>
        <w:rPr>
          <w:lang w:bidi="ru-RU"/>
        </w:rPr>
        <w:t xml:space="preserve">13.8.9. В случае если при осуществлении работ по Контракту осуществляется доработка программ для электронных вычислительных машин Заказчика, Подрядчик осуществляет ее в соответствии с предоставляемыми в обязательном поря</w:t>
      </w:r>
      <w:r>
        <w:rPr>
          <w:lang w:bidi="ru-RU"/>
        </w:rPr>
        <w:t xml:space="preserve">дке Заказчиком правами на их использование на период исполнения работ по Контракту</w:t>
      </w:r>
      <w:r>
        <w:t xml:space="preserve">.</w:t>
      </w:r>
      <w:r/>
    </w:p>
    <w:p>
      <w:pPr>
        <w:ind w:firstLine="709"/>
        <w:spacing w:line="276" w:lineRule="auto"/>
      </w:pPr>
      <w:r>
        <w:t xml:space="preserve">13.9. По окончании действия Контракта Стороны производят сверку взаимных расчётов путём оформления актов сверки, подписанных уполномоченными представителями Сторон. </w:t>
      </w:r>
      <w:r/>
    </w:p>
    <w:p>
      <w:pPr>
        <w:ind w:firstLine="709"/>
        <w:spacing w:line="276" w:lineRule="auto"/>
      </w:pPr>
      <w:r>
        <w:t xml:space="preserve">13.10.</w:t>
      </w:r>
      <w:r>
        <w:t xml:space="preserve">Сторона по Контракту, получившая акт сверки, обязана в течение 7 (семи) календарных дней подтвердить сальдо путем подписания акта сверки и направить его стороне, инициирующей сверку, либо в этот же срок направить обоснованные возражения по акту сверки.</w:t>
      </w:r>
      <w:r/>
    </w:p>
    <w:p>
      <w:pPr>
        <w:ind w:firstLine="709"/>
        <w:spacing w:line="276" w:lineRule="auto"/>
      </w:pPr>
      <w:r>
        <w:t xml:space="preserve">13.</w:t>
      </w:r>
      <w:r>
        <w:t xml:space="preserve">11. Стороны осуществляют документооборот посредством ЭДО «Контур.Диадок».</w:t>
      </w:r>
      <w:r/>
    </w:p>
    <w:p>
      <w:pPr>
        <w:ind w:firstLine="709"/>
        <w:spacing w:line="276" w:lineRule="auto"/>
      </w:pPr>
      <w:r>
        <w:t xml:space="preserve">Со стороны Заказчика акты сверок составляет и направляет казенное учреждение Ханты-Мансийского автономного округа – Югры «Региональный центр бухгалтерского учета» (инн 8601074410, ид</w:t>
      </w:r>
      <w:r>
        <w:t xml:space="preserve">ентификатор 2BM-8601074410-860101001-202311160649259420152).</w:t>
      </w:r>
      <w:r/>
    </w:p>
    <w:p>
      <w:pPr>
        <w:ind w:firstLine="709"/>
        <w:spacing w:line="276" w:lineRule="auto"/>
      </w:pPr>
      <w:r/>
      <w:r/>
    </w:p>
    <w:p>
      <w:pPr>
        <w:ind w:firstLine="709"/>
        <w:spacing w:line="276" w:lineRule="auto"/>
      </w:pPr>
      <w:r/>
      <w:r/>
    </w:p>
    <w:p>
      <w:pPr>
        <w:numPr>
          <w:ilvl w:val="0"/>
          <w:numId w:val="8"/>
        </w:numPr>
        <w:ind w:left="0" w:firstLine="0"/>
        <w:jc w:val="center"/>
        <w:spacing w:line="276" w:lineRule="auto"/>
        <w:rPr>
          <w:color w:val="000000"/>
        </w:rPr>
      </w:pPr>
      <w:r>
        <w:rPr>
          <w:color w:val="000000"/>
        </w:rPr>
        <w:t xml:space="preserve">Адреса мест нахождения,</w:t>
      </w:r>
      <w:r>
        <w:rPr>
          <w:color w:val="000000"/>
        </w:rPr>
      </w:r>
      <w:r>
        <w:rPr>
          <w:color w:val="000000"/>
        </w:rPr>
      </w:r>
    </w:p>
    <w:p>
      <w:pPr>
        <w:ind w:firstLine="0"/>
        <w:jc w:val="center"/>
        <w:spacing w:line="276" w:lineRule="auto"/>
        <w:rPr>
          <w:color w:val="000000"/>
        </w:rPr>
      </w:pPr>
      <w:r>
        <w:rPr>
          <w:color w:val="000000"/>
        </w:rPr>
        <w:t xml:space="preserve">банковские реквизиты Сторон</w:t>
      </w:r>
      <w:r>
        <w:rPr>
          <w:color w:val="000000"/>
        </w:rPr>
      </w:r>
      <w:r>
        <w:rPr>
          <w:color w:val="000000"/>
        </w:rPr>
      </w:r>
    </w:p>
    <w:p>
      <w:pPr>
        <w:ind w:firstLine="709"/>
        <w:jc w:val="center"/>
        <w:spacing w:line="276" w:lineRule="auto"/>
        <w:rPr>
          <w:color w:val="000000"/>
        </w:rPr>
      </w:pPr>
      <w:r>
        <w:rPr>
          <w:color w:val="000000"/>
        </w:rPr>
      </w:r>
      <w:r>
        <w:rPr>
          <w:color w:val="000000"/>
        </w:rPr>
      </w:r>
      <w:r>
        <w:rPr>
          <w:color w:val="000000"/>
        </w:rPr>
      </w:r>
    </w:p>
    <w:tbl>
      <w:tblPr>
        <w:tblW w:w="10140" w:type="dxa"/>
        <w:tblLook w:val="01E0" w:firstRow="1" w:lastRow="1" w:firstColumn="1" w:lastColumn="1" w:noHBand="0" w:noVBand="0"/>
      </w:tblPr>
      <w:tblGrid>
        <w:gridCol w:w="5070"/>
        <w:gridCol w:w="5070"/>
      </w:tblGrid>
      <w:tr>
        <w:tblPrEx/>
        <w:trPr/>
        <w:tc>
          <w:tcPr>
            <w:tcBorders>
              <w:top w:val="none" w:color="000000" w:sz="0" w:space="0"/>
              <w:left w:val="none" w:color="000000" w:sz="0" w:space="0"/>
              <w:bottom w:val="none" w:color="000000" w:sz="0" w:space="0"/>
              <w:right w:val="none" w:color="000000" w:sz="0" w:space="0"/>
            </w:tcBorders>
            <w:tcW w:w="5070" w:type="dxa"/>
            <w:textDirection w:val="lrTb"/>
            <w:noWrap w:val="false"/>
          </w:tcPr>
          <w:p>
            <w:pPr>
              <w:ind w:firstLine="709"/>
              <w:jc w:val="left"/>
              <w:spacing w:line="240" w:lineRule="auto"/>
              <w:rPr>
                <w:color w:val="000000"/>
              </w:rPr>
            </w:pPr>
            <w:r>
              <w:rPr>
                <w:color w:val="000000"/>
              </w:rPr>
              <w:t xml:space="preserve">Заказчик</w:t>
            </w:r>
            <w:r>
              <w:rPr>
                <w:color w:val="000000"/>
              </w:rPr>
            </w:r>
            <w:r>
              <w:rPr>
                <w:color w:val="000000"/>
              </w:rPr>
            </w:r>
          </w:p>
          <w:p>
            <w:pPr>
              <w:ind w:firstLine="0"/>
              <w:jc w:val="left"/>
              <w:spacing w:line="240" w:lineRule="auto"/>
              <w:rPr>
                <w:color w:val="000000"/>
              </w:rPr>
            </w:pPr>
            <w:r>
              <w:rPr>
                <w:color w:val="000000"/>
              </w:rPr>
              <w:t xml:space="preserve">Департамент информационных технологий и цифрового развития Ханты-Мансийского автономного округа – Югры</w:t>
            </w:r>
            <w:r>
              <w:rPr>
                <w:color w:val="000000"/>
              </w:rPr>
            </w:r>
            <w:r>
              <w:rPr>
                <w:color w:val="000000"/>
              </w:rPr>
            </w:r>
          </w:p>
          <w:p>
            <w:pPr>
              <w:ind w:firstLine="0"/>
              <w:jc w:val="left"/>
              <w:spacing w:line="240" w:lineRule="auto"/>
              <w:rPr>
                <w:color w:val="000000"/>
              </w:rPr>
            </w:pPr>
            <w:r>
              <w:rPr>
                <w:color w:val="000000"/>
              </w:rPr>
              <w:t xml:space="preserve">Адрес: ул. Мира, дом 151, г. Ханты-Мансийск, Ханты-Мансийский автономный округ – Югра (Тюменская область), 628011</w:t>
            </w:r>
            <w:r>
              <w:rPr>
                <w:color w:val="000000"/>
              </w:rPr>
            </w:r>
            <w:r>
              <w:rPr>
                <w:color w:val="000000"/>
              </w:rPr>
            </w:r>
          </w:p>
          <w:p>
            <w:pPr>
              <w:ind w:firstLine="0"/>
              <w:jc w:val="left"/>
              <w:spacing w:line="240" w:lineRule="auto"/>
              <w:rPr>
                <w:color w:val="000000"/>
              </w:rPr>
            </w:pPr>
            <w:r>
              <w:rPr>
                <w:color w:val="000000"/>
              </w:rPr>
              <w:t xml:space="preserve">ИНН/КПП 8601041920/860101001</w:t>
            </w:r>
            <w:r>
              <w:rPr>
                <w:color w:val="000000"/>
              </w:rPr>
            </w:r>
            <w:r>
              <w:rPr>
                <w:color w:val="000000"/>
              </w:rPr>
            </w:r>
          </w:p>
          <w:p>
            <w:pPr>
              <w:ind w:firstLine="0"/>
              <w:jc w:val="left"/>
              <w:spacing w:line="240" w:lineRule="auto"/>
              <w:rPr>
                <w:color w:val="000000"/>
              </w:rPr>
            </w:pPr>
            <w:r>
              <w:rPr>
                <w:color w:val="000000"/>
              </w:rPr>
              <w:t xml:space="preserve">Банковские реквизиты:</w:t>
            </w:r>
            <w:r>
              <w:rPr>
                <w:color w:val="000000"/>
              </w:rPr>
            </w:r>
            <w:r>
              <w:rPr>
                <w:color w:val="000000"/>
              </w:rPr>
            </w:r>
          </w:p>
          <w:p>
            <w:pPr>
              <w:ind w:firstLine="0"/>
              <w:jc w:val="left"/>
              <w:spacing w:line="240" w:lineRule="auto"/>
              <w:rPr>
                <w:bCs/>
                <w:iCs/>
                <w:color w:val="000000"/>
              </w:rPr>
            </w:pPr>
            <w:r>
              <w:rPr>
                <w:color w:val="000000"/>
              </w:rPr>
              <w:t xml:space="preserve">Плательщик: </w:t>
            </w:r>
            <w:r>
              <w:rPr>
                <w:bCs/>
                <w:iCs/>
                <w:color w:val="000000"/>
              </w:rPr>
              <w:t xml:space="preserve">Депфин Югры (Депинформтехнологий Югры, л/с 570025863) </w:t>
            </w:r>
            <w:r>
              <w:rPr>
                <w:bCs/>
                <w:iCs/>
                <w:color w:val="000000"/>
              </w:rPr>
            </w:r>
            <w:r>
              <w:rPr>
                <w:bCs/>
                <w:iCs/>
                <w:color w:val="000000"/>
              </w:rPr>
            </w:r>
          </w:p>
          <w:p>
            <w:pPr>
              <w:ind w:firstLine="0"/>
              <w:jc w:val="left"/>
              <w:spacing w:line="240" w:lineRule="auto"/>
              <w:rPr>
                <w:bCs/>
                <w:iCs/>
                <w:color w:val="000000"/>
              </w:rPr>
            </w:pPr>
            <w:r>
              <w:rPr>
                <w:bCs/>
                <w:iCs/>
                <w:color w:val="000000"/>
              </w:rPr>
              <w:t xml:space="preserve">Банк плательщика: ОКЦ № </w:t>
            </w:r>
            <w:r>
              <w:rPr>
                <w:bCs/>
                <w:iCs/>
                <w:color w:val="000000"/>
              </w:rPr>
              <w:t xml:space="preserve">8 УГУ Банка России //УФК по Ханты-Мансийскому автономному округу – Югре г. Ханты-Мансийск</w:t>
            </w:r>
            <w:r>
              <w:rPr>
                <w:bCs/>
                <w:iCs/>
                <w:color w:val="000000"/>
              </w:rPr>
            </w:r>
            <w:r>
              <w:rPr>
                <w:bCs/>
                <w:iCs/>
                <w:color w:val="000000"/>
              </w:rPr>
            </w:r>
          </w:p>
          <w:p>
            <w:pPr>
              <w:ind w:firstLine="0"/>
              <w:jc w:val="left"/>
              <w:spacing w:line="240" w:lineRule="auto"/>
              <w:rPr>
                <w:bCs/>
                <w:iCs/>
                <w:color w:val="000000"/>
              </w:rPr>
            </w:pPr>
            <w:r>
              <w:rPr>
                <w:bCs/>
                <w:iCs/>
                <w:color w:val="000000"/>
              </w:rPr>
              <w:t xml:space="preserve">БИК 007162163</w:t>
            </w:r>
            <w:r>
              <w:rPr>
                <w:bCs/>
                <w:iCs/>
                <w:color w:val="000000"/>
              </w:rPr>
            </w:r>
            <w:r>
              <w:rPr>
                <w:bCs/>
                <w:iCs/>
                <w:color w:val="000000"/>
              </w:rPr>
            </w:r>
          </w:p>
          <w:p>
            <w:pPr>
              <w:ind w:firstLine="0"/>
              <w:jc w:val="left"/>
              <w:spacing w:line="240" w:lineRule="auto"/>
              <w:rPr>
                <w:bCs/>
                <w:iCs/>
                <w:color w:val="000000"/>
              </w:rPr>
            </w:pPr>
            <w:r>
              <w:rPr>
                <w:bCs/>
                <w:iCs/>
                <w:color w:val="000000"/>
              </w:rPr>
              <w:t xml:space="preserve">К/счет 03221643718000008700</w:t>
            </w:r>
            <w:r>
              <w:rPr>
                <w:bCs/>
                <w:iCs/>
                <w:color w:val="000000"/>
              </w:rPr>
            </w:r>
            <w:r>
              <w:rPr>
                <w:bCs/>
                <w:iCs/>
                <w:color w:val="000000"/>
              </w:rPr>
            </w:r>
          </w:p>
          <w:p>
            <w:pPr>
              <w:ind w:firstLine="0"/>
              <w:jc w:val="left"/>
              <w:spacing w:line="240" w:lineRule="auto"/>
              <w:rPr>
                <w:bCs/>
                <w:iCs/>
                <w:color w:val="000000"/>
              </w:rPr>
            </w:pPr>
            <w:r>
              <w:rPr>
                <w:bCs/>
                <w:iCs/>
                <w:color w:val="000000"/>
              </w:rPr>
              <w:t xml:space="preserve">Е/К счет 40102810245370000007</w:t>
            </w:r>
            <w:r>
              <w:rPr>
                <w:bCs/>
                <w:iCs/>
                <w:color w:val="000000"/>
              </w:rPr>
            </w:r>
            <w:r>
              <w:rPr>
                <w:bCs/>
                <w:iCs/>
                <w:color w:val="000000"/>
              </w:rPr>
            </w:r>
          </w:p>
        </w:tc>
        <w:tc>
          <w:tcPr>
            <w:tcBorders>
              <w:top w:val="none" w:color="000000" w:sz="0" w:space="0"/>
              <w:left w:val="none" w:color="000000" w:sz="0" w:space="0"/>
              <w:bottom w:val="none" w:color="000000" w:sz="0" w:space="0"/>
              <w:right w:val="none" w:color="000000" w:sz="0" w:space="0"/>
            </w:tcBorders>
            <w:tcW w:w="5070" w:type="dxa"/>
            <w:textDirection w:val="lrTb"/>
            <w:noWrap w:val="false"/>
          </w:tcPr>
          <w:p>
            <w:pPr>
              <w:ind w:firstLine="709"/>
              <w:jc w:val="left"/>
              <w:spacing w:line="240" w:lineRule="auto"/>
              <w:rPr>
                <w:color w:val="000000"/>
              </w:rPr>
            </w:pPr>
            <w:r>
              <w:rPr>
                <w:color w:val="000000"/>
              </w:rPr>
              <w:t xml:space="preserve">Подрядчик</w:t>
            </w:r>
            <w:r>
              <w:rPr>
                <w:color w:val="000000"/>
              </w:rPr>
            </w:r>
            <w:r>
              <w:rPr>
                <w:color w:val="000000"/>
              </w:rPr>
            </w:r>
          </w:p>
          <w:p>
            <w:pPr>
              <w:ind w:firstLine="709"/>
              <w:jc w:val="left"/>
              <w:spacing w:line="240" w:lineRule="auto"/>
              <w:rPr>
                <w:color w:val="000000"/>
              </w:rPr>
            </w:pPr>
            <w:r>
              <w:rPr>
                <w:color w:val="000000"/>
              </w:rPr>
            </w:r>
            <w:r>
              <w:rPr>
                <w:color w:val="000000"/>
              </w:rPr>
            </w:r>
            <w:r>
              <w:rPr>
                <w:color w:val="000000"/>
              </w:rPr>
            </w:r>
          </w:p>
          <w:p>
            <w:pPr>
              <w:ind w:firstLine="709"/>
              <w:jc w:val="left"/>
              <w:spacing w:line="240" w:lineRule="auto"/>
              <w:rPr>
                <w:color w:val="000000"/>
              </w:rPr>
            </w:pPr>
            <w:r>
              <w:rPr>
                <w:color w:val="000000"/>
              </w:rPr>
            </w:r>
            <w:r>
              <w:rPr>
                <w:color w:val="000000"/>
              </w:rPr>
            </w:r>
            <w:r>
              <w:rPr>
                <w:color w:val="000000"/>
              </w:rPr>
            </w:r>
          </w:p>
          <w:p>
            <w:pPr>
              <w:ind w:firstLine="709"/>
              <w:jc w:val="left"/>
              <w:spacing w:line="240" w:lineRule="auto"/>
              <w:rPr>
                <w:color w:val="000000"/>
              </w:rPr>
            </w:pPr>
            <w:r>
              <w:rPr>
                <w:color w:val="000000"/>
              </w:rPr>
            </w:r>
            <w:r>
              <w:rPr>
                <w:color w:val="000000"/>
              </w:rPr>
            </w:r>
            <w:r>
              <w:rPr>
                <w:color w:val="000000"/>
              </w:rPr>
            </w:r>
          </w:p>
          <w:p>
            <w:pPr>
              <w:ind w:firstLine="709"/>
              <w:jc w:val="left"/>
              <w:spacing w:line="240" w:lineRule="auto"/>
              <w:rPr>
                <w:color w:val="000000"/>
              </w:rPr>
            </w:pPr>
            <w:r>
              <w:rPr>
                <w:color w:val="000000"/>
              </w:rPr>
            </w:r>
            <w:r>
              <w:rPr>
                <w:color w:val="000000"/>
              </w:rPr>
            </w:r>
            <w:r>
              <w:rPr>
                <w:color w:val="000000"/>
              </w:rPr>
            </w:r>
          </w:p>
          <w:p>
            <w:pPr>
              <w:ind w:firstLine="709"/>
              <w:jc w:val="left"/>
              <w:spacing w:line="240" w:lineRule="auto"/>
              <w:rPr>
                <w:color w:val="000000"/>
              </w:rPr>
            </w:pPr>
            <w:r>
              <w:rPr>
                <w:color w:val="000000"/>
              </w:rPr>
            </w:r>
            <w:r>
              <w:rPr>
                <w:color w:val="000000"/>
              </w:rPr>
            </w:r>
            <w:r>
              <w:rPr>
                <w:color w:val="000000"/>
              </w:rPr>
            </w:r>
          </w:p>
          <w:p>
            <w:pPr>
              <w:ind w:firstLine="709"/>
              <w:jc w:val="left"/>
              <w:spacing w:line="240" w:lineRule="auto"/>
              <w:rPr>
                <w:color w:val="000000"/>
              </w:rPr>
            </w:pPr>
            <w:r>
              <w:rPr>
                <w:color w:val="000000"/>
              </w:rPr>
            </w:r>
            <w:r>
              <w:rPr>
                <w:color w:val="000000"/>
              </w:rPr>
            </w:r>
            <w:r>
              <w:rPr>
                <w:color w:val="000000"/>
              </w:rPr>
            </w:r>
          </w:p>
          <w:p>
            <w:pPr>
              <w:ind w:firstLine="709"/>
              <w:jc w:val="left"/>
              <w:spacing w:line="240" w:lineRule="auto"/>
              <w:rPr>
                <w:color w:val="000000"/>
              </w:rPr>
            </w:pPr>
            <w:r>
              <w:rPr>
                <w:color w:val="000000"/>
              </w:rPr>
            </w:r>
            <w:r>
              <w:rPr>
                <w:color w:val="000000"/>
              </w:rPr>
            </w:r>
            <w:r>
              <w:rPr>
                <w:color w:val="000000"/>
              </w:rPr>
            </w:r>
          </w:p>
          <w:p>
            <w:pPr>
              <w:ind w:firstLine="709"/>
              <w:jc w:val="left"/>
              <w:spacing w:line="240" w:lineRule="auto"/>
              <w:rPr>
                <w:color w:val="000000"/>
              </w:rPr>
            </w:pPr>
            <w:r>
              <w:rPr>
                <w:color w:val="000000"/>
              </w:rPr>
            </w:r>
            <w:r>
              <w:rPr>
                <w:color w:val="000000"/>
              </w:rPr>
            </w:r>
            <w:r>
              <w:rPr>
                <w:color w:val="000000"/>
              </w:rPr>
            </w:r>
          </w:p>
          <w:p>
            <w:pPr>
              <w:ind w:firstLine="709"/>
              <w:jc w:val="left"/>
              <w:spacing w:line="240" w:lineRule="auto"/>
              <w:rPr>
                <w:color w:val="000000"/>
              </w:rPr>
            </w:pPr>
            <w:r>
              <w:rPr>
                <w:color w:val="000000"/>
              </w:rPr>
            </w:r>
            <w:r>
              <w:rPr>
                <w:color w:val="000000"/>
              </w:rPr>
            </w:r>
            <w:r>
              <w:rPr>
                <w:color w:val="000000"/>
              </w:rPr>
            </w:r>
          </w:p>
          <w:p>
            <w:pPr>
              <w:ind w:firstLine="709"/>
              <w:jc w:val="left"/>
              <w:spacing w:line="240" w:lineRule="auto"/>
              <w:rPr>
                <w:color w:val="000000"/>
              </w:rPr>
            </w:pPr>
            <w:r>
              <w:rPr>
                <w:color w:val="000000"/>
              </w:rPr>
            </w:r>
            <w:r>
              <w:rPr>
                <w:color w:val="000000"/>
              </w:rPr>
            </w:r>
            <w:r>
              <w:rPr>
                <w:color w:val="000000"/>
              </w:rPr>
            </w:r>
          </w:p>
          <w:p>
            <w:pPr>
              <w:ind w:firstLine="709"/>
              <w:jc w:val="left"/>
              <w:spacing w:line="240" w:lineRule="auto"/>
              <w:rPr>
                <w:color w:val="000000"/>
              </w:rPr>
            </w:pPr>
            <w:r>
              <w:rPr>
                <w:color w:val="000000"/>
              </w:rPr>
            </w:r>
            <w:r>
              <w:rPr>
                <w:color w:val="000000"/>
              </w:rPr>
            </w:r>
            <w:r>
              <w:rPr>
                <w:color w:val="000000"/>
              </w:rPr>
            </w:r>
          </w:p>
          <w:p>
            <w:pPr>
              <w:ind w:firstLine="709"/>
              <w:jc w:val="left"/>
              <w:spacing w:line="240" w:lineRule="auto"/>
              <w:rPr>
                <w:color w:val="000000"/>
              </w:rPr>
            </w:pPr>
            <w:r>
              <w:rPr>
                <w:color w:val="000000"/>
              </w:rPr>
            </w:r>
            <w:r>
              <w:rPr>
                <w:color w:val="000000"/>
              </w:rPr>
            </w:r>
            <w:r>
              <w:rPr>
                <w:color w:val="000000"/>
              </w:rPr>
            </w:r>
          </w:p>
          <w:p>
            <w:pPr>
              <w:ind w:firstLine="709"/>
              <w:jc w:val="left"/>
              <w:spacing w:line="240" w:lineRule="auto"/>
              <w:rPr>
                <w:color w:val="000000"/>
              </w:rPr>
            </w:pPr>
            <w:r>
              <w:rPr>
                <w:color w:val="000000"/>
              </w:rPr>
            </w:r>
            <w:r>
              <w:rPr>
                <w:color w:val="000000"/>
              </w:rPr>
            </w:r>
            <w:r>
              <w:rPr>
                <w:color w:val="000000"/>
              </w:rPr>
            </w:r>
          </w:p>
          <w:p>
            <w:pPr>
              <w:ind w:firstLine="709"/>
              <w:jc w:val="left"/>
              <w:spacing w:line="240" w:lineRule="auto"/>
              <w:rPr>
                <w:color w:val="000000"/>
              </w:rPr>
            </w:pPr>
            <w:r>
              <w:rPr>
                <w:color w:val="000000"/>
              </w:rPr>
            </w:r>
            <w:r>
              <w:rPr>
                <w:color w:val="000000"/>
              </w:rPr>
            </w:r>
            <w:r>
              <w:rPr>
                <w:color w:val="000000"/>
              </w:rPr>
            </w:r>
          </w:p>
          <w:p>
            <w:pPr>
              <w:ind w:firstLine="709"/>
              <w:jc w:val="left"/>
              <w:spacing w:line="240" w:lineRule="auto"/>
              <w:rPr>
                <w:color w:val="000000"/>
              </w:rPr>
            </w:pPr>
            <w:r>
              <w:rPr>
                <w:color w:val="000000"/>
              </w:rPr>
            </w:r>
            <w:r>
              <w:rPr>
                <w:color w:val="000000"/>
              </w:rPr>
            </w:r>
            <w:r>
              <w:rPr>
                <w:color w:val="000000"/>
              </w:rPr>
            </w:r>
          </w:p>
          <w:p>
            <w:pPr>
              <w:ind w:firstLine="709"/>
              <w:jc w:val="left"/>
              <w:spacing w:line="240" w:lineRule="auto"/>
              <w:rPr>
                <w:color w:val="000000"/>
              </w:rPr>
            </w:pPr>
            <w:r>
              <w:rPr>
                <w:color w:val="000000"/>
              </w:rPr>
            </w:r>
            <w:r>
              <w:rPr>
                <w:color w:val="000000"/>
              </w:rPr>
            </w:r>
            <w:r>
              <w:rPr>
                <w:color w:val="000000"/>
              </w:rPr>
            </w:r>
          </w:p>
          <w:p>
            <w:pPr>
              <w:ind w:firstLine="709"/>
              <w:jc w:val="left"/>
              <w:spacing w:line="240" w:lineRule="auto"/>
              <w:rPr>
                <w:color w:val="000000"/>
              </w:rPr>
            </w:pPr>
            <w:r>
              <w:rPr>
                <w:color w:val="000000"/>
              </w:rPr>
            </w:r>
            <w:r>
              <w:rPr>
                <w:color w:val="000000"/>
              </w:rPr>
            </w:r>
            <w:r>
              <w:rPr>
                <w:color w:val="000000"/>
              </w:rPr>
            </w:r>
          </w:p>
          <w:p>
            <w:pPr>
              <w:ind w:firstLine="709"/>
              <w:jc w:val="left"/>
              <w:spacing w:line="240" w:lineRule="auto"/>
              <w:rPr>
                <w:color w:val="000000"/>
              </w:rPr>
            </w:pPr>
            <w:r>
              <w:rPr>
                <w:color w:val="000000"/>
              </w:rPr>
            </w:r>
            <w:r>
              <w:rPr>
                <w:color w:val="000000"/>
              </w:rPr>
            </w:r>
            <w:r>
              <w:rPr>
                <w:color w:val="000000"/>
              </w:rPr>
            </w:r>
          </w:p>
          <w:p>
            <w:pPr>
              <w:ind w:firstLine="709"/>
              <w:jc w:val="left"/>
              <w:spacing w:line="240" w:lineRule="auto"/>
              <w:rPr>
                <w:color w:val="000000"/>
              </w:rPr>
            </w:pPr>
            <w:r>
              <w:rPr>
                <w:color w:val="000000"/>
              </w:rPr>
            </w:r>
            <w:r>
              <w:rPr>
                <w:color w:val="000000"/>
              </w:rPr>
            </w:r>
            <w:r>
              <w:rPr>
                <w:color w:val="000000"/>
              </w:rPr>
            </w:r>
          </w:p>
          <w:p>
            <w:pPr>
              <w:ind w:firstLine="0"/>
              <w:jc w:val="left"/>
              <w:spacing w:line="240" w:lineRule="auto"/>
              <w:rPr>
                <w:color w:val="000000"/>
              </w:rPr>
            </w:pPr>
            <w:r>
              <w:rPr>
                <w:color w:val="000000"/>
              </w:rPr>
            </w:r>
            <w:r>
              <w:rPr>
                <w:color w:val="000000"/>
              </w:rPr>
            </w:r>
            <w:r>
              <w:rPr>
                <w:color w:val="000000"/>
              </w:rPr>
            </w:r>
          </w:p>
        </w:tc>
      </w:tr>
    </w:tbl>
    <w:p>
      <w:pPr>
        <w:ind w:firstLine="0"/>
        <w:jc w:val="right"/>
        <w:spacing w:line="276" w:lineRule="auto"/>
        <w:tabs>
          <w:tab w:val="left" w:pos="5760" w:leader="none"/>
        </w:tabs>
        <w:rPr>
          <w:rFonts w:eastAsia="Calibri"/>
          <w:color w:val="000000"/>
          <w:lang w:eastAsia="en-US"/>
        </w:rPr>
      </w:pPr>
      <w:r>
        <w:rPr>
          <w:rFonts w:eastAsia="Calibri"/>
          <w:color w:val="000000"/>
          <w:lang w:eastAsia="en-US"/>
        </w:rPr>
      </w:r>
      <w:r>
        <w:rPr>
          <w:rFonts w:eastAsia="Calibri"/>
          <w:color w:val="000000"/>
          <w:lang w:eastAsia="en-US"/>
        </w:rPr>
      </w:r>
      <w:r>
        <w:rPr>
          <w:rFonts w:eastAsia="Calibri"/>
          <w:color w:val="000000"/>
          <w:lang w:eastAsia="en-US"/>
        </w:rPr>
      </w:r>
    </w:p>
    <w:sectPr>
      <w:footnotePr/>
      <w:endnotePr/>
      <w:type w:val="nextPage"/>
      <w:pgSz w:w="11906" w:h="16838" w:orient="portrait"/>
      <w:pgMar w:top="851" w:right="1133" w:bottom="851" w:left="1276" w:header="1" w:footer="709" w:gutter="0"/>
      <w:pgNumType w:start="1"/>
      <w:cols w:num="1" w:sep="0" w:space="708" w:equalWidth="1"/>
      <w:docGrid w:linePitch="36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240" w:lineRule="auto"/>
      </w:pPr>
      <w:r>
        <w:separator/>
      </w:r>
      <w:r/>
    </w:p>
  </w:endnote>
  <w:endnote w:type="continuationSeparator" w:id="0">
    <w:p>
      <w:pPr>
        <w:spacing w:line="240" w:lineRule="auto"/>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font>
  <w:font w:name="Garamond">
    <w:panose1 w:val="02020404030301010803"/>
  </w:font>
  <w:font w:name="Courier New">
    <w:panose1 w:val="02070309020205020404"/>
  </w:font>
  <w:font w:name="Verdana">
    <w:panose1 w:val="020B0604030504040204"/>
  </w:font>
  <w:font w:name="TimesDL">
    <w:panose1 w:val="02000000000000000000"/>
  </w:font>
  <w:font w:name="Courier">
    <w:panose1 w:val="02070309020205020404"/>
  </w:font>
  <w:font w:name="Arial Narrow">
    <w:panose1 w:val="020B0606020202030204"/>
  </w:font>
  <w:font w:name="Times New Roman">
    <w:panose1 w:val="02020603050405020304"/>
  </w:font>
  <w:font w:name="Wingdings">
    <w:panose1 w:val="05000000000000000000"/>
  </w:font>
  <w:font w:name="Liberation Sans">
    <w:panose1 w:val="020B0604020202020204"/>
  </w:font>
  <w:font w:name="Calibri">
    <w:panose1 w:val="020F0502020204030204"/>
  </w:font>
  <w:font w:name="Arial">
    <w:panose1 w:val="020B0604020202020204"/>
  </w:font>
  <w:font w:name="Cambria">
    <w:panose1 w:val="020405030504060302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240" w:lineRule="auto"/>
      </w:pPr>
      <w:r>
        <w:separator/>
      </w:r>
      <w:r/>
    </w:p>
  </w:footnote>
  <w:footnote w:type="continuationSeparator" w:id="0">
    <w:p>
      <w:pPr>
        <w:spacing w:line="240" w:lineRule="auto"/>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4"/>
      <w:numFmt w:val="decimal"/>
      <w:isLgl w:val="false"/>
      <w:suff w:val="tab"/>
      <w:lvlText w:val="%1."/>
      <w:lvlJc w:val="left"/>
      <w:pPr>
        <w:ind w:left="450" w:hanging="450"/>
      </w:pPr>
    </w:lvl>
    <w:lvl w:ilvl="1">
      <w:start w:val="3"/>
      <w:numFmt w:val="decimal"/>
      <w:isLgl w:val="false"/>
      <w:suff w:val="tab"/>
      <w:lvlText w:val="%1.%2."/>
      <w:lvlJc w:val="left"/>
      <w:pPr>
        <w:ind w:left="1429" w:hanging="720"/>
      </w:pPr>
    </w:lvl>
    <w:lvl w:ilvl="2">
      <w:start w:val="1"/>
      <w:numFmt w:val="decimal"/>
      <w:isLgl w:val="false"/>
      <w:suff w:val="tab"/>
      <w:lvlText w:val="%1.%2.%3."/>
      <w:lvlJc w:val="left"/>
      <w:pPr>
        <w:ind w:left="2138" w:hanging="720"/>
      </w:pPr>
    </w:lvl>
    <w:lvl w:ilvl="3">
      <w:start w:val="1"/>
      <w:numFmt w:val="decimal"/>
      <w:isLgl w:val="false"/>
      <w:suff w:val="tab"/>
      <w:lvlText w:val="%1.%2.%3.%4."/>
      <w:lvlJc w:val="left"/>
      <w:pPr>
        <w:ind w:left="3207" w:hanging="1080"/>
      </w:pPr>
    </w:lvl>
    <w:lvl w:ilvl="4">
      <w:start w:val="1"/>
      <w:numFmt w:val="decimal"/>
      <w:isLgl w:val="false"/>
      <w:suff w:val="tab"/>
      <w:lvlText w:val="%1.%2.%3.%4.%5."/>
      <w:lvlJc w:val="left"/>
      <w:pPr>
        <w:ind w:left="3916" w:hanging="1080"/>
      </w:pPr>
    </w:lvl>
    <w:lvl w:ilvl="5">
      <w:start w:val="1"/>
      <w:numFmt w:val="decimal"/>
      <w:isLgl w:val="false"/>
      <w:suff w:val="tab"/>
      <w:lvlText w:val="%1.%2.%3.%4.%5.%6."/>
      <w:lvlJc w:val="left"/>
      <w:pPr>
        <w:ind w:left="4985" w:hanging="1440"/>
      </w:pPr>
    </w:lvl>
    <w:lvl w:ilvl="6">
      <w:start w:val="1"/>
      <w:numFmt w:val="decimal"/>
      <w:isLgl w:val="false"/>
      <w:suff w:val="tab"/>
      <w:lvlText w:val="%1.%2.%3.%4.%5.%6.%7."/>
      <w:lvlJc w:val="left"/>
      <w:pPr>
        <w:ind w:left="6054" w:hanging="1800"/>
      </w:pPr>
    </w:lvl>
    <w:lvl w:ilvl="7">
      <w:start w:val="1"/>
      <w:numFmt w:val="decimal"/>
      <w:isLgl w:val="false"/>
      <w:suff w:val="tab"/>
      <w:lvlText w:val="%1.%2.%3.%4.%5.%6.%7.%8."/>
      <w:lvlJc w:val="left"/>
      <w:pPr>
        <w:ind w:left="6763" w:hanging="1800"/>
      </w:pPr>
    </w:lvl>
    <w:lvl w:ilvl="8">
      <w:start w:val="1"/>
      <w:numFmt w:val="decimal"/>
      <w:isLgl w:val="false"/>
      <w:suff w:val="tab"/>
      <w:lvlText w:val="%1.%2.%3.%4.%5.%6.%7.%8.%9."/>
      <w:lvlJc w:val="left"/>
      <w:pPr>
        <w:ind w:left="7832" w:hanging="2160"/>
      </w:pPr>
    </w:lvl>
  </w:abstractNum>
  <w:abstractNum w:abstractNumId="1">
    <w:multiLevelType w:val="hybridMultilevel"/>
    <w:lvl w:ilvl="0">
      <w:start w:val="1"/>
      <w:numFmt w:val="bullet"/>
      <w:isLgl w:val="false"/>
      <w:suff w:val="tab"/>
      <w:lvlText w:val=""/>
      <w:lvlJc w:val="left"/>
      <w:pPr>
        <w:tabs>
          <w:tab w:val="num" w:pos="0" w:leader="none"/>
        </w:tabs>
      </w:pPr>
      <w:rPr>
        <w:rFonts w:ascii="Symbol" w:hAnsi="Symbol"/>
        <w:sz w:val="24"/>
      </w:rPr>
    </w:lvl>
    <w:lvl w:ilvl="1">
      <w:start w:val="1"/>
      <w:numFmt w:val="lowerLetter"/>
      <w:isLgl w:val="false"/>
      <w:suff w:val="tab"/>
      <w:lvlText w:val="%2."/>
      <w:lvlJc w:val="left"/>
      <w:pPr>
        <w:ind w:left="1440" w:hanging="360"/>
        <w:tabs>
          <w:tab w:val="num" w:pos="1440" w:leader="none"/>
        </w:tabs>
      </w:pPr>
      <w:rPr>
        <w:rFonts w:cs="Times New Roman"/>
      </w:rPr>
    </w:lvl>
    <w:lvl w:ilvl="2">
      <w:start w:val="1"/>
      <w:numFmt w:val="lowerRoman"/>
      <w:isLgl w:val="false"/>
      <w:suff w:val="tab"/>
      <w:lvlText w:val="%3."/>
      <w:lvlJc w:val="right"/>
      <w:pPr>
        <w:ind w:left="2160" w:hanging="180"/>
        <w:tabs>
          <w:tab w:val="num" w:pos="2160" w:leader="none"/>
        </w:tabs>
      </w:pPr>
      <w:rPr>
        <w:rFonts w:cs="Times New Roman"/>
      </w:rPr>
    </w:lvl>
    <w:lvl w:ilvl="3">
      <w:start w:val="1"/>
      <w:numFmt w:val="decimal"/>
      <w:isLgl w:val="false"/>
      <w:suff w:val="tab"/>
      <w:lvlText w:val="%4."/>
      <w:lvlJc w:val="left"/>
      <w:pPr>
        <w:ind w:left="2880" w:hanging="360"/>
        <w:tabs>
          <w:tab w:val="num" w:pos="2880" w:leader="none"/>
        </w:tabs>
      </w:pPr>
      <w:rPr>
        <w:rFonts w:cs="Times New Roman"/>
      </w:rPr>
    </w:lvl>
    <w:lvl w:ilvl="4">
      <w:start w:val="1"/>
      <w:numFmt w:val="lowerLetter"/>
      <w:isLgl w:val="false"/>
      <w:suff w:val="tab"/>
      <w:lvlText w:val="%5."/>
      <w:lvlJc w:val="left"/>
      <w:pPr>
        <w:ind w:left="3600" w:hanging="360"/>
        <w:tabs>
          <w:tab w:val="num" w:pos="3600" w:leader="none"/>
        </w:tabs>
      </w:pPr>
      <w:rPr>
        <w:rFonts w:cs="Times New Roman"/>
      </w:rPr>
    </w:lvl>
    <w:lvl w:ilvl="5">
      <w:start w:val="1"/>
      <w:numFmt w:val="lowerRoman"/>
      <w:isLgl w:val="false"/>
      <w:suff w:val="tab"/>
      <w:lvlText w:val="%6."/>
      <w:lvlJc w:val="right"/>
      <w:pPr>
        <w:ind w:left="4320" w:hanging="180"/>
        <w:tabs>
          <w:tab w:val="num" w:pos="4320" w:leader="none"/>
        </w:tabs>
      </w:pPr>
      <w:rPr>
        <w:rFonts w:cs="Times New Roman"/>
      </w:rPr>
    </w:lvl>
    <w:lvl w:ilvl="6">
      <w:start w:val="1"/>
      <w:numFmt w:val="decimal"/>
      <w:isLgl w:val="false"/>
      <w:suff w:val="tab"/>
      <w:lvlText w:val="%7."/>
      <w:lvlJc w:val="left"/>
      <w:pPr>
        <w:ind w:left="5040" w:hanging="360"/>
        <w:tabs>
          <w:tab w:val="num" w:pos="5040" w:leader="none"/>
        </w:tabs>
      </w:pPr>
      <w:rPr>
        <w:rFonts w:cs="Times New Roman"/>
      </w:rPr>
    </w:lvl>
    <w:lvl w:ilvl="7">
      <w:start w:val="1"/>
      <w:numFmt w:val="lowerLetter"/>
      <w:isLgl w:val="false"/>
      <w:suff w:val="tab"/>
      <w:lvlText w:val="%8."/>
      <w:lvlJc w:val="left"/>
      <w:pPr>
        <w:ind w:left="5760" w:hanging="360"/>
        <w:tabs>
          <w:tab w:val="num" w:pos="5760" w:leader="none"/>
        </w:tabs>
      </w:pPr>
      <w:rPr>
        <w:rFonts w:cs="Times New Roman"/>
      </w:rPr>
    </w:lvl>
    <w:lvl w:ilvl="8">
      <w:start w:val="1"/>
      <w:numFmt w:val="lowerRoman"/>
      <w:isLgl w:val="false"/>
      <w:suff w:val="tab"/>
      <w:lvlText w:val="%9."/>
      <w:lvlJc w:val="right"/>
      <w:pPr>
        <w:ind w:left="6480" w:hanging="180"/>
        <w:tabs>
          <w:tab w:val="num" w:pos="6480" w:leader="none"/>
        </w:tabs>
      </w:pPr>
      <w:rPr>
        <w:rFonts w:cs="Times New Roman"/>
      </w:rPr>
    </w:lvl>
  </w:abstractNum>
  <w:abstractNum w:abstractNumId="2">
    <w:multiLevelType w:val="hybridMultilevel"/>
    <w:lvl w:ilvl="0">
      <w:start w:val="4"/>
      <w:numFmt w:val="decimal"/>
      <w:isLgl w:val="false"/>
      <w:suff w:val="tab"/>
      <w:lvlText w:val="%1."/>
      <w:lvlJc w:val="left"/>
      <w:pPr>
        <w:ind w:left="450" w:hanging="450"/>
      </w:pPr>
    </w:lvl>
    <w:lvl w:ilvl="1">
      <w:start w:val="2"/>
      <w:numFmt w:val="decimal"/>
      <w:isLgl w:val="false"/>
      <w:suff w:val="tab"/>
      <w:lvlText w:val="%1.%2."/>
      <w:lvlJc w:val="left"/>
      <w:pPr>
        <w:ind w:left="1429" w:hanging="720"/>
      </w:pPr>
    </w:lvl>
    <w:lvl w:ilvl="2">
      <w:start w:val="1"/>
      <w:numFmt w:val="decimal"/>
      <w:isLgl w:val="false"/>
      <w:suff w:val="tab"/>
      <w:lvlText w:val="%1.%2.%3."/>
      <w:lvlJc w:val="left"/>
      <w:pPr>
        <w:ind w:left="2138" w:hanging="720"/>
      </w:pPr>
    </w:lvl>
    <w:lvl w:ilvl="3">
      <w:start w:val="1"/>
      <w:numFmt w:val="decimal"/>
      <w:isLgl w:val="false"/>
      <w:suff w:val="tab"/>
      <w:lvlText w:val="%1.%2.%3.%4."/>
      <w:lvlJc w:val="left"/>
      <w:pPr>
        <w:ind w:left="3207" w:hanging="1080"/>
      </w:pPr>
    </w:lvl>
    <w:lvl w:ilvl="4">
      <w:start w:val="1"/>
      <w:numFmt w:val="decimal"/>
      <w:isLgl w:val="false"/>
      <w:suff w:val="tab"/>
      <w:lvlText w:val="%1.%2.%3.%4.%5."/>
      <w:lvlJc w:val="left"/>
      <w:pPr>
        <w:ind w:left="3916" w:hanging="1080"/>
      </w:pPr>
    </w:lvl>
    <w:lvl w:ilvl="5">
      <w:start w:val="1"/>
      <w:numFmt w:val="decimal"/>
      <w:isLgl w:val="false"/>
      <w:suff w:val="tab"/>
      <w:lvlText w:val="%1.%2.%3.%4.%5.%6."/>
      <w:lvlJc w:val="left"/>
      <w:pPr>
        <w:ind w:left="4985" w:hanging="1440"/>
      </w:pPr>
    </w:lvl>
    <w:lvl w:ilvl="6">
      <w:start w:val="1"/>
      <w:numFmt w:val="decimal"/>
      <w:isLgl w:val="false"/>
      <w:suff w:val="tab"/>
      <w:lvlText w:val="%1.%2.%3.%4.%5.%6.%7."/>
      <w:lvlJc w:val="left"/>
      <w:pPr>
        <w:ind w:left="6054" w:hanging="1800"/>
      </w:pPr>
    </w:lvl>
    <w:lvl w:ilvl="7">
      <w:start w:val="1"/>
      <w:numFmt w:val="decimal"/>
      <w:isLgl w:val="false"/>
      <w:suff w:val="tab"/>
      <w:lvlText w:val="%1.%2.%3.%4.%5.%6.%7.%8."/>
      <w:lvlJc w:val="left"/>
      <w:pPr>
        <w:ind w:left="6763" w:hanging="1800"/>
      </w:pPr>
    </w:lvl>
    <w:lvl w:ilvl="8">
      <w:start w:val="1"/>
      <w:numFmt w:val="decimal"/>
      <w:isLgl w:val="false"/>
      <w:suff w:val="tab"/>
      <w:lvlText w:val="%1.%2.%3.%4.%5.%6.%7.%8.%9."/>
      <w:lvlJc w:val="left"/>
      <w:pPr>
        <w:ind w:left="7832" w:hanging="2160"/>
      </w:pPr>
    </w:lvl>
  </w:abstractNum>
  <w:abstractNum w:abstractNumId="3">
    <w:multiLevelType w:val="hybridMultilevel"/>
    <w:lvl w:ilvl="0">
      <w:start w:val="14"/>
      <w:numFmt w:val="decimal"/>
      <w:isLgl w:val="false"/>
      <w:suff w:val="tab"/>
      <w:lvlText w:val="%1."/>
      <w:lvlJc w:val="left"/>
      <w:pPr>
        <w:ind w:left="1084" w:hanging="375"/>
      </w:pPr>
    </w:lvl>
    <w:lvl w:ilvl="1">
      <w:start w:val="1"/>
      <w:numFmt w:val="lowerLetter"/>
      <w:isLgl w:val="false"/>
      <w:suff w:val="tab"/>
      <w:lvlText w:val="%2."/>
      <w:lvlJc w:val="left"/>
      <w:pPr>
        <w:ind w:left="1789" w:hanging="360"/>
      </w:pPr>
    </w:lvl>
    <w:lvl w:ilvl="2">
      <w:start w:val="1"/>
      <w:numFmt w:val="lowerRoman"/>
      <w:isLgl w:val="false"/>
      <w:suff w:val="tab"/>
      <w:lvlText w:val="%3."/>
      <w:lvlJc w:val="right"/>
      <w:pPr>
        <w:ind w:left="2509" w:hanging="180"/>
      </w:pPr>
    </w:lvl>
    <w:lvl w:ilvl="3">
      <w:start w:val="1"/>
      <w:numFmt w:val="decimal"/>
      <w:isLgl w:val="false"/>
      <w:suff w:val="tab"/>
      <w:lvlText w:val="%4."/>
      <w:lvlJc w:val="left"/>
      <w:pPr>
        <w:ind w:left="3229" w:hanging="360"/>
      </w:pPr>
    </w:lvl>
    <w:lvl w:ilvl="4">
      <w:start w:val="1"/>
      <w:numFmt w:val="lowerLetter"/>
      <w:isLgl w:val="false"/>
      <w:suff w:val="tab"/>
      <w:lvlText w:val="%5."/>
      <w:lvlJc w:val="left"/>
      <w:pPr>
        <w:ind w:left="3949" w:hanging="360"/>
      </w:pPr>
    </w:lvl>
    <w:lvl w:ilvl="5">
      <w:start w:val="1"/>
      <w:numFmt w:val="lowerRoman"/>
      <w:isLgl w:val="false"/>
      <w:suff w:val="tab"/>
      <w:lvlText w:val="%6."/>
      <w:lvlJc w:val="right"/>
      <w:pPr>
        <w:ind w:left="4669" w:hanging="180"/>
      </w:pPr>
    </w:lvl>
    <w:lvl w:ilvl="6">
      <w:start w:val="1"/>
      <w:numFmt w:val="decimal"/>
      <w:isLgl w:val="false"/>
      <w:suff w:val="tab"/>
      <w:lvlText w:val="%7."/>
      <w:lvlJc w:val="left"/>
      <w:pPr>
        <w:ind w:left="5389" w:hanging="360"/>
      </w:pPr>
    </w:lvl>
    <w:lvl w:ilvl="7">
      <w:start w:val="1"/>
      <w:numFmt w:val="lowerLetter"/>
      <w:isLgl w:val="false"/>
      <w:suff w:val="tab"/>
      <w:lvlText w:val="%8."/>
      <w:lvlJc w:val="left"/>
      <w:pPr>
        <w:ind w:left="6109" w:hanging="360"/>
      </w:pPr>
    </w:lvl>
    <w:lvl w:ilvl="8">
      <w:start w:val="1"/>
      <w:numFmt w:val="lowerRoman"/>
      <w:isLgl w:val="false"/>
      <w:suff w:val="tab"/>
      <w:lvlText w:val="%9."/>
      <w:lvlJc w:val="right"/>
      <w:pPr>
        <w:ind w:left="6829" w:hanging="180"/>
      </w:pPr>
    </w:lvl>
  </w:abstractNum>
  <w:abstractNum w:abstractNumId="4">
    <w:multiLevelType w:val="hybridMultilevel"/>
    <w:lvl w:ilvl="0">
      <w:start w:val="1"/>
      <w:numFmt w:val="decimal"/>
      <w:isLgl w:val="false"/>
      <w:suff w:val="tab"/>
      <w:lvlText w:val="%1."/>
      <w:lvlJc w:val="left"/>
      <w:pPr>
        <w:ind w:left="360" w:hanging="360"/>
        <w:tabs>
          <w:tab w:val="num" w:pos="360" w:leader="none"/>
        </w:tabs>
      </w:pPr>
      <w:rPr>
        <w:rFonts w:cs="Times New Roman"/>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5">
    <w:multiLevelType w:val="hybridMultilevel"/>
    <w:lvl w:ilvl="0">
      <w:start w:val="1"/>
      <w:numFmt w:val="decimal"/>
      <w:pStyle w:val="941"/>
      <w:isLgl w:val="false"/>
      <w:suff w:val="tab"/>
      <w:lvlText w:val="%1."/>
      <w:lvlJc w:val="left"/>
      <w:pPr>
        <w:ind w:left="567" w:hanging="567"/>
        <w:tabs>
          <w:tab w:val="num" w:pos="567" w:leader="none"/>
        </w:tabs>
      </w:pPr>
      <w:rPr>
        <w:rFonts w:cs="Times New Roman"/>
      </w:rPr>
    </w:lvl>
    <w:lvl w:ilvl="1">
      <w:start w:val="1"/>
      <w:numFmt w:val="decimal"/>
      <w:pStyle w:val="926"/>
      <w:isLgl w:val="false"/>
      <w:suff w:val="tab"/>
      <w:lvlText w:val="%1.%2"/>
      <w:lvlJc w:val="left"/>
      <w:pPr>
        <w:ind w:left="567" w:hanging="567"/>
        <w:tabs>
          <w:tab w:val="num" w:pos="567" w:leader="none"/>
        </w:tabs>
      </w:pPr>
      <w:rPr>
        <w:rFonts w:cs="Times New Roman"/>
      </w:rPr>
    </w:lvl>
    <w:lvl w:ilvl="2">
      <w:start w:val="1"/>
      <w:numFmt w:val="decimal"/>
      <w:isLgl w:val="false"/>
      <w:suff w:val="tab"/>
      <w:lvlText w:val="%1.%2.%3"/>
      <w:lvlJc w:val="left"/>
      <w:pPr>
        <w:ind w:left="720" w:hanging="720"/>
        <w:tabs>
          <w:tab w:val="num" w:pos="720" w:leader="none"/>
        </w:tabs>
      </w:pPr>
      <w:rPr>
        <w:rFonts w:cs="Times New Roman"/>
      </w:rPr>
    </w:lvl>
    <w:lvl w:ilvl="3">
      <w:start w:val="1"/>
      <w:numFmt w:val="decimal"/>
      <w:isLgl w:val="false"/>
      <w:suff w:val="tab"/>
      <w:lvlText w:val="%1.%2.%3.%4"/>
      <w:lvlJc w:val="left"/>
      <w:pPr>
        <w:ind w:left="864" w:hanging="864"/>
        <w:tabs>
          <w:tab w:val="num" w:pos="864" w:leader="none"/>
        </w:tabs>
      </w:pPr>
      <w:rPr>
        <w:rFonts w:cs="Times New Roman"/>
      </w:rPr>
    </w:lvl>
    <w:lvl w:ilvl="4">
      <w:start w:val="1"/>
      <w:numFmt w:val="decimal"/>
      <w:isLgl w:val="false"/>
      <w:suff w:val="tab"/>
      <w:lvlText w:val="%1.%2.%3.%4.%5"/>
      <w:lvlJc w:val="left"/>
      <w:pPr>
        <w:ind w:left="1008" w:hanging="1008"/>
        <w:tabs>
          <w:tab w:val="num" w:pos="1008" w:leader="none"/>
        </w:tabs>
      </w:pPr>
      <w:rPr>
        <w:rFonts w:cs="Times New Roman"/>
      </w:rPr>
    </w:lvl>
    <w:lvl w:ilvl="5">
      <w:start w:val="1"/>
      <w:numFmt w:val="decimal"/>
      <w:isLgl w:val="false"/>
      <w:suff w:val="tab"/>
      <w:lvlText w:val="%1.%2.%3.%4.%5.%6"/>
      <w:lvlJc w:val="left"/>
      <w:pPr>
        <w:ind w:left="1152" w:hanging="1152"/>
        <w:tabs>
          <w:tab w:val="num" w:pos="1152" w:leader="none"/>
        </w:tabs>
      </w:pPr>
      <w:rPr>
        <w:rFonts w:cs="Times New Roman"/>
      </w:rPr>
    </w:lvl>
    <w:lvl w:ilvl="6">
      <w:start w:val="1"/>
      <w:numFmt w:val="decimal"/>
      <w:isLgl w:val="false"/>
      <w:suff w:val="tab"/>
      <w:lvlText w:val="%1.%2.%3.%4.%5.%6.%7"/>
      <w:lvlJc w:val="left"/>
      <w:pPr>
        <w:ind w:left="1296" w:hanging="1296"/>
        <w:tabs>
          <w:tab w:val="num" w:pos="1296" w:leader="none"/>
        </w:tabs>
      </w:pPr>
      <w:rPr>
        <w:rFonts w:cs="Times New Roman"/>
      </w:rPr>
    </w:lvl>
    <w:lvl w:ilvl="7">
      <w:start w:val="1"/>
      <w:numFmt w:val="decimal"/>
      <w:isLgl w:val="false"/>
      <w:suff w:val="tab"/>
      <w:lvlText w:val="%1.%2.%3.%4.%5.%6.%7.%8"/>
      <w:lvlJc w:val="left"/>
      <w:pPr>
        <w:ind w:left="1440" w:hanging="1440"/>
        <w:tabs>
          <w:tab w:val="num" w:pos="1440" w:leader="none"/>
        </w:tabs>
      </w:pPr>
      <w:rPr>
        <w:rFonts w:cs="Times New Roman"/>
      </w:rPr>
    </w:lvl>
    <w:lvl w:ilvl="8">
      <w:start w:val="1"/>
      <w:numFmt w:val="decimal"/>
      <w:isLgl w:val="false"/>
      <w:suff w:val="tab"/>
      <w:lvlText w:val="%1.%2.%3.%4.%5.%6.%7.%8.%9"/>
      <w:lvlJc w:val="left"/>
      <w:pPr>
        <w:ind w:left="1584" w:hanging="1584"/>
        <w:tabs>
          <w:tab w:val="num" w:pos="1584" w:leader="none"/>
        </w:tabs>
      </w:pPr>
      <w:rPr>
        <w:rFonts w:cs="Times New Roman"/>
      </w:rPr>
    </w:lvl>
  </w:abstractNum>
  <w:abstractNum w:abstractNumId="6">
    <w:multiLevelType w:val="hybridMultilevel"/>
    <w:lvl w:ilvl="0">
      <w:start w:val="1"/>
      <w:numFmt w:val="decimal"/>
      <w:isLgl w:val="false"/>
      <w:suff w:val="tab"/>
      <w:lvlText w:val="%1."/>
      <w:lvlJc w:val="center"/>
      <w:pPr>
        <w:tabs>
          <w:tab w:val="num" w:pos="0" w:leader="none"/>
        </w:tabs>
      </w:pPr>
      <w:rPr>
        <w:rFonts w:cs="Times New Roman"/>
        <w:b/>
        <w:i w:val="0"/>
      </w:rPr>
    </w:lvl>
    <w:lvl w:ilvl="1">
      <w:start w:val="1"/>
      <w:numFmt w:val="decimal"/>
      <w:isLgl w:val="false"/>
      <w:suff w:val="tab"/>
      <w:lvlText w:val="%1.%2"/>
      <w:lvlJc w:val="left"/>
      <w:pPr>
        <w:ind w:left="851" w:hanging="851"/>
        <w:tabs>
          <w:tab w:val="num" w:pos="851" w:leader="none"/>
        </w:tabs>
      </w:pPr>
      <w:rPr>
        <w:rFonts w:cs="Times New Roman"/>
        <w:b w:val="0"/>
        <w:bCs w:val="0"/>
        <w:i w:val="0"/>
        <w:iCs w:val="0"/>
        <w:caps w:val="0"/>
        <w:strike w:val="0"/>
        <w:vanish w:val="0"/>
        <w:color w:val="000000"/>
        <w:spacing w:val="0"/>
        <w:position w:val="0"/>
        <w:sz w:val="24"/>
        <w:szCs w:val="24"/>
        <w:u w:val="none"/>
        <w:vertAlign w:val="baseline"/>
      </w:rPr>
    </w:lvl>
    <w:lvl w:ilvl="2">
      <w:start w:val="1"/>
      <w:numFmt w:val="decimal"/>
      <w:isLgl w:val="false"/>
      <w:suff w:val="tab"/>
      <w:lvlText w:val="%1.%2.%3"/>
      <w:lvlJc w:val="left"/>
      <w:pPr>
        <w:ind w:left="851" w:hanging="851"/>
        <w:tabs>
          <w:tab w:val="num" w:pos="851" w:leader="none"/>
        </w:tabs>
      </w:pPr>
      <w:rPr>
        <w:rFonts w:cs="Times New Roman"/>
        <w:b w:val="0"/>
        <w:bCs w:val="0"/>
        <w:i w:val="0"/>
        <w:iCs w:val="0"/>
      </w:rPr>
    </w:lvl>
    <w:lvl w:ilvl="3">
      <w:start w:val="1"/>
      <w:numFmt w:val="lowerLetter"/>
      <w:isLgl w:val="false"/>
      <w:suff w:val="tab"/>
      <w:lvlText w:val="%4)"/>
      <w:lvlJc w:val="left"/>
      <w:pPr>
        <w:ind w:left="1418" w:hanging="567"/>
        <w:tabs>
          <w:tab w:val="num" w:pos="1418" w:leader="none"/>
        </w:tabs>
      </w:pPr>
      <w:rPr>
        <w:rFonts w:cs="Times New Roman"/>
        <w:b w:val="0"/>
        <w:bCs w:val="0"/>
        <w:i w:val="0"/>
        <w:iCs w:val="0"/>
        <w:caps w:val="0"/>
        <w:strike w:val="0"/>
        <w:vanish w:val="0"/>
        <w:color w:val="000000"/>
        <w:spacing w:val="0"/>
        <w:position w:val="0"/>
        <w:u w:val="none"/>
        <w:vertAlign w:val="baseline"/>
      </w:rPr>
    </w:lvl>
    <w:lvl w:ilvl="4">
      <w:start w:val="1"/>
      <w:numFmt w:val="lowerLetter"/>
      <w:isLgl w:val="false"/>
      <w:suff w:val="tab"/>
      <w:lvlText w:val="%5)"/>
      <w:lvlJc w:val="left"/>
      <w:pPr>
        <w:ind w:left="1134" w:hanging="567"/>
        <w:tabs>
          <w:tab w:val="num" w:pos="1134" w:leader="none"/>
        </w:tabs>
      </w:pPr>
      <w:rPr>
        <w:rFonts w:cs="Times New Roman"/>
      </w:rPr>
    </w:lvl>
    <w:lvl w:ilvl="5">
      <w:start w:val="1"/>
      <w:numFmt w:val="bullet"/>
      <w:isLgl w:val="false"/>
      <w:suff w:val="tab"/>
      <w:lvlText w:val=""/>
      <w:lvlJc w:val="left"/>
      <w:pPr>
        <w:ind w:left="1701" w:hanging="567"/>
        <w:tabs>
          <w:tab w:val="num" w:pos="1701" w:leader="none"/>
        </w:tabs>
      </w:pPr>
      <w:rPr>
        <w:rFonts w:ascii="Symbol" w:hAnsi="Symbol"/>
      </w:rPr>
    </w:lvl>
    <w:lvl w:ilvl="6">
      <w:start w:val="1"/>
      <w:numFmt w:val="lowerLetter"/>
      <w:isLgl w:val="false"/>
      <w:suff w:val="tab"/>
      <w:lvlText w:val="%5%6%7)"/>
      <w:lvlJc w:val="left"/>
      <w:pPr>
        <w:ind w:left="2268" w:hanging="567"/>
        <w:tabs>
          <w:tab w:val="num" w:pos="2268" w:leader="none"/>
        </w:tabs>
      </w:pPr>
      <w:rPr>
        <w:rFonts w:cs="Times New Roman"/>
      </w:rPr>
    </w:lvl>
    <w:lvl w:ilvl="7">
      <w:start w:val="1"/>
      <w:numFmt w:val="decimal"/>
      <w:isLgl w:val="false"/>
      <w:suff w:val="tab"/>
      <w:lvlText w:val="%1.%2.%3.%4.%5.%6.%7.%8."/>
      <w:lvlJc w:val="left"/>
      <w:pPr>
        <w:ind w:left="2322" w:hanging="1224"/>
        <w:tabs>
          <w:tab w:val="num" w:pos="3978" w:leader="none"/>
        </w:tabs>
      </w:pPr>
      <w:rPr>
        <w:rFonts w:cs="Times New Roman"/>
      </w:rPr>
    </w:lvl>
    <w:lvl w:ilvl="8">
      <w:start w:val="1"/>
      <w:numFmt w:val="decimal"/>
      <w:isLgl w:val="false"/>
      <w:suff w:val="tab"/>
      <w:lvlText w:val="%1.%2.%3.%4.%5.%6.%7.%8.%9."/>
      <w:lvlJc w:val="left"/>
      <w:pPr>
        <w:ind w:left="2898" w:hanging="1440"/>
        <w:tabs>
          <w:tab w:val="num" w:pos="4698" w:leader="none"/>
        </w:tabs>
      </w:pPr>
      <w:rPr>
        <w:rFonts w:cs="Times New Roman"/>
      </w:rPr>
    </w:lvl>
  </w:abstractNum>
  <w:abstractNum w:abstractNumId="7">
    <w:multiLevelType w:val="hybridMultilevel"/>
    <w:lvl w:ilvl="0">
      <w:start w:val="3"/>
      <w:numFmt w:val="decimal"/>
      <w:isLgl w:val="false"/>
      <w:suff w:val="tab"/>
      <w:lvlText w:val="%1."/>
      <w:lvlJc w:val="left"/>
      <w:pPr>
        <w:ind w:left="1069" w:hanging="360"/>
        <w:tabs>
          <w:tab w:val="num" w:pos="0" w:leader="none"/>
        </w:tabs>
      </w:pPr>
      <w:rPr>
        <w:color w:val="000000"/>
      </w:rPr>
    </w:lvl>
    <w:lvl w:ilvl="1">
      <w:start w:val="1"/>
      <w:numFmt w:val="decimal"/>
      <w:isLgl w:val="false"/>
      <w:suff w:val="tab"/>
      <w:lvlText w:val="%1.%2."/>
      <w:lvlJc w:val="left"/>
      <w:pPr>
        <w:ind w:left="1909" w:hanging="1200"/>
        <w:tabs>
          <w:tab w:val="num" w:pos="0" w:leader="none"/>
        </w:tabs>
      </w:pPr>
      <w:rPr>
        <w:color w:val="000000"/>
      </w:rPr>
    </w:lvl>
    <w:lvl w:ilvl="2">
      <w:start w:val="1"/>
      <w:numFmt w:val="decimal"/>
      <w:isLgl w:val="false"/>
      <w:suff w:val="tab"/>
      <w:lvlText w:val="%1.%2.%3."/>
      <w:lvlJc w:val="left"/>
      <w:pPr>
        <w:ind w:left="1909" w:hanging="1200"/>
        <w:tabs>
          <w:tab w:val="num" w:pos="0" w:leader="none"/>
        </w:tabs>
      </w:pPr>
      <w:rPr>
        <w:color w:val="000000"/>
      </w:rPr>
    </w:lvl>
    <w:lvl w:ilvl="3">
      <w:start w:val="1"/>
      <w:numFmt w:val="decimal"/>
      <w:isLgl w:val="false"/>
      <w:suff w:val="tab"/>
      <w:lvlText w:val="%1.%2.%3.%4."/>
      <w:lvlJc w:val="left"/>
      <w:pPr>
        <w:ind w:left="1909" w:hanging="1200"/>
        <w:tabs>
          <w:tab w:val="num" w:pos="0" w:leader="none"/>
        </w:tabs>
      </w:pPr>
      <w:rPr>
        <w:color w:val="000000"/>
      </w:rPr>
    </w:lvl>
    <w:lvl w:ilvl="4">
      <w:start w:val="1"/>
      <w:numFmt w:val="decimal"/>
      <w:isLgl w:val="false"/>
      <w:suff w:val="tab"/>
      <w:lvlText w:val="%1.%2.%3.%4.%5."/>
      <w:lvlJc w:val="left"/>
      <w:pPr>
        <w:ind w:left="1909" w:hanging="1200"/>
        <w:tabs>
          <w:tab w:val="num" w:pos="0" w:leader="none"/>
        </w:tabs>
      </w:pPr>
      <w:rPr>
        <w:color w:val="000000"/>
      </w:rPr>
    </w:lvl>
    <w:lvl w:ilvl="5">
      <w:start w:val="1"/>
      <w:numFmt w:val="decimal"/>
      <w:isLgl w:val="false"/>
      <w:suff w:val="tab"/>
      <w:lvlText w:val="%1.%2.%3.%4.%5.%6."/>
      <w:lvlJc w:val="left"/>
      <w:pPr>
        <w:ind w:left="2149" w:hanging="1440"/>
        <w:tabs>
          <w:tab w:val="num" w:pos="0" w:leader="none"/>
        </w:tabs>
      </w:pPr>
      <w:rPr>
        <w:color w:val="000000"/>
      </w:rPr>
    </w:lvl>
    <w:lvl w:ilvl="6">
      <w:start w:val="1"/>
      <w:numFmt w:val="decimal"/>
      <w:isLgl w:val="false"/>
      <w:suff w:val="tab"/>
      <w:lvlText w:val="%1.%2.%3.%4.%5.%6.%7."/>
      <w:lvlJc w:val="left"/>
      <w:pPr>
        <w:ind w:left="2509" w:hanging="1800"/>
        <w:tabs>
          <w:tab w:val="num" w:pos="0" w:leader="none"/>
        </w:tabs>
      </w:pPr>
      <w:rPr>
        <w:color w:val="000000"/>
      </w:rPr>
    </w:lvl>
    <w:lvl w:ilvl="7">
      <w:start w:val="1"/>
      <w:numFmt w:val="decimal"/>
      <w:isLgl w:val="false"/>
      <w:suff w:val="tab"/>
      <w:lvlText w:val="%1.%2.%3.%4.%5.%6.%7.%8."/>
      <w:lvlJc w:val="left"/>
      <w:pPr>
        <w:ind w:left="2509" w:hanging="1800"/>
        <w:tabs>
          <w:tab w:val="num" w:pos="0" w:leader="none"/>
        </w:tabs>
      </w:pPr>
      <w:rPr>
        <w:color w:val="000000"/>
      </w:rPr>
    </w:lvl>
    <w:lvl w:ilvl="8">
      <w:start w:val="1"/>
      <w:numFmt w:val="decimal"/>
      <w:isLgl w:val="false"/>
      <w:suff w:val="tab"/>
      <w:lvlText w:val="%1.%2.%3.%4.%5.%6.%7.%8.%9."/>
      <w:lvlJc w:val="left"/>
      <w:pPr>
        <w:ind w:left="2869" w:hanging="2160"/>
        <w:tabs>
          <w:tab w:val="num" w:pos="0" w:leader="none"/>
        </w:tabs>
      </w:pPr>
      <w:rPr>
        <w:color w:val="000000"/>
      </w:rPr>
    </w:lvl>
  </w:abstractNum>
  <w:abstractNum w:abstractNumId="8">
    <w:multiLevelType w:val="hybridMultilevel"/>
    <w:lvl w:ilvl="0">
      <w:start w:val="1"/>
      <w:numFmt w:val="upperRoman"/>
      <w:isLgl w:val="false"/>
      <w:suff w:val="tab"/>
      <w:lvlText w:val="ЧАСТЬ %1."/>
      <w:lvlJc w:val="left"/>
      <w:pPr>
        <w:ind w:left="720" w:hanging="720"/>
        <w:tabs>
          <w:tab w:val="num" w:pos="2160" w:leader="none"/>
        </w:tabs>
      </w:pPr>
      <w:rPr>
        <w:rFonts w:cs="Times New Roman"/>
        <w:sz w:val="40"/>
        <w:szCs w:val="40"/>
      </w:rPr>
    </w:lvl>
    <w:lvl w:ilvl="1">
      <w:start w:val="1"/>
      <w:numFmt w:val="decimal"/>
      <w:pStyle w:val="938"/>
      <w:isLgl w:val="false"/>
      <w:suff w:val="tab"/>
      <w:lvlText w:val="РАЗДЕЛ %1.%2"/>
      <w:lvlJc w:val="left"/>
      <w:pPr>
        <w:ind w:left="720" w:hanging="720"/>
        <w:tabs>
          <w:tab w:val="num" w:pos="1440" w:leader="none"/>
        </w:tabs>
      </w:pPr>
      <w:rPr>
        <w:rFonts w:cs="Times New Roman"/>
      </w:rPr>
    </w:lvl>
    <w:lvl w:ilvl="2">
      <w:start w:val="1"/>
      <w:numFmt w:val="decimal"/>
      <w:isLgl w:val="false"/>
      <w:suff w:val="tab"/>
      <w:lvlText w:val="%1.%2.%3"/>
      <w:lvlJc w:val="left"/>
      <w:pPr>
        <w:ind w:left="720" w:hanging="720"/>
        <w:tabs>
          <w:tab w:val="num" w:pos="720" w:leader="none"/>
        </w:tabs>
      </w:pPr>
      <w:rPr>
        <w:rFonts w:cs="Times New Roman"/>
      </w:rPr>
    </w:lvl>
    <w:lvl w:ilvl="3">
      <w:start w:val="1"/>
      <w:numFmt w:val="decimal"/>
      <w:isLgl w:val="false"/>
      <w:suff w:val="tab"/>
      <w:lvlText w:val="%1.%2.%3.%4"/>
      <w:lvlJc w:val="left"/>
      <w:pPr>
        <w:ind w:left="720" w:hanging="720"/>
        <w:tabs>
          <w:tab w:val="num" w:pos="720" w:leader="none"/>
        </w:tabs>
      </w:pPr>
      <w:rPr>
        <w:rFonts w:cs="Times New Roman"/>
      </w:rPr>
    </w:lvl>
    <w:lvl w:ilvl="4">
      <w:start w:val="1"/>
      <w:numFmt w:val="decimal"/>
      <w:isLgl w:val="false"/>
      <w:suff w:val="tab"/>
      <w:lvlText w:val="%1.%2.%3.%4.%5"/>
      <w:lvlJc w:val="left"/>
      <w:pPr>
        <w:ind w:left="1080" w:hanging="1080"/>
        <w:tabs>
          <w:tab w:val="num" w:pos="1080" w:leader="none"/>
        </w:tabs>
      </w:pPr>
      <w:rPr>
        <w:rFonts w:cs="Times New Roman"/>
      </w:rPr>
    </w:lvl>
    <w:lvl w:ilvl="5">
      <w:start w:val="1"/>
      <w:numFmt w:val="decimal"/>
      <w:isLgl w:val="false"/>
      <w:suff w:val="tab"/>
      <w:lvlText w:val="%1.%2.%3.%4.%5.%6"/>
      <w:lvlJc w:val="left"/>
      <w:pPr>
        <w:ind w:left="1080" w:hanging="1080"/>
        <w:tabs>
          <w:tab w:val="num" w:pos="1080" w:leader="none"/>
        </w:tabs>
      </w:pPr>
      <w:rPr>
        <w:rFonts w:cs="Times New Roman"/>
      </w:rPr>
    </w:lvl>
    <w:lvl w:ilvl="6">
      <w:start w:val="1"/>
      <w:numFmt w:val="decimal"/>
      <w:isLgl w:val="false"/>
      <w:suff w:val="tab"/>
      <w:lvlText w:val="%1.%2.%3.%4.%5.%6.%7"/>
      <w:lvlJc w:val="left"/>
      <w:pPr>
        <w:ind w:left="1440" w:hanging="1440"/>
        <w:tabs>
          <w:tab w:val="num" w:pos="1440" w:leader="none"/>
        </w:tabs>
      </w:pPr>
      <w:rPr>
        <w:rFonts w:cs="Times New Roman"/>
      </w:rPr>
    </w:lvl>
    <w:lvl w:ilvl="7">
      <w:start w:val="1"/>
      <w:numFmt w:val="decimal"/>
      <w:isLgl w:val="false"/>
      <w:suff w:val="tab"/>
      <w:lvlText w:val="%1.%2.%3.%4.%5.%6.%7.%8"/>
      <w:lvlJc w:val="left"/>
      <w:pPr>
        <w:ind w:left="1440" w:hanging="1440"/>
        <w:tabs>
          <w:tab w:val="num" w:pos="1440" w:leader="none"/>
        </w:tabs>
      </w:pPr>
      <w:rPr>
        <w:rFonts w:cs="Times New Roman"/>
      </w:rPr>
    </w:lvl>
    <w:lvl w:ilvl="8">
      <w:start w:val="1"/>
      <w:numFmt w:val="decimal"/>
      <w:isLgl w:val="false"/>
      <w:suff w:val="tab"/>
      <w:lvlText w:val="%1.%2.%3.%4.%5.%6.%7.%8.%9"/>
      <w:lvlJc w:val="left"/>
      <w:pPr>
        <w:ind w:left="1800" w:hanging="1800"/>
        <w:tabs>
          <w:tab w:val="num" w:pos="1800" w:leader="none"/>
        </w:tabs>
      </w:pPr>
      <w:rPr>
        <w:rFonts w:cs="Times New Roman"/>
      </w:rPr>
    </w:lvl>
  </w:abstractNum>
  <w:abstractNum w:abstractNumId="9">
    <w:multiLevelType w:val="hybridMultilevel"/>
    <w:lvl w:ilvl="0">
      <w:start w:val="1"/>
      <w:numFmt w:val="decimal"/>
      <w:isLgl w:val="false"/>
      <w:suff w:val="tab"/>
      <w:lvlText w:val="%1"/>
      <w:lvlJc w:val="left"/>
      <w:pPr>
        <w:ind w:left="567" w:hanging="567"/>
        <w:tabs>
          <w:tab w:val="num" w:pos="567" w:leader="none"/>
        </w:tabs>
      </w:pPr>
      <w:rPr>
        <w:rFonts w:cs="Times New Roman"/>
      </w:rPr>
    </w:lvl>
    <w:lvl w:ilvl="1">
      <w:start w:val="1"/>
      <w:numFmt w:val="decimal"/>
      <w:isLgl w:val="false"/>
      <w:suff w:val="tab"/>
      <w:lvlText w:val="%1.%2"/>
      <w:lvlJc w:val="left"/>
      <w:pPr>
        <w:ind w:left="567" w:hanging="567"/>
        <w:tabs>
          <w:tab w:val="num" w:pos="567" w:leader="none"/>
        </w:tabs>
      </w:pPr>
      <w:rPr>
        <w:rFonts w:cs="Times New Roman"/>
      </w:rPr>
    </w:lvl>
    <w:lvl w:ilvl="2">
      <w:start w:val="1"/>
      <w:numFmt w:val="decimal"/>
      <w:pStyle w:val="895"/>
      <w:isLgl w:val="false"/>
      <w:suff w:val="tab"/>
      <w:lvlText w:val="%1.%2.%3"/>
      <w:lvlJc w:val="left"/>
      <w:pPr>
        <w:ind w:left="1701" w:hanging="1134"/>
        <w:tabs>
          <w:tab w:val="num" w:pos="1701" w:leader="none"/>
        </w:tabs>
      </w:pPr>
      <w:rPr>
        <w:rFonts w:cs="Times New Roman"/>
      </w:rPr>
    </w:lvl>
    <w:lvl w:ilvl="3">
      <w:start w:val="1"/>
      <w:numFmt w:val="decimal"/>
      <w:pStyle w:val="896"/>
      <w:isLgl w:val="false"/>
      <w:suff w:val="tab"/>
      <w:lvlText w:val="%1.%2.%3.%4"/>
      <w:lvlJc w:val="left"/>
      <w:pPr>
        <w:ind w:left="3834" w:hanging="1134"/>
        <w:tabs>
          <w:tab w:val="num" w:pos="3834" w:leader="none"/>
        </w:tabs>
      </w:pPr>
      <w:rPr>
        <w:rFonts w:cs="Times New Roman"/>
      </w:rPr>
    </w:lvl>
    <w:lvl w:ilvl="4">
      <w:start w:val="1"/>
      <w:numFmt w:val="decimal"/>
      <w:isLgl w:val="false"/>
      <w:suff w:val="tab"/>
      <w:lvlText w:val="%1.%2.%3.%4.%5."/>
      <w:lvlJc w:val="left"/>
      <w:pPr>
        <w:ind w:left="3348" w:hanging="1080"/>
        <w:tabs>
          <w:tab w:val="num" w:pos="3348" w:leader="none"/>
        </w:tabs>
      </w:pPr>
      <w:rPr>
        <w:rFonts w:cs="Times New Roman"/>
      </w:rPr>
    </w:lvl>
    <w:lvl w:ilvl="5">
      <w:start w:val="1"/>
      <w:numFmt w:val="decimal"/>
      <w:isLgl w:val="false"/>
      <w:suff w:val="tab"/>
      <w:lvlText w:val="%1.%2.%3.%4.%5.%6."/>
      <w:lvlJc w:val="left"/>
      <w:pPr>
        <w:ind w:left="3348" w:hanging="1080"/>
        <w:tabs>
          <w:tab w:val="num" w:pos="3348" w:leader="none"/>
        </w:tabs>
      </w:pPr>
      <w:rPr>
        <w:rFonts w:cs="Times New Roman"/>
      </w:rPr>
    </w:lvl>
    <w:lvl w:ilvl="6">
      <w:start w:val="1"/>
      <w:numFmt w:val="decimal"/>
      <w:isLgl w:val="false"/>
      <w:suff w:val="tab"/>
      <w:lvlText w:val="%1.%2.%3.%4.%5.%6.%7."/>
      <w:lvlJc w:val="left"/>
      <w:pPr>
        <w:ind w:left="3708" w:hanging="1440"/>
        <w:tabs>
          <w:tab w:val="num" w:pos="3708" w:leader="none"/>
        </w:tabs>
      </w:pPr>
      <w:rPr>
        <w:rFonts w:cs="Times New Roman"/>
      </w:rPr>
    </w:lvl>
    <w:lvl w:ilvl="7">
      <w:start w:val="1"/>
      <w:numFmt w:val="decimal"/>
      <w:isLgl w:val="false"/>
      <w:suff w:val="tab"/>
      <w:lvlText w:val="%1.%2.%3.%4.%5.%6.%7.%8."/>
      <w:lvlJc w:val="left"/>
      <w:pPr>
        <w:ind w:left="3708" w:hanging="1440"/>
        <w:tabs>
          <w:tab w:val="num" w:pos="3708" w:leader="none"/>
        </w:tabs>
      </w:pPr>
      <w:rPr>
        <w:rFonts w:cs="Times New Roman"/>
      </w:rPr>
    </w:lvl>
    <w:lvl w:ilvl="8">
      <w:start w:val="1"/>
      <w:numFmt w:val="decimal"/>
      <w:isLgl w:val="false"/>
      <w:suff w:val="tab"/>
      <w:lvlText w:val="%1.%2.%3.%4.%5.%6.%7.%8.%9."/>
      <w:lvlJc w:val="left"/>
      <w:pPr>
        <w:ind w:left="4068" w:hanging="1800"/>
        <w:tabs>
          <w:tab w:val="num" w:pos="4068" w:leader="none"/>
        </w:tabs>
      </w:pPr>
      <w:rPr>
        <w:rFonts w:cs="Times New Roman"/>
      </w:rPr>
    </w:lvl>
  </w:abstractNum>
  <w:abstractNum w:abstractNumId="10">
    <w:multiLevelType w:val="hybridMultilevel"/>
    <w:lvl w:ilvl="0">
      <w:start w:val="1"/>
      <w:numFmt w:val="decimal"/>
      <w:isLgl w:val="false"/>
      <w:suff w:val="tab"/>
      <w:lvlText w:val="%1"/>
      <w:lvlJc w:val="left"/>
      <w:pPr>
        <w:ind w:left="567" w:hanging="567"/>
        <w:tabs>
          <w:tab w:val="num" w:pos="567" w:leader="none"/>
        </w:tabs>
      </w:pPr>
      <w:rPr>
        <w:rFonts w:cs="Times New Roman"/>
      </w:rPr>
    </w:lvl>
    <w:lvl w:ilvl="1">
      <w:start w:val="1"/>
      <w:numFmt w:val="decimal"/>
      <w:isLgl w:val="false"/>
      <w:suff w:val="tab"/>
      <w:lvlText w:val="%1.%2"/>
      <w:lvlJc w:val="left"/>
      <w:pPr>
        <w:ind w:left="567" w:hanging="567"/>
        <w:tabs>
          <w:tab w:val="num" w:pos="567" w:leader="none"/>
        </w:tabs>
      </w:pPr>
      <w:rPr>
        <w:rFonts w:cs="Times New Roman"/>
      </w:rPr>
    </w:lvl>
    <w:lvl w:ilvl="2">
      <w:start w:val="1"/>
      <w:numFmt w:val="decimal"/>
      <w:isLgl w:val="false"/>
      <w:suff w:val="tab"/>
      <w:lvlText w:val="%1.%2.%3"/>
      <w:lvlJc w:val="left"/>
      <w:pPr>
        <w:ind w:left="1701" w:hanging="1134"/>
        <w:tabs>
          <w:tab w:val="num" w:pos="1701" w:leader="none"/>
        </w:tabs>
      </w:pPr>
      <w:rPr>
        <w:rFonts w:cs="Times New Roman"/>
      </w:rPr>
    </w:lvl>
    <w:lvl w:ilvl="3">
      <w:start w:val="1"/>
      <w:numFmt w:val="decimal"/>
      <w:isLgl w:val="false"/>
      <w:suff w:val="tab"/>
      <w:lvlText w:val="%1.%2.%3.%4"/>
      <w:lvlJc w:val="left"/>
      <w:pPr>
        <w:ind w:left="3834" w:hanging="1134"/>
        <w:tabs>
          <w:tab w:val="num" w:pos="3834" w:leader="none"/>
        </w:tabs>
      </w:pPr>
      <w:rPr>
        <w:rFonts w:cs="Times New Roman"/>
      </w:rPr>
    </w:lvl>
    <w:lvl w:ilvl="4">
      <w:start w:val="1"/>
      <w:numFmt w:val="decimal"/>
      <w:isLgl w:val="false"/>
      <w:suff w:val="tab"/>
      <w:lvlText w:val="%1.%2.%3.%4.%5."/>
      <w:lvlJc w:val="left"/>
      <w:pPr>
        <w:ind w:left="3348" w:hanging="1080"/>
        <w:tabs>
          <w:tab w:val="num" w:pos="3348" w:leader="none"/>
        </w:tabs>
      </w:pPr>
      <w:rPr>
        <w:rFonts w:cs="Times New Roman"/>
      </w:rPr>
    </w:lvl>
    <w:lvl w:ilvl="5">
      <w:start w:val="1"/>
      <w:numFmt w:val="decimal"/>
      <w:isLgl w:val="false"/>
      <w:suff w:val="tab"/>
      <w:lvlText w:val="%1.%2.%3.%4.%5.%6."/>
      <w:lvlJc w:val="left"/>
      <w:pPr>
        <w:ind w:left="3348" w:hanging="1080"/>
        <w:tabs>
          <w:tab w:val="num" w:pos="3348" w:leader="none"/>
        </w:tabs>
      </w:pPr>
      <w:rPr>
        <w:rFonts w:cs="Times New Roman"/>
      </w:rPr>
    </w:lvl>
    <w:lvl w:ilvl="6">
      <w:start w:val="1"/>
      <w:numFmt w:val="decimal"/>
      <w:isLgl w:val="false"/>
      <w:suff w:val="tab"/>
      <w:lvlText w:val="%1.%2.%3.%4.%5.%6.%7."/>
      <w:lvlJc w:val="left"/>
      <w:pPr>
        <w:ind w:left="3708" w:hanging="1440"/>
        <w:tabs>
          <w:tab w:val="num" w:pos="3708" w:leader="none"/>
        </w:tabs>
      </w:pPr>
      <w:rPr>
        <w:rFonts w:cs="Times New Roman"/>
      </w:rPr>
    </w:lvl>
    <w:lvl w:ilvl="7">
      <w:start w:val="1"/>
      <w:numFmt w:val="decimal"/>
      <w:isLgl w:val="false"/>
      <w:suff w:val="tab"/>
      <w:lvlText w:val="%1.%2.%3.%4.%5.%6.%7.%8."/>
      <w:lvlJc w:val="left"/>
      <w:pPr>
        <w:ind w:left="3708" w:hanging="1440"/>
        <w:tabs>
          <w:tab w:val="num" w:pos="3708" w:leader="none"/>
        </w:tabs>
      </w:pPr>
      <w:rPr>
        <w:rFonts w:cs="Times New Roman"/>
      </w:rPr>
    </w:lvl>
    <w:lvl w:ilvl="8">
      <w:start w:val="1"/>
      <w:numFmt w:val="decimal"/>
      <w:isLgl w:val="false"/>
      <w:suff w:val="tab"/>
      <w:lvlText w:val="%1.%2.%3.%4.%5.%6.%7.%8.%9."/>
      <w:lvlJc w:val="left"/>
      <w:pPr>
        <w:ind w:left="4068" w:hanging="1800"/>
        <w:tabs>
          <w:tab w:val="num" w:pos="4068" w:leader="none"/>
        </w:tabs>
      </w:pPr>
      <w:rPr>
        <w:rFonts w:cs="Times New Roman"/>
      </w:rPr>
    </w:lvl>
  </w:abstractNum>
  <w:abstractNum w:abstractNumId="11">
    <w:multiLevelType w:val="hybridMultilevel"/>
    <w:lvl w:ilvl="0">
      <w:start w:val="3"/>
      <w:numFmt w:val="decimal"/>
      <w:isLgl w:val="false"/>
      <w:suff w:val="tab"/>
      <w:lvlText w:val="%1."/>
      <w:lvlJc w:val="left"/>
      <w:pPr>
        <w:ind w:left="1069" w:hanging="360"/>
        <w:tabs>
          <w:tab w:val="num" w:pos="0" w:leader="none"/>
        </w:tabs>
      </w:pPr>
      <w:rPr>
        <w:color w:val="000000"/>
      </w:rPr>
    </w:lvl>
    <w:lvl w:ilvl="1">
      <w:start w:val="1"/>
      <w:numFmt w:val="decimal"/>
      <w:isLgl w:val="false"/>
      <w:suff w:val="tab"/>
      <w:lvlText w:val="%1.%2."/>
      <w:lvlJc w:val="left"/>
      <w:pPr>
        <w:ind w:left="1909" w:hanging="1200"/>
        <w:tabs>
          <w:tab w:val="num" w:pos="0" w:leader="none"/>
        </w:tabs>
      </w:pPr>
      <w:rPr>
        <w:color w:val="000000"/>
      </w:rPr>
    </w:lvl>
    <w:lvl w:ilvl="2">
      <w:start w:val="1"/>
      <w:numFmt w:val="decimal"/>
      <w:isLgl w:val="false"/>
      <w:suff w:val="tab"/>
      <w:lvlText w:val="%1.%2.%3."/>
      <w:lvlJc w:val="left"/>
      <w:pPr>
        <w:ind w:left="1909" w:hanging="1200"/>
        <w:tabs>
          <w:tab w:val="num" w:pos="0" w:leader="none"/>
        </w:tabs>
      </w:pPr>
      <w:rPr>
        <w:color w:val="000000"/>
      </w:rPr>
    </w:lvl>
    <w:lvl w:ilvl="3">
      <w:start w:val="1"/>
      <w:numFmt w:val="decimal"/>
      <w:isLgl w:val="false"/>
      <w:suff w:val="tab"/>
      <w:lvlText w:val="%1.%2.%3.%4."/>
      <w:lvlJc w:val="left"/>
      <w:pPr>
        <w:ind w:left="1909" w:hanging="1200"/>
        <w:tabs>
          <w:tab w:val="num" w:pos="0" w:leader="none"/>
        </w:tabs>
      </w:pPr>
      <w:rPr>
        <w:color w:val="000000"/>
      </w:rPr>
    </w:lvl>
    <w:lvl w:ilvl="4">
      <w:start w:val="1"/>
      <w:numFmt w:val="decimal"/>
      <w:isLgl w:val="false"/>
      <w:suff w:val="tab"/>
      <w:lvlText w:val="%1.%2.%3.%4.%5."/>
      <w:lvlJc w:val="left"/>
      <w:pPr>
        <w:ind w:left="1909" w:hanging="1200"/>
        <w:tabs>
          <w:tab w:val="num" w:pos="0" w:leader="none"/>
        </w:tabs>
      </w:pPr>
      <w:rPr>
        <w:color w:val="000000"/>
      </w:rPr>
    </w:lvl>
    <w:lvl w:ilvl="5">
      <w:start w:val="1"/>
      <w:numFmt w:val="decimal"/>
      <w:isLgl w:val="false"/>
      <w:suff w:val="tab"/>
      <w:lvlText w:val="%1.%2.%3.%4.%5.%6."/>
      <w:lvlJc w:val="left"/>
      <w:pPr>
        <w:ind w:left="2149" w:hanging="1440"/>
        <w:tabs>
          <w:tab w:val="num" w:pos="0" w:leader="none"/>
        </w:tabs>
      </w:pPr>
      <w:rPr>
        <w:color w:val="000000"/>
      </w:rPr>
    </w:lvl>
    <w:lvl w:ilvl="6">
      <w:start w:val="1"/>
      <w:numFmt w:val="decimal"/>
      <w:isLgl w:val="false"/>
      <w:suff w:val="tab"/>
      <w:lvlText w:val="%1.%2.%3.%4.%5.%6.%7."/>
      <w:lvlJc w:val="left"/>
      <w:pPr>
        <w:ind w:left="2509" w:hanging="1800"/>
        <w:tabs>
          <w:tab w:val="num" w:pos="0" w:leader="none"/>
        </w:tabs>
      </w:pPr>
      <w:rPr>
        <w:color w:val="000000"/>
      </w:rPr>
    </w:lvl>
    <w:lvl w:ilvl="7">
      <w:start w:val="1"/>
      <w:numFmt w:val="decimal"/>
      <w:isLgl w:val="false"/>
      <w:suff w:val="tab"/>
      <w:lvlText w:val="%1.%2.%3.%4.%5.%6.%7.%8."/>
      <w:lvlJc w:val="left"/>
      <w:pPr>
        <w:ind w:left="2509" w:hanging="1800"/>
        <w:tabs>
          <w:tab w:val="num" w:pos="0" w:leader="none"/>
        </w:tabs>
      </w:pPr>
      <w:rPr>
        <w:color w:val="000000"/>
      </w:rPr>
    </w:lvl>
    <w:lvl w:ilvl="8">
      <w:start w:val="1"/>
      <w:numFmt w:val="decimal"/>
      <w:isLgl w:val="false"/>
      <w:suff w:val="tab"/>
      <w:lvlText w:val="%1.%2.%3.%4.%5.%6.%7.%8.%9."/>
      <w:lvlJc w:val="left"/>
      <w:pPr>
        <w:ind w:left="2869" w:hanging="2160"/>
        <w:tabs>
          <w:tab w:val="num" w:pos="0" w:leader="none"/>
        </w:tabs>
      </w:pPr>
      <w:rPr>
        <w:color w:val="000000"/>
      </w:rPr>
    </w:lvl>
  </w:abstractNum>
  <w:abstractNum w:abstractNumId="12">
    <w:multiLevelType w:val="hybridMultilevel"/>
    <w:lvl w:ilvl="0">
      <w:start w:val="1"/>
      <w:numFmt w:val="decimal"/>
      <w:pStyle w:val="1049"/>
      <w:isLgl w:val="false"/>
      <w:suff w:val="tab"/>
      <w:lvlText w:val="%1."/>
      <w:lvlJc w:val="center"/>
      <w:pPr>
        <w:tabs>
          <w:tab w:val="num" w:pos="0" w:leader="none"/>
        </w:tabs>
      </w:pPr>
      <w:rPr>
        <w:rFonts w:cs="Times New Roman"/>
        <w:b/>
        <w:i w:val="0"/>
      </w:rPr>
    </w:lvl>
    <w:lvl w:ilvl="1">
      <w:start w:val="1"/>
      <w:numFmt w:val="decimal"/>
      <w:pStyle w:val="1050"/>
      <w:isLgl w:val="false"/>
      <w:suff w:val="tab"/>
      <w:lvlText w:val="%1.%2"/>
      <w:lvlJc w:val="left"/>
      <w:pPr>
        <w:ind w:left="851" w:hanging="851"/>
        <w:tabs>
          <w:tab w:val="num" w:pos="851" w:leader="none"/>
        </w:tabs>
      </w:pPr>
      <w:rPr>
        <w:rFonts w:cs="Times New Roman"/>
        <w:b w:val="0"/>
        <w:bCs w:val="0"/>
        <w:i w:val="0"/>
        <w:iCs w:val="0"/>
        <w:caps w:val="0"/>
        <w:strike w:val="0"/>
        <w:vanish w:val="0"/>
        <w:color w:val="000000"/>
        <w:spacing w:val="0"/>
        <w:position w:val="0"/>
        <w:sz w:val="24"/>
        <w:szCs w:val="24"/>
        <w:u w:val="none"/>
        <w:vertAlign w:val="baseline"/>
      </w:rPr>
    </w:lvl>
    <w:lvl w:ilvl="2">
      <w:start w:val="1"/>
      <w:numFmt w:val="decimal"/>
      <w:pStyle w:val="1051"/>
      <w:isLgl w:val="false"/>
      <w:suff w:val="tab"/>
      <w:lvlText w:val="%1.%2.%3"/>
      <w:lvlJc w:val="left"/>
      <w:pPr>
        <w:ind w:left="851" w:hanging="851"/>
        <w:tabs>
          <w:tab w:val="num" w:pos="851" w:leader="none"/>
        </w:tabs>
      </w:pPr>
      <w:rPr>
        <w:rFonts w:cs="Times New Roman"/>
        <w:b w:val="0"/>
        <w:bCs w:val="0"/>
        <w:i w:val="0"/>
        <w:iCs w:val="0"/>
      </w:rPr>
    </w:lvl>
    <w:lvl w:ilvl="3">
      <w:start w:val="1"/>
      <w:numFmt w:val="lowerLetter"/>
      <w:pStyle w:val="1052"/>
      <w:isLgl w:val="false"/>
      <w:suff w:val="tab"/>
      <w:lvlText w:val="%4)"/>
      <w:lvlJc w:val="left"/>
      <w:pPr>
        <w:ind w:left="1418" w:hanging="567"/>
        <w:tabs>
          <w:tab w:val="num" w:pos="1418" w:leader="none"/>
        </w:tabs>
      </w:pPr>
      <w:rPr>
        <w:rFonts w:cs="Times New Roman"/>
        <w:b w:val="0"/>
        <w:bCs w:val="0"/>
        <w:i w:val="0"/>
        <w:iCs w:val="0"/>
        <w:caps w:val="0"/>
        <w:strike w:val="0"/>
        <w:vanish w:val="0"/>
        <w:color w:val="000000"/>
        <w:spacing w:val="0"/>
        <w:position w:val="0"/>
        <w:u w:val="none"/>
        <w:vertAlign w:val="baseline"/>
      </w:rPr>
    </w:lvl>
    <w:lvl w:ilvl="4">
      <w:start w:val="1"/>
      <w:numFmt w:val="lowerLetter"/>
      <w:isLgl w:val="false"/>
      <w:suff w:val="tab"/>
      <w:lvlText w:val="%5)"/>
      <w:lvlJc w:val="left"/>
      <w:pPr>
        <w:ind w:left="1134" w:hanging="567"/>
        <w:tabs>
          <w:tab w:val="num" w:pos="1134" w:leader="none"/>
        </w:tabs>
      </w:pPr>
      <w:rPr>
        <w:rFonts w:cs="Times New Roman"/>
      </w:rPr>
    </w:lvl>
    <w:lvl w:ilvl="5">
      <w:start w:val="1"/>
      <w:numFmt w:val="bullet"/>
      <w:isLgl w:val="false"/>
      <w:suff w:val="tab"/>
      <w:lvlText w:val=""/>
      <w:lvlJc w:val="left"/>
      <w:pPr>
        <w:ind w:left="1701" w:hanging="567"/>
        <w:tabs>
          <w:tab w:val="num" w:pos="1701" w:leader="none"/>
        </w:tabs>
      </w:pPr>
      <w:rPr>
        <w:rFonts w:ascii="Symbol" w:hAnsi="Symbol"/>
      </w:rPr>
    </w:lvl>
    <w:lvl w:ilvl="6">
      <w:start w:val="1"/>
      <w:numFmt w:val="lowerLetter"/>
      <w:isLgl w:val="false"/>
      <w:suff w:val="tab"/>
      <w:lvlText w:val="%5%6%7)"/>
      <w:lvlJc w:val="left"/>
      <w:pPr>
        <w:ind w:left="2268" w:hanging="567"/>
        <w:tabs>
          <w:tab w:val="num" w:pos="2268" w:leader="none"/>
        </w:tabs>
      </w:pPr>
      <w:rPr>
        <w:rFonts w:cs="Times New Roman"/>
      </w:rPr>
    </w:lvl>
    <w:lvl w:ilvl="7">
      <w:start w:val="1"/>
      <w:numFmt w:val="decimal"/>
      <w:isLgl w:val="false"/>
      <w:suff w:val="tab"/>
      <w:lvlText w:val="%1.%2.%3.%4.%5.%6.%7.%8."/>
      <w:lvlJc w:val="left"/>
      <w:pPr>
        <w:ind w:left="2322" w:hanging="1224"/>
        <w:tabs>
          <w:tab w:val="num" w:pos="3978" w:leader="none"/>
        </w:tabs>
      </w:pPr>
      <w:rPr>
        <w:rFonts w:cs="Times New Roman"/>
      </w:rPr>
    </w:lvl>
    <w:lvl w:ilvl="8">
      <w:start w:val="1"/>
      <w:numFmt w:val="decimal"/>
      <w:isLgl w:val="false"/>
      <w:suff w:val="tab"/>
      <w:lvlText w:val="%1.%2.%3.%4.%5.%6.%7.%8.%9."/>
      <w:lvlJc w:val="left"/>
      <w:pPr>
        <w:ind w:left="2898" w:hanging="1440"/>
        <w:tabs>
          <w:tab w:val="num" w:pos="4698" w:leader="none"/>
        </w:tabs>
      </w:pPr>
      <w:rPr>
        <w:rFonts w:cs="Times New Roman"/>
      </w:rPr>
    </w:lvl>
  </w:abstractNum>
  <w:abstractNum w:abstractNumId="13">
    <w:multiLevelType w:val="hybridMultilevel"/>
    <w:lvl w:ilvl="0">
      <w:start w:val="1"/>
      <w:numFmt w:val="decimal"/>
      <w:isLgl w:val="false"/>
      <w:suff w:val="tab"/>
      <w:lvlText w:val="%1."/>
      <w:lvlJc w:val="left"/>
      <w:pPr>
        <w:ind w:left="567" w:hanging="567"/>
        <w:tabs>
          <w:tab w:val="num" w:pos="567" w:leader="none"/>
        </w:tabs>
      </w:pPr>
      <w:rPr>
        <w:rFonts w:cs="Times New Roman"/>
      </w:rPr>
    </w:lvl>
    <w:lvl w:ilvl="1">
      <w:start w:val="1"/>
      <w:numFmt w:val="decimal"/>
      <w:isLgl w:val="false"/>
      <w:suff w:val="tab"/>
      <w:lvlText w:val="%1.%2"/>
      <w:lvlJc w:val="left"/>
      <w:pPr>
        <w:ind w:left="567" w:hanging="567"/>
        <w:tabs>
          <w:tab w:val="num" w:pos="567" w:leader="none"/>
        </w:tabs>
      </w:pPr>
      <w:rPr>
        <w:rFonts w:cs="Times New Roman"/>
      </w:rPr>
    </w:lvl>
    <w:lvl w:ilvl="2">
      <w:start w:val="1"/>
      <w:numFmt w:val="decimal"/>
      <w:isLgl w:val="false"/>
      <w:suff w:val="tab"/>
      <w:lvlText w:val="%1.%2.%3"/>
      <w:lvlJc w:val="left"/>
      <w:pPr>
        <w:ind w:left="720" w:hanging="720"/>
        <w:tabs>
          <w:tab w:val="num" w:pos="720" w:leader="none"/>
        </w:tabs>
      </w:pPr>
      <w:rPr>
        <w:rFonts w:cs="Times New Roman"/>
      </w:rPr>
    </w:lvl>
    <w:lvl w:ilvl="3">
      <w:start w:val="1"/>
      <w:numFmt w:val="decimal"/>
      <w:isLgl w:val="false"/>
      <w:suff w:val="tab"/>
      <w:lvlText w:val="%1.%2.%3.%4"/>
      <w:lvlJc w:val="left"/>
      <w:pPr>
        <w:ind w:left="864" w:hanging="864"/>
        <w:tabs>
          <w:tab w:val="num" w:pos="864" w:leader="none"/>
        </w:tabs>
      </w:pPr>
      <w:rPr>
        <w:rFonts w:cs="Times New Roman"/>
      </w:rPr>
    </w:lvl>
    <w:lvl w:ilvl="4">
      <w:start w:val="1"/>
      <w:numFmt w:val="decimal"/>
      <w:isLgl w:val="false"/>
      <w:suff w:val="tab"/>
      <w:lvlText w:val="%1.%2.%3.%4.%5"/>
      <w:lvlJc w:val="left"/>
      <w:pPr>
        <w:ind w:left="1008" w:hanging="1008"/>
        <w:tabs>
          <w:tab w:val="num" w:pos="1008" w:leader="none"/>
        </w:tabs>
      </w:pPr>
      <w:rPr>
        <w:rFonts w:cs="Times New Roman"/>
      </w:rPr>
    </w:lvl>
    <w:lvl w:ilvl="5">
      <w:start w:val="1"/>
      <w:numFmt w:val="decimal"/>
      <w:isLgl w:val="false"/>
      <w:suff w:val="tab"/>
      <w:lvlText w:val="%1.%2.%3.%4.%5.%6"/>
      <w:lvlJc w:val="left"/>
      <w:pPr>
        <w:ind w:left="1152" w:hanging="1152"/>
        <w:tabs>
          <w:tab w:val="num" w:pos="1152" w:leader="none"/>
        </w:tabs>
      </w:pPr>
      <w:rPr>
        <w:rFonts w:cs="Times New Roman"/>
      </w:rPr>
    </w:lvl>
    <w:lvl w:ilvl="6">
      <w:start w:val="1"/>
      <w:numFmt w:val="decimal"/>
      <w:isLgl w:val="false"/>
      <w:suff w:val="tab"/>
      <w:lvlText w:val="%1.%2.%3.%4.%5.%6.%7"/>
      <w:lvlJc w:val="left"/>
      <w:pPr>
        <w:ind w:left="1296" w:hanging="1296"/>
        <w:tabs>
          <w:tab w:val="num" w:pos="1296" w:leader="none"/>
        </w:tabs>
      </w:pPr>
      <w:rPr>
        <w:rFonts w:cs="Times New Roman"/>
      </w:rPr>
    </w:lvl>
    <w:lvl w:ilvl="7">
      <w:start w:val="1"/>
      <w:numFmt w:val="decimal"/>
      <w:isLgl w:val="false"/>
      <w:suff w:val="tab"/>
      <w:lvlText w:val="%1.%2.%3.%4.%5.%6.%7.%8"/>
      <w:lvlJc w:val="left"/>
      <w:pPr>
        <w:ind w:left="1440" w:hanging="1440"/>
        <w:tabs>
          <w:tab w:val="num" w:pos="1440" w:leader="none"/>
        </w:tabs>
      </w:pPr>
      <w:rPr>
        <w:rFonts w:cs="Times New Roman"/>
      </w:rPr>
    </w:lvl>
    <w:lvl w:ilvl="8">
      <w:start w:val="1"/>
      <w:numFmt w:val="decimal"/>
      <w:isLgl w:val="false"/>
      <w:suff w:val="tab"/>
      <w:lvlText w:val="%1.%2.%3.%4.%5.%6.%7.%8.%9"/>
      <w:lvlJc w:val="left"/>
      <w:pPr>
        <w:ind w:left="1584" w:hanging="1584"/>
        <w:tabs>
          <w:tab w:val="num" w:pos="1584" w:leader="none"/>
        </w:tabs>
      </w:pPr>
      <w:rPr>
        <w:rFonts w:cs="Times New Roman"/>
      </w:rPr>
    </w:lvl>
  </w:abstractNum>
  <w:abstractNum w:abstractNumId="14">
    <w:multiLevelType w:val="hybridMultilevel"/>
    <w:lvl w:ilvl="0">
      <w:start w:val="4"/>
      <w:numFmt w:val="decimal"/>
      <w:isLgl w:val="false"/>
      <w:suff w:val="tab"/>
      <w:lvlText w:val="%1."/>
      <w:lvlJc w:val="left"/>
      <w:pPr>
        <w:ind w:left="450" w:hanging="450"/>
      </w:pPr>
      <w:rPr>
        <w:color w:val="000000"/>
      </w:rPr>
    </w:lvl>
    <w:lvl w:ilvl="1">
      <w:start w:val="1"/>
      <w:numFmt w:val="decimal"/>
      <w:isLgl w:val="false"/>
      <w:suff w:val="tab"/>
      <w:lvlText w:val="%1.%2."/>
      <w:lvlJc w:val="left"/>
      <w:pPr>
        <w:ind w:left="1429" w:hanging="720"/>
      </w:pPr>
      <w:rPr>
        <w:color w:val="000000"/>
      </w:rPr>
    </w:lvl>
    <w:lvl w:ilvl="2">
      <w:start w:val="1"/>
      <w:numFmt w:val="decimal"/>
      <w:isLgl w:val="false"/>
      <w:suff w:val="tab"/>
      <w:lvlText w:val="%1.%2.%3."/>
      <w:lvlJc w:val="left"/>
      <w:pPr>
        <w:ind w:left="2138" w:hanging="720"/>
      </w:pPr>
      <w:rPr>
        <w:color w:val="000000"/>
      </w:rPr>
    </w:lvl>
    <w:lvl w:ilvl="3">
      <w:start w:val="1"/>
      <w:numFmt w:val="decimal"/>
      <w:isLgl w:val="false"/>
      <w:suff w:val="tab"/>
      <w:lvlText w:val="%1.%2.%3.%4."/>
      <w:lvlJc w:val="left"/>
      <w:pPr>
        <w:ind w:left="3207" w:hanging="1080"/>
      </w:pPr>
      <w:rPr>
        <w:color w:val="000000"/>
      </w:rPr>
    </w:lvl>
    <w:lvl w:ilvl="4">
      <w:start w:val="1"/>
      <w:numFmt w:val="decimal"/>
      <w:isLgl w:val="false"/>
      <w:suff w:val="tab"/>
      <w:lvlText w:val="%1.%2.%3.%4.%5."/>
      <w:lvlJc w:val="left"/>
      <w:pPr>
        <w:ind w:left="3916" w:hanging="1080"/>
      </w:pPr>
      <w:rPr>
        <w:color w:val="000000"/>
      </w:rPr>
    </w:lvl>
    <w:lvl w:ilvl="5">
      <w:start w:val="1"/>
      <w:numFmt w:val="decimal"/>
      <w:isLgl w:val="false"/>
      <w:suff w:val="tab"/>
      <w:lvlText w:val="%1.%2.%3.%4.%5.%6."/>
      <w:lvlJc w:val="left"/>
      <w:pPr>
        <w:ind w:left="4985" w:hanging="1440"/>
      </w:pPr>
      <w:rPr>
        <w:color w:val="000000"/>
      </w:rPr>
    </w:lvl>
    <w:lvl w:ilvl="6">
      <w:start w:val="1"/>
      <w:numFmt w:val="decimal"/>
      <w:isLgl w:val="false"/>
      <w:suff w:val="tab"/>
      <w:lvlText w:val="%1.%2.%3.%4.%5.%6.%7."/>
      <w:lvlJc w:val="left"/>
      <w:pPr>
        <w:ind w:left="6054" w:hanging="1800"/>
      </w:pPr>
      <w:rPr>
        <w:color w:val="000000"/>
      </w:rPr>
    </w:lvl>
    <w:lvl w:ilvl="7">
      <w:start w:val="1"/>
      <w:numFmt w:val="decimal"/>
      <w:isLgl w:val="false"/>
      <w:suff w:val="tab"/>
      <w:lvlText w:val="%1.%2.%3.%4.%5.%6.%7.%8."/>
      <w:lvlJc w:val="left"/>
      <w:pPr>
        <w:ind w:left="6763" w:hanging="1800"/>
      </w:pPr>
      <w:rPr>
        <w:color w:val="000000"/>
      </w:rPr>
    </w:lvl>
    <w:lvl w:ilvl="8">
      <w:start w:val="1"/>
      <w:numFmt w:val="decimal"/>
      <w:isLgl w:val="false"/>
      <w:suff w:val="tab"/>
      <w:lvlText w:val="%1.%2.%3.%4.%5.%6.%7.%8.%9."/>
      <w:lvlJc w:val="left"/>
      <w:pPr>
        <w:ind w:left="7832" w:hanging="2160"/>
      </w:pPr>
      <w:rPr>
        <w:color w:val="000000"/>
      </w:rPr>
    </w:lvl>
  </w:abstractNum>
  <w:abstractNum w:abstractNumId="15">
    <w:multiLevelType w:val="hybridMultilevel"/>
    <w:lvl w:ilvl="0">
      <w:start w:val="1"/>
      <w:numFmt w:val="upperRoman"/>
      <w:isLgl w:val="false"/>
      <w:suff w:val="tab"/>
      <w:lvlText w:val="ЧАСТЬ %1."/>
      <w:lvlJc w:val="left"/>
      <w:pPr>
        <w:ind w:left="720" w:hanging="720"/>
        <w:tabs>
          <w:tab w:val="num" w:pos="2160" w:leader="none"/>
        </w:tabs>
      </w:pPr>
      <w:rPr>
        <w:rFonts w:cs="Times New Roman"/>
        <w:sz w:val="40"/>
        <w:szCs w:val="40"/>
      </w:rPr>
    </w:lvl>
    <w:lvl w:ilvl="1">
      <w:start w:val="1"/>
      <w:numFmt w:val="decimal"/>
      <w:isLgl w:val="false"/>
      <w:suff w:val="tab"/>
      <w:lvlText w:val="РАЗДЕЛ %1.%2"/>
      <w:lvlJc w:val="left"/>
      <w:pPr>
        <w:ind w:left="720" w:hanging="720"/>
        <w:tabs>
          <w:tab w:val="num" w:pos="1440" w:leader="none"/>
        </w:tabs>
      </w:pPr>
      <w:rPr>
        <w:rFonts w:cs="Times New Roman"/>
      </w:rPr>
    </w:lvl>
    <w:lvl w:ilvl="2">
      <w:start w:val="1"/>
      <w:numFmt w:val="decimal"/>
      <w:isLgl w:val="false"/>
      <w:suff w:val="tab"/>
      <w:lvlText w:val="%1.%2.%3"/>
      <w:lvlJc w:val="left"/>
      <w:pPr>
        <w:ind w:left="720" w:hanging="720"/>
        <w:tabs>
          <w:tab w:val="num" w:pos="720" w:leader="none"/>
        </w:tabs>
      </w:pPr>
      <w:rPr>
        <w:rFonts w:cs="Times New Roman"/>
      </w:rPr>
    </w:lvl>
    <w:lvl w:ilvl="3">
      <w:start w:val="1"/>
      <w:numFmt w:val="decimal"/>
      <w:isLgl w:val="false"/>
      <w:suff w:val="tab"/>
      <w:lvlText w:val="%1.%2.%3.%4"/>
      <w:lvlJc w:val="left"/>
      <w:pPr>
        <w:ind w:left="720" w:hanging="720"/>
        <w:tabs>
          <w:tab w:val="num" w:pos="720" w:leader="none"/>
        </w:tabs>
      </w:pPr>
      <w:rPr>
        <w:rFonts w:cs="Times New Roman"/>
      </w:rPr>
    </w:lvl>
    <w:lvl w:ilvl="4">
      <w:start w:val="1"/>
      <w:numFmt w:val="decimal"/>
      <w:isLgl w:val="false"/>
      <w:suff w:val="tab"/>
      <w:lvlText w:val="%1.%2.%3.%4.%5"/>
      <w:lvlJc w:val="left"/>
      <w:pPr>
        <w:ind w:left="1080" w:hanging="1080"/>
        <w:tabs>
          <w:tab w:val="num" w:pos="1080" w:leader="none"/>
        </w:tabs>
      </w:pPr>
      <w:rPr>
        <w:rFonts w:cs="Times New Roman"/>
      </w:rPr>
    </w:lvl>
    <w:lvl w:ilvl="5">
      <w:start w:val="1"/>
      <w:numFmt w:val="decimal"/>
      <w:isLgl w:val="false"/>
      <w:suff w:val="tab"/>
      <w:lvlText w:val="%1.%2.%3.%4.%5.%6"/>
      <w:lvlJc w:val="left"/>
      <w:pPr>
        <w:ind w:left="1080" w:hanging="1080"/>
        <w:tabs>
          <w:tab w:val="num" w:pos="1080" w:leader="none"/>
        </w:tabs>
      </w:pPr>
      <w:rPr>
        <w:rFonts w:cs="Times New Roman"/>
      </w:rPr>
    </w:lvl>
    <w:lvl w:ilvl="6">
      <w:start w:val="1"/>
      <w:numFmt w:val="decimal"/>
      <w:isLgl w:val="false"/>
      <w:suff w:val="tab"/>
      <w:lvlText w:val="%1.%2.%3.%4.%5.%6.%7"/>
      <w:lvlJc w:val="left"/>
      <w:pPr>
        <w:ind w:left="1440" w:hanging="1440"/>
        <w:tabs>
          <w:tab w:val="num" w:pos="1440" w:leader="none"/>
        </w:tabs>
      </w:pPr>
      <w:rPr>
        <w:rFonts w:cs="Times New Roman"/>
      </w:rPr>
    </w:lvl>
    <w:lvl w:ilvl="7">
      <w:start w:val="1"/>
      <w:numFmt w:val="decimal"/>
      <w:isLgl w:val="false"/>
      <w:suff w:val="tab"/>
      <w:lvlText w:val="%1.%2.%3.%4.%5.%6.%7.%8"/>
      <w:lvlJc w:val="left"/>
      <w:pPr>
        <w:ind w:left="1440" w:hanging="1440"/>
        <w:tabs>
          <w:tab w:val="num" w:pos="1440" w:leader="none"/>
        </w:tabs>
      </w:pPr>
      <w:rPr>
        <w:rFonts w:cs="Times New Roman"/>
      </w:rPr>
    </w:lvl>
    <w:lvl w:ilvl="8">
      <w:start w:val="1"/>
      <w:numFmt w:val="decimal"/>
      <w:isLgl w:val="false"/>
      <w:suff w:val="tab"/>
      <w:lvlText w:val="%1.%2.%3.%4.%5.%6.%7.%8.%9"/>
      <w:lvlJc w:val="left"/>
      <w:pPr>
        <w:ind w:left="1800" w:hanging="1800"/>
        <w:tabs>
          <w:tab w:val="num" w:pos="1800" w:leader="none"/>
        </w:tabs>
      </w:pPr>
      <w:rPr>
        <w:rFonts w:cs="Times New Roman"/>
      </w:rPr>
    </w:lvl>
  </w:abstractNum>
  <w:abstractNum w:abstractNumId="16">
    <w:multiLevelType w:val="hybridMultilevel"/>
    <w:lvl w:ilvl="0">
      <w:start w:val="1"/>
      <w:numFmt w:val="decimal"/>
      <w:pStyle w:val="940"/>
      <w:isLgl w:val="false"/>
      <w:suff w:val="tab"/>
      <w:lvlText w:val="%1."/>
      <w:lvlJc w:val="left"/>
      <w:pPr>
        <w:ind w:left="360" w:hanging="360"/>
        <w:tabs>
          <w:tab w:val="num" w:pos="360" w:leader="none"/>
        </w:tabs>
      </w:pPr>
      <w:rPr>
        <w:rFonts w:cs="Times New Roman"/>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17">
    <w:multiLevelType w:val="hybridMultilevel"/>
    <w:lvl w:ilvl="0">
      <w:start w:val="1"/>
      <w:numFmt w:val="decimal"/>
      <w:isLgl w:val="false"/>
      <w:suff w:val="tab"/>
      <w:lvlText w:val="%1."/>
      <w:lvlJc w:val="left"/>
      <w:pPr>
        <w:ind w:left="432" w:hanging="432"/>
        <w:tabs>
          <w:tab w:val="num" w:pos="432" w:leader="none"/>
        </w:tabs>
      </w:pPr>
      <w:rPr>
        <w:rFonts w:cs="Times New Roman"/>
      </w:rPr>
    </w:lvl>
    <w:lvl w:ilvl="1">
      <w:start w:val="1"/>
      <w:numFmt w:val="decimal"/>
      <w:isLgl w:val="false"/>
      <w:suff w:val="tab"/>
      <w:lvlText w:val="%1.%2"/>
      <w:lvlJc w:val="left"/>
      <w:pPr>
        <w:ind w:left="576" w:hanging="576"/>
        <w:tabs>
          <w:tab w:val="num" w:pos="576" w:leader="none"/>
        </w:tabs>
      </w:pPr>
      <w:rPr>
        <w:rFonts w:cs="Times New Roman"/>
      </w:rPr>
    </w:lvl>
    <w:lvl w:ilvl="2">
      <w:start w:val="1"/>
      <w:numFmt w:val="decimal"/>
      <w:isLgl w:val="false"/>
      <w:suff w:val="tab"/>
      <w:lvlText w:val="%1.%2.%3"/>
      <w:lvlJc w:val="left"/>
      <w:pPr>
        <w:tabs>
          <w:tab w:val="num" w:pos="227" w:leader="none"/>
        </w:tabs>
      </w:pPr>
      <w:rPr>
        <w:rFonts w:cs="Times New Roman"/>
      </w:rPr>
    </w:lvl>
    <w:lvl w:ilvl="3">
      <w:start w:val="1"/>
      <w:numFmt w:val="decimal"/>
      <w:isLgl w:val="false"/>
      <w:suff w:val="tab"/>
      <w:lvlText w:val="%1.%2.%3.%4"/>
      <w:lvlJc w:val="left"/>
      <w:pPr>
        <w:ind w:left="864" w:hanging="864"/>
        <w:tabs>
          <w:tab w:val="num" w:pos="864" w:leader="none"/>
        </w:tabs>
      </w:pPr>
      <w:rPr>
        <w:rFonts w:cs="Times New Roman"/>
      </w:rPr>
    </w:lvl>
    <w:lvl w:ilvl="4">
      <w:start w:val="1"/>
      <w:numFmt w:val="decimal"/>
      <w:isLgl w:val="false"/>
      <w:suff w:val="tab"/>
      <w:lvlText w:val="%1.%2.%3.%4.%5"/>
      <w:lvlJc w:val="left"/>
      <w:pPr>
        <w:ind w:left="1008" w:hanging="1008"/>
        <w:tabs>
          <w:tab w:val="num" w:pos="1008" w:leader="none"/>
        </w:tabs>
      </w:pPr>
      <w:rPr>
        <w:rFonts w:cs="Times New Roman"/>
      </w:rPr>
    </w:lvl>
    <w:lvl w:ilvl="5">
      <w:start w:val="1"/>
      <w:numFmt w:val="decimal"/>
      <w:isLgl w:val="false"/>
      <w:suff w:val="tab"/>
      <w:lvlText w:val="%1.%2.%3.%4.%5.%6"/>
      <w:lvlJc w:val="left"/>
      <w:pPr>
        <w:ind w:left="1152" w:hanging="1152"/>
        <w:tabs>
          <w:tab w:val="num" w:pos="1152" w:leader="none"/>
        </w:tabs>
      </w:pPr>
      <w:rPr>
        <w:rFonts w:cs="Times New Roman"/>
      </w:rPr>
    </w:lvl>
    <w:lvl w:ilvl="6">
      <w:start w:val="1"/>
      <w:numFmt w:val="decimal"/>
      <w:isLgl w:val="false"/>
      <w:suff w:val="tab"/>
      <w:lvlText w:val="%1.%2.%3.%4.%5.%6.%7"/>
      <w:lvlJc w:val="left"/>
      <w:pPr>
        <w:ind w:left="1296" w:hanging="1296"/>
        <w:tabs>
          <w:tab w:val="num" w:pos="1296" w:leader="none"/>
        </w:tabs>
      </w:pPr>
      <w:rPr>
        <w:rFonts w:cs="Times New Roman"/>
      </w:rPr>
    </w:lvl>
    <w:lvl w:ilvl="7">
      <w:start w:val="1"/>
      <w:numFmt w:val="decimal"/>
      <w:isLgl w:val="false"/>
      <w:suff w:val="tab"/>
      <w:lvlText w:val="%1.%2.%3.%4.%5.%6.%7.%8"/>
      <w:lvlJc w:val="left"/>
      <w:pPr>
        <w:ind w:left="1440" w:hanging="1440"/>
        <w:tabs>
          <w:tab w:val="num" w:pos="1440" w:leader="none"/>
        </w:tabs>
      </w:pPr>
      <w:rPr>
        <w:rFonts w:cs="Times New Roman"/>
      </w:rPr>
    </w:lvl>
    <w:lvl w:ilvl="8">
      <w:start w:val="1"/>
      <w:numFmt w:val="decimal"/>
      <w:isLgl w:val="false"/>
      <w:suff w:val="tab"/>
      <w:lvlText w:val="%1.%2.%3.%4.%5.%6.%7.%8.%9"/>
      <w:lvlJc w:val="left"/>
      <w:pPr>
        <w:ind w:left="1584" w:hanging="1584"/>
        <w:tabs>
          <w:tab w:val="num" w:pos="1584" w:leader="none"/>
        </w:tabs>
      </w:pPr>
      <w:rPr>
        <w:rFonts w:cs="Times New Roman"/>
      </w:rPr>
    </w:lvl>
  </w:abstractNum>
  <w:abstractNum w:abstractNumId="18">
    <w:multiLevelType w:val="hybridMultilevel"/>
    <w:lvl w:ilvl="0">
      <w:start w:val="4"/>
      <w:numFmt w:val="decimal"/>
      <w:isLgl w:val="false"/>
      <w:suff w:val="tab"/>
      <w:lvlText w:val="%1."/>
      <w:lvlJc w:val="left"/>
      <w:pPr>
        <w:ind w:left="450" w:hanging="450"/>
      </w:pPr>
      <w:rPr>
        <w:color w:val="000000"/>
      </w:rPr>
    </w:lvl>
    <w:lvl w:ilvl="1">
      <w:start w:val="1"/>
      <w:numFmt w:val="decimal"/>
      <w:isLgl w:val="false"/>
      <w:suff w:val="tab"/>
      <w:lvlText w:val="%1.%2."/>
      <w:lvlJc w:val="left"/>
      <w:pPr>
        <w:ind w:left="1429" w:hanging="720"/>
      </w:pPr>
      <w:rPr>
        <w:color w:val="000000"/>
      </w:rPr>
    </w:lvl>
    <w:lvl w:ilvl="2">
      <w:start w:val="1"/>
      <w:numFmt w:val="decimal"/>
      <w:isLgl w:val="false"/>
      <w:suff w:val="tab"/>
      <w:lvlText w:val="%1.%2.%3."/>
      <w:lvlJc w:val="left"/>
      <w:pPr>
        <w:ind w:left="2138" w:hanging="720"/>
      </w:pPr>
      <w:rPr>
        <w:color w:val="000000"/>
      </w:rPr>
    </w:lvl>
    <w:lvl w:ilvl="3">
      <w:start w:val="1"/>
      <w:numFmt w:val="decimal"/>
      <w:isLgl w:val="false"/>
      <w:suff w:val="tab"/>
      <w:lvlText w:val="%1.%2.%3.%4."/>
      <w:lvlJc w:val="left"/>
      <w:pPr>
        <w:ind w:left="3207" w:hanging="1080"/>
      </w:pPr>
      <w:rPr>
        <w:color w:val="000000"/>
      </w:rPr>
    </w:lvl>
    <w:lvl w:ilvl="4">
      <w:start w:val="1"/>
      <w:numFmt w:val="decimal"/>
      <w:isLgl w:val="false"/>
      <w:suff w:val="tab"/>
      <w:lvlText w:val="%1.%2.%3.%4.%5."/>
      <w:lvlJc w:val="left"/>
      <w:pPr>
        <w:ind w:left="3916" w:hanging="1080"/>
      </w:pPr>
      <w:rPr>
        <w:color w:val="000000"/>
      </w:rPr>
    </w:lvl>
    <w:lvl w:ilvl="5">
      <w:start w:val="1"/>
      <w:numFmt w:val="decimal"/>
      <w:isLgl w:val="false"/>
      <w:suff w:val="tab"/>
      <w:lvlText w:val="%1.%2.%3.%4.%5.%6."/>
      <w:lvlJc w:val="left"/>
      <w:pPr>
        <w:ind w:left="4985" w:hanging="1440"/>
      </w:pPr>
      <w:rPr>
        <w:color w:val="000000"/>
      </w:rPr>
    </w:lvl>
    <w:lvl w:ilvl="6">
      <w:start w:val="1"/>
      <w:numFmt w:val="decimal"/>
      <w:isLgl w:val="false"/>
      <w:suff w:val="tab"/>
      <w:lvlText w:val="%1.%2.%3.%4.%5.%6.%7."/>
      <w:lvlJc w:val="left"/>
      <w:pPr>
        <w:ind w:left="6054" w:hanging="1800"/>
      </w:pPr>
      <w:rPr>
        <w:color w:val="000000"/>
      </w:rPr>
    </w:lvl>
    <w:lvl w:ilvl="7">
      <w:start w:val="1"/>
      <w:numFmt w:val="decimal"/>
      <w:isLgl w:val="false"/>
      <w:suff w:val="tab"/>
      <w:lvlText w:val="%1.%2.%3.%4.%5.%6.%7.%8."/>
      <w:lvlJc w:val="left"/>
      <w:pPr>
        <w:ind w:left="6763" w:hanging="1800"/>
      </w:pPr>
      <w:rPr>
        <w:color w:val="000000"/>
      </w:rPr>
    </w:lvl>
    <w:lvl w:ilvl="8">
      <w:start w:val="1"/>
      <w:numFmt w:val="decimal"/>
      <w:isLgl w:val="false"/>
      <w:suff w:val="tab"/>
      <w:lvlText w:val="%1.%2.%3.%4.%5.%6.%7.%8.%9."/>
      <w:lvlJc w:val="left"/>
      <w:pPr>
        <w:ind w:left="7832" w:hanging="2160"/>
      </w:pPr>
      <w:rPr>
        <w:color w:val="000000"/>
      </w:rPr>
    </w:lvl>
  </w:abstractNum>
  <w:abstractNum w:abstractNumId="19">
    <w:multiLevelType w:val="hybridMultilevel"/>
    <w:lvl w:ilvl="0">
      <w:start w:val="14"/>
      <w:numFmt w:val="decimal"/>
      <w:isLgl w:val="false"/>
      <w:suff w:val="tab"/>
      <w:lvlText w:val="%1."/>
      <w:lvlJc w:val="left"/>
      <w:pPr>
        <w:ind w:left="1084" w:hanging="375"/>
      </w:pPr>
    </w:lvl>
    <w:lvl w:ilvl="1">
      <w:start w:val="1"/>
      <w:numFmt w:val="lowerLetter"/>
      <w:isLgl w:val="false"/>
      <w:suff w:val="tab"/>
      <w:lvlText w:val="%2."/>
      <w:lvlJc w:val="left"/>
      <w:pPr>
        <w:ind w:left="1789" w:hanging="360"/>
      </w:pPr>
    </w:lvl>
    <w:lvl w:ilvl="2">
      <w:start w:val="1"/>
      <w:numFmt w:val="lowerRoman"/>
      <w:isLgl w:val="false"/>
      <w:suff w:val="tab"/>
      <w:lvlText w:val="%3."/>
      <w:lvlJc w:val="right"/>
      <w:pPr>
        <w:ind w:left="2509" w:hanging="180"/>
      </w:pPr>
    </w:lvl>
    <w:lvl w:ilvl="3">
      <w:start w:val="1"/>
      <w:numFmt w:val="decimal"/>
      <w:isLgl w:val="false"/>
      <w:suff w:val="tab"/>
      <w:lvlText w:val="%4."/>
      <w:lvlJc w:val="left"/>
      <w:pPr>
        <w:ind w:left="3229" w:hanging="360"/>
      </w:pPr>
    </w:lvl>
    <w:lvl w:ilvl="4">
      <w:start w:val="1"/>
      <w:numFmt w:val="lowerLetter"/>
      <w:isLgl w:val="false"/>
      <w:suff w:val="tab"/>
      <w:lvlText w:val="%5."/>
      <w:lvlJc w:val="left"/>
      <w:pPr>
        <w:ind w:left="3949" w:hanging="360"/>
      </w:pPr>
    </w:lvl>
    <w:lvl w:ilvl="5">
      <w:start w:val="1"/>
      <w:numFmt w:val="lowerRoman"/>
      <w:isLgl w:val="false"/>
      <w:suff w:val="tab"/>
      <w:lvlText w:val="%6."/>
      <w:lvlJc w:val="right"/>
      <w:pPr>
        <w:ind w:left="4669" w:hanging="180"/>
      </w:pPr>
    </w:lvl>
    <w:lvl w:ilvl="6">
      <w:start w:val="1"/>
      <w:numFmt w:val="decimal"/>
      <w:isLgl w:val="false"/>
      <w:suff w:val="tab"/>
      <w:lvlText w:val="%7."/>
      <w:lvlJc w:val="left"/>
      <w:pPr>
        <w:ind w:left="5389" w:hanging="360"/>
      </w:pPr>
    </w:lvl>
    <w:lvl w:ilvl="7">
      <w:start w:val="1"/>
      <w:numFmt w:val="lowerLetter"/>
      <w:isLgl w:val="false"/>
      <w:suff w:val="tab"/>
      <w:lvlText w:val="%8."/>
      <w:lvlJc w:val="left"/>
      <w:pPr>
        <w:ind w:left="6109" w:hanging="360"/>
      </w:pPr>
    </w:lvl>
    <w:lvl w:ilvl="8">
      <w:start w:val="1"/>
      <w:numFmt w:val="lowerRoman"/>
      <w:isLgl w:val="false"/>
      <w:suff w:val="tab"/>
      <w:lvlText w:val="%9."/>
      <w:lvlJc w:val="right"/>
      <w:pPr>
        <w:ind w:left="6829" w:hanging="180"/>
      </w:pPr>
    </w:lvl>
  </w:abstractNum>
  <w:abstractNum w:abstractNumId="20">
    <w:multiLevelType w:val="hybridMultilevel"/>
    <w:lvl w:ilvl="0">
      <w:start w:val="1"/>
      <w:numFmt w:val="bullet"/>
      <w:pStyle w:val="1043"/>
      <w:isLgl w:val="false"/>
      <w:suff w:val="tab"/>
      <w:lvlText w:val=""/>
      <w:lvlJc w:val="left"/>
      <w:pPr>
        <w:tabs>
          <w:tab w:val="num" w:pos="0" w:leader="none"/>
        </w:tabs>
      </w:pPr>
      <w:rPr>
        <w:rFonts w:ascii="Symbol" w:hAnsi="Symbol"/>
        <w:sz w:val="24"/>
      </w:rPr>
    </w:lvl>
    <w:lvl w:ilvl="1">
      <w:start w:val="1"/>
      <w:numFmt w:val="lowerLetter"/>
      <w:isLgl w:val="false"/>
      <w:suff w:val="tab"/>
      <w:lvlText w:val="%2."/>
      <w:lvlJc w:val="left"/>
      <w:pPr>
        <w:ind w:left="1440" w:hanging="360"/>
        <w:tabs>
          <w:tab w:val="num" w:pos="1440" w:leader="none"/>
        </w:tabs>
      </w:pPr>
      <w:rPr>
        <w:rFonts w:cs="Times New Roman"/>
      </w:rPr>
    </w:lvl>
    <w:lvl w:ilvl="2">
      <w:start w:val="1"/>
      <w:numFmt w:val="lowerRoman"/>
      <w:isLgl w:val="false"/>
      <w:suff w:val="tab"/>
      <w:lvlText w:val="%3."/>
      <w:lvlJc w:val="right"/>
      <w:pPr>
        <w:ind w:left="2160" w:hanging="180"/>
        <w:tabs>
          <w:tab w:val="num" w:pos="2160" w:leader="none"/>
        </w:tabs>
      </w:pPr>
      <w:rPr>
        <w:rFonts w:cs="Times New Roman"/>
      </w:rPr>
    </w:lvl>
    <w:lvl w:ilvl="3">
      <w:start w:val="1"/>
      <w:numFmt w:val="decimal"/>
      <w:isLgl w:val="false"/>
      <w:suff w:val="tab"/>
      <w:lvlText w:val="%4."/>
      <w:lvlJc w:val="left"/>
      <w:pPr>
        <w:ind w:left="2880" w:hanging="360"/>
        <w:tabs>
          <w:tab w:val="num" w:pos="2880" w:leader="none"/>
        </w:tabs>
      </w:pPr>
      <w:rPr>
        <w:rFonts w:cs="Times New Roman"/>
      </w:rPr>
    </w:lvl>
    <w:lvl w:ilvl="4">
      <w:start w:val="1"/>
      <w:numFmt w:val="lowerLetter"/>
      <w:isLgl w:val="false"/>
      <w:suff w:val="tab"/>
      <w:lvlText w:val="%5."/>
      <w:lvlJc w:val="left"/>
      <w:pPr>
        <w:ind w:left="3600" w:hanging="360"/>
        <w:tabs>
          <w:tab w:val="num" w:pos="3600" w:leader="none"/>
        </w:tabs>
      </w:pPr>
      <w:rPr>
        <w:rFonts w:cs="Times New Roman"/>
      </w:rPr>
    </w:lvl>
    <w:lvl w:ilvl="5">
      <w:start w:val="1"/>
      <w:numFmt w:val="lowerRoman"/>
      <w:isLgl w:val="false"/>
      <w:suff w:val="tab"/>
      <w:lvlText w:val="%6."/>
      <w:lvlJc w:val="right"/>
      <w:pPr>
        <w:ind w:left="4320" w:hanging="180"/>
        <w:tabs>
          <w:tab w:val="num" w:pos="4320" w:leader="none"/>
        </w:tabs>
      </w:pPr>
      <w:rPr>
        <w:rFonts w:cs="Times New Roman"/>
      </w:rPr>
    </w:lvl>
    <w:lvl w:ilvl="6">
      <w:start w:val="1"/>
      <w:numFmt w:val="decimal"/>
      <w:isLgl w:val="false"/>
      <w:suff w:val="tab"/>
      <w:lvlText w:val="%7."/>
      <w:lvlJc w:val="left"/>
      <w:pPr>
        <w:ind w:left="5040" w:hanging="360"/>
        <w:tabs>
          <w:tab w:val="num" w:pos="5040" w:leader="none"/>
        </w:tabs>
      </w:pPr>
      <w:rPr>
        <w:rFonts w:cs="Times New Roman"/>
      </w:rPr>
    </w:lvl>
    <w:lvl w:ilvl="7">
      <w:start w:val="1"/>
      <w:numFmt w:val="lowerLetter"/>
      <w:isLgl w:val="false"/>
      <w:suff w:val="tab"/>
      <w:lvlText w:val="%8."/>
      <w:lvlJc w:val="left"/>
      <w:pPr>
        <w:ind w:left="5760" w:hanging="360"/>
        <w:tabs>
          <w:tab w:val="num" w:pos="5760" w:leader="none"/>
        </w:tabs>
      </w:pPr>
      <w:rPr>
        <w:rFonts w:cs="Times New Roman"/>
      </w:rPr>
    </w:lvl>
    <w:lvl w:ilvl="8">
      <w:start w:val="1"/>
      <w:numFmt w:val="lowerRoman"/>
      <w:isLgl w:val="false"/>
      <w:suff w:val="tab"/>
      <w:lvlText w:val="%9."/>
      <w:lvlJc w:val="right"/>
      <w:pPr>
        <w:ind w:left="6480" w:hanging="180"/>
        <w:tabs>
          <w:tab w:val="num" w:pos="6480" w:leader="none"/>
        </w:tabs>
      </w:pPr>
      <w:rPr>
        <w:rFonts w:cs="Times New Roman"/>
      </w:rPr>
    </w:lvl>
  </w:abstractNum>
  <w:abstractNum w:abstractNumId="21">
    <w:multiLevelType w:val="hybridMultilevel"/>
    <w:lvl w:ilvl="0">
      <w:start w:val="4"/>
      <w:numFmt w:val="decimal"/>
      <w:isLgl w:val="false"/>
      <w:suff w:val="tab"/>
      <w:lvlText w:val="%1."/>
      <w:lvlJc w:val="left"/>
      <w:pPr>
        <w:ind w:left="450" w:hanging="450"/>
      </w:pPr>
    </w:lvl>
    <w:lvl w:ilvl="1">
      <w:start w:val="3"/>
      <w:numFmt w:val="decimal"/>
      <w:isLgl w:val="false"/>
      <w:suff w:val="tab"/>
      <w:lvlText w:val="%1.%2."/>
      <w:lvlJc w:val="left"/>
      <w:pPr>
        <w:ind w:left="1429" w:hanging="720"/>
      </w:pPr>
    </w:lvl>
    <w:lvl w:ilvl="2">
      <w:start w:val="1"/>
      <w:numFmt w:val="decimal"/>
      <w:isLgl w:val="false"/>
      <w:suff w:val="tab"/>
      <w:lvlText w:val="%1.%2.%3."/>
      <w:lvlJc w:val="left"/>
      <w:pPr>
        <w:ind w:left="2138" w:hanging="720"/>
      </w:pPr>
    </w:lvl>
    <w:lvl w:ilvl="3">
      <w:start w:val="1"/>
      <w:numFmt w:val="decimal"/>
      <w:isLgl w:val="false"/>
      <w:suff w:val="tab"/>
      <w:lvlText w:val="%1.%2.%3.%4."/>
      <w:lvlJc w:val="left"/>
      <w:pPr>
        <w:ind w:left="3207" w:hanging="1080"/>
      </w:pPr>
    </w:lvl>
    <w:lvl w:ilvl="4">
      <w:start w:val="1"/>
      <w:numFmt w:val="decimal"/>
      <w:isLgl w:val="false"/>
      <w:suff w:val="tab"/>
      <w:lvlText w:val="%1.%2.%3.%4.%5."/>
      <w:lvlJc w:val="left"/>
      <w:pPr>
        <w:ind w:left="3916" w:hanging="1080"/>
      </w:pPr>
    </w:lvl>
    <w:lvl w:ilvl="5">
      <w:start w:val="1"/>
      <w:numFmt w:val="decimal"/>
      <w:isLgl w:val="false"/>
      <w:suff w:val="tab"/>
      <w:lvlText w:val="%1.%2.%3.%4.%5.%6."/>
      <w:lvlJc w:val="left"/>
      <w:pPr>
        <w:ind w:left="4985" w:hanging="1440"/>
      </w:pPr>
    </w:lvl>
    <w:lvl w:ilvl="6">
      <w:start w:val="1"/>
      <w:numFmt w:val="decimal"/>
      <w:isLgl w:val="false"/>
      <w:suff w:val="tab"/>
      <w:lvlText w:val="%1.%2.%3.%4.%5.%6.%7."/>
      <w:lvlJc w:val="left"/>
      <w:pPr>
        <w:ind w:left="6054" w:hanging="1800"/>
      </w:pPr>
    </w:lvl>
    <w:lvl w:ilvl="7">
      <w:start w:val="1"/>
      <w:numFmt w:val="decimal"/>
      <w:isLgl w:val="false"/>
      <w:suff w:val="tab"/>
      <w:lvlText w:val="%1.%2.%3.%4.%5.%6.%7.%8."/>
      <w:lvlJc w:val="left"/>
      <w:pPr>
        <w:ind w:left="6763" w:hanging="1800"/>
      </w:pPr>
    </w:lvl>
    <w:lvl w:ilvl="8">
      <w:start w:val="1"/>
      <w:numFmt w:val="decimal"/>
      <w:isLgl w:val="false"/>
      <w:suff w:val="tab"/>
      <w:lvlText w:val="%1.%2.%3.%4.%5.%6.%7.%8.%9."/>
      <w:lvlJc w:val="left"/>
      <w:pPr>
        <w:ind w:left="7832" w:hanging="2160"/>
      </w:pPr>
    </w:lvl>
  </w:abstractNum>
  <w:abstractNum w:abstractNumId="22">
    <w:multiLevelType w:val="hybridMultilevel"/>
    <w:lvl w:ilvl="0">
      <w:start w:val="4"/>
      <w:numFmt w:val="decimal"/>
      <w:isLgl w:val="false"/>
      <w:suff w:val="tab"/>
      <w:lvlText w:val="%1."/>
      <w:lvlJc w:val="left"/>
      <w:pPr>
        <w:ind w:left="450" w:hanging="450"/>
      </w:pPr>
    </w:lvl>
    <w:lvl w:ilvl="1">
      <w:start w:val="2"/>
      <w:numFmt w:val="decimal"/>
      <w:isLgl w:val="false"/>
      <w:suff w:val="tab"/>
      <w:lvlText w:val="%1.%2."/>
      <w:lvlJc w:val="left"/>
      <w:pPr>
        <w:ind w:left="1429" w:hanging="720"/>
      </w:pPr>
    </w:lvl>
    <w:lvl w:ilvl="2">
      <w:start w:val="1"/>
      <w:numFmt w:val="decimal"/>
      <w:isLgl w:val="false"/>
      <w:suff w:val="tab"/>
      <w:lvlText w:val="%1.%2.%3."/>
      <w:lvlJc w:val="left"/>
      <w:pPr>
        <w:ind w:left="2138" w:hanging="720"/>
      </w:pPr>
    </w:lvl>
    <w:lvl w:ilvl="3">
      <w:start w:val="1"/>
      <w:numFmt w:val="decimal"/>
      <w:isLgl w:val="false"/>
      <w:suff w:val="tab"/>
      <w:lvlText w:val="%1.%2.%3.%4."/>
      <w:lvlJc w:val="left"/>
      <w:pPr>
        <w:ind w:left="3207" w:hanging="1080"/>
      </w:pPr>
    </w:lvl>
    <w:lvl w:ilvl="4">
      <w:start w:val="1"/>
      <w:numFmt w:val="decimal"/>
      <w:isLgl w:val="false"/>
      <w:suff w:val="tab"/>
      <w:lvlText w:val="%1.%2.%3.%4.%5."/>
      <w:lvlJc w:val="left"/>
      <w:pPr>
        <w:ind w:left="3916" w:hanging="1080"/>
      </w:pPr>
    </w:lvl>
    <w:lvl w:ilvl="5">
      <w:start w:val="1"/>
      <w:numFmt w:val="decimal"/>
      <w:isLgl w:val="false"/>
      <w:suff w:val="tab"/>
      <w:lvlText w:val="%1.%2.%3.%4.%5.%6."/>
      <w:lvlJc w:val="left"/>
      <w:pPr>
        <w:ind w:left="4985" w:hanging="1440"/>
      </w:pPr>
    </w:lvl>
    <w:lvl w:ilvl="6">
      <w:start w:val="1"/>
      <w:numFmt w:val="decimal"/>
      <w:isLgl w:val="false"/>
      <w:suff w:val="tab"/>
      <w:lvlText w:val="%1.%2.%3.%4.%5.%6.%7."/>
      <w:lvlJc w:val="left"/>
      <w:pPr>
        <w:ind w:left="6054" w:hanging="1800"/>
      </w:pPr>
    </w:lvl>
    <w:lvl w:ilvl="7">
      <w:start w:val="1"/>
      <w:numFmt w:val="decimal"/>
      <w:isLgl w:val="false"/>
      <w:suff w:val="tab"/>
      <w:lvlText w:val="%1.%2.%3.%4.%5.%6.%7.%8."/>
      <w:lvlJc w:val="left"/>
      <w:pPr>
        <w:ind w:left="6763" w:hanging="1800"/>
      </w:pPr>
    </w:lvl>
    <w:lvl w:ilvl="8">
      <w:start w:val="1"/>
      <w:numFmt w:val="decimal"/>
      <w:isLgl w:val="false"/>
      <w:suff w:val="tab"/>
      <w:lvlText w:val="%1.%2.%3.%4.%5.%6.%7.%8.%9."/>
      <w:lvlJc w:val="left"/>
      <w:pPr>
        <w:ind w:left="7832" w:hanging="2160"/>
      </w:pPr>
    </w:lvl>
  </w:abstractNum>
  <w:abstractNum w:abstractNumId="23">
    <w:multiLevelType w:val="hybridMultilevel"/>
    <w:lvl w:ilvl="0">
      <w:start w:val="4"/>
      <w:numFmt w:val="decimal"/>
      <w:isLgl w:val="false"/>
      <w:suff w:val="tab"/>
      <w:lvlText w:val="%1."/>
      <w:lvlJc w:val="left"/>
      <w:pPr>
        <w:ind w:left="450" w:hanging="450"/>
      </w:pPr>
    </w:lvl>
    <w:lvl w:ilvl="1">
      <w:start w:val="3"/>
      <w:numFmt w:val="decimal"/>
      <w:isLgl w:val="false"/>
      <w:suff w:val="tab"/>
      <w:lvlText w:val="%1.%2."/>
      <w:lvlJc w:val="left"/>
      <w:pPr>
        <w:ind w:left="1429" w:hanging="720"/>
      </w:pPr>
    </w:lvl>
    <w:lvl w:ilvl="2">
      <w:start w:val="1"/>
      <w:numFmt w:val="decimal"/>
      <w:isLgl w:val="false"/>
      <w:suff w:val="tab"/>
      <w:lvlText w:val="%1.%2.%3."/>
      <w:lvlJc w:val="left"/>
      <w:pPr>
        <w:ind w:left="2138" w:hanging="720"/>
      </w:pPr>
    </w:lvl>
    <w:lvl w:ilvl="3">
      <w:start w:val="1"/>
      <w:numFmt w:val="decimal"/>
      <w:isLgl w:val="false"/>
      <w:suff w:val="tab"/>
      <w:lvlText w:val="%1.%2.%3.%4."/>
      <w:lvlJc w:val="left"/>
      <w:pPr>
        <w:ind w:left="3207" w:hanging="1080"/>
      </w:pPr>
    </w:lvl>
    <w:lvl w:ilvl="4">
      <w:start w:val="1"/>
      <w:numFmt w:val="decimal"/>
      <w:isLgl w:val="false"/>
      <w:suff w:val="tab"/>
      <w:lvlText w:val="%1.%2.%3.%4.%5."/>
      <w:lvlJc w:val="left"/>
      <w:pPr>
        <w:ind w:left="3916" w:hanging="1080"/>
      </w:pPr>
    </w:lvl>
    <w:lvl w:ilvl="5">
      <w:start w:val="1"/>
      <w:numFmt w:val="decimal"/>
      <w:isLgl w:val="false"/>
      <w:suff w:val="tab"/>
      <w:lvlText w:val="%1.%2.%3.%4.%5.%6."/>
      <w:lvlJc w:val="left"/>
      <w:pPr>
        <w:ind w:left="4985" w:hanging="1440"/>
      </w:pPr>
    </w:lvl>
    <w:lvl w:ilvl="6">
      <w:start w:val="1"/>
      <w:numFmt w:val="decimal"/>
      <w:isLgl w:val="false"/>
      <w:suff w:val="tab"/>
      <w:lvlText w:val="%1.%2.%3.%4.%5.%6.%7."/>
      <w:lvlJc w:val="left"/>
      <w:pPr>
        <w:ind w:left="6054" w:hanging="1800"/>
      </w:pPr>
    </w:lvl>
    <w:lvl w:ilvl="7">
      <w:start w:val="1"/>
      <w:numFmt w:val="decimal"/>
      <w:isLgl w:val="false"/>
      <w:suff w:val="tab"/>
      <w:lvlText w:val="%1.%2.%3.%4.%5.%6.%7.%8."/>
      <w:lvlJc w:val="left"/>
      <w:pPr>
        <w:ind w:left="6763" w:hanging="1800"/>
      </w:pPr>
    </w:lvl>
    <w:lvl w:ilvl="8">
      <w:start w:val="1"/>
      <w:numFmt w:val="decimal"/>
      <w:isLgl w:val="false"/>
      <w:suff w:val="tab"/>
      <w:lvlText w:val="%1.%2.%3.%4.%5.%6.%7.%8.%9."/>
      <w:lvlJc w:val="left"/>
      <w:pPr>
        <w:ind w:left="7832" w:hanging="2160"/>
      </w:pPr>
    </w:lvl>
  </w:abstractNum>
  <w:abstractNum w:abstractNumId="24">
    <w:multiLevelType w:val="hybridMultilevel"/>
    <w:lvl w:ilvl="0">
      <w:start w:val="4"/>
      <w:numFmt w:val="decimal"/>
      <w:isLgl w:val="false"/>
      <w:suff w:val="tab"/>
      <w:lvlText w:val="%1."/>
      <w:lvlJc w:val="left"/>
      <w:pPr>
        <w:ind w:left="450" w:hanging="450"/>
      </w:pPr>
      <w:rPr>
        <w:color w:val="000000"/>
      </w:rPr>
    </w:lvl>
    <w:lvl w:ilvl="1">
      <w:start w:val="1"/>
      <w:numFmt w:val="decimal"/>
      <w:isLgl w:val="false"/>
      <w:suff w:val="tab"/>
      <w:lvlText w:val="%1.%2."/>
      <w:lvlJc w:val="left"/>
      <w:pPr>
        <w:ind w:left="1429" w:hanging="720"/>
      </w:pPr>
      <w:rPr>
        <w:color w:val="000000"/>
      </w:rPr>
    </w:lvl>
    <w:lvl w:ilvl="2">
      <w:start w:val="1"/>
      <w:numFmt w:val="decimal"/>
      <w:isLgl w:val="false"/>
      <w:suff w:val="tab"/>
      <w:lvlText w:val="%1.%2.%3."/>
      <w:lvlJc w:val="left"/>
      <w:pPr>
        <w:ind w:left="2138" w:hanging="720"/>
      </w:pPr>
      <w:rPr>
        <w:color w:val="000000"/>
      </w:rPr>
    </w:lvl>
    <w:lvl w:ilvl="3">
      <w:start w:val="1"/>
      <w:numFmt w:val="decimal"/>
      <w:isLgl w:val="false"/>
      <w:suff w:val="tab"/>
      <w:lvlText w:val="%1.%2.%3.%4."/>
      <w:lvlJc w:val="left"/>
      <w:pPr>
        <w:ind w:left="3207" w:hanging="1080"/>
      </w:pPr>
      <w:rPr>
        <w:color w:val="000000"/>
      </w:rPr>
    </w:lvl>
    <w:lvl w:ilvl="4">
      <w:start w:val="1"/>
      <w:numFmt w:val="decimal"/>
      <w:isLgl w:val="false"/>
      <w:suff w:val="tab"/>
      <w:lvlText w:val="%1.%2.%3.%4.%5."/>
      <w:lvlJc w:val="left"/>
      <w:pPr>
        <w:ind w:left="3916" w:hanging="1080"/>
      </w:pPr>
      <w:rPr>
        <w:color w:val="000000"/>
      </w:rPr>
    </w:lvl>
    <w:lvl w:ilvl="5">
      <w:start w:val="1"/>
      <w:numFmt w:val="decimal"/>
      <w:isLgl w:val="false"/>
      <w:suff w:val="tab"/>
      <w:lvlText w:val="%1.%2.%3.%4.%5.%6."/>
      <w:lvlJc w:val="left"/>
      <w:pPr>
        <w:ind w:left="4985" w:hanging="1440"/>
      </w:pPr>
      <w:rPr>
        <w:color w:val="000000"/>
      </w:rPr>
    </w:lvl>
    <w:lvl w:ilvl="6">
      <w:start w:val="1"/>
      <w:numFmt w:val="decimal"/>
      <w:isLgl w:val="false"/>
      <w:suff w:val="tab"/>
      <w:lvlText w:val="%1.%2.%3.%4.%5.%6.%7."/>
      <w:lvlJc w:val="left"/>
      <w:pPr>
        <w:ind w:left="6054" w:hanging="1800"/>
      </w:pPr>
      <w:rPr>
        <w:color w:val="000000"/>
      </w:rPr>
    </w:lvl>
    <w:lvl w:ilvl="7">
      <w:start w:val="1"/>
      <w:numFmt w:val="decimal"/>
      <w:isLgl w:val="false"/>
      <w:suff w:val="tab"/>
      <w:lvlText w:val="%1.%2.%3.%4.%5.%6.%7.%8."/>
      <w:lvlJc w:val="left"/>
      <w:pPr>
        <w:ind w:left="6763" w:hanging="1800"/>
      </w:pPr>
      <w:rPr>
        <w:color w:val="000000"/>
      </w:rPr>
    </w:lvl>
    <w:lvl w:ilvl="8">
      <w:start w:val="1"/>
      <w:numFmt w:val="decimal"/>
      <w:isLgl w:val="false"/>
      <w:suff w:val="tab"/>
      <w:lvlText w:val="%1.%2.%3.%4.%5.%6.%7.%8.%9."/>
      <w:lvlJc w:val="left"/>
      <w:pPr>
        <w:ind w:left="7832" w:hanging="2160"/>
      </w:pPr>
      <w:rPr>
        <w:color w:val="000000"/>
      </w:rPr>
    </w:lvl>
  </w:abstractNum>
  <w:abstractNum w:abstractNumId="25">
    <w:multiLevelType w:val="hybridMultilevel"/>
    <w:lvl w:ilvl="0">
      <w:start w:val="1"/>
      <w:numFmt w:val="decimal"/>
      <w:pStyle w:val="1011"/>
      <w:isLgl w:val="false"/>
      <w:suff w:val="tab"/>
      <w:lvlText w:val="%1."/>
      <w:lvlJc w:val="left"/>
      <w:pPr>
        <w:ind w:left="432" w:hanging="432"/>
        <w:tabs>
          <w:tab w:val="num" w:pos="432" w:leader="none"/>
        </w:tabs>
      </w:pPr>
      <w:rPr>
        <w:rFonts w:cs="Times New Roman"/>
      </w:rPr>
    </w:lvl>
    <w:lvl w:ilvl="1">
      <w:start w:val="1"/>
      <w:numFmt w:val="decimal"/>
      <w:isLgl w:val="false"/>
      <w:suff w:val="tab"/>
      <w:lvlText w:val="%1.%2"/>
      <w:lvlJc w:val="left"/>
      <w:pPr>
        <w:ind w:left="576" w:hanging="576"/>
        <w:tabs>
          <w:tab w:val="num" w:pos="576" w:leader="none"/>
        </w:tabs>
      </w:pPr>
      <w:rPr>
        <w:rFonts w:cs="Times New Roman"/>
      </w:rPr>
    </w:lvl>
    <w:lvl w:ilvl="2">
      <w:start w:val="1"/>
      <w:numFmt w:val="decimal"/>
      <w:pStyle w:val="1015"/>
      <w:isLgl w:val="false"/>
      <w:suff w:val="tab"/>
      <w:lvlText w:val="%1.%2.%3"/>
      <w:lvlJc w:val="left"/>
      <w:pPr>
        <w:tabs>
          <w:tab w:val="num" w:pos="227" w:leader="none"/>
        </w:tabs>
      </w:pPr>
      <w:rPr>
        <w:rFonts w:cs="Times New Roman"/>
      </w:rPr>
    </w:lvl>
    <w:lvl w:ilvl="3">
      <w:start w:val="1"/>
      <w:numFmt w:val="decimal"/>
      <w:isLgl w:val="false"/>
      <w:suff w:val="tab"/>
      <w:lvlText w:val="%1.%2.%3.%4"/>
      <w:lvlJc w:val="left"/>
      <w:pPr>
        <w:ind w:left="864" w:hanging="864"/>
        <w:tabs>
          <w:tab w:val="num" w:pos="864" w:leader="none"/>
        </w:tabs>
      </w:pPr>
      <w:rPr>
        <w:rFonts w:cs="Times New Roman"/>
      </w:rPr>
    </w:lvl>
    <w:lvl w:ilvl="4">
      <w:start w:val="1"/>
      <w:numFmt w:val="decimal"/>
      <w:isLgl w:val="false"/>
      <w:suff w:val="tab"/>
      <w:lvlText w:val="%1.%2.%3.%4.%5"/>
      <w:lvlJc w:val="left"/>
      <w:pPr>
        <w:ind w:left="1008" w:hanging="1008"/>
        <w:tabs>
          <w:tab w:val="num" w:pos="1008" w:leader="none"/>
        </w:tabs>
      </w:pPr>
      <w:rPr>
        <w:rFonts w:cs="Times New Roman"/>
      </w:rPr>
    </w:lvl>
    <w:lvl w:ilvl="5">
      <w:start w:val="1"/>
      <w:numFmt w:val="decimal"/>
      <w:isLgl w:val="false"/>
      <w:suff w:val="tab"/>
      <w:lvlText w:val="%1.%2.%3.%4.%5.%6"/>
      <w:lvlJc w:val="left"/>
      <w:pPr>
        <w:ind w:left="1152" w:hanging="1152"/>
        <w:tabs>
          <w:tab w:val="num" w:pos="1152" w:leader="none"/>
        </w:tabs>
      </w:pPr>
      <w:rPr>
        <w:rFonts w:cs="Times New Roman"/>
      </w:rPr>
    </w:lvl>
    <w:lvl w:ilvl="6">
      <w:start w:val="1"/>
      <w:numFmt w:val="decimal"/>
      <w:isLgl w:val="false"/>
      <w:suff w:val="tab"/>
      <w:lvlText w:val="%1.%2.%3.%4.%5.%6.%7"/>
      <w:lvlJc w:val="left"/>
      <w:pPr>
        <w:ind w:left="1296" w:hanging="1296"/>
        <w:tabs>
          <w:tab w:val="num" w:pos="1296" w:leader="none"/>
        </w:tabs>
      </w:pPr>
      <w:rPr>
        <w:rFonts w:cs="Times New Roman"/>
      </w:rPr>
    </w:lvl>
    <w:lvl w:ilvl="7">
      <w:start w:val="1"/>
      <w:numFmt w:val="decimal"/>
      <w:isLgl w:val="false"/>
      <w:suff w:val="tab"/>
      <w:lvlText w:val="%1.%2.%3.%4.%5.%6.%7.%8"/>
      <w:lvlJc w:val="left"/>
      <w:pPr>
        <w:ind w:left="1440" w:hanging="1440"/>
        <w:tabs>
          <w:tab w:val="num" w:pos="1440" w:leader="none"/>
        </w:tabs>
      </w:pPr>
      <w:rPr>
        <w:rFonts w:cs="Times New Roman"/>
      </w:rPr>
    </w:lvl>
    <w:lvl w:ilvl="8">
      <w:start w:val="1"/>
      <w:numFmt w:val="decimal"/>
      <w:isLgl w:val="false"/>
      <w:suff w:val="tab"/>
      <w:lvlText w:val="%1.%2.%3.%4.%5.%6.%7.%8.%9"/>
      <w:lvlJc w:val="left"/>
      <w:pPr>
        <w:ind w:left="1584" w:hanging="1584"/>
        <w:tabs>
          <w:tab w:val="num" w:pos="1584" w:leader="none"/>
        </w:tabs>
      </w:pPr>
      <w:rPr>
        <w:rFonts w:cs="Times New Roman"/>
      </w:rPr>
    </w:lvl>
  </w:abstractNum>
  <w:num w:numId="1">
    <w:abstractNumId w:val="9"/>
  </w:num>
  <w:num w:numId="2">
    <w:abstractNumId w:val="8"/>
  </w:num>
  <w:num w:numId="3">
    <w:abstractNumId w:val="16"/>
  </w:num>
  <w:num w:numId="4">
    <w:abstractNumId w:val="5"/>
  </w:num>
  <w:num w:numId="5">
    <w:abstractNumId w:val="25"/>
  </w:num>
  <w:num w:numId="6">
    <w:abstractNumId w:val="20"/>
  </w:num>
  <w:num w:numId="7">
    <w:abstractNumId w:val="12"/>
  </w:num>
  <w:num w:numId="8">
    <w:abstractNumId w:val="19"/>
  </w:num>
  <w:num w:numId="9">
    <w:abstractNumId w:val="2"/>
  </w:num>
  <w:num w:numId="10">
    <w:abstractNumId w:val="0"/>
  </w:num>
  <w:num w:numId="11">
    <w:abstractNumId w:val="7"/>
  </w:num>
  <w:num w:numId="12">
    <w:abstractNumId w:val="24"/>
  </w:num>
  <w:num w:numId="13">
    <w:abstractNumId w:val="23"/>
  </w:num>
  <w:num w:numId="14">
    <w:abstractNumId w:val="10"/>
  </w:num>
  <w:num w:numId="15">
    <w:abstractNumId w:val="15"/>
  </w:num>
  <w:num w:numId="16">
    <w:abstractNumId w:val="4"/>
  </w:num>
  <w:num w:numId="17">
    <w:abstractNumId w:val="13"/>
  </w:num>
  <w:num w:numId="18">
    <w:abstractNumId w:val="17"/>
  </w:num>
  <w:num w:numId="19">
    <w:abstractNumId w:val="1"/>
  </w:num>
  <w:num w:numId="20">
    <w:abstractNumId w:val="6"/>
  </w:num>
  <w:num w:numId="21">
    <w:abstractNumId w:val="3"/>
  </w:num>
  <w:num w:numId="22">
    <w:abstractNumId w:val="22"/>
  </w:num>
  <w:num w:numId="23">
    <w:abstractNumId w:val="21"/>
  </w:num>
  <w:num w:numId="24">
    <w:abstractNumId w:val="11"/>
  </w:num>
  <w:num w:numId="25">
    <w:abstractNumId w:val="18"/>
  </w:num>
  <w:num w:numId="2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ru-RU" w:eastAsia="ru-RU"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707" w:default="1">
    <w:name w:val="Normal"/>
    <w:qFormat/>
    <w:pPr>
      <w:ind w:firstLine="567"/>
      <w:jc w:val="both"/>
      <w:spacing w:line="288" w:lineRule="auto"/>
    </w:pPr>
    <w:rPr>
      <w:sz w:val="28"/>
      <w:szCs w:val="28"/>
    </w:rPr>
  </w:style>
  <w:style w:type="paragraph" w:styleId="708">
    <w:name w:val="Heading 1"/>
    <w:basedOn w:val="707"/>
    <w:next w:val="707"/>
    <w:link w:val="897"/>
    <w:qFormat/>
    <w:pPr>
      <w:keepNext/>
      <w:spacing w:before="240" w:after="60"/>
      <w:outlineLvl w:val="0"/>
    </w:pPr>
    <w:rPr>
      <w:rFonts w:ascii="Cambria" w:hAnsi="Cambria"/>
      <w:b/>
      <w:bCs/>
      <w:sz w:val="32"/>
      <w:szCs w:val="32"/>
      <w:lang w:val="en-US" w:eastAsia="en-US"/>
    </w:rPr>
  </w:style>
  <w:style w:type="paragraph" w:styleId="709">
    <w:name w:val="Heading 2"/>
    <w:basedOn w:val="707"/>
    <w:next w:val="707"/>
    <w:link w:val="898"/>
    <w:qFormat/>
    <w:pPr>
      <w:ind w:firstLine="0"/>
      <w:jc w:val="center"/>
      <w:keepNext/>
      <w:spacing w:after="60" w:line="240" w:lineRule="auto"/>
      <w:outlineLvl w:val="1"/>
    </w:pPr>
    <w:rPr>
      <w:rFonts w:ascii="Cambria" w:hAnsi="Cambria"/>
      <w:b/>
      <w:bCs/>
      <w:i/>
      <w:iCs/>
      <w:lang w:val="en-US" w:eastAsia="en-US"/>
    </w:rPr>
  </w:style>
  <w:style w:type="paragraph" w:styleId="710">
    <w:name w:val="Heading 3"/>
    <w:basedOn w:val="707"/>
    <w:next w:val="707"/>
    <w:link w:val="728"/>
    <w:uiPriority w:val="9"/>
    <w:unhideWhenUsed/>
    <w:qFormat/>
    <w:pPr>
      <w:keepLines/>
      <w:keepNext/>
      <w:spacing w:before="320" w:after="200"/>
      <w:outlineLvl w:val="2"/>
    </w:pPr>
    <w:rPr>
      <w:rFonts w:ascii="Arial" w:hAnsi="Arial" w:eastAsia="Arial" w:cs="Arial"/>
      <w:sz w:val="30"/>
      <w:szCs w:val="30"/>
    </w:rPr>
  </w:style>
  <w:style w:type="paragraph" w:styleId="711">
    <w:name w:val="Heading 4"/>
    <w:basedOn w:val="707"/>
    <w:next w:val="707"/>
    <w:link w:val="729"/>
    <w:uiPriority w:val="9"/>
    <w:unhideWhenUsed/>
    <w:qFormat/>
    <w:pPr>
      <w:keepLines/>
      <w:keepNext/>
      <w:spacing w:before="320" w:after="200"/>
      <w:outlineLvl w:val="3"/>
    </w:pPr>
    <w:rPr>
      <w:rFonts w:ascii="Arial" w:hAnsi="Arial" w:eastAsia="Arial" w:cs="Arial"/>
      <w:b/>
      <w:bCs/>
      <w:sz w:val="26"/>
      <w:szCs w:val="26"/>
    </w:rPr>
  </w:style>
  <w:style w:type="paragraph" w:styleId="712">
    <w:name w:val="Heading 5"/>
    <w:basedOn w:val="707"/>
    <w:next w:val="707"/>
    <w:link w:val="901"/>
    <w:qFormat/>
    <w:pPr>
      <w:ind w:left="1008" w:hanging="1008"/>
      <w:spacing w:before="240" w:after="60" w:line="240" w:lineRule="auto"/>
      <w:tabs>
        <w:tab w:val="num" w:pos="1008" w:leader="none"/>
      </w:tabs>
      <w:outlineLvl w:val="4"/>
    </w:pPr>
    <w:rPr>
      <w:rFonts w:ascii="Calibri" w:hAnsi="Calibri"/>
      <w:b/>
      <w:bCs/>
      <w:i/>
      <w:iCs/>
      <w:sz w:val="26"/>
      <w:szCs w:val="26"/>
      <w:lang w:val="en-US" w:eastAsia="en-US"/>
    </w:rPr>
  </w:style>
  <w:style w:type="paragraph" w:styleId="713">
    <w:name w:val="Heading 6"/>
    <w:basedOn w:val="707"/>
    <w:next w:val="707"/>
    <w:link w:val="902"/>
    <w:qFormat/>
    <w:pPr>
      <w:ind w:left="1152" w:hanging="1152"/>
      <w:spacing w:before="240" w:after="60" w:line="240" w:lineRule="auto"/>
      <w:tabs>
        <w:tab w:val="num" w:pos="1152" w:leader="none"/>
      </w:tabs>
      <w:outlineLvl w:val="5"/>
    </w:pPr>
    <w:rPr>
      <w:rFonts w:ascii="Calibri" w:hAnsi="Calibri"/>
      <w:b/>
      <w:bCs/>
      <w:sz w:val="20"/>
      <w:szCs w:val="20"/>
      <w:lang w:val="en-US" w:eastAsia="en-US"/>
    </w:rPr>
  </w:style>
  <w:style w:type="paragraph" w:styleId="714">
    <w:name w:val="Heading 7"/>
    <w:basedOn w:val="707"/>
    <w:next w:val="707"/>
    <w:link w:val="903"/>
    <w:qFormat/>
    <w:pPr>
      <w:ind w:left="1296" w:hanging="1296"/>
      <w:spacing w:before="240" w:after="60" w:line="240" w:lineRule="auto"/>
      <w:tabs>
        <w:tab w:val="num" w:pos="1296" w:leader="none"/>
      </w:tabs>
      <w:outlineLvl w:val="6"/>
    </w:pPr>
    <w:rPr>
      <w:rFonts w:ascii="Calibri" w:hAnsi="Calibri"/>
      <w:sz w:val="24"/>
      <w:szCs w:val="24"/>
      <w:lang w:val="en-US" w:eastAsia="en-US"/>
    </w:rPr>
  </w:style>
  <w:style w:type="paragraph" w:styleId="715">
    <w:name w:val="Heading 8"/>
    <w:basedOn w:val="707"/>
    <w:next w:val="707"/>
    <w:link w:val="904"/>
    <w:qFormat/>
    <w:pPr>
      <w:ind w:left="1440" w:hanging="1440"/>
      <w:spacing w:before="240" w:after="60" w:line="240" w:lineRule="auto"/>
      <w:tabs>
        <w:tab w:val="num" w:pos="1440" w:leader="none"/>
      </w:tabs>
      <w:outlineLvl w:val="7"/>
    </w:pPr>
    <w:rPr>
      <w:rFonts w:ascii="Calibri" w:hAnsi="Calibri"/>
      <w:i/>
      <w:iCs/>
      <w:sz w:val="24"/>
      <w:szCs w:val="24"/>
      <w:lang w:val="en-US" w:eastAsia="en-US"/>
    </w:rPr>
  </w:style>
  <w:style w:type="paragraph" w:styleId="716">
    <w:name w:val="Heading 9"/>
    <w:basedOn w:val="707"/>
    <w:next w:val="707"/>
    <w:link w:val="905"/>
    <w:qFormat/>
    <w:pPr>
      <w:ind w:left="1584" w:hanging="1584"/>
      <w:spacing w:before="240" w:after="60" w:line="240" w:lineRule="auto"/>
      <w:tabs>
        <w:tab w:val="num" w:pos="1584" w:leader="none"/>
      </w:tabs>
      <w:outlineLvl w:val="8"/>
    </w:pPr>
    <w:rPr>
      <w:rFonts w:ascii="Cambria" w:hAnsi="Cambria"/>
      <w:sz w:val="20"/>
      <w:szCs w:val="20"/>
      <w:lang w:val="en-US" w:eastAsia="en-US"/>
    </w:rPr>
  </w:style>
  <w:style w:type="character" w:styleId="717" w:default="1">
    <w:name w:val="Default Paragraph Font"/>
    <w:uiPriority w:val="1"/>
    <w:semiHidden/>
    <w:unhideWhenUsed/>
  </w:style>
  <w:style w:type="table" w:styleId="718" w:default="1">
    <w:name w:val="Normal Table"/>
    <w:uiPriority w:val="99"/>
    <w:semiHidden/>
    <w:unhideWhenUsed/>
    <w:tblPr>
      <w:tblInd w:w="0" w:type="dxa"/>
      <w:tblCellMar>
        <w:left w:w="108" w:type="dxa"/>
        <w:top w:w="0" w:type="dxa"/>
        <w:right w:w="108" w:type="dxa"/>
        <w:bottom w:w="0" w:type="dxa"/>
      </w:tblCellMar>
    </w:tblPr>
  </w:style>
  <w:style w:type="numbering" w:styleId="719" w:default="1">
    <w:name w:val="No List"/>
    <w:uiPriority w:val="99"/>
    <w:semiHidden/>
    <w:unhideWhenUsed/>
  </w:style>
  <w:style w:type="character" w:styleId="720" w:customStyle="1">
    <w:name w:val="Caption Char"/>
    <w:uiPriority w:val="35"/>
    <w:rPr>
      <w:b/>
      <w:bCs/>
      <w:color w:val="4f81bd"/>
      <w:sz w:val="18"/>
      <w:szCs w:val="18"/>
    </w:rPr>
  </w:style>
  <w:style w:type="character" w:styleId="721" w:customStyle="1">
    <w:name w:val="Heading 3 Char"/>
    <w:uiPriority w:val="9"/>
    <w:rPr>
      <w:rFonts w:ascii="Liberation Sans" w:hAnsi="Liberation Sans" w:eastAsia="Liberation Sans" w:cs="Liberation Sans"/>
      <w:sz w:val="30"/>
      <w:szCs w:val="30"/>
    </w:rPr>
  </w:style>
  <w:style w:type="character" w:styleId="722" w:customStyle="1">
    <w:name w:val="Heading 4 Char"/>
    <w:uiPriority w:val="9"/>
    <w:rPr>
      <w:rFonts w:ascii="Liberation Sans" w:hAnsi="Liberation Sans" w:eastAsia="Liberation Sans" w:cs="Liberation Sans"/>
      <w:b/>
      <w:bCs/>
      <w:sz w:val="26"/>
      <w:szCs w:val="26"/>
    </w:rPr>
  </w:style>
  <w:style w:type="character" w:styleId="723" w:customStyle="1">
    <w:name w:val="Quote Char"/>
    <w:uiPriority w:val="29"/>
    <w:rPr>
      <w:i/>
    </w:rPr>
  </w:style>
  <w:style w:type="character" w:styleId="724" w:customStyle="1">
    <w:name w:val="Intense Quote Char"/>
    <w:uiPriority w:val="30"/>
    <w:rPr>
      <w:i/>
    </w:rPr>
  </w:style>
  <w:style w:type="character" w:styleId="725" w:customStyle="1">
    <w:name w:val="Endnote Text Char"/>
    <w:uiPriority w:val="99"/>
    <w:rPr>
      <w:sz w:val="20"/>
    </w:rPr>
  </w:style>
  <w:style w:type="character" w:styleId="726" w:customStyle="1">
    <w:name w:val="Heading 1 Char"/>
    <w:uiPriority w:val="9"/>
    <w:rPr>
      <w:rFonts w:ascii="Arial" w:hAnsi="Arial" w:eastAsia="Arial" w:cs="Arial"/>
      <w:sz w:val="40"/>
      <w:szCs w:val="40"/>
    </w:rPr>
  </w:style>
  <w:style w:type="character" w:styleId="727" w:customStyle="1">
    <w:name w:val="Heading 2 Char"/>
    <w:uiPriority w:val="9"/>
    <w:rPr>
      <w:rFonts w:ascii="Arial" w:hAnsi="Arial" w:eastAsia="Arial" w:cs="Arial"/>
      <w:sz w:val="34"/>
    </w:rPr>
  </w:style>
  <w:style w:type="character" w:styleId="728" w:customStyle="1">
    <w:name w:val="Заголовок 3 Знак"/>
    <w:link w:val="710"/>
    <w:uiPriority w:val="9"/>
    <w:rPr>
      <w:rFonts w:ascii="Arial" w:hAnsi="Arial" w:eastAsia="Arial" w:cs="Arial"/>
      <w:sz w:val="30"/>
      <w:szCs w:val="30"/>
    </w:rPr>
  </w:style>
  <w:style w:type="character" w:styleId="729" w:customStyle="1">
    <w:name w:val="Заголовок 4 Знак"/>
    <w:link w:val="711"/>
    <w:uiPriority w:val="9"/>
    <w:rPr>
      <w:rFonts w:ascii="Arial" w:hAnsi="Arial" w:eastAsia="Arial" w:cs="Arial"/>
      <w:b/>
      <w:bCs/>
      <w:sz w:val="26"/>
      <w:szCs w:val="26"/>
    </w:rPr>
  </w:style>
  <w:style w:type="character" w:styleId="730" w:customStyle="1">
    <w:name w:val="Heading 5 Char"/>
    <w:uiPriority w:val="9"/>
    <w:rPr>
      <w:rFonts w:ascii="Arial" w:hAnsi="Arial" w:eastAsia="Arial" w:cs="Arial"/>
      <w:b/>
      <w:bCs/>
      <w:sz w:val="24"/>
      <w:szCs w:val="24"/>
    </w:rPr>
  </w:style>
  <w:style w:type="character" w:styleId="731" w:customStyle="1">
    <w:name w:val="Heading 6 Char"/>
    <w:uiPriority w:val="9"/>
    <w:rPr>
      <w:rFonts w:ascii="Arial" w:hAnsi="Arial" w:eastAsia="Arial" w:cs="Arial"/>
      <w:b/>
      <w:bCs/>
      <w:sz w:val="22"/>
      <w:szCs w:val="22"/>
    </w:rPr>
  </w:style>
  <w:style w:type="character" w:styleId="732" w:customStyle="1">
    <w:name w:val="Heading 7 Char"/>
    <w:uiPriority w:val="9"/>
    <w:rPr>
      <w:rFonts w:ascii="Arial" w:hAnsi="Arial" w:eastAsia="Arial" w:cs="Arial"/>
      <w:b/>
      <w:bCs/>
      <w:i/>
      <w:iCs/>
      <w:sz w:val="22"/>
      <w:szCs w:val="22"/>
    </w:rPr>
  </w:style>
  <w:style w:type="character" w:styleId="733" w:customStyle="1">
    <w:name w:val="Heading 8 Char"/>
    <w:uiPriority w:val="9"/>
    <w:rPr>
      <w:rFonts w:ascii="Arial" w:hAnsi="Arial" w:eastAsia="Arial" w:cs="Arial"/>
      <w:i/>
      <w:iCs/>
      <w:sz w:val="22"/>
      <w:szCs w:val="22"/>
    </w:rPr>
  </w:style>
  <w:style w:type="character" w:styleId="734" w:customStyle="1">
    <w:name w:val="Heading 9 Char"/>
    <w:uiPriority w:val="9"/>
    <w:rPr>
      <w:rFonts w:ascii="Arial" w:hAnsi="Arial" w:eastAsia="Arial" w:cs="Arial"/>
      <w:i/>
      <w:iCs/>
      <w:sz w:val="21"/>
      <w:szCs w:val="21"/>
    </w:rPr>
  </w:style>
  <w:style w:type="paragraph" w:styleId="735">
    <w:name w:val="List Paragraph"/>
    <w:basedOn w:val="707"/>
    <w:link w:val="1047"/>
    <w:uiPriority w:val="34"/>
    <w:qFormat/>
    <w:pPr>
      <w:contextualSpacing/>
      <w:ind w:left="720" w:firstLine="0"/>
      <w:spacing w:line="276" w:lineRule="auto"/>
    </w:pPr>
    <w:rPr>
      <w:sz w:val="24"/>
      <w:lang w:val="en-US" w:eastAsia="en-US"/>
    </w:rPr>
  </w:style>
  <w:style w:type="paragraph" w:styleId="736">
    <w:name w:val="No Spacing"/>
    <w:uiPriority w:val="1"/>
    <w:qFormat/>
    <w:rPr>
      <w:lang w:eastAsia="zh-CN"/>
    </w:rPr>
  </w:style>
  <w:style w:type="paragraph" w:styleId="737">
    <w:name w:val="Title"/>
    <w:basedOn w:val="707"/>
    <w:link w:val="943"/>
    <w:qFormat/>
    <w:pPr>
      <w:ind w:firstLine="0"/>
      <w:jc w:val="center"/>
      <w:spacing w:before="240" w:after="60" w:line="240" w:lineRule="auto"/>
      <w:outlineLvl w:val="0"/>
    </w:pPr>
    <w:rPr>
      <w:rFonts w:ascii="Cambria" w:hAnsi="Cambria"/>
      <w:b/>
      <w:bCs/>
      <w:sz w:val="32"/>
      <w:szCs w:val="32"/>
      <w:lang w:val="en-US" w:eastAsia="en-US"/>
    </w:rPr>
  </w:style>
  <w:style w:type="character" w:styleId="738" w:customStyle="1">
    <w:name w:val="Title Char"/>
    <w:uiPriority w:val="10"/>
    <w:rPr>
      <w:sz w:val="48"/>
      <w:szCs w:val="48"/>
    </w:rPr>
  </w:style>
  <w:style w:type="paragraph" w:styleId="739">
    <w:name w:val="Subtitle"/>
    <w:basedOn w:val="707"/>
    <w:link w:val="944"/>
    <w:qFormat/>
    <w:pPr>
      <w:ind w:firstLine="0"/>
      <w:jc w:val="center"/>
      <w:spacing w:after="60" w:line="240" w:lineRule="auto"/>
      <w:outlineLvl w:val="1"/>
    </w:pPr>
    <w:rPr>
      <w:rFonts w:ascii="Cambria" w:hAnsi="Cambria"/>
      <w:sz w:val="24"/>
      <w:szCs w:val="24"/>
      <w:lang w:val="en-US" w:eastAsia="en-US"/>
    </w:rPr>
  </w:style>
  <w:style w:type="character" w:styleId="740" w:customStyle="1">
    <w:name w:val="Subtitle Char"/>
    <w:uiPriority w:val="11"/>
    <w:rPr>
      <w:sz w:val="24"/>
      <w:szCs w:val="24"/>
    </w:rPr>
  </w:style>
  <w:style w:type="paragraph" w:styleId="741">
    <w:name w:val="Quote"/>
    <w:basedOn w:val="707"/>
    <w:next w:val="707"/>
    <w:link w:val="742"/>
    <w:uiPriority w:val="29"/>
    <w:qFormat/>
    <w:pPr>
      <w:ind w:left="720" w:right="720"/>
    </w:pPr>
    <w:rPr>
      <w:i/>
    </w:rPr>
  </w:style>
  <w:style w:type="character" w:styleId="742" w:customStyle="1">
    <w:name w:val="Цитата 2 Знак"/>
    <w:link w:val="741"/>
    <w:uiPriority w:val="29"/>
    <w:rPr>
      <w:i/>
    </w:rPr>
  </w:style>
  <w:style w:type="paragraph" w:styleId="743">
    <w:name w:val="Intense Quote"/>
    <w:basedOn w:val="707"/>
    <w:next w:val="707"/>
    <w:link w:val="744"/>
    <w:uiPriority w:val="30"/>
    <w:qFormat/>
    <w:pPr>
      <w:ind w:left="720" w:right="720"/>
      <w:shd w:val="clear" w:color="auto" w:fill="f2f2f2"/>
      <w:pBdr>
        <w:top w:val="single" w:color="FFFFFF" w:sz="4" w:space="5"/>
        <w:left w:val="single" w:color="FFFFFF" w:sz="4" w:space="10"/>
        <w:bottom w:val="single" w:color="FFFFFF" w:sz="4" w:space="5"/>
        <w:right w:val="single" w:color="FFFFFF" w:sz="4" w:space="10"/>
      </w:pBdr>
    </w:pPr>
    <w:rPr>
      <w:i/>
    </w:rPr>
  </w:style>
  <w:style w:type="character" w:styleId="744" w:customStyle="1">
    <w:name w:val="Выделенная цитата Знак"/>
    <w:link w:val="743"/>
    <w:uiPriority w:val="30"/>
    <w:rPr>
      <w:i/>
    </w:rPr>
  </w:style>
  <w:style w:type="paragraph" w:styleId="745">
    <w:name w:val="Header"/>
    <w:basedOn w:val="707"/>
    <w:link w:val="953"/>
    <w:uiPriority w:val="99"/>
    <w:pPr>
      <w:ind w:firstLine="0"/>
      <w:spacing w:before="120" w:after="120" w:line="240" w:lineRule="auto"/>
      <w:tabs>
        <w:tab w:val="center" w:pos="4153" w:leader="none"/>
        <w:tab w:val="right" w:pos="8306" w:leader="none"/>
      </w:tabs>
    </w:pPr>
    <w:rPr>
      <w:lang w:val="en-US" w:eastAsia="en-US"/>
    </w:rPr>
  </w:style>
  <w:style w:type="character" w:styleId="746" w:customStyle="1">
    <w:name w:val="Header Char"/>
    <w:uiPriority w:val="99"/>
  </w:style>
  <w:style w:type="paragraph" w:styleId="747">
    <w:name w:val="Footer"/>
    <w:basedOn w:val="707"/>
    <w:link w:val="917"/>
    <w:pPr>
      <w:ind w:firstLine="0"/>
      <w:jc w:val="left"/>
      <w:spacing w:line="240" w:lineRule="auto"/>
      <w:widowControl w:val="off"/>
      <w:tabs>
        <w:tab w:val="center" w:pos="4153" w:leader="none"/>
        <w:tab w:val="right" w:pos="8306" w:leader="none"/>
      </w:tabs>
    </w:pPr>
    <w:rPr>
      <w:sz w:val="20"/>
      <w:szCs w:val="20"/>
      <w:lang w:val="en-US" w:eastAsia="en-US"/>
    </w:rPr>
  </w:style>
  <w:style w:type="character" w:styleId="748" w:customStyle="1">
    <w:name w:val="Footer Char"/>
    <w:uiPriority w:val="99"/>
  </w:style>
  <w:style w:type="paragraph" w:styleId="749">
    <w:name w:val="Caption"/>
    <w:basedOn w:val="707"/>
    <w:next w:val="707"/>
    <w:link w:val="750"/>
    <w:uiPriority w:val="35"/>
    <w:semiHidden/>
    <w:unhideWhenUsed/>
    <w:qFormat/>
    <w:pPr>
      <w:spacing w:line="276" w:lineRule="auto"/>
    </w:pPr>
    <w:rPr>
      <w:b/>
      <w:bCs/>
      <w:color w:val="4f81bd"/>
      <w:sz w:val="18"/>
      <w:szCs w:val="18"/>
    </w:rPr>
  </w:style>
  <w:style w:type="character" w:styleId="750" w:customStyle="1">
    <w:name w:val="Название объекта Знак"/>
    <w:link w:val="749"/>
    <w:uiPriority w:val="99"/>
  </w:style>
  <w:style w:type="table" w:styleId="751">
    <w:name w:val="Table Grid"/>
    <w:basedOn w:val="718"/>
    <w:rPr>
      <w:rFonts w:ascii="Calibri" w:hAnsi="Calibri"/>
    </w:rPr>
    <w:tblPr/>
  </w:style>
  <w:style w:type="table" w:styleId="752" w:customStyle="1">
    <w:name w:val="Table Grid Light"/>
    <w:uiPriority w:val="59"/>
    <w:rPr>
      <w:lang w:eastAsia="zh-CN"/>
    </w:rPr>
    <w:tblPr>
      <w:tblInd w:w="0" w:type="dxa"/>
      <w:tblBorders>
        <w:top w:val="single" w:color="AFAFAF" w:sz="4" w:space="0"/>
        <w:left w:val="single" w:color="AFAFAF" w:sz="4" w:space="0"/>
        <w:bottom w:val="single" w:color="AFAFAF" w:sz="4" w:space="0"/>
        <w:right w:val="single" w:color="AFAFAF" w:sz="4" w:space="0"/>
        <w:insideH w:val="single" w:color="AFAFAF" w:sz="4" w:space="0"/>
        <w:insideV w:val="single" w:color="AFAFAF" w:sz="4" w:space="0"/>
      </w:tblBorders>
      <w:tblCellMar>
        <w:left w:w="108" w:type="dxa"/>
        <w:top w:w="0" w:type="dxa"/>
        <w:right w:w="108" w:type="dxa"/>
        <w:bottom w:w="0" w:type="dxa"/>
      </w:tblCellMar>
    </w:tblPr>
  </w:style>
  <w:style w:type="table" w:styleId="753">
    <w:name w:val="Plain Table 1"/>
    <w:uiPriority w:val="59"/>
    <w:rPr>
      <w:lang w:eastAsia="zh-CN"/>
    </w:rPr>
    <w:tblPr>
      <w:tblInd w:w="0" w:type="dxa"/>
      <w:tblBorders>
        <w:top w:val="single" w:color="AFAFAF" w:sz="4" w:space="0"/>
        <w:left w:val="single" w:color="AFAFAF" w:sz="4" w:space="0"/>
        <w:bottom w:val="single" w:color="AFAFAF" w:sz="4" w:space="0"/>
        <w:right w:val="single" w:color="AFAFAF" w:sz="4" w:space="0"/>
        <w:insideH w:val="single" w:color="AFAFAF" w:sz="4" w:space="0"/>
        <w:insideV w:val="single" w:color="AFAFAF" w:sz="4" w:space="0"/>
      </w:tblBorders>
      <w:tblCellMar>
        <w:left w:w="108" w:type="dxa"/>
        <w:top w:w="0" w:type="dxa"/>
        <w:right w:w="108" w:type="dxa"/>
        <w:bottom w:w="0" w:type="dxa"/>
      </w:tblCellMar>
    </w:tblPr>
  </w:style>
  <w:style w:type="table" w:styleId="754">
    <w:name w:val="Plain Table 2"/>
    <w:uiPriority w:val="59"/>
    <w:rPr>
      <w:lang w:eastAsia="zh-CN"/>
    </w:rPr>
    <w:tblPr>
      <w:tblInd w:w="0" w:type="dxa"/>
      <w:tblBorders>
        <w:top w:val="single" w:color="000000" w:sz="4" w:space="0"/>
        <w:left w:val="none" w:color="000000" w:sz="4" w:space="0"/>
        <w:bottom w:val="single" w:color="000000" w:sz="4" w:space="0"/>
        <w:right w:val="none" w:color="000000" w:sz="4" w:space="0"/>
      </w:tblBorders>
      <w:tblCellMar>
        <w:left w:w="108" w:type="dxa"/>
        <w:top w:w="0" w:type="dxa"/>
        <w:right w:w="108" w:type="dxa"/>
        <w:bottom w:w="0" w:type="dxa"/>
      </w:tblCellMar>
    </w:tblPr>
  </w:style>
  <w:style w:type="table" w:styleId="755">
    <w:name w:val="Plain Table 3"/>
    <w:uiPriority w:val="99"/>
    <w:rPr>
      <w:lang w:eastAsia="zh-CN"/>
    </w:rPr>
    <w:tblPr>
      <w:tblStyleRowBandSize w:val="1"/>
      <w:tblStyleColBandSize w:val="1"/>
      <w:tblInd w:w="0" w:type="dxa"/>
      <w:tblCellMar>
        <w:left w:w="0" w:type="dxa"/>
        <w:top w:w="0" w:type="dxa"/>
        <w:right w:w="0" w:type="dxa"/>
        <w:bottom w:w="0" w:type="dxa"/>
      </w:tblCellMar>
    </w:tblPr>
  </w:style>
  <w:style w:type="table" w:styleId="756">
    <w:name w:val="Plain Table 4"/>
    <w:uiPriority w:val="99"/>
    <w:rPr>
      <w:lang w:eastAsia="zh-CN"/>
    </w:rPr>
    <w:tblPr>
      <w:tblStyleRowBandSize w:val="1"/>
      <w:tblStyleColBandSize w:val="1"/>
      <w:tblInd w:w="0" w:type="dxa"/>
      <w:tblCellMar>
        <w:left w:w="0" w:type="dxa"/>
        <w:top w:w="0" w:type="dxa"/>
        <w:right w:w="0" w:type="dxa"/>
        <w:bottom w:w="0" w:type="dxa"/>
      </w:tblCellMar>
    </w:tblPr>
  </w:style>
  <w:style w:type="table" w:styleId="757">
    <w:name w:val="Plain Table 5"/>
    <w:uiPriority w:val="99"/>
    <w:rPr>
      <w:lang w:eastAsia="zh-CN"/>
    </w:rPr>
    <w:tblPr>
      <w:tblStyleRowBandSize w:val="1"/>
      <w:tblStyleColBandSize w:val="1"/>
      <w:tblInd w:w="0" w:type="dxa"/>
      <w:tblCellMar>
        <w:left w:w="0" w:type="dxa"/>
        <w:top w:w="0" w:type="dxa"/>
        <w:right w:w="0" w:type="dxa"/>
        <w:bottom w:w="0" w:type="dxa"/>
      </w:tblCellMar>
    </w:tblPr>
  </w:style>
  <w:style w:type="table" w:styleId="758">
    <w:name w:val="Grid Table 1 Light"/>
    <w:uiPriority w:val="99"/>
    <w:rPr>
      <w:lang w:eastAsia="zh-CN"/>
    </w:rPr>
    <w:tblPr>
      <w:tblStyleRowBandSize w:val="1"/>
      <w:tblStyleColBandSize w:val="1"/>
      <w:tblInd w:w="0" w:type="dxa"/>
      <w:tblBorders>
        <w:top w:val="single" w:color="989898" w:sz="4" w:space="0"/>
        <w:left w:val="single" w:color="989898" w:sz="4" w:space="0"/>
        <w:bottom w:val="single" w:color="989898" w:sz="4" w:space="0"/>
        <w:right w:val="single" w:color="989898" w:sz="4" w:space="0"/>
        <w:insideH w:val="single" w:color="989898" w:sz="4" w:space="0"/>
        <w:insideV w:val="single" w:color="989898" w:sz="4" w:space="0"/>
      </w:tblBorders>
      <w:tblCellMar>
        <w:left w:w="0" w:type="dxa"/>
        <w:top w:w="0" w:type="dxa"/>
        <w:right w:w="0" w:type="dxa"/>
        <w:bottom w:w="0" w:type="dxa"/>
      </w:tblCellMar>
    </w:tblPr>
  </w:style>
  <w:style w:type="table" w:styleId="759" w:customStyle="1">
    <w:name w:val="Grid Table 1 Light - Accent 1"/>
    <w:uiPriority w:val="99"/>
    <w:rPr>
      <w:lang w:eastAsia="zh-CN"/>
    </w:rPr>
    <w:tblPr>
      <w:tblStyleRowBandSize w:val="1"/>
      <w:tblStyleColBandSize w:val="1"/>
      <w:tblInd w:w="0" w:type="dxa"/>
      <w:tblBorders>
        <w:top w:val="single" w:color="B7CBE4" w:sz="4" w:space="0"/>
        <w:left w:val="single" w:color="B7CBE4" w:sz="4" w:space="0"/>
        <w:bottom w:val="single" w:color="B7CBE4" w:sz="4" w:space="0"/>
        <w:right w:val="single" w:color="B7CBE4" w:sz="4" w:space="0"/>
        <w:insideH w:val="single" w:color="B7CBE4" w:sz="4" w:space="0"/>
        <w:insideV w:val="single" w:color="B7CBE4" w:sz="4" w:space="0"/>
      </w:tblBorders>
      <w:tblCellMar>
        <w:left w:w="0" w:type="dxa"/>
        <w:top w:w="0" w:type="dxa"/>
        <w:right w:w="0" w:type="dxa"/>
        <w:bottom w:w="0" w:type="dxa"/>
      </w:tblCellMar>
    </w:tblPr>
  </w:style>
  <w:style w:type="table" w:styleId="760" w:customStyle="1">
    <w:name w:val="Grid Table 1 Light - Accent 2"/>
    <w:uiPriority w:val="99"/>
    <w:rPr>
      <w:lang w:eastAsia="zh-CN"/>
    </w:rPr>
    <w:tblPr>
      <w:tblStyleRowBandSize w:val="1"/>
      <w:tblStyleColBandSize w:val="1"/>
      <w:tblInd w:w="0" w:type="dxa"/>
      <w:tblBorders>
        <w:top w:val="single" w:color="E5B7B6" w:sz="4" w:space="0"/>
        <w:left w:val="single" w:color="E5B7B6" w:sz="4" w:space="0"/>
        <w:bottom w:val="single" w:color="E5B7B6" w:sz="4" w:space="0"/>
        <w:right w:val="single" w:color="E5B7B6" w:sz="4" w:space="0"/>
        <w:insideH w:val="single" w:color="E5B7B6" w:sz="4" w:space="0"/>
        <w:insideV w:val="single" w:color="E5B7B6" w:sz="4" w:space="0"/>
      </w:tblBorders>
      <w:tblCellMar>
        <w:left w:w="0" w:type="dxa"/>
        <w:top w:w="0" w:type="dxa"/>
        <w:right w:w="0" w:type="dxa"/>
        <w:bottom w:w="0" w:type="dxa"/>
      </w:tblCellMar>
    </w:tblPr>
  </w:style>
  <w:style w:type="table" w:styleId="761" w:customStyle="1">
    <w:name w:val="Grid Table 1 Light - Accent 3"/>
    <w:uiPriority w:val="99"/>
    <w:rPr>
      <w:lang w:eastAsia="zh-CN"/>
    </w:rPr>
    <w:tblPr>
      <w:tblStyleRowBandSize w:val="1"/>
      <w:tblStyleColBandSize w:val="1"/>
      <w:tblInd w:w="0" w:type="dxa"/>
      <w:tblBorders>
        <w:top w:val="single" w:color="D6E3BB" w:sz="4" w:space="0"/>
        <w:left w:val="single" w:color="D6E3BB" w:sz="4" w:space="0"/>
        <w:bottom w:val="single" w:color="D6E3BB" w:sz="4" w:space="0"/>
        <w:right w:val="single" w:color="D6E3BB" w:sz="4" w:space="0"/>
        <w:insideH w:val="single" w:color="D6E3BB" w:sz="4" w:space="0"/>
        <w:insideV w:val="single" w:color="D6E3BB" w:sz="4" w:space="0"/>
      </w:tblBorders>
      <w:tblCellMar>
        <w:left w:w="0" w:type="dxa"/>
        <w:top w:w="0" w:type="dxa"/>
        <w:right w:w="0" w:type="dxa"/>
        <w:bottom w:w="0" w:type="dxa"/>
      </w:tblCellMar>
    </w:tblPr>
  </w:style>
  <w:style w:type="table" w:styleId="762" w:customStyle="1">
    <w:name w:val="Grid Table 1 Light - Accent 4"/>
    <w:uiPriority w:val="99"/>
    <w:rPr>
      <w:lang w:eastAsia="zh-CN"/>
    </w:rPr>
    <w:tblPr>
      <w:tblStyleRowBandSize w:val="1"/>
      <w:tblStyleColBandSize w:val="1"/>
      <w:tblInd w:w="0" w:type="dxa"/>
      <w:tblBorders>
        <w:top w:val="single" w:color="CBC0D9" w:sz="4" w:space="0"/>
        <w:left w:val="single" w:color="CBC0D9" w:sz="4" w:space="0"/>
        <w:bottom w:val="single" w:color="CBC0D9" w:sz="4" w:space="0"/>
        <w:right w:val="single" w:color="CBC0D9" w:sz="4" w:space="0"/>
        <w:insideH w:val="single" w:color="CBC0D9" w:sz="4" w:space="0"/>
        <w:insideV w:val="single" w:color="CBC0D9" w:sz="4" w:space="0"/>
      </w:tblBorders>
      <w:tblCellMar>
        <w:left w:w="0" w:type="dxa"/>
        <w:top w:w="0" w:type="dxa"/>
        <w:right w:w="0" w:type="dxa"/>
        <w:bottom w:w="0" w:type="dxa"/>
      </w:tblCellMar>
    </w:tblPr>
  </w:style>
  <w:style w:type="table" w:styleId="763" w:customStyle="1">
    <w:name w:val="Grid Table 1 Light - Accent 5"/>
    <w:uiPriority w:val="99"/>
    <w:rPr>
      <w:lang w:eastAsia="zh-CN"/>
    </w:rPr>
    <w:tblPr>
      <w:tblStyleRowBandSize w:val="1"/>
      <w:tblStyleColBandSize w:val="1"/>
      <w:tblInd w:w="0" w:type="dxa"/>
      <w:tblBorders>
        <w:top w:val="single" w:color="B6DDE8" w:sz="4" w:space="0"/>
        <w:left w:val="single" w:color="B6DDE8" w:sz="4" w:space="0"/>
        <w:bottom w:val="single" w:color="B6DDE8" w:sz="4" w:space="0"/>
        <w:right w:val="single" w:color="B6DDE8" w:sz="4" w:space="0"/>
        <w:insideH w:val="single" w:color="B6DDE8" w:sz="4" w:space="0"/>
        <w:insideV w:val="single" w:color="B6DDE8" w:sz="4" w:space="0"/>
      </w:tblBorders>
      <w:tblCellMar>
        <w:left w:w="0" w:type="dxa"/>
        <w:top w:w="0" w:type="dxa"/>
        <w:right w:w="0" w:type="dxa"/>
        <w:bottom w:w="0" w:type="dxa"/>
      </w:tblCellMar>
    </w:tblPr>
  </w:style>
  <w:style w:type="table" w:styleId="764" w:customStyle="1">
    <w:name w:val="Grid Table 1 Light - Accent 6"/>
    <w:uiPriority w:val="99"/>
    <w:rPr>
      <w:lang w:eastAsia="zh-CN"/>
    </w:rPr>
    <w:tblPr>
      <w:tblStyleRowBandSize w:val="1"/>
      <w:tblStyleColBandSize w:val="1"/>
      <w:tblInd w:w="0" w:type="dxa"/>
      <w:tblBorders>
        <w:top w:val="single" w:color="FBD4B4" w:sz="4" w:space="0"/>
        <w:left w:val="single" w:color="FBD4B4" w:sz="4" w:space="0"/>
        <w:bottom w:val="single" w:color="FBD4B4" w:sz="4" w:space="0"/>
        <w:right w:val="single" w:color="FBD4B4" w:sz="4" w:space="0"/>
        <w:insideH w:val="single" w:color="FBD4B4" w:sz="4" w:space="0"/>
        <w:insideV w:val="single" w:color="FBD4B4" w:sz="4" w:space="0"/>
      </w:tblBorders>
      <w:tblCellMar>
        <w:left w:w="0" w:type="dxa"/>
        <w:top w:w="0" w:type="dxa"/>
        <w:right w:w="0" w:type="dxa"/>
        <w:bottom w:w="0" w:type="dxa"/>
      </w:tblCellMar>
    </w:tblPr>
  </w:style>
  <w:style w:type="table" w:styleId="765">
    <w:name w:val="Grid Table 2"/>
    <w:uiPriority w:val="99"/>
    <w:rPr>
      <w:lang w:eastAsia="zh-CN"/>
    </w:rPr>
    <w:tblPr>
      <w:tblStyleRowBandSize w:val="1"/>
      <w:tblStyleColBandSize w:val="1"/>
      <w:tblInd w:w="0" w:type="dxa"/>
      <w:tblBorders>
        <w:bottom w:val="single" w:color="6A6A6A" w:sz="4" w:space="0"/>
        <w:insideH w:val="single" w:color="6A6A6A" w:sz="4" w:space="0"/>
        <w:insideV w:val="single" w:color="6A6A6A" w:sz="4" w:space="0"/>
      </w:tblBorders>
      <w:tblCellMar>
        <w:left w:w="0" w:type="dxa"/>
        <w:top w:w="0" w:type="dxa"/>
        <w:right w:w="0" w:type="dxa"/>
        <w:bottom w:w="0" w:type="dxa"/>
      </w:tblCellMar>
    </w:tblPr>
  </w:style>
  <w:style w:type="table" w:styleId="766" w:customStyle="1">
    <w:name w:val="Grid Table 2 - Accent 1"/>
    <w:uiPriority w:val="99"/>
    <w:rPr>
      <w:lang w:eastAsia="zh-CN"/>
    </w:rPr>
    <w:tblPr>
      <w:tblStyleRowBandSize w:val="1"/>
      <w:tblStyleColBandSize w:val="1"/>
      <w:tblInd w:w="0" w:type="dxa"/>
      <w:tblBorders>
        <w:bottom w:val="single" w:color="5D8AC2" w:sz="4" w:space="0"/>
        <w:insideH w:val="single" w:color="5D8AC2" w:sz="4" w:space="0"/>
        <w:insideV w:val="single" w:color="5D8AC2" w:sz="4" w:space="0"/>
      </w:tblBorders>
      <w:tblCellMar>
        <w:left w:w="0" w:type="dxa"/>
        <w:top w:w="0" w:type="dxa"/>
        <w:right w:w="0" w:type="dxa"/>
        <w:bottom w:w="0" w:type="dxa"/>
      </w:tblCellMar>
    </w:tblPr>
  </w:style>
  <w:style w:type="table" w:styleId="767" w:customStyle="1">
    <w:name w:val="Grid Table 2 - Accent 2"/>
    <w:uiPriority w:val="99"/>
    <w:rPr>
      <w:lang w:eastAsia="zh-CN"/>
    </w:rPr>
    <w:tblPr>
      <w:tblStyleRowBandSize w:val="1"/>
      <w:tblStyleColBandSize w:val="1"/>
      <w:tblInd w:w="0" w:type="dxa"/>
      <w:tblBorders>
        <w:bottom w:val="single" w:color="D99695" w:sz="4" w:space="0"/>
        <w:insideH w:val="single" w:color="D99695" w:sz="4" w:space="0"/>
        <w:insideV w:val="single" w:color="D99695" w:sz="4" w:space="0"/>
      </w:tblBorders>
      <w:tblCellMar>
        <w:left w:w="0" w:type="dxa"/>
        <w:top w:w="0" w:type="dxa"/>
        <w:right w:w="0" w:type="dxa"/>
        <w:bottom w:w="0" w:type="dxa"/>
      </w:tblCellMar>
    </w:tblPr>
  </w:style>
  <w:style w:type="table" w:styleId="768" w:customStyle="1">
    <w:name w:val="Grid Table 2 - Accent 3"/>
    <w:uiPriority w:val="99"/>
    <w:rPr>
      <w:lang w:eastAsia="zh-CN"/>
    </w:rPr>
    <w:tblPr>
      <w:tblStyleRowBandSize w:val="1"/>
      <w:tblStyleColBandSize w:val="1"/>
      <w:tblInd w:w="0" w:type="dxa"/>
      <w:tblBorders>
        <w:bottom w:val="single" w:color="9ABB59" w:sz="4" w:space="0"/>
        <w:insideH w:val="single" w:color="9ABB59" w:sz="4" w:space="0"/>
        <w:insideV w:val="single" w:color="9ABB59" w:sz="4" w:space="0"/>
      </w:tblBorders>
      <w:tblCellMar>
        <w:left w:w="0" w:type="dxa"/>
        <w:top w:w="0" w:type="dxa"/>
        <w:right w:w="0" w:type="dxa"/>
        <w:bottom w:w="0" w:type="dxa"/>
      </w:tblCellMar>
    </w:tblPr>
  </w:style>
  <w:style w:type="table" w:styleId="769" w:customStyle="1">
    <w:name w:val="Grid Table 2 - Accent 4"/>
    <w:uiPriority w:val="99"/>
    <w:rPr>
      <w:lang w:eastAsia="zh-CN"/>
    </w:rPr>
    <w:tblPr>
      <w:tblStyleRowBandSize w:val="1"/>
      <w:tblStyleColBandSize w:val="1"/>
      <w:tblInd w:w="0" w:type="dxa"/>
      <w:tblBorders>
        <w:bottom w:val="single" w:color="B2A1C6" w:sz="4" w:space="0"/>
        <w:insideH w:val="single" w:color="B2A1C6" w:sz="4" w:space="0"/>
        <w:insideV w:val="single" w:color="B2A1C6" w:sz="4" w:space="0"/>
      </w:tblBorders>
      <w:tblCellMar>
        <w:left w:w="0" w:type="dxa"/>
        <w:top w:w="0" w:type="dxa"/>
        <w:right w:w="0" w:type="dxa"/>
        <w:bottom w:w="0" w:type="dxa"/>
      </w:tblCellMar>
    </w:tblPr>
  </w:style>
  <w:style w:type="table" w:styleId="770" w:customStyle="1">
    <w:name w:val="Grid Table 2 - Accent 5"/>
    <w:uiPriority w:val="99"/>
    <w:rPr>
      <w:lang w:eastAsia="zh-CN"/>
    </w:rPr>
    <w:tblPr>
      <w:tblStyleRowBandSize w:val="1"/>
      <w:tblStyleColBandSize w:val="1"/>
      <w:tblInd w:w="0" w:type="dxa"/>
      <w:tblBorders>
        <w:bottom w:val="single" w:color="4BACC6" w:sz="4" w:space="0"/>
        <w:insideH w:val="single" w:color="4BACC6" w:sz="4" w:space="0"/>
        <w:insideV w:val="single" w:color="4BACC6" w:sz="4" w:space="0"/>
      </w:tblBorders>
      <w:tblCellMar>
        <w:left w:w="0" w:type="dxa"/>
        <w:top w:w="0" w:type="dxa"/>
        <w:right w:w="0" w:type="dxa"/>
        <w:bottom w:w="0" w:type="dxa"/>
      </w:tblCellMar>
    </w:tblPr>
  </w:style>
  <w:style w:type="table" w:styleId="771" w:customStyle="1">
    <w:name w:val="Grid Table 2 - Accent 6"/>
    <w:uiPriority w:val="99"/>
    <w:rPr>
      <w:lang w:eastAsia="zh-CN"/>
    </w:rPr>
    <w:tblPr>
      <w:tblStyleRowBandSize w:val="1"/>
      <w:tblStyleColBandSize w:val="1"/>
      <w:tblInd w:w="0" w:type="dxa"/>
      <w:tblBorders>
        <w:bottom w:val="single" w:color="F79646" w:sz="4" w:space="0"/>
        <w:insideH w:val="single" w:color="F79646" w:sz="4" w:space="0"/>
        <w:insideV w:val="single" w:color="F79646" w:sz="4" w:space="0"/>
      </w:tblBorders>
      <w:tblCellMar>
        <w:left w:w="0" w:type="dxa"/>
        <w:top w:w="0" w:type="dxa"/>
        <w:right w:w="0" w:type="dxa"/>
        <w:bottom w:w="0" w:type="dxa"/>
      </w:tblCellMar>
    </w:tblPr>
  </w:style>
  <w:style w:type="table" w:styleId="772">
    <w:name w:val="Grid Table 3"/>
    <w:uiPriority w:val="99"/>
    <w:rPr>
      <w:lang w:eastAsia="zh-CN"/>
    </w:rPr>
    <w:tblPr>
      <w:tblStyleRowBandSize w:val="1"/>
      <w:tblStyleColBandSize w:val="1"/>
      <w:tblInd w:w="0" w:type="dxa"/>
      <w:tblBorders>
        <w:bottom w:val="single" w:color="6A6A6A" w:sz="4" w:space="0"/>
        <w:insideH w:val="single" w:color="6A6A6A" w:sz="4" w:space="0"/>
        <w:insideV w:val="single" w:color="6A6A6A" w:sz="4" w:space="0"/>
      </w:tblBorders>
      <w:tblCellMar>
        <w:left w:w="0" w:type="dxa"/>
        <w:top w:w="0" w:type="dxa"/>
        <w:right w:w="0" w:type="dxa"/>
        <w:bottom w:w="0" w:type="dxa"/>
      </w:tblCellMar>
    </w:tblPr>
  </w:style>
  <w:style w:type="table" w:styleId="773" w:customStyle="1">
    <w:name w:val="Grid Table 3 - Accent 1"/>
    <w:uiPriority w:val="99"/>
    <w:rPr>
      <w:lang w:eastAsia="zh-CN"/>
    </w:rPr>
    <w:tblPr>
      <w:tblStyleRowBandSize w:val="1"/>
      <w:tblStyleColBandSize w:val="1"/>
      <w:tblInd w:w="0" w:type="dxa"/>
      <w:tblBorders>
        <w:bottom w:val="single" w:color="5D8AC2" w:sz="4" w:space="0"/>
        <w:insideH w:val="single" w:color="5D8AC2" w:sz="4" w:space="0"/>
        <w:insideV w:val="single" w:color="5D8AC2" w:sz="4" w:space="0"/>
      </w:tblBorders>
      <w:tblCellMar>
        <w:left w:w="0" w:type="dxa"/>
        <w:top w:w="0" w:type="dxa"/>
        <w:right w:w="0" w:type="dxa"/>
        <w:bottom w:w="0" w:type="dxa"/>
      </w:tblCellMar>
    </w:tblPr>
  </w:style>
  <w:style w:type="table" w:styleId="774" w:customStyle="1">
    <w:name w:val="Grid Table 3 - Accent 2"/>
    <w:uiPriority w:val="99"/>
    <w:rPr>
      <w:lang w:eastAsia="zh-CN"/>
    </w:rPr>
    <w:tblPr>
      <w:tblStyleRowBandSize w:val="1"/>
      <w:tblStyleColBandSize w:val="1"/>
      <w:tblInd w:w="0" w:type="dxa"/>
      <w:tblBorders>
        <w:bottom w:val="single" w:color="D99695" w:sz="4" w:space="0"/>
        <w:insideH w:val="single" w:color="D99695" w:sz="4" w:space="0"/>
        <w:insideV w:val="single" w:color="D99695" w:sz="4" w:space="0"/>
      </w:tblBorders>
      <w:tblCellMar>
        <w:left w:w="0" w:type="dxa"/>
        <w:top w:w="0" w:type="dxa"/>
        <w:right w:w="0" w:type="dxa"/>
        <w:bottom w:w="0" w:type="dxa"/>
      </w:tblCellMar>
    </w:tblPr>
  </w:style>
  <w:style w:type="table" w:styleId="775" w:customStyle="1">
    <w:name w:val="Grid Table 3 - Accent 3"/>
    <w:uiPriority w:val="99"/>
    <w:rPr>
      <w:lang w:eastAsia="zh-CN"/>
    </w:rPr>
    <w:tblPr>
      <w:tblStyleRowBandSize w:val="1"/>
      <w:tblStyleColBandSize w:val="1"/>
      <w:tblInd w:w="0" w:type="dxa"/>
      <w:tblBorders>
        <w:bottom w:val="single" w:color="9ABB59" w:sz="4" w:space="0"/>
        <w:insideH w:val="single" w:color="9ABB59" w:sz="4" w:space="0"/>
        <w:insideV w:val="single" w:color="9ABB59" w:sz="4" w:space="0"/>
      </w:tblBorders>
      <w:tblCellMar>
        <w:left w:w="0" w:type="dxa"/>
        <w:top w:w="0" w:type="dxa"/>
        <w:right w:w="0" w:type="dxa"/>
        <w:bottom w:w="0" w:type="dxa"/>
      </w:tblCellMar>
    </w:tblPr>
  </w:style>
  <w:style w:type="table" w:styleId="776" w:customStyle="1">
    <w:name w:val="Grid Table 3 - Accent 4"/>
    <w:uiPriority w:val="99"/>
    <w:rPr>
      <w:lang w:eastAsia="zh-CN"/>
    </w:rPr>
    <w:tblPr>
      <w:tblStyleRowBandSize w:val="1"/>
      <w:tblStyleColBandSize w:val="1"/>
      <w:tblInd w:w="0" w:type="dxa"/>
      <w:tblBorders>
        <w:bottom w:val="single" w:color="B2A1C6" w:sz="4" w:space="0"/>
        <w:insideH w:val="single" w:color="B2A1C6" w:sz="4" w:space="0"/>
        <w:insideV w:val="single" w:color="B2A1C6" w:sz="4" w:space="0"/>
      </w:tblBorders>
      <w:tblCellMar>
        <w:left w:w="0" w:type="dxa"/>
        <w:top w:w="0" w:type="dxa"/>
        <w:right w:w="0" w:type="dxa"/>
        <w:bottom w:w="0" w:type="dxa"/>
      </w:tblCellMar>
    </w:tblPr>
  </w:style>
  <w:style w:type="table" w:styleId="777" w:customStyle="1">
    <w:name w:val="Grid Table 3 - Accent 5"/>
    <w:uiPriority w:val="99"/>
    <w:rPr>
      <w:lang w:eastAsia="zh-CN"/>
    </w:rPr>
    <w:tblPr>
      <w:tblStyleRowBandSize w:val="1"/>
      <w:tblStyleColBandSize w:val="1"/>
      <w:tblInd w:w="0" w:type="dxa"/>
      <w:tblBorders>
        <w:bottom w:val="single" w:color="4BACC6" w:sz="4" w:space="0"/>
        <w:insideH w:val="single" w:color="4BACC6" w:sz="4" w:space="0"/>
        <w:insideV w:val="single" w:color="4BACC6" w:sz="4" w:space="0"/>
      </w:tblBorders>
      <w:tblCellMar>
        <w:left w:w="0" w:type="dxa"/>
        <w:top w:w="0" w:type="dxa"/>
        <w:right w:w="0" w:type="dxa"/>
        <w:bottom w:w="0" w:type="dxa"/>
      </w:tblCellMar>
    </w:tblPr>
  </w:style>
  <w:style w:type="table" w:styleId="778" w:customStyle="1">
    <w:name w:val="Grid Table 3 - Accent 6"/>
    <w:uiPriority w:val="99"/>
    <w:rPr>
      <w:lang w:eastAsia="zh-CN"/>
    </w:rPr>
    <w:tblPr>
      <w:tblStyleRowBandSize w:val="1"/>
      <w:tblStyleColBandSize w:val="1"/>
      <w:tblInd w:w="0" w:type="dxa"/>
      <w:tblBorders>
        <w:bottom w:val="single" w:color="F79646" w:sz="4" w:space="0"/>
        <w:insideH w:val="single" w:color="F79646" w:sz="4" w:space="0"/>
        <w:insideV w:val="single" w:color="F79646" w:sz="4" w:space="0"/>
      </w:tblBorders>
      <w:tblCellMar>
        <w:left w:w="0" w:type="dxa"/>
        <w:top w:w="0" w:type="dxa"/>
        <w:right w:w="0" w:type="dxa"/>
        <w:bottom w:w="0" w:type="dxa"/>
      </w:tblCellMar>
    </w:tblPr>
  </w:style>
  <w:style w:type="table" w:styleId="779">
    <w:name w:val="Grid Table 4"/>
    <w:uiPriority w:val="59"/>
    <w:rPr>
      <w:lang w:eastAsia="zh-CN"/>
    </w:rPr>
    <w:tblPr>
      <w:tblStyleRowBandSize w:val="1"/>
      <w:tblStyleColBandSize w:val="1"/>
      <w:tblInd w:w="0" w:type="dxa"/>
      <w:tblBorders>
        <w:top w:val="single" w:color="6F6F6F" w:sz="4" w:space="0"/>
        <w:left w:val="single" w:color="6F6F6F" w:sz="4" w:space="0"/>
        <w:bottom w:val="single" w:color="6F6F6F" w:sz="4" w:space="0"/>
        <w:right w:val="single" w:color="6F6F6F" w:sz="4" w:space="0"/>
        <w:insideH w:val="single" w:color="6F6F6F" w:sz="4" w:space="0"/>
        <w:insideV w:val="single" w:color="6F6F6F" w:sz="4" w:space="0"/>
      </w:tblBorders>
      <w:tblCellMar>
        <w:left w:w="0" w:type="dxa"/>
        <w:top w:w="0" w:type="dxa"/>
        <w:right w:w="0" w:type="dxa"/>
        <w:bottom w:w="0" w:type="dxa"/>
      </w:tblCellMar>
    </w:tblPr>
  </w:style>
  <w:style w:type="table" w:styleId="780" w:customStyle="1">
    <w:name w:val="Grid Table 4 - Accent 1"/>
    <w:uiPriority w:val="59"/>
    <w:rPr>
      <w:lang w:eastAsia="zh-CN"/>
    </w:rPr>
    <w:tblPr>
      <w:tblStyleRowBandSize w:val="1"/>
      <w:tblStyleColBandSize w:val="1"/>
      <w:tblInd w:w="0" w:type="dxa"/>
      <w:tblBorders>
        <w:top w:val="single" w:color="9BB7D9" w:sz="4" w:space="0"/>
        <w:left w:val="single" w:color="9BB7D9" w:sz="4" w:space="0"/>
        <w:bottom w:val="single" w:color="9BB7D9" w:sz="4" w:space="0"/>
        <w:right w:val="single" w:color="9BB7D9" w:sz="4" w:space="0"/>
        <w:insideH w:val="single" w:color="9BB7D9" w:sz="4" w:space="0"/>
        <w:insideV w:val="single" w:color="9BB7D9" w:sz="4" w:space="0"/>
      </w:tblBorders>
      <w:tblCellMar>
        <w:left w:w="0" w:type="dxa"/>
        <w:top w:w="0" w:type="dxa"/>
        <w:right w:w="0" w:type="dxa"/>
        <w:bottom w:w="0" w:type="dxa"/>
      </w:tblCellMar>
    </w:tblPr>
  </w:style>
  <w:style w:type="table" w:styleId="781" w:customStyle="1">
    <w:name w:val="Grid Table 4 - Accent 2"/>
    <w:uiPriority w:val="59"/>
    <w:rPr>
      <w:lang w:eastAsia="zh-CN"/>
    </w:rPr>
    <w:tblPr>
      <w:tblStyleRowBandSize w:val="1"/>
      <w:tblStyleColBandSize w:val="1"/>
      <w:tblInd w:w="0" w:type="dxa"/>
      <w:tblBorders>
        <w:top w:val="single" w:color="DB9B9A" w:sz="4" w:space="0"/>
        <w:left w:val="single" w:color="DB9B9A" w:sz="4" w:space="0"/>
        <w:bottom w:val="single" w:color="DB9B9A" w:sz="4" w:space="0"/>
        <w:right w:val="single" w:color="DB9B9A" w:sz="4" w:space="0"/>
        <w:insideH w:val="single" w:color="DB9B9A" w:sz="4" w:space="0"/>
        <w:insideV w:val="single" w:color="DB9B9A" w:sz="4" w:space="0"/>
      </w:tblBorders>
      <w:tblCellMar>
        <w:left w:w="0" w:type="dxa"/>
        <w:top w:w="0" w:type="dxa"/>
        <w:right w:w="0" w:type="dxa"/>
        <w:bottom w:w="0" w:type="dxa"/>
      </w:tblCellMar>
    </w:tblPr>
  </w:style>
  <w:style w:type="table" w:styleId="782" w:customStyle="1">
    <w:name w:val="Grid Table 4 - Accent 3"/>
    <w:uiPriority w:val="59"/>
    <w:rPr>
      <w:lang w:eastAsia="zh-CN"/>
    </w:rPr>
    <w:tblPr>
      <w:tblStyleRowBandSize w:val="1"/>
      <w:tblStyleColBandSize w:val="1"/>
      <w:tblInd w:w="0" w:type="dxa"/>
      <w:tblBorders>
        <w:top w:val="single" w:color="C6D8A1" w:sz="4" w:space="0"/>
        <w:left w:val="single" w:color="C6D8A1" w:sz="4" w:space="0"/>
        <w:bottom w:val="single" w:color="C6D8A1" w:sz="4" w:space="0"/>
        <w:right w:val="single" w:color="C6D8A1" w:sz="4" w:space="0"/>
        <w:insideH w:val="single" w:color="C6D8A1" w:sz="4" w:space="0"/>
        <w:insideV w:val="single" w:color="C6D8A1" w:sz="4" w:space="0"/>
      </w:tblBorders>
      <w:tblCellMar>
        <w:left w:w="0" w:type="dxa"/>
        <w:top w:w="0" w:type="dxa"/>
        <w:right w:w="0" w:type="dxa"/>
        <w:bottom w:w="0" w:type="dxa"/>
      </w:tblCellMar>
    </w:tblPr>
  </w:style>
  <w:style w:type="table" w:styleId="783" w:customStyle="1">
    <w:name w:val="Grid Table 4 - Accent 4"/>
    <w:uiPriority w:val="59"/>
    <w:rPr>
      <w:lang w:eastAsia="zh-CN"/>
    </w:rPr>
    <w:tblPr>
      <w:tblStyleRowBandSize w:val="1"/>
      <w:tblStyleColBandSize w:val="1"/>
      <w:tblInd w:w="0" w:type="dxa"/>
      <w:tblBorders>
        <w:top w:val="single" w:color="B7A7CA" w:sz="4" w:space="0"/>
        <w:left w:val="single" w:color="B7A7CA" w:sz="4" w:space="0"/>
        <w:bottom w:val="single" w:color="B7A7CA" w:sz="4" w:space="0"/>
        <w:right w:val="single" w:color="B7A7CA" w:sz="4" w:space="0"/>
        <w:insideH w:val="single" w:color="B7A7CA" w:sz="4" w:space="0"/>
        <w:insideV w:val="single" w:color="B7A7CA" w:sz="4" w:space="0"/>
      </w:tblBorders>
      <w:tblCellMar>
        <w:left w:w="0" w:type="dxa"/>
        <w:top w:w="0" w:type="dxa"/>
        <w:right w:w="0" w:type="dxa"/>
        <w:bottom w:w="0" w:type="dxa"/>
      </w:tblCellMar>
    </w:tblPr>
  </w:style>
  <w:style w:type="table" w:styleId="784" w:customStyle="1">
    <w:name w:val="Grid Table 4 - Accent 5"/>
    <w:uiPriority w:val="59"/>
    <w:rPr>
      <w:lang w:eastAsia="zh-CN"/>
    </w:rPr>
    <w:tblPr>
      <w:tblStyleRowBandSize w:val="1"/>
      <w:tblStyleColBandSize w:val="1"/>
      <w:tblInd w:w="0" w:type="dxa"/>
      <w:tblBorders>
        <w:top w:val="single" w:color="99D0DE" w:sz="4" w:space="0"/>
        <w:left w:val="single" w:color="99D0DE" w:sz="4" w:space="0"/>
        <w:bottom w:val="single" w:color="99D0DE" w:sz="4" w:space="0"/>
        <w:right w:val="single" w:color="99D0DE" w:sz="4" w:space="0"/>
        <w:insideH w:val="single" w:color="99D0DE" w:sz="4" w:space="0"/>
        <w:insideV w:val="single" w:color="99D0DE" w:sz="4" w:space="0"/>
      </w:tblBorders>
      <w:tblCellMar>
        <w:left w:w="0" w:type="dxa"/>
        <w:top w:w="0" w:type="dxa"/>
        <w:right w:w="0" w:type="dxa"/>
        <w:bottom w:w="0" w:type="dxa"/>
      </w:tblCellMar>
    </w:tblPr>
  </w:style>
  <w:style w:type="table" w:styleId="785" w:customStyle="1">
    <w:name w:val="Grid Table 4 - Accent 6"/>
    <w:uiPriority w:val="59"/>
    <w:rPr>
      <w:lang w:eastAsia="zh-CN"/>
    </w:rPr>
    <w:tblPr>
      <w:tblStyleRowBandSize w:val="1"/>
      <w:tblStyleColBandSize w:val="1"/>
      <w:tblInd w:w="0" w:type="dxa"/>
      <w:tblBorders>
        <w:top w:val="single" w:color="FAC396" w:sz="4" w:space="0"/>
        <w:left w:val="single" w:color="FAC396" w:sz="4" w:space="0"/>
        <w:bottom w:val="single" w:color="FAC396" w:sz="4" w:space="0"/>
        <w:right w:val="single" w:color="FAC396" w:sz="4" w:space="0"/>
        <w:insideH w:val="single" w:color="FAC396" w:sz="4" w:space="0"/>
        <w:insideV w:val="single" w:color="FAC396" w:sz="4" w:space="0"/>
      </w:tblBorders>
      <w:tblCellMar>
        <w:left w:w="0" w:type="dxa"/>
        <w:top w:w="0" w:type="dxa"/>
        <w:right w:w="0" w:type="dxa"/>
        <w:bottom w:w="0" w:type="dxa"/>
      </w:tblCellMar>
    </w:tblPr>
  </w:style>
  <w:style w:type="table" w:styleId="786">
    <w:name w:val="Grid Table 5 Dark"/>
    <w:uiPriority w:val="99"/>
    <w:rPr>
      <w:lang w:eastAsia="zh-CN"/>
    </w:rPr>
    <w:tblPr>
      <w:tblStyleRowBandSize w:val="1"/>
      <w:tblStyleColBandSize w:val="1"/>
      <w:tblInd w:w="0" w:type="dxa"/>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shd w:val="clear" w:color="bfbfbf" w:fill="bfbfbf"/>
      <w:tblCellMar>
        <w:left w:w="0" w:type="dxa"/>
        <w:top w:w="0" w:type="dxa"/>
        <w:right w:w="0" w:type="dxa"/>
        <w:bottom w:w="0" w:type="dxa"/>
      </w:tblCellMar>
    </w:tblPr>
  </w:style>
  <w:style w:type="table" w:styleId="787" w:customStyle="1">
    <w:name w:val="Grid Table 5 Dark- Accent 1"/>
    <w:uiPriority w:val="99"/>
    <w:rPr>
      <w:lang w:eastAsia="zh-CN"/>
    </w:rPr>
    <w:tblPr>
      <w:tblStyleRowBandSize w:val="1"/>
      <w:tblStyleColBandSize w:val="1"/>
      <w:tblInd w:w="0" w:type="dxa"/>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shd w:val="clear" w:color="dae5f1" w:fill="dae5f1"/>
      <w:tblCellMar>
        <w:left w:w="0" w:type="dxa"/>
        <w:top w:w="0" w:type="dxa"/>
        <w:right w:w="0" w:type="dxa"/>
        <w:bottom w:w="0" w:type="dxa"/>
      </w:tblCellMar>
    </w:tblPr>
  </w:style>
  <w:style w:type="table" w:styleId="788" w:customStyle="1">
    <w:name w:val="Grid Table 5 Dark - Accent 2"/>
    <w:uiPriority w:val="99"/>
    <w:rPr>
      <w:lang w:eastAsia="zh-CN"/>
    </w:rPr>
    <w:tblPr>
      <w:tblStyleRowBandSize w:val="1"/>
      <w:tblStyleColBandSize w:val="1"/>
      <w:tblInd w:w="0" w:type="dxa"/>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shd w:val="clear" w:color="f2dcdc" w:fill="f2dcdc"/>
      <w:tblCellMar>
        <w:left w:w="0" w:type="dxa"/>
        <w:top w:w="0" w:type="dxa"/>
        <w:right w:w="0" w:type="dxa"/>
        <w:bottom w:w="0" w:type="dxa"/>
      </w:tblCellMar>
    </w:tblPr>
  </w:style>
  <w:style w:type="table" w:styleId="789" w:customStyle="1">
    <w:name w:val="Grid Table 5 Dark - Accent 3"/>
    <w:uiPriority w:val="99"/>
    <w:rPr>
      <w:lang w:eastAsia="zh-CN"/>
    </w:rPr>
    <w:tblPr>
      <w:tblStyleRowBandSize w:val="1"/>
      <w:tblStyleColBandSize w:val="1"/>
      <w:tblInd w:w="0" w:type="dxa"/>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shd w:val="clear" w:color="eaf1dc" w:fill="eaf1dc"/>
      <w:tblCellMar>
        <w:left w:w="0" w:type="dxa"/>
        <w:top w:w="0" w:type="dxa"/>
        <w:right w:w="0" w:type="dxa"/>
        <w:bottom w:w="0" w:type="dxa"/>
      </w:tblCellMar>
    </w:tblPr>
  </w:style>
  <w:style w:type="table" w:styleId="790" w:customStyle="1">
    <w:name w:val="Grid Table 5 Dark- Accent 4"/>
    <w:uiPriority w:val="99"/>
    <w:rPr>
      <w:lang w:eastAsia="zh-CN"/>
    </w:rPr>
    <w:tblPr>
      <w:tblStyleRowBandSize w:val="1"/>
      <w:tblStyleColBandSize w:val="1"/>
      <w:tblInd w:w="0" w:type="dxa"/>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shd w:val="clear" w:color="e5dfec" w:fill="e5dfec"/>
      <w:tblCellMar>
        <w:left w:w="0" w:type="dxa"/>
        <w:top w:w="0" w:type="dxa"/>
        <w:right w:w="0" w:type="dxa"/>
        <w:bottom w:w="0" w:type="dxa"/>
      </w:tblCellMar>
    </w:tblPr>
  </w:style>
  <w:style w:type="table" w:styleId="791" w:customStyle="1">
    <w:name w:val="Grid Table 5 Dark - Accent 5"/>
    <w:uiPriority w:val="99"/>
    <w:rPr>
      <w:lang w:eastAsia="zh-CN"/>
    </w:rPr>
    <w:tblPr>
      <w:tblStyleRowBandSize w:val="1"/>
      <w:tblStyleColBandSize w:val="1"/>
      <w:tblInd w:w="0" w:type="dxa"/>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shd w:val="clear" w:color="daeef3" w:fill="daeef3"/>
      <w:tblCellMar>
        <w:left w:w="0" w:type="dxa"/>
        <w:top w:w="0" w:type="dxa"/>
        <w:right w:w="0" w:type="dxa"/>
        <w:bottom w:w="0" w:type="dxa"/>
      </w:tblCellMar>
    </w:tblPr>
  </w:style>
  <w:style w:type="table" w:styleId="792" w:customStyle="1">
    <w:name w:val="Grid Table 5 Dark - Accent 6"/>
    <w:uiPriority w:val="99"/>
    <w:rPr>
      <w:lang w:eastAsia="zh-CN"/>
    </w:rPr>
    <w:tblPr>
      <w:tblStyleRowBandSize w:val="1"/>
      <w:tblStyleColBandSize w:val="1"/>
      <w:tblInd w:w="0" w:type="dxa"/>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shd w:val="clear" w:color="fde9d8" w:fill="fde9d8"/>
      <w:tblCellMar>
        <w:left w:w="0" w:type="dxa"/>
        <w:top w:w="0" w:type="dxa"/>
        <w:right w:w="0" w:type="dxa"/>
        <w:bottom w:w="0" w:type="dxa"/>
      </w:tblCellMar>
    </w:tblPr>
  </w:style>
  <w:style w:type="table" w:styleId="793">
    <w:name w:val="Grid Table 6 Colorful"/>
    <w:uiPriority w:val="99"/>
    <w:rPr>
      <w:lang w:eastAsia="zh-CN"/>
    </w:rPr>
    <w:tblPr>
      <w:tblStyleRowBandSize w:val="1"/>
      <w:tblStyleColBandSize w:val="1"/>
      <w:tblInd w:w="0" w:type="dxa"/>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left w:w="0" w:type="dxa"/>
        <w:top w:w="0" w:type="dxa"/>
        <w:right w:w="0" w:type="dxa"/>
        <w:bottom w:w="0" w:type="dxa"/>
      </w:tblCellMar>
    </w:tblPr>
  </w:style>
  <w:style w:type="table" w:styleId="794" w:customStyle="1">
    <w:name w:val="Grid Table 6 Colorful - Accent 1"/>
    <w:uiPriority w:val="99"/>
    <w:rPr>
      <w:lang w:eastAsia="zh-CN"/>
    </w:rPr>
    <w:tblPr>
      <w:tblStyleRowBandSize w:val="1"/>
      <w:tblStyleColBandSize w:val="1"/>
      <w:tblInd w:w="0" w:type="dxa"/>
      <w:tblBorders>
        <w:top w:val="single" w:color="A6BFDD" w:sz="4" w:space="0"/>
        <w:left w:val="single" w:color="A6BFDD" w:sz="4" w:space="0"/>
        <w:bottom w:val="single" w:color="A6BFDD" w:sz="4" w:space="0"/>
        <w:right w:val="single" w:color="A6BFDD" w:sz="4" w:space="0"/>
        <w:insideH w:val="single" w:color="A6BFDD" w:sz="4" w:space="0"/>
        <w:insideV w:val="single" w:color="A6BFDD" w:sz="4" w:space="0"/>
      </w:tblBorders>
      <w:tblCellMar>
        <w:left w:w="0" w:type="dxa"/>
        <w:top w:w="0" w:type="dxa"/>
        <w:right w:w="0" w:type="dxa"/>
        <w:bottom w:w="0" w:type="dxa"/>
      </w:tblCellMar>
    </w:tblPr>
  </w:style>
  <w:style w:type="table" w:styleId="795" w:customStyle="1">
    <w:name w:val="Grid Table 6 Colorful - Accent 2"/>
    <w:uiPriority w:val="99"/>
    <w:rPr>
      <w:lang w:eastAsia="zh-CN"/>
    </w:rPr>
    <w:tblPr>
      <w:tblStyleRowBandSize w:val="1"/>
      <w:tblStyleColBandSize w:val="1"/>
      <w:tblInd w:w="0" w:type="dxa"/>
      <w:tblBorders>
        <w:top w:val="single" w:color="D99695" w:sz="4" w:space="0"/>
        <w:left w:val="single" w:color="D99695" w:sz="4" w:space="0"/>
        <w:bottom w:val="single" w:color="D99695" w:sz="4" w:space="0"/>
        <w:right w:val="single" w:color="D99695" w:sz="4" w:space="0"/>
        <w:insideH w:val="single" w:color="D99695" w:sz="4" w:space="0"/>
        <w:insideV w:val="single" w:color="D99695" w:sz="4" w:space="0"/>
      </w:tblBorders>
      <w:tblCellMar>
        <w:left w:w="0" w:type="dxa"/>
        <w:top w:w="0" w:type="dxa"/>
        <w:right w:w="0" w:type="dxa"/>
        <w:bottom w:w="0" w:type="dxa"/>
      </w:tblCellMar>
    </w:tblPr>
  </w:style>
  <w:style w:type="table" w:styleId="796" w:customStyle="1">
    <w:name w:val="Grid Table 6 Colorful - Accent 3"/>
    <w:uiPriority w:val="99"/>
    <w:rPr>
      <w:lang w:eastAsia="zh-CN"/>
    </w:rPr>
    <w:tblPr>
      <w:tblStyleRowBandSize w:val="1"/>
      <w:tblStyleColBandSize w:val="1"/>
      <w:tblInd w:w="0" w:type="dxa"/>
      <w:tblBorders>
        <w:top w:val="single" w:color="9ABB59" w:sz="4" w:space="0"/>
        <w:left w:val="single" w:color="9ABB59" w:sz="4" w:space="0"/>
        <w:bottom w:val="single" w:color="9ABB59" w:sz="4" w:space="0"/>
        <w:right w:val="single" w:color="9ABB59" w:sz="4" w:space="0"/>
        <w:insideH w:val="single" w:color="9ABB59" w:sz="4" w:space="0"/>
        <w:insideV w:val="single" w:color="9ABB59" w:sz="4" w:space="0"/>
      </w:tblBorders>
      <w:tblCellMar>
        <w:left w:w="0" w:type="dxa"/>
        <w:top w:w="0" w:type="dxa"/>
        <w:right w:w="0" w:type="dxa"/>
        <w:bottom w:w="0" w:type="dxa"/>
      </w:tblCellMar>
    </w:tblPr>
  </w:style>
  <w:style w:type="table" w:styleId="797" w:customStyle="1">
    <w:name w:val="Grid Table 6 Colorful - Accent 4"/>
    <w:uiPriority w:val="99"/>
    <w:rPr>
      <w:lang w:eastAsia="zh-CN"/>
    </w:rPr>
    <w:tblPr>
      <w:tblStyleRowBandSize w:val="1"/>
      <w:tblStyleColBandSize w:val="1"/>
      <w:tblInd w:w="0" w:type="dxa"/>
      <w:tblBorders>
        <w:top w:val="single" w:color="B2A1C6" w:sz="4" w:space="0"/>
        <w:left w:val="single" w:color="B2A1C6" w:sz="4" w:space="0"/>
        <w:bottom w:val="single" w:color="B2A1C6" w:sz="4" w:space="0"/>
        <w:right w:val="single" w:color="B2A1C6" w:sz="4" w:space="0"/>
        <w:insideH w:val="single" w:color="B2A1C6" w:sz="4" w:space="0"/>
        <w:insideV w:val="single" w:color="B2A1C6" w:sz="4" w:space="0"/>
      </w:tblBorders>
      <w:tblCellMar>
        <w:left w:w="0" w:type="dxa"/>
        <w:top w:w="0" w:type="dxa"/>
        <w:right w:w="0" w:type="dxa"/>
        <w:bottom w:w="0" w:type="dxa"/>
      </w:tblCellMar>
    </w:tblPr>
  </w:style>
  <w:style w:type="table" w:styleId="798" w:customStyle="1">
    <w:name w:val="Grid Table 6 Colorful - Accent 5"/>
    <w:uiPriority w:val="99"/>
    <w:rPr>
      <w:lang w:eastAsia="zh-CN"/>
    </w:rPr>
    <w:tblPr>
      <w:tblStyleRowBandSize w:val="1"/>
      <w:tblStyleColBandSize w:val="1"/>
      <w:tblInd w:w="0" w:type="dxa"/>
      <w:tblBorders>
        <w:top w:val="single" w:color="4BACC6" w:sz="4" w:space="0"/>
        <w:left w:val="single" w:color="4BACC6" w:sz="4" w:space="0"/>
        <w:bottom w:val="single" w:color="4BACC6" w:sz="4" w:space="0"/>
        <w:right w:val="single" w:color="4BACC6" w:sz="4" w:space="0"/>
        <w:insideH w:val="single" w:color="4BACC6" w:sz="4" w:space="0"/>
        <w:insideV w:val="single" w:color="4BACC6" w:sz="4" w:space="0"/>
      </w:tblBorders>
      <w:tblCellMar>
        <w:left w:w="0" w:type="dxa"/>
        <w:top w:w="0" w:type="dxa"/>
        <w:right w:w="0" w:type="dxa"/>
        <w:bottom w:w="0" w:type="dxa"/>
      </w:tblCellMar>
    </w:tblPr>
  </w:style>
  <w:style w:type="table" w:styleId="799" w:customStyle="1">
    <w:name w:val="Grid Table 6 Colorful - Accent 6"/>
    <w:uiPriority w:val="99"/>
    <w:rPr>
      <w:lang w:eastAsia="zh-CN"/>
    </w:rPr>
    <w:tblPr>
      <w:tblStyleRowBandSize w:val="1"/>
      <w:tblStyleColBandSize w:val="1"/>
      <w:tblInd w:w="0" w:type="dxa"/>
      <w:tblBorders>
        <w:top w:val="single" w:color="F79646" w:sz="4" w:space="0"/>
        <w:left w:val="single" w:color="F79646" w:sz="4" w:space="0"/>
        <w:bottom w:val="single" w:color="F79646" w:sz="4" w:space="0"/>
        <w:right w:val="single" w:color="F79646" w:sz="4" w:space="0"/>
        <w:insideH w:val="single" w:color="F79646" w:sz="4" w:space="0"/>
        <w:insideV w:val="single" w:color="F79646" w:sz="4" w:space="0"/>
      </w:tblBorders>
      <w:tblCellMar>
        <w:left w:w="0" w:type="dxa"/>
        <w:top w:w="0" w:type="dxa"/>
        <w:right w:w="0" w:type="dxa"/>
        <w:bottom w:w="0" w:type="dxa"/>
      </w:tblCellMar>
    </w:tblPr>
  </w:style>
  <w:style w:type="table" w:styleId="800">
    <w:name w:val="Grid Table 7 Colorful"/>
    <w:uiPriority w:val="99"/>
    <w:rPr>
      <w:lang w:eastAsia="zh-CN"/>
    </w:rPr>
    <w:tblPr>
      <w:tblStyleRowBandSize w:val="1"/>
      <w:tblStyleColBandSize w:val="1"/>
      <w:tblInd w:w="0" w:type="dxa"/>
      <w:tblBorders>
        <w:bottom w:val="single" w:color="7F7F7F" w:sz="4" w:space="0"/>
        <w:right w:val="single" w:color="7F7F7F" w:sz="4" w:space="0"/>
        <w:insideH w:val="single" w:color="7F7F7F" w:sz="4" w:space="0"/>
        <w:insideV w:val="single" w:color="7F7F7F" w:sz="4" w:space="0"/>
      </w:tblBorders>
      <w:tblCellMar>
        <w:left w:w="0" w:type="dxa"/>
        <w:top w:w="0" w:type="dxa"/>
        <w:right w:w="0" w:type="dxa"/>
        <w:bottom w:w="0" w:type="dxa"/>
      </w:tblCellMar>
    </w:tblPr>
  </w:style>
  <w:style w:type="table" w:styleId="801" w:customStyle="1">
    <w:name w:val="Grid Table 7 Colorful - Accent 1"/>
    <w:uiPriority w:val="99"/>
    <w:rPr>
      <w:lang w:eastAsia="zh-CN"/>
    </w:rPr>
    <w:tblPr>
      <w:tblStyleRowBandSize w:val="1"/>
      <w:tblStyleColBandSize w:val="1"/>
      <w:tblInd w:w="0" w:type="dxa"/>
      <w:tblBorders>
        <w:bottom w:val="single" w:color="A6BFDD" w:sz="4" w:space="0"/>
        <w:right w:val="single" w:color="A6BFDD" w:sz="4" w:space="0"/>
        <w:insideH w:val="single" w:color="A6BFDD" w:sz="4" w:space="0"/>
        <w:insideV w:val="single" w:color="A6BFDD" w:sz="4" w:space="0"/>
      </w:tblBorders>
      <w:tblCellMar>
        <w:left w:w="0" w:type="dxa"/>
        <w:top w:w="0" w:type="dxa"/>
        <w:right w:w="0" w:type="dxa"/>
        <w:bottom w:w="0" w:type="dxa"/>
      </w:tblCellMar>
    </w:tblPr>
  </w:style>
  <w:style w:type="table" w:styleId="802" w:customStyle="1">
    <w:name w:val="Grid Table 7 Colorful - Accent 2"/>
    <w:uiPriority w:val="99"/>
    <w:rPr>
      <w:lang w:eastAsia="zh-CN"/>
    </w:rPr>
    <w:tblPr>
      <w:tblStyleRowBandSize w:val="1"/>
      <w:tblStyleColBandSize w:val="1"/>
      <w:tblInd w:w="0" w:type="dxa"/>
      <w:tblBorders>
        <w:bottom w:val="single" w:color="D99695" w:sz="4" w:space="0"/>
        <w:right w:val="single" w:color="D99695" w:sz="4" w:space="0"/>
        <w:insideH w:val="single" w:color="D99695" w:sz="4" w:space="0"/>
        <w:insideV w:val="single" w:color="D99695" w:sz="4" w:space="0"/>
      </w:tblBorders>
      <w:tblCellMar>
        <w:left w:w="0" w:type="dxa"/>
        <w:top w:w="0" w:type="dxa"/>
        <w:right w:w="0" w:type="dxa"/>
        <w:bottom w:w="0" w:type="dxa"/>
      </w:tblCellMar>
    </w:tblPr>
  </w:style>
  <w:style w:type="table" w:styleId="803" w:customStyle="1">
    <w:name w:val="Grid Table 7 Colorful - Accent 3"/>
    <w:uiPriority w:val="99"/>
    <w:rPr>
      <w:lang w:eastAsia="zh-CN"/>
    </w:rPr>
    <w:tblPr>
      <w:tblStyleRowBandSize w:val="1"/>
      <w:tblStyleColBandSize w:val="1"/>
      <w:tblInd w:w="0" w:type="dxa"/>
      <w:tblBorders>
        <w:bottom w:val="single" w:color="9ABB59" w:sz="4" w:space="0"/>
        <w:right w:val="single" w:color="9ABB59" w:sz="4" w:space="0"/>
        <w:insideH w:val="single" w:color="9ABB59" w:sz="4" w:space="0"/>
        <w:insideV w:val="single" w:color="9ABB59" w:sz="4" w:space="0"/>
      </w:tblBorders>
      <w:tblCellMar>
        <w:left w:w="0" w:type="dxa"/>
        <w:top w:w="0" w:type="dxa"/>
        <w:right w:w="0" w:type="dxa"/>
        <w:bottom w:w="0" w:type="dxa"/>
      </w:tblCellMar>
    </w:tblPr>
  </w:style>
  <w:style w:type="table" w:styleId="804" w:customStyle="1">
    <w:name w:val="Grid Table 7 Colorful - Accent 4"/>
    <w:uiPriority w:val="99"/>
    <w:rPr>
      <w:lang w:eastAsia="zh-CN"/>
    </w:rPr>
    <w:tblPr>
      <w:tblStyleRowBandSize w:val="1"/>
      <w:tblStyleColBandSize w:val="1"/>
      <w:tblInd w:w="0" w:type="dxa"/>
      <w:tblBorders>
        <w:bottom w:val="single" w:color="B2A1C6" w:sz="4" w:space="0"/>
        <w:right w:val="single" w:color="B2A1C6" w:sz="4" w:space="0"/>
        <w:insideH w:val="single" w:color="B2A1C6" w:sz="4" w:space="0"/>
        <w:insideV w:val="single" w:color="B2A1C6" w:sz="4" w:space="0"/>
      </w:tblBorders>
      <w:tblCellMar>
        <w:left w:w="0" w:type="dxa"/>
        <w:top w:w="0" w:type="dxa"/>
        <w:right w:w="0" w:type="dxa"/>
        <w:bottom w:w="0" w:type="dxa"/>
      </w:tblCellMar>
    </w:tblPr>
  </w:style>
  <w:style w:type="table" w:styleId="805" w:customStyle="1">
    <w:name w:val="Grid Table 7 Colorful - Accent 5"/>
    <w:uiPriority w:val="99"/>
    <w:rPr>
      <w:lang w:eastAsia="zh-CN"/>
    </w:rPr>
    <w:tblPr>
      <w:tblStyleRowBandSize w:val="1"/>
      <w:tblStyleColBandSize w:val="1"/>
      <w:tblInd w:w="0" w:type="dxa"/>
      <w:tblBorders>
        <w:bottom w:val="single" w:color="99D0DE" w:sz="4" w:space="0"/>
        <w:right w:val="single" w:color="99D0DE" w:sz="4" w:space="0"/>
        <w:insideH w:val="single" w:color="99D0DE" w:sz="4" w:space="0"/>
        <w:insideV w:val="single" w:color="99D0DE" w:sz="4" w:space="0"/>
      </w:tblBorders>
      <w:tblCellMar>
        <w:left w:w="0" w:type="dxa"/>
        <w:top w:w="0" w:type="dxa"/>
        <w:right w:w="0" w:type="dxa"/>
        <w:bottom w:w="0" w:type="dxa"/>
      </w:tblCellMar>
    </w:tblPr>
  </w:style>
  <w:style w:type="table" w:styleId="806" w:customStyle="1">
    <w:name w:val="Grid Table 7 Colorful - Accent 6"/>
    <w:uiPriority w:val="99"/>
    <w:rPr>
      <w:lang w:eastAsia="zh-CN"/>
    </w:rPr>
    <w:tblPr>
      <w:tblStyleRowBandSize w:val="1"/>
      <w:tblStyleColBandSize w:val="1"/>
      <w:tblInd w:w="0" w:type="dxa"/>
      <w:tblBorders>
        <w:bottom w:val="single" w:color="FAC396" w:sz="4" w:space="0"/>
        <w:right w:val="single" w:color="FAC396" w:sz="4" w:space="0"/>
        <w:insideH w:val="single" w:color="FAC396" w:sz="4" w:space="0"/>
        <w:insideV w:val="single" w:color="FAC396" w:sz="4" w:space="0"/>
      </w:tblBorders>
      <w:tblCellMar>
        <w:left w:w="0" w:type="dxa"/>
        <w:top w:w="0" w:type="dxa"/>
        <w:right w:w="0" w:type="dxa"/>
        <w:bottom w:w="0" w:type="dxa"/>
      </w:tblCellMar>
    </w:tblPr>
  </w:style>
  <w:style w:type="table" w:styleId="807">
    <w:name w:val="List Table 1 Light"/>
    <w:uiPriority w:val="99"/>
    <w:rPr>
      <w:lang w:eastAsia="zh-CN"/>
    </w:rPr>
    <w:tblPr>
      <w:tblStyleRowBandSize w:val="1"/>
      <w:tblStyleColBandSize w:val="1"/>
      <w:tblInd w:w="0" w:type="dxa"/>
      <w:tblCellMar>
        <w:left w:w="0" w:type="dxa"/>
        <w:top w:w="0" w:type="dxa"/>
        <w:right w:w="0" w:type="dxa"/>
        <w:bottom w:w="0" w:type="dxa"/>
      </w:tblCellMar>
    </w:tblPr>
  </w:style>
  <w:style w:type="table" w:styleId="808" w:customStyle="1">
    <w:name w:val="List Table 1 Light - Accent 1"/>
    <w:uiPriority w:val="99"/>
    <w:rPr>
      <w:lang w:eastAsia="zh-CN"/>
    </w:rPr>
    <w:tblPr>
      <w:tblStyleRowBandSize w:val="1"/>
      <w:tblStyleColBandSize w:val="1"/>
      <w:tblInd w:w="0" w:type="dxa"/>
      <w:tblCellMar>
        <w:left w:w="0" w:type="dxa"/>
        <w:top w:w="0" w:type="dxa"/>
        <w:right w:w="0" w:type="dxa"/>
        <w:bottom w:w="0" w:type="dxa"/>
      </w:tblCellMar>
    </w:tblPr>
  </w:style>
  <w:style w:type="table" w:styleId="809" w:customStyle="1">
    <w:name w:val="List Table 1 Light - Accent 2"/>
    <w:uiPriority w:val="99"/>
    <w:rPr>
      <w:lang w:eastAsia="zh-CN"/>
    </w:rPr>
    <w:tblPr>
      <w:tblStyleRowBandSize w:val="1"/>
      <w:tblStyleColBandSize w:val="1"/>
      <w:tblInd w:w="0" w:type="dxa"/>
      <w:tblCellMar>
        <w:left w:w="0" w:type="dxa"/>
        <w:top w:w="0" w:type="dxa"/>
        <w:right w:w="0" w:type="dxa"/>
        <w:bottom w:w="0" w:type="dxa"/>
      </w:tblCellMar>
    </w:tblPr>
  </w:style>
  <w:style w:type="table" w:styleId="810" w:customStyle="1">
    <w:name w:val="List Table 1 Light - Accent 3"/>
    <w:uiPriority w:val="99"/>
    <w:rPr>
      <w:lang w:eastAsia="zh-CN"/>
    </w:rPr>
    <w:tblPr>
      <w:tblStyleRowBandSize w:val="1"/>
      <w:tblStyleColBandSize w:val="1"/>
      <w:tblInd w:w="0" w:type="dxa"/>
      <w:tblCellMar>
        <w:left w:w="0" w:type="dxa"/>
        <w:top w:w="0" w:type="dxa"/>
        <w:right w:w="0" w:type="dxa"/>
        <w:bottom w:w="0" w:type="dxa"/>
      </w:tblCellMar>
    </w:tblPr>
  </w:style>
  <w:style w:type="table" w:styleId="811" w:customStyle="1">
    <w:name w:val="List Table 1 Light - Accent 4"/>
    <w:uiPriority w:val="99"/>
    <w:rPr>
      <w:lang w:eastAsia="zh-CN"/>
    </w:rPr>
    <w:tblPr>
      <w:tblStyleRowBandSize w:val="1"/>
      <w:tblStyleColBandSize w:val="1"/>
      <w:tblInd w:w="0" w:type="dxa"/>
      <w:tblCellMar>
        <w:left w:w="0" w:type="dxa"/>
        <w:top w:w="0" w:type="dxa"/>
        <w:right w:w="0" w:type="dxa"/>
        <w:bottom w:w="0" w:type="dxa"/>
      </w:tblCellMar>
    </w:tblPr>
  </w:style>
  <w:style w:type="table" w:styleId="812" w:customStyle="1">
    <w:name w:val="List Table 1 Light - Accent 5"/>
    <w:uiPriority w:val="99"/>
    <w:rPr>
      <w:lang w:eastAsia="zh-CN"/>
    </w:rPr>
    <w:tblPr>
      <w:tblStyleRowBandSize w:val="1"/>
      <w:tblStyleColBandSize w:val="1"/>
      <w:tblInd w:w="0" w:type="dxa"/>
      <w:tblCellMar>
        <w:left w:w="0" w:type="dxa"/>
        <w:top w:w="0" w:type="dxa"/>
        <w:right w:w="0" w:type="dxa"/>
        <w:bottom w:w="0" w:type="dxa"/>
      </w:tblCellMar>
    </w:tblPr>
  </w:style>
  <w:style w:type="table" w:styleId="813" w:customStyle="1">
    <w:name w:val="List Table 1 Light - Accent 6"/>
    <w:uiPriority w:val="99"/>
    <w:rPr>
      <w:lang w:eastAsia="zh-CN"/>
    </w:rPr>
    <w:tblPr>
      <w:tblStyleRowBandSize w:val="1"/>
      <w:tblStyleColBandSize w:val="1"/>
      <w:tblInd w:w="0" w:type="dxa"/>
      <w:tblCellMar>
        <w:left w:w="0" w:type="dxa"/>
        <w:top w:w="0" w:type="dxa"/>
        <w:right w:w="0" w:type="dxa"/>
        <w:bottom w:w="0" w:type="dxa"/>
      </w:tblCellMar>
    </w:tblPr>
  </w:style>
  <w:style w:type="table" w:styleId="814">
    <w:name w:val="List Table 2"/>
    <w:uiPriority w:val="99"/>
    <w:rPr>
      <w:lang w:eastAsia="zh-CN"/>
    </w:rPr>
    <w:tblPr>
      <w:tblStyleRowBandSize w:val="1"/>
      <w:tblStyleColBandSize w:val="1"/>
      <w:tblInd w:w="0" w:type="dxa"/>
      <w:tblBorders>
        <w:top w:val="single" w:color="6F6F6F" w:sz="4" w:space="0"/>
        <w:bottom w:val="single" w:color="6F6F6F" w:sz="4" w:space="0"/>
        <w:insideH w:val="single" w:color="6F6F6F" w:sz="4" w:space="0"/>
      </w:tblBorders>
      <w:tblCellMar>
        <w:left w:w="0" w:type="dxa"/>
        <w:top w:w="0" w:type="dxa"/>
        <w:right w:w="0" w:type="dxa"/>
        <w:bottom w:w="0" w:type="dxa"/>
      </w:tblCellMar>
    </w:tblPr>
  </w:style>
  <w:style w:type="table" w:styleId="815" w:customStyle="1">
    <w:name w:val="List Table 2 - Accent 1"/>
    <w:uiPriority w:val="99"/>
    <w:rPr>
      <w:lang w:eastAsia="zh-CN"/>
    </w:rPr>
    <w:tblPr>
      <w:tblStyleRowBandSize w:val="1"/>
      <w:tblStyleColBandSize w:val="1"/>
      <w:tblInd w:w="0" w:type="dxa"/>
      <w:tblBorders>
        <w:top w:val="single" w:color="9BB7D9" w:sz="4" w:space="0"/>
        <w:bottom w:val="single" w:color="9BB7D9" w:sz="4" w:space="0"/>
        <w:insideH w:val="single" w:color="9BB7D9" w:sz="4" w:space="0"/>
      </w:tblBorders>
      <w:tblCellMar>
        <w:left w:w="0" w:type="dxa"/>
        <w:top w:w="0" w:type="dxa"/>
        <w:right w:w="0" w:type="dxa"/>
        <w:bottom w:w="0" w:type="dxa"/>
      </w:tblCellMar>
    </w:tblPr>
  </w:style>
  <w:style w:type="table" w:styleId="816" w:customStyle="1">
    <w:name w:val="List Table 2 - Accent 2"/>
    <w:uiPriority w:val="99"/>
    <w:rPr>
      <w:lang w:eastAsia="zh-CN"/>
    </w:rPr>
    <w:tblPr>
      <w:tblStyleRowBandSize w:val="1"/>
      <w:tblStyleColBandSize w:val="1"/>
      <w:tblInd w:w="0" w:type="dxa"/>
      <w:tblBorders>
        <w:top w:val="single" w:color="DB9B9A" w:sz="4" w:space="0"/>
        <w:bottom w:val="single" w:color="DB9B9A" w:sz="4" w:space="0"/>
        <w:insideH w:val="single" w:color="DB9B9A" w:sz="4" w:space="0"/>
      </w:tblBorders>
      <w:tblCellMar>
        <w:left w:w="0" w:type="dxa"/>
        <w:top w:w="0" w:type="dxa"/>
        <w:right w:w="0" w:type="dxa"/>
        <w:bottom w:w="0" w:type="dxa"/>
      </w:tblCellMar>
    </w:tblPr>
  </w:style>
  <w:style w:type="table" w:styleId="817" w:customStyle="1">
    <w:name w:val="List Table 2 - Accent 3"/>
    <w:uiPriority w:val="99"/>
    <w:rPr>
      <w:lang w:eastAsia="zh-CN"/>
    </w:rPr>
    <w:tblPr>
      <w:tblStyleRowBandSize w:val="1"/>
      <w:tblStyleColBandSize w:val="1"/>
      <w:tblInd w:w="0" w:type="dxa"/>
      <w:tblBorders>
        <w:top w:val="single" w:color="C6D8A1" w:sz="4" w:space="0"/>
        <w:bottom w:val="single" w:color="C6D8A1" w:sz="4" w:space="0"/>
        <w:insideH w:val="single" w:color="C6D8A1" w:sz="4" w:space="0"/>
      </w:tblBorders>
      <w:tblCellMar>
        <w:left w:w="0" w:type="dxa"/>
        <w:top w:w="0" w:type="dxa"/>
        <w:right w:w="0" w:type="dxa"/>
        <w:bottom w:w="0" w:type="dxa"/>
      </w:tblCellMar>
    </w:tblPr>
  </w:style>
  <w:style w:type="table" w:styleId="818" w:customStyle="1">
    <w:name w:val="List Table 2 - Accent 4"/>
    <w:uiPriority w:val="99"/>
    <w:rPr>
      <w:lang w:eastAsia="zh-CN"/>
    </w:rPr>
    <w:tblPr>
      <w:tblStyleRowBandSize w:val="1"/>
      <w:tblStyleColBandSize w:val="1"/>
      <w:tblInd w:w="0" w:type="dxa"/>
      <w:tblBorders>
        <w:top w:val="single" w:color="B7A7CA" w:sz="4" w:space="0"/>
        <w:bottom w:val="single" w:color="B7A7CA" w:sz="4" w:space="0"/>
        <w:insideH w:val="single" w:color="B7A7CA" w:sz="4" w:space="0"/>
      </w:tblBorders>
      <w:tblCellMar>
        <w:left w:w="0" w:type="dxa"/>
        <w:top w:w="0" w:type="dxa"/>
        <w:right w:w="0" w:type="dxa"/>
        <w:bottom w:w="0" w:type="dxa"/>
      </w:tblCellMar>
    </w:tblPr>
  </w:style>
  <w:style w:type="table" w:styleId="819" w:customStyle="1">
    <w:name w:val="List Table 2 - Accent 5"/>
    <w:uiPriority w:val="99"/>
    <w:rPr>
      <w:lang w:eastAsia="zh-CN"/>
    </w:rPr>
    <w:tblPr>
      <w:tblStyleRowBandSize w:val="1"/>
      <w:tblStyleColBandSize w:val="1"/>
      <w:tblInd w:w="0" w:type="dxa"/>
      <w:tblBorders>
        <w:top w:val="single" w:color="99D0DE" w:sz="4" w:space="0"/>
        <w:bottom w:val="single" w:color="99D0DE" w:sz="4" w:space="0"/>
        <w:insideH w:val="single" w:color="99D0DE" w:sz="4" w:space="0"/>
      </w:tblBorders>
      <w:tblCellMar>
        <w:left w:w="0" w:type="dxa"/>
        <w:top w:w="0" w:type="dxa"/>
        <w:right w:w="0" w:type="dxa"/>
        <w:bottom w:w="0" w:type="dxa"/>
      </w:tblCellMar>
    </w:tblPr>
  </w:style>
  <w:style w:type="table" w:styleId="820" w:customStyle="1">
    <w:name w:val="List Table 2 - Accent 6"/>
    <w:uiPriority w:val="99"/>
    <w:rPr>
      <w:lang w:eastAsia="zh-CN"/>
    </w:rPr>
    <w:tblPr>
      <w:tblStyleRowBandSize w:val="1"/>
      <w:tblStyleColBandSize w:val="1"/>
      <w:tblInd w:w="0" w:type="dxa"/>
      <w:tblBorders>
        <w:top w:val="single" w:color="FAC396" w:sz="4" w:space="0"/>
        <w:bottom w:val="single" w:color="FAC396" w:sz="4" w:space="0"/>
        <w:insideH w:val="single" w:color="FAC396" w:sz="4" w:space="0"/>
      </w:tblBorders>
      <w:tblCellMar>
        <w:left w:w="0" w:type="dxa"/>
        <w:top w:w="0" w:type="dxa"/>
        <w:right w:w="0" w:type="dxa"/>
        <w:bottom w:w="0" w:type="dxa"/>
      </w:tblCellMar>
    </w:tblPr>
  </w:style>
  <w:style w:type="table" w:styleId="821">
    <w:name w:val="List Table 3"/>
    <w:uiPriority w:val="99"/>
    <w:rPr>
      <w:lang w:eastAsia="zh-CN"/>
    </w:rPr>
    <w:tblPr>
      <w:tblStyleRowBandSize w:val="1"/>
      <w:tblStyleColBandSize w:val="1"/>
      <w:tblInd w:w="0" w:type="dxa"/>
      <w:tblBorders>
        <w:top w:val="single" w:color="000000" w:sz="4" w:space="0"/>
        <w:left w:val="single" w:color="000000" w:sz="4" w:space="0"/>
        <w:bottom w:val="single" w:color="000000" w:sz="4" w:space="0"/>
        <w:right w:val="single" w:color="000000" w:sz="4" w:space="0"/>
      </w:tblBorders>
      <w:tblCellMar>
        <w:left w:w="0" w:type="dxa"/>
        <w:top w:w="0" w:type="dxa"/>
        <w:right w:w="0" w:type="dxa"/>
        <w:bottom w:w="0" w:type="dxa"/>
      </w:tblCellMar>
    </w:tblPr>
  </w:style>
  <w:style w:type="table" w:styleId="822" w:customStyle="1">
    <w:name w:val="List Table 3 - Accent 1"/>
    <w:uiPriority w:val="99"/>
    <w:rPr>
      <w:lang w:eastAsia="zh-CN"/>
    </w:rPr>
    <w:tblPr>
      <w:tblStyleRowBandSize w:val="1"/>
      <w:tblStyleColBandSize w:val="1"/>
      <w:tblInd w:w="0" w:type="dxa"/>
      <w:tblBorders>
        <w:top w:val="single" w:color="4F81BD" w:sz="4" w:space="0"/>
        <w:left w:val="single" w:color="4F81BD" w:sz="4" w:space="0"/>
        <w:bottom w:val="single" w:color="4F81BD" w:sz="4" w:space="0"/>
        <w:right w:val="single" w:color="4F81BD" w:sz="4" w:space="0"/>
      </w:tblBorders>
      <w:tblCellMar>
        <w:left w:w="0" w:type="dxa"/>
        <w:top w:w="0" w:type="dxa"/>
        <w:right w:w="0" w:type="dxa"/>
        <w:bottom w:w="0" w:type="dxa"/>
      </w:tblCellMar>
    </w:tblPr>
  </w:style>
  <w:style w:type="table" w:styleId="823" w:customStyle="1">
    <w:name w:val="List Table 3 - Accent 2"/>
    <w:uiPriority w:val="99"/>
    <w:rPr>
      <w:lang w:eastAsia="zh-CN"/>
    </w:rPr>
    <w:tblPr>
      <w:tblStyleRowBandSize w:val="1"/>
      <w:tblStyleColBandSize w:val="1"/>
      <w:tblInd w:w="0" w:type="dxa"/>
      <w:tblBorders>
        <w:top w:val="single" w:color="D99695" w:sz="4" w:space="0"/>
        <w:left w:val="single" w:color="D99695" w:sz="4" w:space="0"/>
        <w:bottom w:val="single" w:color="D99695" w:sz="4" w:space="0"/>
        <w:right w:val="single" w:color="D99695" w:sz="4" w:space="0"/>
      </w:tblBorders>
      <w:tblCellMar>
        <w:left w:w="0" w:type="dxa"/>
        <w:top w:w="0" w:type="dxa"/>
        <w:right w:w="0" w:type="dxa"/>
        <w:bottom w:w="0" w:type="dxa"/>
      </w:tblCellMar>
    </w:tblPr>
  </w:style>
  <w:style w:type="table" w:styleId="824" w:customStyle="1">
    <w:name w:val="List Table 3 - Accent 3"/>
    <w:uiPriority w:val="99"/>
    <w:rPr>
      <w:lang w:eastAsia="zh-CN"/>
    </w:rPr>
    <w:tblPr>
      <w:tblStyleRowBandSize w:val="1"/>
      <w:tblStyleColBandSize w:val="1"/>
      <w:tblInd w:w="0" w:type="dxa"/>
      <w:tblBorders>
        <w:top w:val="single" w:color="C3D69B" w:sz="4" w:space="0"/>
        <w:left w:val="single" w:color="C3D69B" w:sz="4" w:space="0"/>
        <w:bottom w:val="single" w:color="C3D69B" w:sz="4" w:space="0"/>
        <w:right w:val="single" w:color="C3D69B" w:sz="4" w:space="0"/>
      </w:tblBorders>
      <w:tblCellMar>
        <w:left w:w="0" w:type="dxa"/>
        <w:top w:w="0" w:type="dxa"/>
        <w:right w:w="0" w:type="dxa"/>
        <w:bottom w:w="0" w:type="dxa"/>
      </w:tblCellMar>
    </w:tblPr>
  </w:style>
  <w:style w:type="table" w:styleId="825" w:customStyle="1">
    <w:name w:val="List Table 3 - Accent 4"/>
    <w:uiPriority w:val="99"/>
    <w:rPr>
      <w:lang w:eastAsia="zh-CN"/>
    </w:rPr>
    <w:tblPr>
      <w:tblStyleRowBandSize w:val="1"/>
      <w:tblStyleColBandSize w:val="1"/>
      <w:tblInd w:w="0" w:type="dxa"/>
      <w:tblBorders>
        <w:top w:val="single" w:color="B2A1C6" w:sz="4" w:space="0"/>
        <w:left w:val="single" w:color="B2A1C6" w:sz="4" w:space="0"/>
        <w:bottom w:val="single" w:color="B2A1C6" w:sz="4" w:space="0"/>
        <w:right w:val="single" w:color="B2A1C6" w:sz="4" w:space="0"/>
      </w:tblBorders>
      <w:tblCellMar>
        <w:left w:w="0" w:type="dxa"/>
        <w:top w:w="0" w:type="dxa"/>
        <w:right w:w="0" w:type="dxa"/>
        <w:bottom w:w="0" w:type="dxa"/>
      </w:tblCellMar>
    </w:tblPr>
  </w:style>
  <w:style w:type="table" w:styleId="826" w:customStyle="1">
    <w:name w:val="List Table 3 - Accent 5"/>
    <w:uiPriority w:val="99"/>
    <w:rPr>
      <w:lang w:eastAsia="zh-CN"/>
    </w:rPr>
    <w:tblPr>
      <w:tblStyleRowBandSize w:val="1"/>
      <w:tblStyleColBandSize w:val="1"/>
      <w:tblInd w:w="0" w:type="dxa"/>
      <w:tblBorders>
        <w:top w:val="single" w:color="92CCDC" w:sz="4" w:space="0"/>
        <w:left w:val="single" w:color="92CCDC" w:sz="4" w:space="0"/>
        <w:bottom w:val="single" w:color="92CCDC" w:sz="4" w:space="0"/>
        <w:right w:val="single" w:color="92CCDC" w:sz="4" w:space="0"/>
      </w:tblBorders>
      <w:tblCellMar>
        <w:left w:w="0" w:type="dxa"/>
        <w:top w:w="0" w:type="dxa"/>
        <w:right w:w="0" w:type="dxa"/>
        <w:bottom w:w="0" w:type="dxa"/>
      </w:tblCellMar>
    </w:tblPr>
  </w:style>
  <w:style w:type="table" w:styleId="827" w:customStyle="1">
    <w:name w:val="List Table 3 - Accent 6"/>
    <w:uiPriority w:val="99"/>
    <w:rPr>
      <w:lang w:eastAsia="zh-CN"/>
    </w:rPr>
    <w:tblPr>
      <w:tblStyleRowBandSize w:val="1"/>
      <w:tblStyleColBandSize w:val="1"/>
      <w:tblInd w:w="0" w:type="dxa"/>
      <w:tblBorders>
        <w:top w:val="single" w:color="FAC090" w:sz="4" w:space="0"/>
        <w:left w:val="single" w:color="FAC090" w:sz="4" w:space="0"/>
        <w:bottom w:val="single" w:color="FAC090" w:sz="4" w:space="0"/>
        <w:right w:val="single" w:color="FAC090" w:sz="4" w:space="0"/>
      </w:tblBorders>
      <w:tblCellMar>
        <w:left w:w="0" w:type="dxa"/>
        <w:top w:w="0" w:type="dxa"/>
        <w:right w:w="0" w:type="dxa"/>
        <w:bottom w:w="0" w:type="dxa"/>
      </w:tblCellMar>
    </w:tblPr>
  </w:style>
  <w:style w:type="table" w:styleId="828">
    <w:name w:val="List Table 4"/>
    <w:uiPriority w:val="99"/>
    <w:rPr>
      <w:lang w:eastAsia="zh-CN"/>
    </w:rPr>
    <w:tblPr>
      <w:tblStyleRowBandSize w:val="1"/>
      <w:tblStyleColBandSize w:val="1"/>
      <w:tblInd w:w="0" w:type="dxa"/>
      <w:tblBorders>
        <w:top w:val="single" w:color="000000" w:sz="4" w:space="0"/>
        <w:left w:val="single" w:color="000000" w:sz="4" w:space="0"/>
        <w:bottom w:val="single" w:color="000000" w:sz="4" w:space="0"/>
        <w:right w:val="single" w:color="000000" w:sz="4" w:space="0"/>
        <w:insideH w:val="single" w:color="000000" w:sz="4" w:space="0"/>
      </w:tblBorders>
      <w:tblCellMar>
        <w:left w:w="0" w:type="dxa"/>
        <w:top w:w="0" w:type="dxa"/>
        <w:right w:w="0" w:type="dxa"/>
        <w:bottom w:w="0" w:type="dxa"/>
      </w:tblCellMar>
    </w:tblPr>
  </w:style>
  <w:style w:type="table" w:styleId="829" w:customStyle="1">
    <w:name w:val="List Table 4 - Accent 1"/>
    <w:uiPriority w:val="99"/>
    <w:rPr>
      <w:lang w:eastAsia="zh-CN"/>
    </w:rPr>
    <w:tblPr>
      <w:tblStyleRowBandSize w:val="1"/>
      <w:tblStyleColBandSize w:val="1"/>
      <w:tblInd w:w="0" w:type="dxa"/>
      <w:tblBorders>
        <w:top w:val="single" w:color="9BB7D9" w:sz="4" w:space="0"/>
        <w:left w:val="single" w:color="9BB7D9" w:sz="4" w:space="0"/>
        <w:bottom w:val="single" w:color="9BB7D9" w:sz="4" w:space="0"/>
        <w:right w:val="single" w:color="9BB7D9" w:sz="4" w:space="0"/>
        <w:insideH w:val="single" w:color="9BB7D9" w:sz="4" w:space="0"/>
      </w:tblBorders>
      <w:tblCellMar>
        <w:left w:w="0" w:type="dxa"/>
        <w:top w:w="0" w:type="dxa"/>
        <w:right w:w="0" w:type="dxa"/>
        <w:bottom w:w="0" w:type="dxa"/>
      </w:tblCellMar>
    </w:tblPr>
  </w:style>
  <w:style w:type="table" w:styleId="830" w:customStyle="1">
    <w:name w:val="List Table 4 - Accent 2"/>
    <w:uiPriority w:val="99"/>
    <w:rPr>
      <w:lang w:eastAsia="zh-CN"/>
    </w:rPr>
    <w:tblPr>
      <w:tblStyleRowBandSize w:val="1"/>
      <w:tblStyleColBandSize w:val="1"/>
      <w:tblInd w:w="0" w:type="dxa"/>
      <w:tblBorders>
        <w:top w:val="single" w:color="DB9B9A" w:sz="4" w:space="0"/>
        <w:left w:val="single" w:color="DB9B9A" w:sz="4" w:space="0"/>
        <w:bottom w:val="single" w:color="DB9B9A" w:sz="4" w:space="0"/>
        <w:right w:val="single" w:color="DB9B9A" w:sz="4" w:space="0"/>
        <w:insideH w:val="single" w:color="DB9B9A" w:sz="4" w:space="0"/>
      </w:tblBorders>
      <w:tblCellMar>
        <w:left w:w="0" w:type="dxa"/>
        <w:top w:w="0" w:type="dxa"/>
        <w:right w:w="0" w:type="dxa"/>
        <w:bottom w:w="0" w:type="dxa"/>
      </w:tblCellMar>
    </w:tblPr>
  </w:style>
  <w:style w:type="table" w:styleId="831" w:customStyle="1">
    <w:name w:val="List Table 4 - Accent 3"/>
    <w:uiPriority w:val="99"/>
    <w:rPr>
      <w:lang w:eastAsia="zh-CN"/>
    </w:rPr>
    <w:tblPr>
      <w:tblStyleRowBandSize w:val="1"/>
      <w:tblStyleColBandSize w:val="1"/>
      <w:tblInd w:w="0" w:type="dxa"/>
      <w:tblBorders>
        <w:top w:val="single" w:color="C6D8A1" w:sz="4" w:space="0"/>
        <w:left w:val="single" w:color="C6D8A1" w:sz="4" w:space="0"/>
        <w:bottom w:val="single" w:color="C6D8A1" w:sz="4" w:space="0"/>
        <w:right w:val="single" w:color="C6D8A1" w:sz="4" w:space="0"/>
        <w:insideH w:val="single" w:color="C6D8A1" w:sz="4" w:space="0"/>
      </w:tblBorders>
      <w:tblCellMar>
        <w:left w:w="0" w:type="dxa"/>
        <w:top w:w="0" w:type="dxa"/>
        <w:right w:w="0" w:type="dxa"/>
        <w:bottom w:w="0" w:type="dxa"/>
      </w:tblCellMar>
    </w:tblPr>
  </w:style>
  <w:style w:type="table" w:styleId="832" w:customStyle="1">
    <w:name w:val="List Table 4 - Accent 4"/>
    <w:uiPriority w:val="99"/>
    <w:rPr>
      <w:lang w:eastAsia="zh-CN"/>
    </w:rPr>
    <w:tblPr>
      <w:tblStyleRowBandSize w:val="1"/>
      <w:tblStyleColBandSize w:val="1"/>
      <w:tblInd w:w="0" w:type="dxa"/>
      <w:tblBorders>
        <w:top w:val="single" w:color="B7A7CA" w:sz="4" w:space="0"/>
        <w:left w:val="single" w:color="B7A7CA" w:sz="4" w:space="0"/>
        <w:bottom w:val="single" w:color="B7A7CA" w:sz="4" w:space="0"/>
        <w:right w:val="single" w:color="B7A7CA" w:sz="4" w:space="0"/>
        <w:insideH w:val="single" w:color="B7A7CA" w:sz="4" w:space="0"/>
      </w:tblBorders>
      <w:tblCellMar>
        <w:left w:w="0" w:type="dxa"/>
        <w:top w:w="0" w:type="dxa"/>
        <w:right w:w="0" w:type="dxa"/>
        <w:bottom w:w="0" w:type="dxa"/>
      </w:tblCellMar>
    </w:tblPr>
  </w:style>
  <w:style w:type="table" w:styleId="833" w:customStyle="1">
    <w:name w:val="List Table 4 - Accent 5"/>
    <w:uiPriority w:val="99"/>
    <w:rPr>
      <w:lang w:eastAsia="zh-CN"/>
    </w:rPr>
    <w:tblPr>
      <w:tblStyleRowBandSize w:val="1"/>
      <w:tblStyleColBandSize w:val="1"/>
      <w:tblInd w:w="0" w:type="dxa"/>
      <w:tblBorders>
        <w:top w:val="single" w:color="99D0DE" w:sz="4" w:space="0"/>
        <w:left w:val="single" w:color="99D0DE" w:sz="4" w:space="0"/>
        <w:bottom w:val="single" w:color="99D0DE" w:sz="4" w:space="0"/>
        <w:right w:val="single" w:color="99D0DE" w:sz="4" w:space="0"/>
        <w:insideH w:val="single" w:color="99D0DE" w:sz="4" w:space="0"/>
      </w:tblBorders>
      <w:tblCellMar>
        <w:left w:w="0" w:type="dxa"/>
        <w:top w:w="0" w:type="dxa"/>
        <w:right w:w="0" w:type="dxa"/>
        <w:bottom w:w="0" w:type="dxa"/>
      </w:tblCellMar>
    </w:tblPr>
  </w:style>
  <w:style w:type="table" w:styleId="834" w:customStyle="1">
    <w:name w:val="List Table 4 - Accent 6"/>
    <w:uiPriority w:val="99"/>
    <w:rPr>
      <w:lang w:eastAsia="zh-CN"/>
    </w:rPr>
    <w:tblPr>
      <w:tblStyleRowBandSize w:val="1"/>
      <w:tblStyleColBandSize w:val="1"/>
      <w:tblInd w:w="0" w:type="dxa"/>
      <w:tblBorders>
        <w:top w:val="single" w:color="FAC396" w:sz="4" w:space="0"/>
        <w:left w:val="single" w:color="FAC396" w:sz="4" w:space="0"/>
        <w:bottom w:val="single" w:color="FAC396" w:sz="4" w:space="0"/>
        <w:right w:val="single" w:color="FAC396" w:sz="4" w:space="0"/>
        <w:insideH w:val="single" w:color="FAC396" w:sz="4" w:space="0"/>
      </w:tblBorders>
      <w:tblCellMar>
        <w:left w:w="0" w:type="dxa"/>
        <w:top w:w="0" w:type="dxa"/>
        <w:right w:w="0" w:type="dxa"/>
        <w:bottom w:w="0" w:type="dxa"/>
      </w:tblCellMar>
    </w:tblPr>
  </w:style>
  <w:style w:type="table" w:styleId="835">
    <w:name w:val="List Table 5 Dark"/>
    <w:uiPriority w:val="99"/>
    <w:rPr>
      <w:lang w:eastAsia="zh-CN"/>
    </w:rPr>
    <w:tblPr>
      <w:tblStyleRowBandSize w:val="1"/>
      <w:tblStyleColBandSize w:val="1"/>
      <w:tblInd w:w="0" w:type="dxa"/>
      <w:tblBorders>
        <w:top w:val="single" w:color="7F7F7F" w:sz="32" w:space="0"/>
        <w:left w:val="single" w:color="7F7F7F" w:sz="32" w:space="0"/>
        <w:bottom w:val="single" w:color="7F7F7F" w:sz="32" w:space="0"/>
        <w:right w:val="single" w:color="7F7F7F" w:sz="32" w:space="0"/>
      </w:tblBorders>
      <w:shd w:val="clear" w:color="7f7f7f" w:fill="7f7f7f"/>
      <w:tblCellMar>
        <w:left w:w="0" w:type="dxa"/>
        <w:top w:w="0" w:type="dxa"/>
        <w:right w:w="0" w:type="dxa"/>
        <w:bottom w:w="0" w:type="dxa"/>
      </w:tblCellMar>
    </w:tblPr>
  </w:style>
  <w:style w:type="table" w:styleId="836" w:customStyle="1">
    <w:name w:val="List Table 5 Dark - Accent 1"/>
    <w:uiPriority w:val="99"/>
    <w:rPr>
      <w:lang w:eastAsia="zh-CN"/>
    </w:rPr>
    <w:tblPr>
      <w:tblStyleRowBandSize w:val="1"/>
      <w:tblStyleColBandSize w:val="1"/>
      <w:tblInd w:w="0" w:type="dxa"/>
      <w:tblBorders>
        <w:top w:val="single" w:color="4F81BD" w:sz="32" w:space="0"/>
        <w:left w:val="single" w:color="4F81BD" w:sz="32" w:space="0"/>
        <w:bottom w:val="single" w:color="4F81BD" w:sz="32" w:space="0"/>
        <w:right w:val="single" w:color="4F81BD" w:sz="32" w:space="0"/>
      </w:tblBorders>
      <w:shd w:val="clear" w:color="4f81bd" w:fill="4f81bd"/>
      <w:tblCellMar>
        <w:left w:w="0" w:type="dxa"/>
        <w:top w:w="0" w:type="dxa"/>
        <w:right w:w="0" w:type="dxa"/>
        <w:bottom w:w="0" w:type="dxa"/>
      </w:tblCellMar>
    </w:tblPr>
  </w:style>
  <w:style w:type="table" w:styleId="837" w:customStyle="1">
    <w:name w:val="List Table 5 Dark - Accent 2"/>
    <w:uiPriority w:val="99"/>
    <w:rPr>
      <w:lang w:eastAsia="zh-CN"/>
    </w:rPr>
    <w:tblPr>
      <w:tblStyleRowBandSize w:val="1"/>
      <w:tblStyleColBandSize w:val="1"/>
      <w:tblInd w:w="0" w:type="dxa"/>
      <w:tblBorders>
        <w:top w:val="single" w:color="D99695" w:sz="32" w:space="0"/>
        <w:left w:val="single" w:color="D99695" w:sz="32" w:space="0"/>
        <w:bottom w:val="single" w:color="D99695" w:sz="32" w:space="0"/>
        <w:right w:val="single" w:color="D99695" w:sz="32" w:space="0"/>
      </w:tblBorders>
      <w:shd w:val="clear" w:color="d99695" w:fill="d99695"/>
      <w:tblCellMar>
        <w:left w:w="0" w:type="dxa"/>
        <w:top w:w="0" w:type="dxa"/>
        <w:right w:w="0" w:type="dxa"/>
        <w:bottom w:w="0" w:type="dxa"/>
      </w:tblCellMar>
    </w:tblPr>
  </w:style>
  <w:style w:type="table" w:styleId="838" w:customStyle="1">
    <w:name w:val="List Table 5 Dark - Accent 3"/>
    <w:uiPriority w:val="99"/>
    <w:rPr>
      <w:lang w:eastAsia="zh-CN"/>
    </w:rPr>
    <w:tblPr>
      <w:tblStyleRowBandSize w:val="1"/>
      <w:tblStyleColBandSize w:val="1"/>
      <w:tblInd w:w="0" w:type="dxa"/>
      <w:tblBorders>
        <w:top w:val="single" w:color="C3D69B" w:sz="32" w:space="0"/>
        <w:left w:val="single" w:color="C3D69B" w:sz="32" w:space="0"/>
        <w:bottom w:val="single" w:color="C3D69B" w:sz="32" w:space="0"/>
        <w:right w:val="single" w:color="C3D69B" w:sz="32" w:space="0"/>
      </w:tblBorders>
      <w:shd w:val="clear" w:color="c3d69b" w:fill="c3d69b"/>
      <w:tblCellMar>
        <w:left w:w="0" w:type="dxa"/>
        <w:top w:w="0" w:type="dxa"/>
        <w:right w:w="0" w:type="dxa"/>
        <w:bottom w:w="0" w:type="dxa"/>
      </w:tblCellMar>
    </w:tblPr>
  </w:style>
  <w:style w:type="table" w:styleId="839" w:customStyle="1">
    <w:name w:val="List Table 5 Dark - Accent 4"/>
    <w:uiPriority w:val="99"/>
    <w:rPr>
      <w:lang w:eastAsia="zh-CN"/>
    </w:rPr>
    <w:tblPr>
      <w:tblStyleRowBandSize w:val="1"/>
      <w:tblStyleColBandSize w:val="1"/>
      <w:tblInd w:w="0" w:type="dxa"/>
      <w:tblBorders>
        <w:top w:val="single" w:color="B2A1C6" w:sz="32" w:space="0"/>
        <w:left w:val="single" w:color="B2A1C6" w:sz="32" w:space="0"/>
        <w:bottom w:val="single" w:color="B2A1C6" w:sz="32" w:space="0"/>
        <w:right w:val="single" w:color="B2A1C6" w:sz="32" w:space="0"/>
      </w:tblBorders>
      <w:shd w:val="clear" w:color="b2a1c6" w:fill="b2a1c6"/>
      <w:tblCellMar>
        <w:left w:w="0" w:type="dxa"/>
        <w:top w:w="0" w:type="dxa"/>
        <w:right w:w="0" w:type="dxa"/>
        <w:bottom w:w="0" w:type="dxa"/>
      </w:tblCellMar>
    </w:tblPr>
  </w:style>
  <w:style w:type="table" w:styleId="840" w:customStyle="1">
    <w:name w:val="List Table 5 Dark - Accent 5"/>
    <w:uiPriority w:val="99"/>
    <w:rPr>
      <w:lang w:eastAsia="zh-CN"/>
    </w:rPr>
    <w:tblPr>
      <w:tblStyleRowBandSize w:val="1"/>
      <w:tblStyleColBandSize w:val="1"/>
      <w:tblInd w:w="0" w:type="dxa"/>
      <w:tblBorders>
        <w:top w:val="single" w:color="92CCDC" w:sz="32" w:space="0"/>
        <w:left w:val="single" w:color="92CCDC" w:sz="32" w:space="0"/>
        <w:bottom w:val="single" w:color="92CCDC" w:sz="32" w:space="0"/>
        <w:right w:val="single" w:color="92CCDC" w:sz="32" w:space="0"/>
      </w:tblBorders>
      <w:shd w:val="clear" w:color="92ccdc" w:fill="92ccdc"/>
      <w:tblCellMar>
        <w:left w:w="0" w:type="dxa"/>
        <w:top w:w="0" w:type="dxa"/>
        <w:right w:w="0" w:type="dxa"/>
        <w:bottom w:w="0" w:type="dxa"/>
      </w:tblCellMar>
    </w:tblPr>
  </w:style>
  <w:style w:type="table" w:styleId="841" w:customStyle="1">
    <w:name w:val="List Table 5 Dark - Accent 6"/>
    <w:uiPriority w:val="99"/>
    <w:rPr>
      <w:lang w:eastAsia="zh-CN"/>
    </w:rPr>
    <w:tblPr>
      <w:tblStyleRowBandSize w:val="1"/>
      <w:tblStyleColBandSize w:val="1"/>
      <w:tblInd w:w="0" w:type="dxa"/>
      <w:tblBorders>
        <w:top w:val="single" w:color="FAC090" w:sz="32" w:space="0"/>
        <w:left w:val="single" w:color="FAC090" w:sz="32" w:space="0"/>
        <w:bottom w:val="single" w:color="FAC090" w:sz="32" w:space="0"/>
        <w:right w:val="single" w:color="FAC090" w:sz="32" w:space="0"/>
      </w:tblBorders>
      <w:shd w:val="clear" w:color="fac090" w:fill="fac090"/>
      <w:tblCellMar>
        <w:left w:w="0" w:type="dxa"/>
        <w:top w:w="0" w:type="dxa"/>
        <w:right w:w="0" w:type="dxa"/>
        <w:bottom w:w="0" w:type="dxa"/>
      </w:tblCellMar>
    </w:tblPr>
  </w:style>
  <w:style w:type="table" w:styleId="842">
    <w:name w:val="List Table 6 Colorful"/>
    <w:uiPriority w:val="99"/>
    <w:rPr>
      <w:lang w:eastAsia="zh-CN"/>
    </w:rPr>
    <w:tblPr>
      <w:tblStyleRowBandSize w:val="1"/>
      <w:tblStyleColBandSize w:val="1"/>
      <w:tblInd w:w="0" w:type="dxa"/>
      <w:tblBorders>
        <w:top w:val="single" w:color="7F7F7F" w:sz="4" w:space="0"/>
        <w:bottom w:val="single" w:color="7F7F7F" w:sz="4" w:space="0"/>
      </w:tblBorders>
      <w:tblCellMar>
        <w:left w:w="0" w:type="dxa"/>
        <w:top w:w="0" w:type="dxa"/>
        <w:right w:w="0" w:type="dxa"/>
        <w:bottom w:w="0" w:type="dxa"/>
      </w:tblCellMar>
    </w:tblPr>
  </w:style>
  <w:style w:type="table" w:styleId="843" w:customStyle="1">
    <w:name w:val="List Table 6 Colorful - Accent 1"/>
    <w:uiPriority w:val="99"/>
    <w:rPr>
      <w:lang w:eastAsia="zh-CN"/>
    </w:rPr>
    <w:tblPr>
      <w:tblStyleRowBandSize w:val="1"/>
      <w:tblStyleColBandSize w:val="1"/>
      <w:tblInd w:w="0" w:type="dxa"/>
      <w:tblBorders>
        <w:top w:val="single" w:color="4F81BD" w:sz="4" w:space="0"/>
        <w:bottom w:val="single" w:color="4F81BD" w:sz="4" w:space="0"/>
      </w:tblBorders>
      <w:tblCellMar>
        <w:left w:w="0" w:type="dxa"/>
        <w:top w:w="0" w:type="dxa"/>
        <w:right w:w="0" w:type="dxa"/>
        <w:bottom w:w="0" w:type="dxa"/>
      </w:tblCellMar>
    </w:tblPr>
  </w:style>
  <w:style w:type="table" w:styleId="844" w:customStyle="1">
    <w:name w:val="List Table 6 Colorful - Accent 2"/>
    <w:uiPriority w:val="99"/>
    <w:rPr>
      <w:lang w:eastAsia="zh-CN"/>
    </w:rPr>
    <w:tblPr>
      <w:tblStyleRowBandSize w:val="1"/>
      <w:tblStyleColBandSize w:val="1"/>
      <w:tblInd w:w="0" w:type="dxa"/>
      <w:tblBorders>
        <w:top w:val="single" w:color="D99695" w:sz="4" w:space="0"/>
        <w:bottom w:val="single" w:color="D99695" w:sz="4" w:space="0"/>
      </w:tblBorders>
      <w:tblCellMar>
        <w:left w:w="0" w:type="dxa"/>
        <w:top w:w="0" w:type="dxa"/>
        <w:right w:w="0" w:type="dxa"/>
        <w:bottom w:w="0" w:type="dxa"/>
      </w:tblCellMar>
    </w:tblPr>
  </w:style>
  <w:style w:type="table" w:styleId="845" w:customStyle="1">
    <w:name w:val="List Table 6 Colorful - Accent 3"/>
    <w:uiPriority w:val="99"/>
    <w:rPr>
      <w:lang w:eastAsia="zh-CN"/>
    </w:rPr>
    <w:tblPr>
      <w:tblStyleRowBandSize w:val="1"/>
      <w:tblStyleColBandSize w:val="1"/>
      <w:tblInd w:w="0" w:type="dxa"/>
      <w:tblBorders>
        <w:top w:val="single" w:color="C3D69B" w:sz="4" w:space="0"/>
        <w:bottom w:val="single" w:color="C3D69B" w:sz="4" w:space="0"/>
      </w:tblBorders>
      <w:tblCellMar>
        <w:left w:w="0" w:type="dxa"/>
        <w:top w:w="0" w:type="dxa"/>
        <w:right w:w="0" w:type="dxa"/>
        <w:bottom w:w="0" w:type="dxa"/>
      </w:tblCellMar>
    </w:tblPr>
  </w:style>
  <w:style w:type="table" w:styleId="846" w:customStyle="1">
    <w:name w:val="List Table 6 Colorful - Accent 4"/>
    <w:uiPriority w:val="99"/>
    <w:rPr>
      <w:lang w:eastAsia="zh-CN"/>
    </w:rPr>
    <w:tblPr>
      <w:tblStyleRowBandSize w:val="1"/>
      <w:tblStyleColBandSize w:val="1"/>
      <w:tblInd w:w="0" w:type="dxa"/>
      <w:tblBorders>
        <w:top w:val="single" w:color="B2A1C6" w:sz="4" w:space="0"/>
        <w:bottom w:val="single" w:color="B2A1C6" w:sz="4" w:space="0"/>
      </w:tblBorders>
      <w:tblCellMar>
        <w:left w:w="0" w:type="dxa"/>
        <w:top w:w="0" w:type="dxa"/>
        <w:right w:w="0" w:type="dxa"/>
        <w:bottom w:w="0" w:type="dxa"/>
      </w:tblCellMar>
    </w:tblPr>
  </w:style>
  <w:style w:type="table" w:styleId="847" w:customStyle="1">
    <w:name w:val="List Table 6 Colorful - Accent 5"/>
    <w:uiPriority w:val="99"/>
    <w:rPr>
      <w:lang w:eastAsia="zh-CN"/>
    </w:rPr>
    <w:tblPr>
      <w:tblStyleRowBandSize w:val="1"/>
      <w:tblStyleColBandSize w:val="1"/>
      <w:tblInd w:w="0" w:type="dxa"/>
      <w:tblBorders>
        <w:top w:val="single" w:color="92CCDC" w:sz="4" w:space="0"/>
        <w:bottom w:val="single" w:color="92CCDC" w:sz="4" w:space="0"/>
      </w:tblBorders>
      <w:tblCellMar>
        <w:left w:w="0" w:type="dxa"/>
        <w:top w:w="0" w:type="dxa"/>
        <w:right w:w="0" w:type="dxa"/>
        <w:bottom w:w="0" w:type="dxa"/>
      </w:tblCellMar>
    </w:tblPr>
  </w:style>
  <w:style w:type="table" w:styleId="848" w:customStyle="1">
    <w:name w:val="List Table 6 Colorful - Accent 6"/>
    <w:uiPriority w:val="99"/>
    <w:rPr>
      <w:lang w:eastAsia="zh-CN"/>
    </w:rPr>
    <w:tblPr>
      <w:tblStyleRowBandSize w:val="1"/>
      <w:tblStyleColBandSize w:val="1"/>
      <w:tblInd w:w="0" w:type="dxa"/>
      <w:tblBorders>
        <w:top w:val="single" w:color="FAC090" w:sz="4" w:space="0"/>
        <w:bottom w:val="single" w:color="FAC090" w:sz="4" w:space="0"/>
      </w:tblBorders>
      <w:tblCellMar>
        <w:left w:w="0" w:type="dxa"/>
        <w:top w:w="0" w:type="dxa"/>
        <w:right w:w="0" w:type="dxa"/>
        <w:bottom w:w="0" w:type="dxa"/>
      </w:tblCellMar>
    </w:tblPr>
  </w:style>
  <w:style w:type="table" w:styleId="849">
    <w:name w:val="List Table 7 Colorful"/>
    <w:uiPriority w:val="99"/>
    <w:rPr>
      <w:lang w:eastAsia="zh-CN"/>
    </w:rPr>
    <w:tblPr>
      <w:tblStyleRowBandSize w:val="1"/>
      <w:tblStyleColBandSize w:val="1"/>
      <w:tblInd w:w="0" w:type="dxa"/>
      <w:tblBorders>
        <w:right w:val="single" w:color="7F7F7F" w:sz="4" w:space="0"/>
      </w:tblBorders>
      <w:tblCellMar>
        <w:left w:w="0" w:type="dxa"/>
        <w:top w:w="0" w:type="dxa"/>
        <w:right w:w="0" w:type="dxa"/>
        <w:bottom w:w="0" w:type="dxa"/>
      </w:tblCellMar>
    </w:tblPr>
  </w:style>
  <w:style w:type="table" w:styleId="850" w:customStyle="1">
    <w:name w:val="List Table 7 Colorful - Accent 1"/>
    <w:uiPriority w:val="99"/>
    <w:rPr>
      <w:lang w:eastAsia="zh-CN"/>
    </w:rPr>
    <w:tblPr>
      <w:tblStyleRowBandSize w:val="1"/>
      <w:tblStyleColBandSize w:val="1"/>
      <w:tblInd w:w="0" w:type="dxa"/>
      <w:tblBorders>
        <w:right w:val="single" w:color="4F81BD" w:sz="4" w:space="0"/>
      </w:tblBorders>
      <w:tblCellMar>
        <w:left w:w="0" w:type="dxa"/>
        <w:top w:w="0" w:type="dxa"/>
        <w:right w:w="0" w:type="dxa"/>
        <w:bottom w:w="0" w:type="dxa"/>
      </w:tblCellMar>
    </w:tblPr>
  </w:style>
  <w:style w:type="table" w:styleId="851" w:customStyle="1">
    <w:name w:val="List Table 7 Colorful - Accent 2"/>
    <w:uiPriority w:val="99"/>
    <w:rPr>
      <w:lang w:eastAsia="zh-CN"/>
    </w:rPr>
    <w:tblPr>
      <w:tblStyleRowBandSize w:val="1"/>
      <w:tblStyleColBandSize w:val="1"/>
      <w:tblInd w:w="0" w:type="dxa"/>
      <w:tblBorders>
        <w:right w:val="single" w:color="D99695" w:sz="4" w:space="0"/>
      </w:tblBorders>
      <w:tblCellMar>
        <w:left w:w="0" w:type="dxa"/>
        <w:top w:w="0" w:type="dxa"/>
        <w:right w:w="0" w:type="dxa"/>
        <w:bottom w:w="0" w:type="dxa"/>
      </w:tblCellMar>
    </w:tblPr>
  </w:style>
  <w:style w:type="table" w:styleId="852" w:customStyle="1">
    <w:name w:val="List Table 7 Colorful - Accent 3"/>
    <w:uiPriority w:val="99"/>
    <w:rPr>
      <w:lang w:eastAsia="zh-CN"/>
    </w:rPr>
    <w:tblPr>
      <w:tblStyleRowBandSize w:val="1"/>
      <w:tblStyleColBandSize w:val="1"/>
      <w:tblInd w:w="0" w:type="dxa"/>
      <w:tblBorders>
        <w:right w:val="single" w:color="C3D69B" w:sz="4" w:space="0"/>
      </w:tblBorders>
      <w:tblCellMar>
        <w:left w:w="0" w:type="dxa"/>
        <w:top w:w="0" w:type="dxa"/>
        <w:right w:w="0" w:type="dxa"/>
        <w:bottom w:w="0" w:type="dxa"/>
      </w:tblCellMar>
    </w:tblPr>
  </w:style>
  <w:style w:type="table" w:styleId="853" w:customStyle="1">
    <w:name w:val="List Table 7 Colorful - Accent 4"/>
    <w:uiPriority w:val="99"/>
    <w:rPr>
      <w:lang w:eastAsia="zh-CN"/>
    </w:rPr>
    <w:tblPr>
      <w:tblStyleRowBandSize w:val="1"/>
      <w:tblStyleColBandSize w:val="1"/>
      <w:tblInd w:w="0" w:type="dxa"/>
      <w:tblBorders>
        <w:right w:val="single" w:color="B2A1C6" w:sz="4" w:space="0"/>
      </w:tblBorders>
      <w:tblCellMar>
        <w:left w:w="0" w:type="dxa"/>
        <w:top w:w="0" w:type="dxa"/>
        <w:right w:w="0" w:type="dxa"/>
        <w:bottom w:w="0" w:type="dxa"/>
      </w:tblCellMar>
    </w:tblPr>
  </w:style>
  <w:style w:type="table" w:styleId="854" w:customStyle="1">
    <w:name w:val="List Table 7 Colorful - Accent 5"/>
    <w:uiPriority w:val="99"/>
    <w:rPr>
      <w:lang w:eastAsia="zh-CN"/>
    </w:rPr>
    <w:tblPr>
      <w:tblStyleRowBandSize w:val="1"/>
      <w:tblStyleColBandSize w:val="1"/>
      <w:tblInd w:w="0" w:type="dxa"/>
      <w:tblBorders>
        <w:right w:val="single" w:color="92CCDC" w:sz="4" w:space="0"/>
      </w:tblBorders>
      <w:tblCellMar>
        <w:left w:w="0" w:type="dxa"/>
        <w:top w:w="0" w:type="dxa"/>
        <w:right w:w="0" w:type="dxa"/>
        <w:bottom w:w="0" w:type="dxa"/>
      </w:tblCellMar>
    </w:tblPr>
  </w:style>
  <w:style w:type="table" w:styleId="855" w:customStyle="1">
    <w:name w:val="List Table 7 Colorful - Accent 6"/>
    <w:uiPriority w:val="99"/>
    <w:rPr>
      <w:lang w:eastAsia="zh-CN"/>
    </w:rPr>
    <w:tblPr>
      <w:tblStyleRowBandSize w:val="1"/>
      <w:tblStyleColBandSize w:val="1"/>
      <w:tblInd w:w="0" w:type="dxa"/>
      <w:tblBorders>
        <w:right w:val="single" w:color="FAC090" w:sz="4" w:space="0"/>
      </w:tblBorders>
      <w:tblCellMar>
        <w:left w:w="0" w:type="dxa"/>
        <w:top w:w="0" w:type="dxa"/>
        <w:right w:w="0" w:type="dxa"/>
        <w:bottom w:w="0" w:type="dxa"/>
      </w:tblCellMar>
    </w:tblPr>
  </w:style>
  <w:style w:type="table" w:styleId="856" w:customStyle="1">
    <w:name w:val="Lined - Accent"/>
    <w:uiPriority w:val="99"/>
    <w:rPr>
      <w:color w:val="404040"/>
    </w:rPr>
    <w:tblPr>
      <w:tblStyleRowBandSize w:val="1"/>
      <w:tblStyleColBandSize w:val="1"/>
      <w:tblInd w:w="0" w:type="dxa"/>
      <w:tblCellMar>
        <w:left w:w="0" w:type="dxa"/>
        <w:top w:w="0" w:type="dxa"/>
        <w:right w:w="0" w:type="dxa"/>
        <w:bottom w:w="0" w:type="dxa"/>
      </w:tblCellMar>
    </w:tblPr>
  </w:style>
  <w:style w:type="table" w:styleId="857" w:customStyle="1">
    <w:name w:val="Lined - Accent 1"/>
    <w:uiPriority w:val="99"/>
    <w:rPr>
      <w:color w:val="404040"/>
    </w:rPr>
    <w:tblPr>
      <w:tblStyleRowBandSize w:val="1"/>
      <w:tblStyleColBandSize w:val="1"/>
      <w:tblInd w:w="0" w:type="dxa"/>
      <w:tblCellMar>
        <w:left w:w="0" w:type="dxa"/>
        <w:top w:w="0" w:type="dxa"/>
        <w:right w:w="0" w:type="dxa"/>
        <w:bottom w:w="0" w:type="dxa"/>
      </w:tblCellMar>
    </w:tblPr>
  </w:style>
  <w:style w:type="table" w:styleId="858" w:customStyle="1">
    <w:name w:val="Lined - Accent 2"/>
    <w:uiPriority w:val="99"/>
    <w:rPr>
      <w:color w:val="404040"/>
    </w:rPr>
    <w:tblPr>
      <w:tblStyleRowBandSize w:val="1"/>
      <w:tblStyleColBandSize w:val="1"/>
      <w:tblInd w:w="0" w:type="dxa"/>
      <w:tblCellMar>
        <w:left w:w="0" w:type="dxa"/>
        <w:top w:w="0" w:type="dxa"/>
        <w:right w:w="0" w:type="dxa"/>
        <w:bottom w:w="0" w:type="dxa"/>
      </w:tblCellMar>
    </w:tblPr>
  </w:style>
  <w:style w:type="table" w:styleId="859" w:customStyle="1">
    <w:name w:val="Lined - Accent 3"/>
    <w:uiPriority w:val="99"/>
    <w:rPr>
      <w:color w:val="404040"/>
    </w:rPr>
    <w:tblPr>
      <w:tblStyleRowBandSize w:val="1"/>
      <w:tblStyleColBandSize w:val="1"/>
      <w:tblInd w:w="0" w:type="dxa"/>
      <w:tblCellMar>
        <w:left w:w="0" w:type="dxa"/>
        <w:top w:w="0" w:type="dxa"/>
        <w:right w:w="0" w:type="dxa"/>
        <w:bottom w:w="0" w:type="dxa"/>
      </w:tblCellMar>
    </w:tblPr>
  </w:style>
  <w:style w:type="table" w:styleId="860" w:customStyle="1">
    <w:name w:val="Lined - Accent 4"/>
    <w:uiPriority w:val="99"/>
    <w:rPr>
      <w:color w:val="404040"/>
    </w:rPr>
    <w:tblPr>
      <w:tblStyleRowBandSize w:val="1"/>
      <w:tblStyleColBandSize w:val="1"/>
      <w:tblInd w:w="0" w:type="dxa"/>
      <w:tblCellMar>
        <w:left w:w="0" w:type="dxa"/>
        <w:top w:w="0" w:type="dxa"/>
        <w:right w:w="0" w:type="dxa"/>
        <w:bottom w:w="0" w:type="dxa"/>
      </w:tblCellMar>
    </w:tblPr>
  </w:style>
  <w:style w:type="table" w:styleId="861" w:customStyle="1">
    <w:name w:val="Lined - Accent 5"/>
    <w:uiPriority w:val="99"/>
    <w:rPr>
      <w:color w:val="404040"/>
    </w:rPr>
    <w:tblPr>
      <w:tblStyleRowBandSize w:val="1"/>
      <w:tblStyleColBandSize w:val="1"/>
      <w:tblInd w:w="0" w:type="dxa"/>
      <w:tblCellMar>
        <w:left w:w="0" w:type="dxa"/>
        <w:top w:w="0" w:type="dxa"/>
        <w:right w:w="0" w:type="dxa"/>
        <w:bottom w:w="0" w:type="dxa"/>
      </w:tblCellMar>
    </w:tblPr>
  </w:style>
  <w:style w:type="table" w:styleId="862" w:customStyle="1">
    <w:name w:val="Lined - Accent 6"/>
    <w:uiPriority w:val="99"/>
    <w:rPr>
      <w:color w:val="404040"/>
    </w:rPr>
    <w:tblPr>
      <w:tblStyleRowBandSize w:val="1"/>
      <w:tblStyleColBandSize w:val="1"/>
      <w:tblInd w:w="0" w:type="dxa"/>
      <w:tblCellMar>
        <w:left w:w="0" w:type="dxa"/>
        <w:top w:w="0" w:type="dxa"/>
        <w:right w:w="0" w:type="dxa"/>
        <w:bottom w:w="0" w:type="dxa"/>
      </w:tblCellMar>
    </w:tblPr>
  </w:style>
  <w:style w:type="table" w:styleId="863" w:customStyle="1">
    <w:name w:val="Bordered &amp; Lined - Accent"/>
    <w:uiPriority w:val="99"/>
    <w:rPr>
      <w:color w:val="404040"/>
    </w:rPr>
    <w:tblPr>
      <w:tblStyleRowBandSize w:val="1"/>
      <w:tblStyleColBandSize w:val="1"/>
      <w:tblInd w:w="0" w:type="dxa"/>
      <w:tblBorders>
        <w:top w:val="single" w:color="595959" w:sz="4" w:space="0"/>
        <w:left w:val="single" w:color="595959" w:sz="4" w:space="0"/>
        <w:bottom w:val="single" w:color="595959" w:sz="4" w:space="0"/>
        <w:right w:val="single" w:color="595959" w:sz="4" w:space="0"/>
        <w:insideH w:val="single" w:color="595959" w:sz="4" w:space="0"/>
        <w:insideV w:val="single" w:color="595959" w:sz="4" w:space="0"/>
      </w:tblBorders>
      <w:tblCellMar>
        <w:left w:w="0" w:type="dxa"/>
        <w:top w:w="0" w:type="dxa"/>
        <w:right w:w="0" w:type="dxa"/>
        <w:bottom w:w="0" w:type="dxa"/>
      </w:tblCellMar>
    </w:tblPr>
  </w:style>
  <w:style w:type="table" w:styleId="864" w:customStyle="1">
    <w:name w:val="Bordered &amp; Lined - Accent 1"/>
    <w:uiPriority w:val="99"/>
    <w:rPr>
      <w:color w:val="404040"/>
    </w:rPr>
    <w:tblPr>
      <w:tblStyleRowBandSize w:val="1"/>
      <w:tblStyleColBandSize w:val="1"/>
      <w:tblInd w:w="0" w:type="dxa"/>
      <w:tblBorders>
        <w:top w:val="single" w:color="2A4A71" w:sz="4" w:space="0"/>
        <w:left w:val="single" w:color="2A4A71" w:sz="4" w:space="0"/>
        <w:bottom w:val="single" w:color="2A4A71" w:sz="4" w:space="0"/>
        <w:right w:val="single" w:color="2A4A71" w:sz="4" w:space="0"/>
        <w:insideH w:val="single" w:color="2A4A71" w:sz="4" w:space="0"/>
        <w:insideV w:val="single" w:color="2A4A71" w:sz="4" w:space="0"/>
      </w:tblBorders>
      <w:tblCellMar>
        <w:left w:w="0" w:type="dxa"/>
        <w:top w:w="0" w:type="dxa"/>
        <w:right w:w="0" w:type="dxa"/>
        <w:bottom w:w="0" w:type="dxa"/>
      </w:tblCellMar>
    </w:tblPr>
  </w:style>
  <w:style w:type="table" w:styleId="865" w:customStyle="1">
    <w:name w:val="Bordered &amp; Lined - Accent 2"/>
    <w:uiPriority w:val="99"/>
    <w:rPr>
      <w:color w:val="404040"/>
    </w:rPr>
    <w:tblPr>
      <w:tblStyleRowBandSize w:val="1"/>
      <w:tblStyleColBandSize w:val="1"/>
      <w:tblInd w:w="0" w:type="dxa"/>
      <w:tblBorders>
        <w:top w:val="single" w:color="732A29" w:sz="4" w:space="0"/>
        <w:left w:val="single" w:color="732A29" w:sz="4" w:space="0"/>
        <w:bottom w:val="single" w:color="732A29" w:sz="4" w:space="0"/>
        <w:right w:val="single" w:color="732A29" w:sz="4" w:space="0"/>
        <w:insideH w:val="single" w:color="732A29" w:sz="4" w:space="0"/>
        <w:insideV w:val="single" w:color="732A29" w:sz="4" w:space="0"/>
      </w:tblBorders>
      <w:tblCellMar>
        <w:left w:w="0" w:type="dxa"/>
        <w:top w:w="0" w:type="dxa"/>
        <w:right w:w="0" w:type="dxa"/>
        <w:bottom w:w="0" w:type="dxa"/>
      </w:tblCellMar>
    </w:tblPr>
  </w:style>
  <w:style w:type="table" w:styleId="866" w:customStyle="1">
    <w:name w:val="Bordered &amp; Lined - Accent 3"/>
    <w:uiPriority w:val="99"/>
    <w:rPr>
      <w:color w:val="404040"/>
    </w:rPr>
    <w:tblPr>
      <w:tblStyleRowBandSize w:val="1"/>
      <w:tblStyleColBandSize w:val="1"/>
      <w:tblInd w:w="0" w:type="dxa"/>
      <w:tblBorders>
        <w:top w:val="single" w:color="5B722E" w:sz="4" w:space="0"/>
        <w:left w:val="single" w:color="5B722E" w:sz="4" w:space="0"/>
        <w:bottom w:val="single" w:color="5B722E" w:sz="4" w:space="0"/>
        <w:right w:val="single" w:color="5B722E" w:sz="4" w:space="0"/>
        <w:insideH w:val="single" w:color="5B722E" w:sz="4" w:space="0"/>
        <w:insideV w:val="single" w:color="5B722E" w:sz="4" w:space="0"/>
      </w:tblBorders>
      <w:tblCellMar>
        <w:left w:w="0" w:type="dxa"/>
        <w:top w:w="0" w:type="dxa"/>
        <w:right w:w="0" w:type="dxa"/>
        <w:bottom w:w="0" w:type="dxa"/>
      </w:tblCellMar>
    </w:tblPr>
  </w:style>
  <w:style w:type="table" w:styleId="867" w:customStyle="1">
    <w:name w:val="Bordered &amp; Lined - Accent 4"/>
    <w:uiPriority w:val="99"/>
    <w:rPr>
      <w:color w:val="404040"/>
    </w:rPr>
    <w:tblPr>
      <w:tblStyleRowBandSize w:val="1"/>
      <w:tblStyleColBandSize w:val="1"/>
      <w:tblInd w:w="0" w:type="dxa"/>
      <w:tblBorders>
        <w:top w:val="single" w:color="4A395F" w:sz="4" w:space="0"/>
        <w:left w:val="single" w:color="4A395F" w:sz="4" w:space="0"/>
        <w:bottom w:val="single" w:color="4A395F" w:sz="4" w:space="0"/>
        <w:right w:val="single" w:color="4A395F" w:sz="4" w:space="0"/>
        <w:insideH w:val="single" w:color="4A395F" w:sz="4" w:space="0"/>
        <w:insideV w:val="single" w:color="4A395F" w:sz="4" w:space="0"/>
      </w:tblBorders>
      <w:tblCellMar>
        <w:left w:w="0" w:type="dxa"/>
        <w:top w:w="0" w:type="dxa"/>
        <w:right w:w="0" w:type="dxa"/>
        <w:bottom w:w="0" w:type="dxa"/>
      </w:tblCellMar>
    </w:tblPr>
  </w:style>
  <w:style w:type="table" w:styleId="868" w:customStyle="1">
    <w:name w:val="Bordered &amp; Lined - Accent 5"/>
    <w:uiPriority w:val="99"/>
    <w:rPr>
      <w:color w:val="404040"/>
    </w:rPr>
    <w:tblPr>
      <w:tblStyleRowBandSize w:val="1"/>
      <w:tblStyleColBandSize w:val="1"/>
      <w:tblInd w:w="0" w:type="dxa"/>
      <w:tblBorders>
        <w:top w:val="single" w:color="266779" w:sz="4" w:space="0"/>
        <w:left w:val="single" w:color="266779" w:sz="4" w:space="0"/>
        <w:bottom w:val="single" w:color="266779" w:sz="4" w:space="0"/>
        <w:right w:val="single" w:color="266779" w:sz="4" w:space="0"/>
        <w:insideH w:val="single" w:color="266779" w:sz="4" w:space="0"/>
        <w:insideV w:val="single" w:color="266779" w:sz="4" w:space="0"/>
      </w:tblBorders>
      <w:tblCellMar>
        <w:left w:w="0" w:type="dxa"/>
        <w:top w:w="0" w:type="dxa"/>
        <w:right w:w="0" w:type="dxa"/>
        <w:bottom w:w="0" w:type="dxa"/>
      </w:tblCellMar>
    </w:tblPr>
  </w:style>
  <w:style w:type="table" w:styleId="869" w:customStyle="1">
    <w:name w:val="Bordered &amp; Lined - Accent 6"/>
    <w:uiPriority w:val="99"/>
    <w:rPr>
      <w:color w:val="404040"/>
    </w:rPr>
    <w:tblPr>
      <w:tblStyleRowBandSize w:val="1"/>
      <w:tblStyleColBandSize w:val="1"/>
      <w:tblInd w:w="0" w:type="dxa"/>
      <w:tblBorders>
        <w:top w:val="single" w:color="B15407" w:sz="4" w:space="0"/>
        <w:left w:val="single" w:color="B15407" w:sz="4" w:space="0"/>
        <w:bottom w:val="single" w:color="B15407" w:sz="4" w:space="0"/>
        <w:right w:val="single" w:color="B15407" w:sz="4" w:space="0"/>
        <w:insideH w:val="single" w:color="B15407" w:sz="4" w:space="0"/>
        <w:insideV w:val="single" w:color="B15407" w:sz="4" w:space="0"/>
      </w:tblBorders>
      <w:tblCellMar>
        <w:left w:w="0" w:type="dxa"/>
        <w:top w:w="0" w:type="dxa"/>
        <w:right w:w="0" w:type="dxa"/>
        <w:bottom w:w="0" w:type="dxa"/>
      </w:tblCellMar>
    </w:tblPr>
  </w:style>
  <w:style w:type="table" w:styleId="870" w:customStyle="1">
    <w:name w:val="Bordered"/>
    <w:uiPriority w:val="99"/>
    <w:rPr>
      <w:lang w:eastAsia="zh-CN"/>
    </w:rPr>
    <w:tblPr>
      <w:tblStyleRowBandSize w:val="1"/>
      <w:tblStyleColBandSize w:val="1"/>
      <w:tblInd w:w="0" w:type="dxa"/>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left w:w="0" w:type="dxa"/>
        <w:top w:w="0" w:type="dxa"/>
        <w:right w:w="0" w:type="dxa"/>
        <w:bottom w:w="0" w:type="dxa"/>
      </w:tblCellMar>
    </w:tblPr>
  </w:style>
  <w:style w:type="table" w:styleId="871" w:customStyle="1">
    <w:name w:val="Bordered - Accent 1"/>
    <w:uiPriority w:val="99"/>
    <w:rPr>
      <w:lang w:eastAsia="zh-CN"/>
    </w:rPr>
    <w:tblPr>
      <w:tblStyleRowBandSize w:val="1"/>
      <w:tblStyleColBandSize w:val="1"/>
      <w:tblInd w:w="0" w:type="dxa"/>
      <w:tblBorders>
        <w:top w:val="single" w:color="B7CBE4" w:sz="4" w:space="0"/>
        <w:left w:val="single" w:color="B7CBE4" w:sz="4" w:space="0"/>
        <w:bottom w:val="single" w:color="B7CBE4" w:sz="4" w:space="0"/>
        <w:right w:val="single" w:color="B7CBE4" w:sz="4" w:space="0"/>
        <w:insideH w:val="single" w:color="B7CBE4" w:sz="4" w:space="0"/>
        <w:insideV w:val="single" w:color="B7CBE4" w:sz="4" w:space="0"/>
      </w:tblBorders>
      <w:tblCellMar>
        <w:left w:w="0" w:type="dxa"/>
        <w:top w:w="0" w:type="dxa"/>
        <w:right w:w="0" w:type="dxa"/>
        <w:bottom w:w="0" w:type="dxa"/>
      </w:tblCellMar>
    </w:tblPr>
  </w:style>
  <w:style w:type="table" w:styleId="872" w:customStyle="1">
    <w:name w:val="Bordered - Accent 2"/>
    <w:uiPriority w:val="99"/>
    <w:rPr>
      <w:lang w:eastAsia="zh-CN"/>
    </w:rPr>
    <w:tblPr>
      <w:tblStyleRowBandSize w:val="1"/>
      <w:tblStyleColBandSize w:val="1"/>
      <w:tblInd w:w="0" w:type="dxa"/>
      <w:tblBorders>
        <w:top w:val="single" w:color="E5B7B6" w:sz="4" w:space="0"/>
        <w:left w:val="single" w:color="E5B7B6" w:sz="4" w:space="0"/>
        <w:bottom w:val="single" w:color="E5B7B6" w:sz="4" w:space="0"/>
        <w:right w:val="single" w:color="E5B7B6" w:sz="4" w:space="0"/>
        <w:insideH w:val="single" w:color="E5B7B6" w:sz="4" w:space="0"/>
        <w:insideV w:val="single" w:color="E5B7B6" w:sz="4" w:space="0"/>
      </w:tblBorders>
      <w:tblCellMar>
        <w:left w:w="0" w:type="dxa"/>
        <w:top w:w="0" w:type="dxa"/>
        <w:right w:w="0" w:type="dxa"/>
        <w:bottom w:w="0" w:type="dxa"/>
      </w:tblCellMar>
    </w:tblPr>
  </w:style>
  <w:style w:type="table" w:styleId="873" w:customStyle="1">
    <w:name w:val="Bordered - Accent 3"/>
    <w:uiPriority w:val="99"/>
    <w:rPr>
      <w:lang w:eastAsia="zh-CN"/>
    </w:rPr>
    <w:tblPr>
      <w:tblStyleRowBandSize w:val="1"/>
      <w:tblStyleColBandSize w:val="1"/>
      <w:tblInd w:w="0" w:type="dxa"/>
      <w:tblBorders>
        <w:top w:val="single" w:color="D6E3BB" w:sz="4" w:space="0"/>
        <w:left w:val="single" w:color="D6E3BB" w:sz="4" w:space="0"/>
        <w:bottom w:val="single" w:color="D6E3BB" w:sz="4" w:space="0"/>
        <w:right w:val="single" w:color="D6E3BB" w:sz="4" w:space="0"/>
        <w:insideH w:val="single" w:color="D6E3BB" w:sz="4" w:space="0"/>
        <w:insideV w:val="single" w:color="D6E3BB" w:sz="4" w:space="0"/>
      </w:tblBorders>
      <w:tblCellMar>
        <w:left w:w="0" w:type="dxa"/>
        <w:top w:w="0" w:type="dxa"/>
        <w:right w:w="0" w:type="dxa"/>
        <w:bottom w:w="0" w:type="dxa"/>
      </w:tblCellMar>
    </w:tblPr>
  </w:style>
  <w:style w:type="table" w:styleId="874" w:customStyle="1">
    <w:name w:val="Bordered - Accent 4"/>
    <w:uiPriority w:val="99"/>
    <w:rPr>
      <w:lang w:eastAsia="zh-CN"/>
    </w:rPr>
    <w:tblPr>
      <w:tblStyleRowBandSize w:val="1"/>
      <w:tblStyleColBandSize w:val="1"/>
      <w:tblInd w:w="0" w:type="dxa"/>
      <w:tblBorders>
        <w:top w:val="single" w:color="CBC0D9" w:sz="4" w:space="0"/>
        <w:left w:val="single" w:color="CBC0D9" w:sz="4" w:space="0"/>
        <w:bottom w:val="single" w:color="CBC0D9" w:sz="4" w:space="0"/>
        <w:right w:val="single" w:color="CBC0D9" w:sz="4" w:space="0"/>
        <w:insideH w:val="single" w:color="CBC0D9" w:sz="4" w:space="0"/>
        <w:insideV w:val="single" w:color="CBC0D9" w:sz="4" w:space="0"/>
      </w:tblBorders>
      <w:tblCellMar>
        <w:left w:w="0" w:type="dxa"/>
        <w:top w:w="0" w:type="dxa"/>
        <w:right w:w="0" w:type="dxa"/>
        <w:bottom w:w="0" w:type="dxa"/>
      </w:tblCellMar>
    </w:tblPr>
  </w:style>
  <w:style w:type="table" w:styleId="875" w:customStyle="1">
    <w:name w:val="Bordered - Accent 5"/>
    <w:uiPriority w:val="99"/>
    <w:rPr>
      <w:lang w:eastAsia="zh-CN"/>
    </w:rPr>
    <w:tblPr>
      <w:tblStyleRowBandSize w:val="1"/>
      <w:tblStyleColBandSize w:val="1"/>
      <w:tblInd w:w="0" w:type="dxa"/>
      <w:tblBorders>
        <w:top w:val="single" w:color="B6DDE8" w:sz="4" w:space="0"/>
        <w:left w:val="single" w:color="B6DDE8" w:sz="4" w:space="0"/>
        <w:bottom w:val="single" w:color="B6DDE8" w:sz="4" w:space="0"/>
        <w:right w:val="single" w:color="B6DDE8" w:sz="4" w:space="0"/>
        <w:insideH w:val="single" w:color="B6DDE8" w:sz="4" w:space="0"/>
        <w:insideV w:val="single" w:color="B6DDE8" w:sz="4" w:space="0"/>
      </w:tblBorders>
      <w:tblCellMar>
        <w:left w:w="0" w:type="dxa"/>
        <w:top w:w="0" w:type="dxa"/>
        <w:right w:w="0" w:type="dxa"/>
        <w:bottom w:w="0" w:type="dxa"/>
      </w:tblCellMar>
    </w:tblPr>
  </w:style>
  <w:style w:type="table" w:styleId="876" w:customStyle="1">
    <w:name w:val="Bordered - Accent 6"/>
    <w:uiPriority w:val="99"/>
    <w:rPr>
      <w:lang w:eastAsia="zh-CN"/>
    </w:rPr>
    <w:tblPr>
      <w:tblStyleRowBandSize w:val="1"/>
      <w:tblStyleColBandSize w:val="1"/>
      <w:tblInd w:w="0" w:type="dxa"/>
      <w:tblBorders>
        <w:top w:val="single" w:color="FBD4B4" w:sz="4" w:space="0"/>
        <w:left w:val="single" w:color="FBD4B4" w:sz="4" w:space="0"/>
        <w:bottom w:val="single" w:color="FBD4B4" w:sz="4" w:space="0"/>
        <w:right w:val="single" w:color="FBD4B4" w:sz="4" w:space="0"/>
        <w:insideH w:val="single" w:color="FBD4B4" w:sz="4" w:space="0"/>
        <w:insideV w:val="single" w:color="FBD4B4" w:sz="4" w:space="0"/>
      </w:tblBorders>
      <w:tblCellMar>
        <w:left w:w="0" w:type="dxa"/>
        <w:top w:w="0" w:type="dxa"/>
        <w:right w:w="0" w:type="dxa"/>
        <w:bottom w:w="0" w:type="dxa"/>
      </w:tblCellMar>
    </w:tblPr>
  </w:style>
  <w:style w:type="character" w:styleId="877">
    <w:name w:val="Hyperlink"/>
    <w:rPr>
      <w:rFonts w:cs="Times New Roman"/>
      <w:color w:val="0000ff"/>
      <w:u w:val="single"/>
    </w:rPr>
  </w:style>
  <w:style w:type="paragraph" w:styleId="878">
    <w:name w:val="footnote text"/>
    <w:basedOn w:val="707"/>
    <w:link w:val="955"/>
    <w:semiHidden/>
    <w:qFormat/>
    <w:pPr>
      <w:ind w:firstLine="0"/>
      <w:spacing w:after="60" w:line="240" w:lineRule="auto"/>
    </w:pPr>
    <w:rPr>
      <w:szCs w:val="20"/>
      <w:lang w:val="en-US" w:eastAsia="en-US"/>
    </w:rPr>
  </w:style>
  <w:style w:type="character" w:styleId="879" w:customStyle="1">
    <w:name w:val="Footnote Text Char"/>
    <w:uiPriority w:val="99"/>
    <w:rPr>
      <w:sz w:val="18"/>
    </w:rPr>
  </w:style>
  <w:style w:type="character" w:styleId="880">
    <w:name w:val="footnote reference"/>
    <w:semiHidden/>
    <w:rPr>
      <w:rFonts w:ascii="Times New Roman" w:hAnsi="Times New Roman" w:cs="Times New Roman"/>
      <w:vertAlign w:val="superscript"/>
    </w:rPr>
  </w:style>
  <w:style w:type="paragraph" w:styleId="881">
    <w:name w:val="endnote text"/>
    <w:basedOn w:val="707"/>
    <w:link w:val="882"/>
    <w:uiPriority w:val="99"/>
    <w:semiHidden/>
    <w:unhideWhenUsed/>
    <w:pPr>
      <w:spacing w:line="240" w:lineRule="auto"/>
    </w:pPr>
    <w:rPr>
      <w:sz w:val="20"/>
    </w:rPr>
  </w:style>
  <w:style w:type="character" w:styleId="882" w:customStyle="1">
    <w:name w:val="Текст концевой сноски Знак"/>
    <w:link w:val="881"/>
    <w:uiPriority w:val="99"/>
    <w:rPr>
      <w:sz w:val="20"/>
    </w:rPr>
  </w:style>
  <w:style w:type="character" w:styleId="883">
    <w:name w:val="endnote reference"/>
    <w:uiPriority w:val="99"/>
    <w:semiHidden/>
    <w:unhideWhenUsed/>
    <w:rPr>
      <w:vertAlign w:val="superscript"/>
    </w:rPr>
  </w:style>
  <w:style w:type="paragraph" w:styleId="884">
    <w:name w:val="toc 1"/>
    <w:basedOn w:val="707"/>
    <w:next w:val="707"/>
    <w:semiHidden/>
    <w:pPr>
      <w:ind w:firstLine="0"/>
      <w:jc w:val="left"/>
      <w:spacing w:before="100" w:line="240" w:lineRule="auto"/>
      <w:tabs>
        <w:tab w:val="left" w:pos="1440" w:leader="none"/>
        <w:tab w:val="right" w:pos="9720" w:leader="dot"/>
      </w:tabs>
    </w:pPr>
    <w:rPr>
      <w:rFonts w:ascii="Arial" w:hAnsi="Arial" w:cs="Arial"/>
      <w:b/>
      <w:bCs/>
      <w:caps/>
      <w:sz w:val="24"/>
      <w:szCs w:val="24"/>
    </w:rPr>
  </w:style>
  <w:style w:type="paragraph" w:styleId="885">
    <w:name w:val="toc 2"/>
    <w:basedOn w:val="707"/>
    <w:next w:val="707"/>
    <w:semiHidden/>
    <w:pPr>
      <w:ind w:left="360" w:firstLine="0"/>
      <w:jc w:val="left"/>
      <w:spacing w:before="20" w:line="240" w:lineRule="auto"/>
      <w:tabs>
        <w:tab w:val="left" w:pos="960" w:leader="none"/>
        <w:tab w:val="right" w:pos="9720" w:leader="dot"/>
      </w:tabs>
    </w:pPr>
    <w:rPr>
      <w:b/>
      <w:bCs/>
      <w:sz w:val="20"/>
      <w:szCs w:val="20"/>
    </w:rPr>
  </w:style>
  <w:style w:type="paragraph" w:styleId="886">
    <w:name w:val="toc 3"/>
    <w:basedOn w:val="707"/>
    <w:next w:val="707"/>
    <w:semiHidden/>
    <w:pPr>
      <w:ind w:left="252" w:hanging="12"/>
      <w:jc w:val="left"/>
      <w:spacing w:before="100" w:line="240" w:lineRule="auto"/>
      <w:tabs>
        <w:tab w:val="left" w:pos="1680" w:leader="none"/>
        <w:tab w:val="right" w:pos="10148" w:leader="dot"/>
      </w:tabs>
    </w:pPr>
    <w:rPr>
      <w:sz w:val="20"/>
      <w:szCs w:val="20"/>
    </w:rPr>
  </w:style>
  <w:style w:type="paragraph" w:styleId="887">
    <w:name w:val="toc 4"/>
    <w:basedOn w:val="707"/>
    <w:next w:val="707"/>
    <w:semiHidden/>
    <w:pPr>
      <w:ind w:left="480" w:firstLine="0"/>
      <w:jc w:val="left"/>
      <w:spacing w:line="240" w:lineRule="auto"/>
    </w:pPr>
    <w:rPr>
      <w:sz w:val="20"/>
      <w:szCs w:val="20"/>
    </w:rPr>
  </w:style>
  <w:style w:type="paragraph" w:styleId="888">
    <w:name w:val="toc 5"/>
    <w:basedOn w:val="707"/>
    <w:next w:val="707"/>
    <w:semiHidden/>
    <w:pPr>
      <w:ind w:left="720" w:firstLine="0"/>
      <w:jc w:val="left"/>
      <w:spacing w:line="240" w:lineRule="auto"/>
    </w:pPr>
    <w:rPr>
      <w:sz w:val="20"/>
      <w:szCs w:val="20"/>
    </w:rPr>
  </w:style>
  <w:style w:type="paragraph" w:styleId="889">
    <w:name w:val="toc 6"/>
    <w:basedOn w:val="707"/>
    <w:next w:val="707"/>
    <w:semiHidden/>
    <w:pPr>
      <w:ind w:left="960" w:firstLine="0"/>
      <w:jc w:val="left"/>
      <w:spacing w:line="240" w:lineRule="auto"/>
    </w:pPr>
    <w:rPr>
      <w:sz w:val="20"/>
      <w:szCs w:val="20"/>
    </w:rPr>
  </w:style>
  <w:style w:type="paragraph" w:styleId="890">
    <w:name w:val="toc 7"/>
    <w:basedOn w:val="707"/>
    <w:next w:val="707"/>
    <w:semiHidden/>
    <w:pPr>
      <w:ind w:left="1200" w:firstLine="0"/>
      <w:jc w:val="left"/>
      <w:spacing w:line="240" w:lineRule="auto"/>
    </w:pPr>
    <w:rPr>
      <w:sz w:val="20"/>
      <w:szCs w:val="20"/>
    </w:rPr>
  </w:style>
  <w:style w:type="paragraph" w:styleId="891">
    <w:name w:val="toc 8"/>
    <w:basedOn w:val="707"/>
    <w:next w:val="707"/>
    <w:semiHidden/>
    <w:pPr>
      <w:ind w:left="1440" w:firstLine="0"/>
      <w:jc w:val="left"/>
      <w:spacing w:line="240" w:lineRule="auto"/>
    </w:pPr>
    <w:rPr>
      <w:sz w:val="20"/>
      <w:szCs w:val="20"/>
    </w:rPr>
  </w:style>
  <w:style w:type="paragraph" w:styleId="892">
    <w:name w:val="toc 9"/>
    <w:basedOn w:val="707"/>
    <w:next w:val="707"/>
    <w:semiHidden/>
    <w:pPr>
      <w:ind w:left="1680" w:firstLine="0"/>
      <w:jc w:val="left"/>
      <w:spacing w:line="240" w:lineRule="auto"/>
    </w:pPr>
    <w:rPr>
      <w:sz w:val="20"/>
      <w:szCs w:val="20"/>
    </w:rPr>
  </w:style>
  <w:style w:type="paragraph" w:styleId="893">
    <w:name w:val="TOC Heading"/>
    <w:uiPriority w:val="39"/>
    <w:unhideWhenUsed/>
    <w:rPr>
      <w:lang w:eastAsia="zh-CN"/>
    </w:rPr>
  </w:style>
  <w:style w:type="paragraph" w:styleId="894">
    <w:name w:val="table of figures"/>
    <w:basedOn w:val="707"/>
    <w:next w:val="707"/>
    <w:uiPriority w:val="99"/>
    <w:unhideWhenUsed/>
  </w:style>
  <w:style w:type="paragraph" w:styleId="895" w:customStyle="1">
    <w:name w:val="Заголовок 3;H3"/>
    <w:basedOn w:val="707"/>
    <w:next w:val="707"/>
    <w:link w:val="899"/>
    <w:qFormat/>
    <w:pPr>
      <w:numPr>
        <w:ilvl w:val="2"/>
        <w:numId w:val="1"/>
      </w:numPr>
      <w:keepNext/>
      <w:spacing w:before="120" w:after="120"/>
      <w:outlineLvl w:val="2"/>
    </w:pPr>
    <w:rPr>
      <w:b/>
      <w:bCs/>
    </w:rPr>
  </w:style>
  <w:style w:type="paragraph" w:styleId="896" w:customStyle="1">
    <w:name w:val="Заголовок 4;H4"/>
    <w:basedOn w:val="707"/>
    <w:next w:val="707"/>
    <w:link w:val="900"/>
    <w:qFormat/>
    <w:pPr>
      <w:numPr>
        <w:ilvl w:val="3"/>
        <w:numId w:val="1"/>
      </w:numPr>
      <w:keepNext/>
      <w:spacing w:before="240" w:after="60"/>
      <w:outlineLvl w:val="3"/>
    </w:pPr>
    <w:rPr>
      <w:b/>
      <w:bCs/>
      <w:i/>
      <w:iCs/>
    </w:rPr>
  </w:style>
  <w:style w:type="character" w:styleId="897" w:customStyle="1">
    <w:name w:val="Заголовок 1 Знак"/>
    <w:link w:val="708"/>
    <w:rPr>
      <w:rFonts w:ascii="Cambria" w:hAnsi="Cambria" w:cs="Times New Roman"/>
      <w:b/>
      <w:bCs/>
      <w:sz w:val="32"/>
      <w:szCs w:val="32"/>
    </w:rPr>
  </w:style>
  <w:style w:type="character" w:styleId="898" w:customStyle="1">
    <w:name w:val="Заголовок 2 Знак1"/>
    <w:link w:val="709"/>
    <w:semiHidden/>
    <w:rPr>
      <w:rFonts w:ascii="Cambria" w:hAnsi="Cambria" w:cs="Times New Roman"/>
      <w:b/>
      <w:bCs/>
      <w:i/>
      <w:iCs/>
      <w:sz w:val="28"/>
      <w:szCs w:val="28"/>
    </w:rPr>
  </w:style>
  <w:style w:type="character" w:styleId="899" w:customStyle="1">
    <w:name w:val="Заголовок 3 Знак;H3 Знак"/>
    <w:link w:val="895"/>
    <w:rPr>
      <w:b/>
      <w:bCs/>
      <w:sz w:val="28"/>
      <w:szCs w:val="28"/>
    </w:rPr>
  </w:style>
  <w:style w:type="character" w:styleId="900" w:customStyle="1">
    <w:name w:val="Заголовок 4 Знак;H4 Знак"/>
    <w:link w:val="896"/>
    <w:rPr>
      <w:b/>
      <w:bCs/>
      <w:i/>
      <w:iCs/>
      <w:sz w:val="28"/>
      <w:szCs w:val="28"/>
    </w:rPr>
  </w:style>
  <w:style w:type="character" w:styleId="901" w:customStyle="1">
    <w:name w:val="Заголовок 5 Знак"/>
    <w:link w:val="712"/>
    <w:semiHidden/>
    <w:rPr>
      <w:rFonts w:ascii="Calibri" w:hAnsi="Calibri" w:cs="Times New Roman"/>
      <w:b/>
      <w:bCs/>
      <w:i/>
      <w:iCs/>
      <w:sz w:val="26"/>
      <w:szCs w:val="26"/>
    </w:rPr>
  </w:style>
  <w:style w:type="character" w:styleId="902" w:customStyle="1">
    <w:name w:val="Заголовок 6 Знак"/>
    <w:link w:val="713"/>
    <w:semiHidden/>
    <w:rPr>
      <w:rFonts w:ascii="Calibri" w:hAnsi="Calibri" w:cs="Times New Roman"/>
      <w:b/>
      <w:bCs/>
    </w:rPr>
  </w:style>
  <w:style w:type="character" w:styleId="903" w:customStyle="1">
    <w:name w:val="Заголовок 7 Знак"/>
    <w:link w:val="714"/>
    <w:semiHidden/>
    <w:rPr>
      <w:rFonts w:ascii="Calibri" w:hAnsi="Calibri" w:cs="Times New Roman"/>
      <w:sz w:val="24"/>
      <w:szCs w:val="24"/>
    </w:rPr>
  </w:style>
  <w:style w:type="character" w:styleId="904" w:customStyle="1">
    <w:name w:val="Заголовок 8 Знак"/>
    <w:link w:val="715"/>
    <w:semiHidden/>
    <w:rPr>
      <w:rFonts w:ascii="Calibri" w:hAnsi="Calibri" w:cs="Times New Roman"/>
      <w:i/>
      <w:iCs/>
      <w:sz w:val="24"/>
      <w:szCs w:val="24"/>
    </w:rPr>
  </w:style>
  <w:style w:type="character" w:styleId="905" w:customStyle="1">
    <w:name w:val="Заголовок 9 Знак"/>
    <w:link w:val="716"/>
    <w:semiHidden/>
    <w:rPr>
      <w:rFonts w:ascii="Cambria" w:hAnsi="Cambria" w:cs="Times New Roman"/>
    </w:rPr>
  </w:style>
  <w:style w:type="character" w:styleId="906" w:customStyle="1">
    <w:name w:val="Гипертекстовая ссылка"/>
    <w:rPr>
      <w:b/>
      <w:color w:val="008000"/>
      <w:sz w:val="20"/>
      <w:u w:val="single"/>
    </w:rPr>
  </w:style>
  <w:style w:type="paragraph" w:styleId="907" w:customStyle="1">
    <w:name w:val="ConsPlusNormal"/>
    <w:pPr>
      <w:ind w:firstLine="720"/>
      <w:widowControl w:val="off"/>
    </w:pPr>
    <w:rPr>
      <w:rFonts w:ascii="Arial" w:hAnsi="Arial" w:cs="Arial"/>
    </w:rPr>
  </w:style>
  <w:style w:type="character" w:styleId="908" w:customStyle="1">
    <w:name w:val="Заголовок 1 Знак;Document Header1 Знак"/>
    <w:rPr>
      <w:b/>
      <w:sz w:val="36"/>
      <w:lang w:val="ru-RU" w:eastAsia="ru-RU"/>
    </w:rPr>
  </w:style>
  <w:style w:type="character" w:styleId="909" w:customStyle="1">
    <w:name w:val="Сильное выделение1"/>
    <w:rPr>
      <w:rFonts w:cs="Times New Roman"/>
      <w:b/>
      <w:i/>
      <w:color w:val="4f81bd"/>
    </w:rPr>
  </w:style>
  <w:style w:type="paragraph" w:styleId="910">
    <w:name w:val="Body Text Indent"/>
    <w:basedOn w:val="707"/>
    <w:link w:val="911"/>
    <w:pPr>
      <w:spacing w:line="240" w:lineRule="auto"/>
    </w:pPr>
    <w:rPr>
      <w:lang w:val="en-US" w:eastAsia="en-US"/>
    </w:rPr>
  </w:style>
  <w:style w:type="character" w:styleId="911" w:customStyle="1">
    <w:name w:val="Основной текст с отступом Знак"/>
    <w:link w:val="910"/>
    <w:semiHidden/>
    <w:rPr>
      <w:rFonts w:cs="Times New Roman"/>
      <w:sz w:val="28"/>
      <w:szCs w:val="28"/>
    </w:rPr>
  </w:style>
  <w:style w:type="paragraph" w:styleId="912" w:customStyle="1">
    <w:name w:val="Основной текст с отступом 2;Знак"/>
    <w:basedOn w:val="707"/>
    <w:link w:val="913"/>
    <w:pPr>
      <w:ind w:left="283"/>
      <w:spacing w:after="120" w:line="480" w:lineRule="auto"/>
    </w:pPr>
    <w:rPr>
      <w:lang w:val="en-US" w:eastAsia="en-US"/>
    </w:rPr>
  </w:style>
  <w:style w:type="character" w:styleId="913" w:customStyle="1">
    <w:name w:val="Основной текст с отступом 2 Знак;Знак Знак2"/>
    <w:link w:val="912"/>
    <w:semiHidden/>
    <w:rPr>
      <w:rFonts w:cs="Times New Roman"/>
      <w:sz w:val="28"/>
      <w:szCs w:val="28"/>
    </w:rPr>
  </w:style>
  <w:style w:type="paragraph" w:styleId="914" w:customStyle="1">
    <w:name w:val="Основной текст 21"/>
    <w:basedOn w:val="707"/>
    <w:pPr>
      <w:spacing w:line="240" w:lineRule="auto"/>
    </w:pPr>
    <w:rPr>
      <w:sz w:val="24"/>
      <w:szCs w:val="20"/>
    </w:rPr>
  </w:style>
  <w:style w:type="paragraph" w:styleId="915">
    <w:name w:val="Body Text"/>
    <w:basedOn w:val="707"/>
    <w:link w:val="916"/>
    <w:pPr>
      <w:spacing w:after="120"/>
    </w:pPr>
    <w:rPr>
      <w:szCs w:val="20"/>
      <w:lang w:val="en-US" w:eastAsia="en-US"/>
    </w:rPr>
  </w:style>
  <w:style w:type="character" w:styleId="916" w:customStyle="1">
    <w:name w:val="Основной текст Знак"/>
    <w:link w:val="915"/>
    <w:rPr>
      <w:rFonts w:cs="Times New Roman"/>
      <w:sz w:val="28"/>
    </w:rPr>
  </w:style>
  <w:style w:type="character" w:styleId="917" w:customStyle="1">
    <w:name w:val="Нижний колонтитул Знак"/>
    <w:link w:val="747"/>
    <w:rPr>
      <w:rFonts w:cs="Times New Roman"/>
    </w:rPr>
  </w:style>
  <w:style w:type="paragraph" w:styleId="918" w:customStyle="1">
    <w:name w:val="Обычный + по ширине"/>
    <w:basedOn w:val="707"/>
    <w:pPr>
      <w:ind w:firstLine="0"/>
      <w:spacing w:line="240" w:lineRule="auto"/>
    </w:pPr>
    <w:rPr>
      <w:sz w:val="24"/>
      <w:szCs w:val="24"/>
    </w:rPr>
  </w:style>
  <w:style w:type="character" w:styleId="919">
    <w:name w:val="annotation reference"/>
    <w:semiHidden/>
    <w:rPr>
      <w:rFonts w:cs="Times New Roman"/>
      <w:sz w:val="16"/>
    </w:rPr>
  </w:style>
  <w:style w:type="paragraph" w:styleId="920">
    <w:name w:val="annotation text"/>
    <w:basedOn w:val="707"/>
    <w:link w:val="921"/>
    <w:semiHidden/>
    <w:pPr>
      <w:ind w:firstLine="0"/>
      <w:jc w:val="left"/>
      <w:spacing w:line="240" w:lineRule="auto"/>
    </w:pPr>
    <w:rPr>
      <w:szCs w:val="20"/>
      <w:lang w:val="en-US" w:eastAsia="en-US"/>
    </w:rPr>
  </w:style>
  <w:style w:type="character" w:styleId="921" w:customStyle="1">
    <w:name w:val="Текст примечания Знак"/>
    <w:link w:val="920"/>
    <w:semiHidden/>
    <w:rPr>
      <w:sz w:val="28"/>
      <w:lang w:val="en-US" w:eastAsia="en-US"/>
    </w:rPr>
  </w:style>
  <w:style w:type="paragraph" w:styleId="922">
    <w:name w:val="annotation subject"/>
    <w:basedOn w:val="920"/>
    <w:next w:val="920"/>
    <w:link w:val="923"/>
    <w:semiHidden/>
    <w:rPr>
      <w:b/>
      <w:bCs/>
    </w:rPr>
  </w:style>
  <w:style w:type="character" w:styleId="923" w:customStyle="1">
    <w:name w:val="Тема примечания Знак"/>
    <w:link w:val="922"/>
    <w:semiHidden/>
    <w:rPr>
      <w:rFonts w:cs="Times New Roman"/>
      <w:b/>
      <w:bCs/>
      <w:sz w:val="20"/>
      <w:szCs w:val="20"/>
    </w:rPr>
  </w:style>
  <w:style w:type="paragraph" w:styleId="924">
    <w:name w:val="Balloon Text"/>
    <w:basedOn w:val="707"/>
    <w:link w:val="925"/>
    <w:semiHidden/>
    <w:pPr>
      <w:ind w:firstLine="0"/>
      <w:jc w:val="left"/>
      <w:spacing w:line="240" w:lineRule="auto"/>
    </w:pPr>
    <w:rPr>
      <w:szCs w:val="20"/>
      <w:lang w:val="en-US" w:eastAsia="en-US"/>
    </w:rPr>
  </w:style>
  <w:style w:type="character" w:styleId="925" w:customStyle="1">
    <w:name w:val="Текст выноски Знак"/>
    <w:link w:val="924"/>
    <w:semiHidden/>
    <w:rPr>
      <w:sz w:val="28"/>
      <w:lang w:val="en-US" w:eastAsia="en-US"/>
    </w:rPr>
  </w:style>
  <w:style w:type="paragraph" w:styleId="926">
    <w:name w:val="Body Text 2"/>
    <w:basedOn w:val="707"/>
    <w:link w:val="927"/>
    <w:pPr>
      <w:numPr>
        <w:ilvl w:val="1"/>
        <w:numId w:val="4"/>
      </w:numPr>
      <w:spacing w:after="60" w:line="240" w:lineRule="auto"/>
    </w:pPr>
    <w:rPr>
      <w:sz w:val="24"/>
      <w:szCs w:val="20"/>
    </w:rPr>
  </w:style>
  <w:style w:type="character" w:styleId="927" w:customStyle="1">
    <w:name w:val="Основной текст 2 Знак"/>
    <w:link w:val="926"/>
    <w:rPr>
      <w:sz w:val="24"/>
    </w:rPr>
  </w:style>
  <w:style w:type="paragraph" w:styleId="928">
    <w:name w:val="List Bullet"/>
    <w:basedOn w:val="707"/>
    <w:pPr>
      <w:ind w:firstLine="0"/>
      <w:spacing w:after="60" w:line="240" w:lineRule="auto"/>
      <w:widowControl w:val="off"/>
    </w:pPr>
    <w:rPr>
      <w:sz w:val="24"/>
      <w:szCs w:val="24"/>
    </w:rPr>
  </w:style>
  <w:style w:type="paragraph" w:styleId="929">
    <w:name w:val="List Bullet 2"/>
    <w:basedOn w:val="707"/>
    <w:pPr>
      <w:ind w:left="643" w:hanging="360"/>
      <w:spacing w:after="60" w:line="240" w:lineRule="auto"/>
      <w:tabs>
        <w:tab w:val="num" w:pos="643" w:leader="none"/>
        <w:tab w:val="num" w:pos="1209" w:leader="none"/>
      </w:tabs>
    </w:pPr>
    <w:rPr>
      <w:sz w:val="24"/>
      <w:szCs w:val="20"/>
    </w:rPr>
  </w:style>
  <w:style w:type="paragraph" w:styleId="930">
    <w:name w:val="List Bullet 3"/>
    <w:basedOn w:val="707"/>
    <w:pPr>
      <w:ind w:left="926" w:hanging="360"/>
      <w:spacing w:after="60" w:line="240" w:lineRule="auto"/>
      <w:tabs>
        <w:tab w:val="num" w:pos="926" w:leader="none"/>
        <w:tab w:val="num" w:pos="1492" w:leader="none"/>
      </w:tabs>
    </w:pPr>
    <w:rPr>
      <w:sz w:val="24"/>
      <w:szCs w:val="20"/>
    </w:rPr>
  </w:style>
  <w:style w:type="paragraph" w:styleId="931">
    <w:name w:val="List Bullet 4"/>
    <w:basedOn w:val="707"/>
    <w:pPr>
      <w:ind w:left="1209" w:hanging="360"/>
      <w:spacing w:after="60" w:line="240" w:lineRule="auto"/>
      <w:tabs>
        <w:tab w:val="num" w:pos="1209" w:leader="none"/>
      </w:tabs>
    </w:pPr>
    <w:rPr>
      <w:sz w:val="24"/>
      <w:szCs w:val="20"/>
    </w:rPr>
  </w:style>
  <w:style w:type="paragraph" w:styleId="932">
    <w:name w:val="List Bullet 5"/>
    <w:basedOn w:val="707"/>
    <w:pPr>
      <w:ind w:left="1492" w:hanging="360"/>
      <w:spacing w:after="60" w:line="240" w:lineRule="auto"/>
      <w:tabs>
        <w:tab w:val="num" w:pos="643" w:leader="none"/>
        <w:tab w:val="num" w:pos="1492" w:leader="none"/>
      </w:tabs>
    </w:pPr>
    <w:rPr>
      <w:sz w:val="24"/>
      <w:szCs w:val="20"/>
    </w:rPr>
  </w:style>
  <w:style w:type="paragraph" w:styleId="933">
    <w:name w:val="List Number"/>
    <w:basedOn w:val="707"/>
    <w:pPr>
      <w:ind w:left="360" w:hanging="360"/>
      <w:spacing w:after="60" w:line="240" w:lineRule="auto"/>
      <w:tabs>
        <w:tab w:val="num" w:pos="926" w:leader="none"/>
      </w:tabs>
    </w:pPr>
    <w:rPr>
      <w:sz w:val="24"/>
      <w:szCs w:val="20"/>
    </w:rPr>
  </w:style>
  <w:style w:type="paragraph" w:styleId="934">
    <w:name w:val="List Number 2"/>
    <w:basedOn w:val="707"/>
    <w:pPr>
      <w:ind w:left="643" w:hanging="360"/>
      <w:spacing w:after="60" w:line="240" w:lineRule="auto"/>
      <w:tabs>
        <w:tab w:val="num" w:pos="643" w:leader="none"/>
        <w:tab w:val="num" w:pos="1209" w:leader="none"/>
      </w:tabs>
    </w:pPr>
    <w:rPr>
      <w:sz w:val="24"/>
      <w:szCs w:val="20"/>
    </w:rPr>
  </w:style>
  <w:style w:type="paragraph" w:styleId="935">
    <w:name w:val="List Number 3"/>
    <w:basedOn w:val="707"/>
    <w:pPr>
      <w:ind w:left="926" w:hanging="360"/>
      <w:spacing w:after="60" w:line="240" w:lineRule="auto"/>
      <w:tabs>
        <w:tab w:val="num" w:pos="926" w:leader="none"/>
      </w:tabs>
    </w:pPr>
    <w:rPr>
      <w:sz w:val="24"/>
      <w:szCs w:val="20"/>
    </w:rPr>
  </w:style>
  <w:style w:type="paragraph" w:styleId="936">
    <w:name w:val="List Number 4"/>
    <w:basedOn w:val="707"/>
    <w:pPr>
      <w:ind w:left="1209" w:hanging="360"/>
      <w:spacing w:after="60" w:line="240" w:lineRule="auto"/>
      <w:tabs>
        <w:tab w:val="num" w:pos="1209" w:leader="none"/>
      </w:tabs>
    </w:pPr>
    <w:rPr>
      <w:sz w:val="24"/>
      <w:szCs w:val="20"/>
    </w:rPr>
  </w:style>
  <w:style w:type="paragraph" w:styleId="937">
    <w:name w:val="List Number 5"/>
    <w:basedOn w:val="707"/>
    <w:pPr>
      <w:ind w:left="1492" w:hanging="360"/>
      <w:spacing w:after="60" w:line="240" w:lineRule="auto"/>
      <w:tabs>
        <w:tab w:val="num" w:pos="643" w:leader="none"/>
        <w:tab w:val="num" w:pos="1492" w:leader="none"/>
      </w:tabs>
    </w:pPr>
    <w:rPr>
      <w:sz w:val="24"/>
      <w:szCs w:val="20"/>
    </w:rPr>
  </w:style>
  <w:style w:type="paragraph" w:styleId="938" w:customStyle="1">
    <w:name w:val="Раздел"/>
    <w:basedOn w:val="707"/>
    <w:semiHidden/>
    <w:pPr>
      <w:numPr>
        <w:ilvl w:val="1"/>
        <w:numId w:val="2"/>
      </w:numPr>
      <w:jc w:val="center"/>
      <w:spacing w:before="120" w:after="120" w:line="240" w:lineRule="auto"/>
    </w:pPr>
    <w:rPr>
      <w:rFonts w:ascii="Arial Narrow" w:hAnsi="Arial Narrow"/>
      <w:b/>
      <w:szCs w:val="20"/>
    </w:rPr>
  </w:style>
  <w:style w:type="paragraph" w:styleId="939" w:customStyle="1">
    <w:name w:val="Часть"/>
    <w:basedOn w:val="707"/>
    <w:semiHidden/>
    <w:pPr>
      <w:ind w:firstLine="0"/>
      <w:jc w:val="center"/>
      <w:spacing w:after="60" w:line="240" w:lineRule="auto"/>
    </w:pPr>
    <w:rPr>
      <w:rFonts w:ascii="Arial" w:hAnsi="Arial"/>
      <w:b/>
      <w:caps/>
      <w:sz w:val="32"/>
      <w:szCs w:val="20"/>
    </w:rPr>
  </w:style>
  <w:style w:type="paragraph" w:styleId="940" w:customStyle="1">
    <w:name w:val="Раздел 3"/>
    <w:basedOn w:val="707"/>
    <w:semiHidden/>
    <w:pPr>
      <w:numPr>
        <w:ilvl w:val="0"/>
        <w:numId w:val="3"/>
      </w:numPr>
      <w:jc w:val="center"/>
      <w:spacing w:before="120" w:after="120" w:line="240" w:lineRule="auto"/>
    </w:pPr>
    <w:rPr>
      <w:b/>
      <w:sz w:val="24"/>
      <w:szCs w:val="20"/>
    </w:rPr>
  </w:style>
  <w:style w:type="paragraph" w:styleId="941" w:customStyle="1">
    <w:name w:val="Условия контракта"/>
    <w:basedOn w:val="707"/>
    <w:semiHidden/>
    <w:pPr>
      <w:numPr>
        <w:ilvl w:val="0"/>
        <w:numId w:val="4"/>
      </w:numPr>
      <w:spacing w:before="240" w:after="120" w:line="240" w:lineRule="auto"/>
    </w:pPr>
    <w:rPr>
      <w:b/>
      <w:sz w:val="24"/>
      <w:szCs w:val="20"/>
    </w:rPr>
  </w:style>
  <w:style w:type="paragraph" w:styleId="942" w:customStyle="1">
    <w:name w:val="Instruction"/>
    <w:basedOn w:val="926"/>
    <w:semiHidden/>
    <w:pPr>
      <w:numPr>
        <w:ilvl w:val="0"/>
        <w:numId w:val="0"/>
      </w:numPr>
      <w:ind w:left="360" w:hanging="360"/>
      <w:spacing w:before="180"/>
      <w:tabs>
        <w:tab w:val="num" w:pos="360" w:leader="none"/>
      </w:tabs>
    </w:pPr>
    <w:rPr>
      <w:b/>
    </w:rPr>
  </w:style>
  <w:style w:type="character" w:styleId="943" w:customStyle="1">
    <w:name w:val="Название Знак"/>
    <w:link w:val="737"/>
    <w:rPr>
      <w:rFonts w:ascii="Cambria" w:hAnsi="Cambria" w:cs="Times New Roman"/>
      <w:b/>
      <w:bCs/>
      <w:sz w:val="32"/>
      <w:szCs w:val="32"/>
    </w:rPr>
  </w:style>
  <w:style w:type="character" w:styleId="944" w:customStyle="1">
    <w:name w:val="Подзаголовок Знак"/>
    <w:link w:val="739"/>
    <w:rPr>
      <w:rFonts w:ascii="Cambria" w:hAnsi="Cambria" w:cs="Times New Roman"/>
      <w:sz w:val="24"/>
      <w:szCs w:val="24"/>
    </w:rPr>
  </w:style>
  <w:style w:type="paragraph" w:styleId="945" w:customStyle="1">
    <w:name w:val="Тендерные данные"/>
    <w:basedOn w:val="707"/>
    <w:semiHidden/>
    <w:pPr>
      <w:ind w:firstLine="0"/>
      <w:spacing w:before="120" w:after="60" w:line="240" w:lineRule="auto"/>
      <w:tabs>
        <w:tab w:val="left" w:pos="1985" w:leader="none"/>
      </w:tabs>
    </w:pPr>
    <w:rPr>
      <w:b/>
      <w:sz w:val="24"/>
      <w:szCs w:val="20"/>
    </w:rPr>
  </w:style>
  <w:style w:type="paragraph" w:styleId="946">
    <w:name w:val="Date"/>
    <w:basedOn w:val="707"/>
    <w:next w:val="707"/>
    <w:link w:val="947"/>
    <w:pPr>
      <w:ind w:firstLine="0"/>
      <w:spacing w:after="60" w:line="240" w:lineRule="auto"/>
    </w:pPr>
    <w:rPr>
      <w:lang w:val="en-US" w:eastAsia="en-US"/>
    </w:rPr>
  </w:style>
  <w:style w:type="character" w:styleId="947" w:customStyle="1">
    <w:name w:val="Дата Знак"/>
    <w:link w:val="946"/>
    <w:semiHidden/>
    <w:rPr>
      <w:rFonts w:cs="Times New Roman"/>
      <w:sz w:val="28"/>
      <w:szCs w:val="28"/>
    </w:rPr>
  </w:style>
  <w:style w:type="paragraph" w:styleId="948" w:customStyle="1">
    <w:name w:val="Îáû÷íûé"/>
    <w:semiHidden/>
  </w:style>
  <w:style w:type="paragraph" w:styleId="949" w:customStyle="1">
    <w:name w:val="Íîðìàëüíûé"/>
    <w:semiHidden/>
    <w:rPr>
      <w:rFonts w:ascii="Courier" w:hAnsi="Courier"/>
      <w:sz w:val="24"/>
      <w:lang w:val="en-GB"/>
    </w:rPr>
  </w:style>
  <w:style w:type="paragraph" w:styleId="950" w:customStyle="1">
    <w:name w:val="Подраздел"/>
    <w:basedOn w:val="707"/>
    <w:semiHidden/>
    <w:pPr>
      <w:ind w:firstLine="0"/>
      <w:jc w:val="center"/>
      <w:spacing w:before="240" w:after="120" w:line="240" w:lineRule="auto"/>
    </w:pPr>
    <w:rPr>
      <w:rFonts w:ascii="TimesDL" w:hAnsi="TimesDL"/>
      <w:b/>
      <w:smallCaps/>
      <w:spacing w:val="-2"/>
      <w:sz w:val="24"/>
      <w:szCs w:val="20"/>
    </w:rPr>
  </w:style>
  <w:style w:type="paragraph" w:styleId="951">
    <w:name w:val="Body Text Indent 3"/>
    <w:basedOn w:val="707"/>
    <w:link w:val="952"/>
    <w:pPr>
      <w:ind w:left="283" w:firstLine="0"/>
      <w:spacing w:after="120" w:line="240" w:lineRule="auto"/>
    </w:pPr>
    <w:rPr>
      <w:sz w:val="16"/>
      <w:szCs w:val="16"/>
      <w:lang w:val="en-US" w:eastAsia="en-US"/>
    </w:rPr>
  </w:style>
  <w:style w:type="character" w:styleId="952" w:customStyle="1">
    <w:name w:val="Основной текст с отступом 3 Знак"/>
    <w:link w:val="951"/>
    <w:semiHidden/>
    <w:rPr>
      <w:rFonts w:cs="Times New Roman"/>
      <w:sz w:val="16"/>
      <w:szCs w:val="16"/>
    </w:rPr>
  </w:style>
  <w:style w:type="character" w:styleId="953" w:customStyle="1">
    <w:name w:val="Верхний колонтитул Знак"/>
    <w:link w:val="745"/>
    <w:uiPriority w:val="99"/>
    <w:rPr>
      <w:rFonts w:cs="Times New Roman"/>
      <w:sz w:val="28"/>
      <w:szCs w:val="28"/>
    </w:rPr>
  </w:style>
  <w:style w:type="paragraph" w:styleId="954">
    <w:name w:val="Block Text"/>
    <w:basedOn w:val="707"/>
    <w:pPr>
      <w:ind w:left="1440" w:right="1440" w:firstLine="0"/>
      <w:spacing w:after="120" w:line="240" w:lineRule="auto"/>
    </w:pPr>
    <w:rPr>
      <w:sz w:val="24"/>
      <w:szCs w:val="20"/>
    </w:rPr>
  </w:style>
  <w:style w:type="character" w:styleId="955" w:customStyle="1">
    <w:name w:val="Текст сноски Знак"/>
    <w:link w:val="878"/>
    <w:semiHidden/>
    <w:rPr>
      <w:sz w:val="28"/>
      <w:lang w:val="en-US" w:eastAsia="en-US"/>
    </w:rPr>
  </w:style>
  <w:style w:type="character" w:styleId="956">
    <w:name w:val="page number"/>
    <w:rPr>
      <w:rFonts w:ascii="Times New Roman" w:hAnsi="Times New Roman" w:cs="Times New Roman"/>
    </w:rPr>
  </w:style>
  <w:style w:type="paragraph" w:styleId="957">
    <w:name w:val="Body Text 3"/>
    <w:basedOn w:val="707"/>
    <w:link w:val="958"/>
    <w:pPr>
      <w:ind w:firstLine="0"/>
      <w:keepLines/>
      <w:keepNext/>
      <w:spacing w:before="148" w:after="112" w:line="240" w:lineRule="auto"/>
      <w:widowControl w:val="off"/>
      <w:tabs>
        <w:tab w:val="left" w:pos="0" w:leader="none"/>
        <w:tab w:val="left" w:pos="567" w:leader="none"/>
        <w:tab w:val="left" w:pos="1133" w:leader="none"/>
        <w:tab w:val="left" w:pos="1699" w:leader="none"/>
        <w:tab w:val="left" w:pos="2266" w:leader="none"/>
        <w:tab w:val="left" w:pos="2832" w:leader="none"/>
        <w:tab w:val="left" w:pos="3399" w:leader="none"/>
        <w:tab w:val="left" w:pos="3965" w:leader="none"/>
        <w:tab w:val="left" w:pos="4531" w:leader="none"/>
        <w:tab w:val="left" w:pos="5098" w:leader="none"/>
        <w:tab w:val="left" w:pos="5664" w:leader="none"/>
        <w:tab w:val="left" w:pos="6231" w:leader="none"/>
        <w:tab w:val="left" w:pos="6797" w:leader="none"/>
        <w:tab w:val="left" w:pos="7363" w:leader="none"/>
        <w:tab w:val="left" w:pos="7930" w:leader="none"/>
        <w:tab w:val="left" w:pos="8496" w:leader="none"/>
        <w:tab w:val="left" w:pos="9063" w:leader="none"/>
      </w:tabs>
      <w:suppressLineNumbers/>
    </w:pPr>
    <w:rPr>
      <w:sz w:val="16"/>
      <w:szCs w:val="16"/>
      <w:lang w:val="en-US" w:eastAsia="en-US"/>
    </w:rPr>
  </w:style>
  <w:style w:type="character" w:styleId="958" w:customStyle="1">
    <w:name w:val="Основной текст 3 Знак"/>
    <w:link w:val="957"/>
    <w:semiHidden/>
    <w:rPr>
      <w:rFonts w:cs="Times New Roman"/>
      <w:sz w:val="16"/>
      <w:szCs w:val="16"/>
    </w:rPr>
  </w:style>
  <w:style w:type="paragraph" w:styleId="959">
    <w:name w:val="Plain Text"/>
    <w:basedOn w:val="707"/>
    <w:link w:val="960"/>
    <w:pPr>
      <w:ind w:firstLine="0"/>
      <w:jc w:val="left"/>
      <w:spacing w:line="240" w:lineRule="auto"/>
    </w:pPr>
    <w:rPr>
      <w:rFonts w:ascii="Courier New" w:hAnsi="Courier New"/>
      <w:sz w:val="20"/>
      <w:szCs w:val="20"/>
      <w:lang w:val="en-US" w:eastAsia="en-US"/>
    </w:rPr>
  </w:style>
  <w:style w:type="character" w:styleId="960" w:customStyle="1">
    <w:name w:val="Текст Знак"/>
    <w:link w:val="959"/>
    <w:semiHidden/>
    <w:rPr>
      <w:rFonts w:ascii="Courier New" w:hAnsi="Courier New" w:cs="Courier New"/>
      <w:sz w:val="20"/>
      <w:szCs w:val="20"/>
    </w:rPr>
  </w:style>
  <w:style w:type="paragraph" w:styleId="961" w:customStyle="1">
    <w:name w:val="ConsNormal"/>
    <w:semiHidden/>
    <w:pPr>
      <w:ind w:right="19772" w:firstLine="720"/>
      <w:widowControl w:val="off"/>
    </w:pPr>
    <w:rPr>
      <w:rFonts w:ascii="Arial" w:hAnsi="Arial" w:cs="Arial"/>
    </w:rPr>
  </w:style>
  <w:style w:type="character" w:styleId="962" w:customStyle="1">
    <w:name w:val="Знак Знак"/>
    <w:semiHidden/>
    <w:rPr>
      <w:rFonts w:ascii="Arial" w:hAnsi="Arial"/>
      <w:sz w:val="24"/>
      <w:lang w:val="ru-RU" w:eastAsia="ru-RU"/>
    </w:rPr>
  </w:style>
  <w:style w:type="paragraph" w:styleId="963">
    <w:name w:val="Normal (Web)"/>
    <w:basedOn w:val="707"/>
    <w:pPr>
      <w:ind w:firstLine="0"/>
      <w:jc w:val="left"/>
      <w:spacing w:before="100" w:beforeAutospacing="1" w:after="100" w:afterAutospacing="1" w:line="240" w:lineRule="auto"/>
    </w:pPr>
    <w:rPr>
      <w:sz w:val="24"/>
      <w:szCs w:val="24"/>
    </w:rPr>
  </w:style>
  <w:style w:type="paragraph" w:styleId="964" w:customStyle="1">
    <w:name w:val="ConsNonformat"/>
    <w:semiHidden/>
    <w:pPr>
      <w:ind w:right="19772"/>
      <w:widowControl w:val="off"/>
    </w:pPr>
    <w:rPr>
      <w:rFonts w:ascii="Courier New" w:hAnsi="Courier New" w:cs="Courier New"/>
    </w:rPr>
  </w:style>
  <w:style w:type="character" w:styleId="965" w:customStyle="1">
    <w:name w:val="Основной шрифт"/>
    <w:semiHidden/>
  </w:style>
  <w:style w:type="paragraph" w:styleId="966">
    <w:name w:val="HTML Address"/>
    <w:basedOn w:val="707"/>
    <w:link w:val="967"/>
    <w:pPr>
      <w:ind w:firstLine="0"/>
      <w:spacing w:after="60" w:line="240" w:lineRule="auto"/>
    </w:pPr>
    <w:rPr>
      <w:i/>
      <w:iCs/>
      <w:lang w:val="en-US" w:eastAsia="en-US"/>
    </w:rPr>
  </w:style>
  <w:style w:type="character" w:styleId="967" w:customStyle="1">
    <w:name w:val="Адрес HTML Знак"/>
    <w:link w:val="966"/>
    <w:semiHidden/>
    <w:rPr>
      <w:rFonts w:cs="Times New Roman"/>
      <w:i/>
      <w:iCs/>
      <w:sz w:val="28"/>
      <w:szCs w:val="28"/>
    </w:rPr>
  </w:style>
  <w:style w:type="paragraph" w:styleId="968">
    <w:name w:val="envelope address"/>
    <w:basedOn w:val="707"/>
    <w:pPr>
      <w:ind w:left="2880" w:firstLine="0"/>
      <w:spacing w:after="60" w:line="240" w:lineRule="auto"/>
      <w:framePr w:w="7920" w:h="1980" w:hSpace="180" w:wrap="auto" w:hAnchor="page" w:xAlign="center" w:yAlign="bottom" w:hRule="exact"/>
    </w:pPr>
    <w:rPr>
      <w:rFonts w:ascii="Arial" w:hAnsi="Arial" w:cs="Arial"/>
      <w:sz w:val="24"/>
      <w:szCs w:val="24"/>
    </w:rPr>
  </w:style>
  <w:style w:type="character" w:styleId="969">
    <w:name w:val="HTML Acronym"/>
    <w:rPr>
      <w:rFonts w:cs="Times New Roman"/>
    </w:rPr>
  </w:style>
  <w:style w:type="character" w:styleId="970">
    <w:name w:val="Emphasis"/>
    <w:qFormat/>
    <w:rPr>
      <w:rFonts w:cs="Times New Roman"/>
      <w:i/>
    </w:rPr>
  </w:style>
  <w:style w:type="paragraph" w:styleId="971">
    <w:name w:val="Note Heading"/>
    <w:basedOn w:val="707"/>
    <w:next w:val="707"/>
    <w:link w:val="972"/>
    <w:pPr>
      <w:ind w:firstLine="0"/>
      <w:spacing w:after="60" w:line="240" w:lineRule="auto"/>
    </w:pPr>
    <w:rPr>
      <w:lang w:val="en-US" w:eastAsia="en-US"/>
    </w:rPr>
  </w:style>
  <w:style w:type="character" w:styleId="972" w:customStyle="1">
    <w:name w:val="Заголовок записки Знак"/>
    <w:link w:val="971"/>
    <w:semiHidden/>
    <w:rPr>
      <w:rFonts w:cs="Times New Roman"/>
      <w:sz w:val="28"/>
      <w:szCs w:val="28"/>
    </w:rPr>
  </w:style>
  <w:style w:type="character" w:styleId="973">
    <w:name w:val="HTML Keyboard"/>
    <w:rPr>
      <w:rFonts w:ascii="Courier New" w:hAnsi="Courier New" w:cs="Times New Roman"/>
      <w:sz w:val="20"/>
    </w:rPr>
  </w:style>
  <w:style w:type="character" w:styleId="974">
    <w:name w:val="HTML Code"/>
    <w:rPr>
      <w:rFonts w:ascii="Courier New" w:hAnsi="Courier New" w:cs="Times New Roman"/>
      <w:sz w:val="20"/>
    </w:rPr>
  </w:style>
  <w:style w:type="paragraph" w:styleId="975">
    <w:name w:val="Body Text First Indent"/>
    <w:basedOn w:val="915"/>
    <w:link w:val="976"/>
    <w:pPr>
      <w:ind w:firstLine="210"/>
      <w:spacing w:line="240" w:lineRule="auto"/>
    </w:pPr>
    <w:rPr>
      <w:szCs w:val="28"/>
    </w:rPr>
  </w:style>
  <w:style w:type="character" w:styleId="976" w:customStyle="1">
    <w:name w:val="Красная строка Знак"/>
    <w:link w:val="975"/>
    <w:semiHidden/>
    <w:rPr>
      <w:rFonts w:cs="Times New Roman"/>
      <w:sz w:val="28"/>
      <w:szCs w:val="28"/>
    </w:rPr>
  </w:style>
  <w:style w:type="paragraph" w:styleId="977">
    <w:name w:val="Body Text First Indent 2"/>
    <w:basedOn w:val="910"/>
    <w:link w:val="978"/>
    <w:pPr>
      <w:ind w:left="283" w:firstLine="210"/>
      <w:spacing w:after="120"/>
    </w:pPr>
    <w:rPr>
      <w:sz w:val="24"/>
      <w:szCs w:val="24"/>
    </w:rPr>
  </w:style>
  <w:style w:type="character" w:styleId="978" w:customStyle="1">
    <w:name w:val="Красная строка 2 Знак"/>
    <w:link w:val="977"/>
    <w:semiHidden/>
    <w:rPr>
      <w:rFonts w:cs="Times New Roman"/>
      <w:sz w:val="28"/>
      <w:szCs w:val="28"/>
    </w:rPr>
  </w:style>
  <w:style w:type="character" w:styleId="979">
    <w:name w:val="line number"/>
    <w:rPr>
      <w:rFonts w:cs="Times New Roman"/>
    </w:rPr>
  </w:style>
  <w:style w:type="character" w:styleId="980">
    <w:name w:val="HTML Sample"/>
    <w:rPr>
      <w:rFonts w:ascii="Courier New" w:hAnsi="Courier New" w:cs="Times New Roman"/>
    </w:rPr>
  </w:style>
  <w:style w:type="paragraph" w:styleId="981">
    <w:name w:val="envelope return"/>
    <w:basedOn w:val="707"/>
    <w:pPr>
      <w:ind w:firstLine="0"/>
      <w:spacing w:after="60" w:line="240" w:lineRule="auto"/>
    </w:pPr>
    <w:rPr>
      <w:rFonts w:ascii="Arial" w:hAnsi="Arial" w:cs="Arial"/>
      <w:sz w:val="20"/>
      <w:szCs w:val="20"/>
    </w:rPr>
  </w:style>
  <w:style w:type="paragraph" w:styleId="982">
    <w:name w:val="Normal Indent"/>
    <w:basedOn w:val="707"/>
    <w:pPr>
      <w:ind w:left="708" w:firstLine="0"/>
      <w:spacing w:after="60" w:line="240" w:lineRule="auto"/>
    </w:pPr>
    <w:rPr>
      <w:sz w:val="24"/>
      <w:szCs w:val="24"/>
    </w:rPr>
  </w:style>
  <w:style w:type="character" w:styleId="983">
    <w:name w:val="HTML Definition"/>
    <w:rPr>
      <w:rFonts w:cs="Times New Roman"/>
      <w:i/>
    </w:rPr>
  </w:style>
  <w:style w:type="character" w:styleId="984">
    <w:name w:val="HTML Variable"/>
    <w:rPr>
      <w:rFonts w:cs="Times New Roman"/>
      <w:i/>
    </w:rPr>
  </w:style>
  <w:style w:type="character" w:styleId="985">
    <w:name w:val="HTML Typewriter"/>
    <w:rPr>
      <w:rFonts w:ascii="Courier New" w:hAnsi="Courier New" w:cs="Times New Roman"/>
      <w:sz w:val="20"/>
    </w:rPr>
  </w:style>
  <w:style w:type="paragraph" w:styleId="986">
    <w:name w:val="Signature"/>
    <w:basedOn w:val="707"/>
    <w:link w:val="987"/>
    <w:pPr>
      <w:ind w:left="4252" w:firstLine="0"/>
      <w:spacing w:after="60" w:line="240" w:lineRule="auto"/>
    </w:pPr>
    <w:rPr>
      <w:lang w:val="en-US" w:eastAsia="en-US"/>
    </w:rPr>
  </w:style>
  <w:style w:type="character" w:styleId="987" w:customStyle="1">
    <w:name w:val="Подпись Знак"/>
    <w:link w:val="986"/>
    <w:semiHidden/>
    <w:rPr>
      <w:rFonts w:cs="Times New Roman"/>
      <w:sz w:val="28"/>
      <w:szCs w:val="28"/>
    </w:rPr>
  </w:style>
  <w:style w:type="paragraph" w:styleId="988">
    <w:name w:val="Salutation"/>
    <w:basedOn w:val="707"/>
    <w:next w:val="707"/>
    <w:link w:val="989"/>
    <w:pPr>
      <w:ind w:firstLine="0"/>
      <w:spacing w:after="60" w:line="240" w:lineRule="auto"/>
    </w:pPr>
    <w:rPr>
      <w:lang w:val="en-US" w:eastAsia="en-US"/>
    </w:rPr>
  </w:style>
  <w:style w:type="character" w:styleId="989" w:customStyle="1">
    <w:name w:val="Приветствие Знак"/>
    <w:link w:val="988"/>
    <w:semiHidden/>
    <w:rPr>
      <w:rFonts w:cs="Times New Roman"/>
      <w:sz w:val="28"/>
      <w:szCs w:val="28"/>
    </w:rPr>
  </w:style>
  <w:style w:type="paragraph" w:styleId="990">
    <w:name w:val="List Continue"/>
    <w:basedOn w:val="707"/>
    <w:pPr>
      <w:ind w:left="283" w:firstLine="0"/>
      <w:spacing w:after="120" w:line="240" w:lineRule="auto"/>
    </w:pPr>
    <w:rPr>
      <w:sz w:val="24"/>
      <w:szCs w:val="24"/>
    </w:rPr>
  </w:style>
  <w:style w:type="paragraph" w:styleId="991">
    <w:name w:val="List Continue 2"/>
    <w:basedOn w:val="707"/>
    <w:pPr>
      <w:ind w:left="566" w:firstLine="0"/>
      <w:spacing w:after="120" w:line="240" w:lineRule="auto"/>
    </w:pPr>
    <w:rPr>
      <w:sz w:val="24"/>
      <w:szCs w:val="24"/>
    </w:rPr>
  </w:style>
  <w:style w:type="paragraph" w:styleId="992">
    <w:name w:val="List Continue 3"/>
    <w:basedOn w:val="707"/>
    <w:pPr>
      <w:ind w:left="849" w:firstLine="0"/>
      <w:spacing w:after="120" w:line="240" w:lineRule="auto"/>
    </w:pPr>
    <w:rPr>
      <w:sz w:val="24"/>
      <w:szCs w:val="24"/>
    </w:rPr>
  </w:style>
  <w:style w:type="paragraph" w:styleId="993">
    <w:name w:val="List Continue 4"/>
    <w:basedOn w:val="707"/>
    <w:pPr>
      <w:ind w:left="1132" w:firstLine="0"/>
      <w:spacing w:after="120" w:line="240" w:lineRule="auto"/>
    </w:pPr>
    <w:rPr>
      <w:sz w:val="24"/>
      <w:szCs w:val="24"/>
    </w:rPr>
  </w:style>
  <w:style w:type="paragraph" w:styleId="994">
    <w:name w:val="List Continue 5"/>
    <w:basedOn w:val="707"/>
    <w:pPr>
      <w:ind w:left="1415" w:firstLine="0"/>
      <w:spacing w:after="120" w:line="240" w:lineRule="auto"/>
    </w:pPr>
    <w:rPr>
      <w:sz w:val="24"/>
      <w:szCs w:val="24"/>
    </w:rPr>
  </w:style>
  <w:style w:type="character" w:styleId="995">
    <w:name w:val="FollowedHyperlink"/>
    <w:rPr>
      <w:rFonts w:cs="Times New Roman"/>
      <w:color w:val="800080"/>
      <w:u w:val="single"/>
    </w:rPr>
  </w:style>
  <w:style w:type="paragraph" w:styleId="996">
    <w:name w:val="Closing"/>
    <w:basedOn w:val="707"/>
    <w:link w:val="997"/>
    <w:pPr>
      <w:ind w:left="4252" w:firstLine="0"/>
      <w:spacing w:after="60" w:line="240" w:lineRule="auto"/>
    </w:pPr>
    <w:rPr>
      <w:lang w:val="en-US" w:eastAsia="en-US"/>
    </w:rPr>
  </w:style>
  <w:style w:type="character" w:styleId="997" w:customStyle="1">
    <w:name w:val="Прощание Знак"/>
    <w:link w:val="996"/>
    <w:semiHidden/>
    <w:rPr>
      <w:rFonts w:cs="Times New Roman"/>
      <w:sz w:val="28"/>
      <w:szCs w:val="28"/>
    </w:rPr>
  </w:style>
  <w:style w:type="paragraph" w:styleId="998">
    <w:name w:val="List"/>
    <w:basedOn w:val="707"/>
    <w:pPr>
      <w:ind w:left="283" w:hanging="283"/>
      <w:spacing w:after="60" w:line="240" w:lineRule="auto"/>
    </w:pPr>
    <w:rPr>
      <w:sz w:val="24"/>
      <w:szCs w:val="24"/>
    </w:rPr>
  </w:style>
  <w:style w:type="paragraph" w:styleId="999">
    <w:name w:val="List 2"/>
    <w:basedOn w:val="707"/>
    <w:pPr>
      <w:ind w:left="566" w:hanging="283"/>
      <w:spacing w:after="60" w:line="240" w:lineRule="auto"/>
    </w:pPr>
    <w:rPr>
      <w:sz w:val="24"/>
      <w:szCs w:val="24"/>
    </w:rPr>
  </w:style>
  <w:style w:type="paragraph" w:styleId="1000">
    <w:name w:val="List 3"/>
    <w:basedOn w:val="707"/>
    <w:pPr>
      <w:ind w:left="849" w:hanging="283"/>
      <w:spacing w:after="60" w:line="240" w:lineRule="auto"/>
    </w:pPr>
    <w:rPr>
      <w:sz w:val="24"/>
      <w:szCs w:val="24"/>
    </w:rPr>
  </w:style>
  <w:style w:type="paragraph" w:styleId="1001">
    <w:name w:val="List 4"/>
    <w:basedOn w:val="707"/>
    <w:pPr>
      <w:ind w:left="1132" w:hanging="283"/>
      <w:spacing w:after="60" w:line="240" w:lineRule="auto"/>
    </w:pPr>
    <w:rPr>
      <w:sz w:val="24"/>
      <w:szCs w:val="24"/>
    </w:rPr>
  </w:style>
  <w:style w:type="paragraph" w:styleId="1002">
    <w:name w:val="List 5"/>
    <w:basedOn w:val="707"/>
    <w:pPr>
      <w:ind w:left="1415" w:hanging="283"/>
      <w:spacing w:after="60" w:line="240" w:lineRule="auto"/>
    </w:pPr>
    <w:rPr>
      <w:sz w:val="24"/>
      <w:szCs w:val="24"/>
    </w:rPr>
  </w:style>
  <w:style w:type="paragraph" w:styleId="1003">
    <w:name w:val="HTML Preformatted"/>
    <w:basedOn w:val="707"/>
    <w:link w:val="1004"/>
    <w:pPr>
      <w:ind w:firstLine="0"/>
      <w:spacing w:after="60" w:line="240" w:lineRule="auto"/>
    </w:pPr>
    <w:rPr>
      <w:rFonts w:ascii="Courier New" w:hAnsi="Courier New"/>
      <w:sz w:val="20"/>
      <w:szCs w:val="20"/>
      <w:lang w:val="en-US" w:eastAsia="en-US"/>
    </w:rPr>
  </w:style>
  <w:style w:type="character" w:styleId="1004" w:customStyle="1">
    <w:name w:val="Стандартный HTML Знак"/>
    <w:link w:val="1003"/>
    <w:semiHidden/>
    <w:rPr>
      <w:rFonts w:ascii="Courier New" w:hAnsi="Courier New" w:cs="Courier New"/>
      <w:sz w:val="20"/>
      <w:szCs w:val="20"/>
    </w:rPr>
  </w:style>
  <w:style w:type="character" w:styleId="1005">
    <w:name w:val="Strong"/>
    <w:qFormat/>
    <w:rPr>
      <w:rFonts w:cs="Times New Roman"/>
      <w:b/>
    </w:rPr>
  </w:style>
  <w:style w:type="character" w:styleId="1006">
    <w:name w:val="HTML Cite"/>
    <w:rPr>
      <w:rFonts w:cs="Times New Roman"/>
      <w:i/>
    </w:rPr>
  </w:style>
  <w:style w:type="paragraph" w:styleId="1007">
    <w:name w:val="Message Header"/>
    <w:basedOn w:val="707"/>
    <w:link w:val="1008"/>
    <w:pPr>
      <w:ind w:left="1134" w:hanging="1134"/>
      <w:spacing w:after="60" w:line="240" w:lineRule="auto"/>
      <w:shd w:val="pct20" w:color="auto" w:fill="auto"/>
      <w:pBdr>
        <w:top w:val="single" w:color="000000" w:sz="6" w:space="1"/>
        <w:left w:val="single" w:color="000000" w:sz="6" w:space="1"/>
        <w:bottom w:val="single" w:color="000000" w:sz="6" w:space="1"/>
        <w:right w:val="single" w:color="000000" w:sz="6" w:space="1"/>
      </w:pBdr>
    </w:pPr>
    <w:rPr>
      <w:rFonts w:ascii="Cambria" w:hAnsi="Cambria"/>
      <w:sz w:val="24"/>
      <w:szCs w:val="24"/>
      <w:lang w:val="en-US" w:eastAsia="en-US"/>
    </w:rPr>
  </w:style>
  <w:style w:type="character" w:styleId="1008" w:customStyle="1">
    <w:name w:val="Шапка Знак"/>
    <w:link w:val="1007"/>
    <w:semiHidden/>
    <w:rPr>
      <w:rFonts w:ascii="Cambria" w:hAnsi="Cambria" w:cs="Times New Roman"/>
      <w:sz w:val="24"/>
      <w:szCs w:val="24"/>
      <w:shd w:val="pct20" w:color="auto" w:fill="auto"/>
    </w:rPr>
  </w:style>
  <w:style w:type="paragraph" w:styleId="1009">
    <w:name w:val="E-mail Signature"/>
    <w:basedOn w:val="707"/>
    <w:link w:val="1010"/>
    <w:pPr>
      <w:ind w:firstLine="0"/>
      <w:spacing w:after="60" w:line="240" w:lineRule="auto"/>
    </w:pPr>
    <w:rPr>
      <w:lang w:val="en-US" w:eastAsia="en-US"/>
    </w:rPr>
  </w:style>
  <w:style w:type="character" w:styleId="1010" w:customStyle="1">
    <w:name w:val="Электронная подпись Знак"/>
    <w:link w:val="1009"/>
    <w:semiHidden/>
    <w:rPr>
      <w:rFonts w:cs="Times New Roman"/>
      <w:sz w:val="28"/>
      <w:szCs w:val="28"/>
    </w:rPr>
  </w:style>
  <w:style w:type="paragraph" w:styleId="1011" w:customStyle="1">
    <w:name w:val="Стиль1"/>
    <w:basedOn w:val="707"/>
    <w:pPr>
      <w:numPr>
        <w:ilvl w:val="0"/>
        <w:numId w:val="5"/>
      </w:numPr>
      <w:jc w:val="left"/>
      <w:keepLines/>
      <w:keepNext/>
      <w:spacing w:after="60" w:line="240" w:lineRule="auto"/>
      <w:widowControl w:val="off"/>
      <w:suppressLineNumbers/>
    </w:pPr>
    <w:rPr>
      <w:b/>
      <w:szCs w:val="24"/>
    </w:rPr>
  </w:style>
  <w:style w:type="paragraph" w:styleId="1012" w:customStyle="1">
    <w:name w:val="содержание2-1"/>
    <w:basedOn w:val="895"/>
    <w:next w:val="707"/>
    <w:pPr>
      <w:numPr>
        <w:ilvl w:val="0"/>
        <w:numId w:val="0"/>
      </w:numPr>
      <w:ind w:left="926" w:hanging="360"/>
      <w:spacing w:before="240" w:after="60" w:line="240" w:lineRule="auto"/>
      <w:tabs>
        <w:tab w:val="num" w:pos="926" w:leader="none"/>
        <w:tab w:val="num" w:pos="1492" w:leader="none"/>
      </w:tabs>
    </w:pPr>
    <w:rPr>
      <w:rFonts w:ascii="Arial" w:hAnsi="Arial"/>
      <w:bCs w:val="0"/>
      <w:sz w:val="24"/>
      <w:szCs w:val="20"/>
    </w:rPr>
  </w:style>
  <w:style w:type="paragraph" w:styleId="1013" w:customStyle="1">
    <w:name w:val="Заголовок 2.1"/>
    <w:basedOn w:val="708"/>
    <w:pPr>
      <w:ind w:firstLine="0"/>
      <w:jc w:val="center"/>
      <w:keepLines/>
      <w:spacing w:line="240" w:lineRule="auto"/>
      <w:widowControl w:val="off"/>
      <w:suppressLineNumbers/>
    </w:pPr>
    <w:rPr>
      <w:rFonts w:ascii="Times New Roman" w:hAnsi="Times New Roman"/>
      <w:bCs w:val="0"/>
      <w:caps/>
      <w:sz w:val="36"/>
      <w:szCs w:val="28"/>
    </w:rPr>
  </w:style>
  <w:style w:type="paragraph" w:styleId="1014" w:customStyle="1">
    <w:name w:val="Стиль2"/>
    <w:basedOn w:val="934"/>
    <w:pPr>
      <w:ind w:left="576" w:hanging="576"/>
      <w:keepLines/>
      <w:keepNext/>
      <w:widowControl w:val="off"/>
      <w:tabs>
        <w:tab w:val="num" w:pos="576" w:leader="none"/>
        <w:tab w:val="clear" w:pos="643" w:leader="none"/>
      </w:tabs>
      <w:suppressLineNumbers/>
    </w:pPr>
    <w:rPr>
      <w:b/>
    </w:rPr>
  </w:style>
  <w:style w:type="paragraph" w:styleId="1015" w:customStyle="1">
    <w:name w:val="Стиль3 Знак"/>
    <w:basedOn w:val="912"/>
    <w:pPr>
      <w:numPr>
        <w:ilvl w:val="2"/>
        <w:numId w:val="5"/>
      </w:numPr>
      <w:ind w:left="0" w:firstLine="0"/>
      <w:spacing w:after="0" w:line="240" w:lineRule="auto"/>
      <w:widowControl w:val="off"/>
    </w:pPr>
    <w:rPr>
      <w:sz w:val="24"/>
      <w:szCs w:val="20"/>
    </w:rPr>
  </w:style>
  <w:style w:type="paragraph" w:styleId="1016" w:customStyle="1">
    <w:name w:val="содержание2-11"/>
    <w:basedOn w:val="707"/>
    <w:pPr>
      <w:ind w:firstLine="0"/>
      <w:spacing w:after="60" w:line="240" w:lineRule="auto"/>
    </w:pPr>
    <w:rPr>
      <w:sz w:val="24"/>
      <w:szCs w:val="24"/>
    </w:rPr>
  </w:style>
  <w:style w:type="character" w:styleId="1017" w:customStyle="1">
    <w:name w:val="Знак Знак1"/>
    <w:rPr>
      <w:sz w:val="24"/>
      <w:lang w:val="ru-RU" w:eastAsia="ru-RU"/>
    </w:rPr>
  </w:style>
  <w:style w:type="character" w:styleId="1018" w:customStyle="1">
    <w:name w:val="Стиль3 Знак Знак"/>
    <w:rPr>
      <w:rFonts w:cs="Times New Roman"/>
      <w:sz w:val="24"/>
      <w:lang w:val="ru-RU" w:eastAsia="ru-RU" w:bidi="ar-SA"/>
    </w:rPr>
  </w:style>
  <w:style w:type="paragraph" w:styleId="1019" w:customStyle="1">
    <w:name w:val="Стиль4"/>
    <w:basedOn w:val="709"/>
    <w:next w:val="707"/>
    <w:pPr>
      <w:ind w:firstLine="567"/>
      <w:keepLines/>
      <w:widowControl w:val="off"/>
      <w:suppressLineNumbers/>
    </w:pPr>
  </w:style>
  <w:style w:type="paragraph" w:styleId="1020" w:customStyle="1">
    <w:name w:val="Таблица заголовок"/>
    <w:basedOn w:val="707"/>
    <w:pPr>
      <w:ind w:firstLine="0"/>
      <w:jc w:val="right"/>
      <w:spacing w:before="120" w:after="120" w:line="360" w:lineRule="auto"/>
    </w:pPr>
    <w:rPr>
      <w:b/>
    </w:rPr>
  </w:style>
  <w:style w:type="paragraph" w:styleId="1021" w:customStyle="1">
    <w:name w:val="текст таблицы"/>
    <w:basedOn w:val="707"/>
    <w:pPr>
      <w:ind w:right="-102" w:firstLine="0"/>
      <w:jc w:val="left"/>
      <w:spacing w:before="120" w:line="240" w:lineRule="auto"/>
    </w:pPr>
    <w:rPr>
      <w:sz w:val="24"/>
      <w:szCs w:val="24"/>
    </w:rPr>
  </w:style>
  <w:style w:type="character" w:styleId="1022" w:customStyle="1">
    <w:name w:val="Стиль3 Знак Знак Знак"/>
    <w:rPr>
      <w:rFonts w:cs="Times New Roman"/>
      <w:sz w:val="24"/>
      <w:lang w:val="ru-RU" w:eastAsia="ru-RU" w:bidi="ar-SA"/>
    </w:rPr>
  </w:style>
  <w:style w:type="paragraph" w:styleId="1023" w:customStyle="1">
    <w:name w:val="Стиль3"/>
    <w:basedOn w:val="912"/>
    <w:pPr>
      <w:ind w:left="1080" w:firstLine="0"/>
      <w:spacing w:after="0" w:line="240" w:lineRule="auto"/>
      <w:widowControl w:val="off"/>
      <w:tabs>
        <w:tab w:val="num" w:pos="1307" w:leader="none"/>
      </w:tabs>
    </w:pPr>
    <w:rPr>
      <w:sz w:val="24"/>
      <w:szCs w:val="20"/>
    </w:rPr>
  </w:style>
  <w:style w:type="character" w:styleId="1024" w:customStyle="1">
    <w:name w:val="Стиль3 Знак Знак Знак Знак"/>
    <w:rPr>
      <w:rFonts w:cs="Times New Roman"/>
      <w:sz w:val="24"/>
      <w:lang w:val="ru-RU" w:eastAsia="ru-RU" w:bidi="ar-SA"/>
    </w:rPr>
  </w:style>
  <w:style w:type="character" w:styleId="1025" w:customStyle="1">
    <w:name w:val="Стиль3 Знак Знак1"/>
    <w:rPr>
      <w:sz w:val="24"/>
      <w:lang w:val="ru-RU" w:eastAsia="ru-RU"/>
    </w:rPr>
  </w:style>
  <w:style w:type="character" w:styleId="1026" w:customStyle="1">
    <w:name w:val="Заголовок 2 Знак"/>
    <w:rPr>
      <w:b/>
      <w:sz w:val="30"/>
      <w:lang w:val="ru-RU" w:eastAsia="ru-RU"/>
    </w:rPr>
  </w:style>
  <w:style w:type="paragraph" w:styleId="1027" w:customStyle="1">
    <w:name w:val="Мой"/>
    <w:basedOn w:val="707"/>
    <w:pPr>
      <w:ind w:firstLine="708"/>
      <w:spacing w:line="240" w:lineRule="auto"/>
    </w:pPr>
    <w:rPr>
      <w:color w:val="000000"/>
      <w:sz w:val="24"/>
      <w:szCs w:val="20"/>
    </w:rPr>
  </w:style>
  <w:style w:type="paragraph" w:styleId="1028" w:customStyle="1">
    <w:name w:val="ConsTitle"/>
    <w:pPr>
      <w:ind w:right="19772"/>
      <w:widowControl w:val="off"/>
    </w:pPr>
    <w:rPr>
      <w:rFonts w:ascii="Arial" w:hAnsi="Arial" w:cs="Arial"/>
      <w:b/>
      <w:bCs/>
      <w:sz w:val="16"/>
      <w:szCs w:val="16"/>
    </w:rPr>
  </w:style>
  <w:style w:type="paragraph" w:styleId="1029" w:customStyle="1">
    <w:name w:val="Обычный1"/>
  </w:style>
  <w:style w:type="paragraph" w:styleId="1030" w:customStyle="1">
    <w:name w:val="11"/>
    <w:basedOn w:val="707"/>
    <w:pPr>
      <w:ind w:firstLine="0"/>
      <w:jc w:val="center"/>
      <w:keepNext/>
      <w:spacing w:line="240" w:lineRule="auto"/>
    </w:pPr>
    <w:rPr>
      <w:sz w:val="24"/>
      <w:szCs w:val="24"/>
    </w:rPr>
  </w:style>
  <w:style w:type="paragraph" w:styleId="1031" w:customStyle="1">
    <w:name w:val="xl80"/>
    <w:basedOn w:val="707"/>
    <w:pPr>
      <w:ind w:firstLine="0"/>
      <w:jc w:val="right"/>
      <w:spacing w:before="100" w:beforeAutospacing="1" w:after="100" w:afterAutospacing="1" w:line="240" w:lineRule="auto"/>
    </w:pPr>
    <w:rPr>
      <w:rFonts w:ascii="Garamond" w:hAnsi="Garamond"/>
      <w:sz w:val="24"/>
      <w:szCs w:val="24"/>
    </w:rPr>
  </w:style>
  <w:style w:type="character" w:styleId="1032" w:customStyle="1">
    <w:name w:val="maintext"/>
    <w:rPr>
      <w:rFonts w:cs="Times New Roman"/>
    </w:rPr>
  </w:style>
  <w:style w:type="character" w:styleId="1033" w:customStyle="1">
    <w:name w:val="Василий"/>
    <w:semiHidden/>
    <w:rPr>
      <w:rFonts w:ascii="Arial" w:hAnsi="Arial"/>
      <w:color w:val="000000"/>
      <w:sz w:val="20"/>
    </w:rPr>
  </w:style>
  <w:style w:type="paragraph" w:styleId="1034" w:customStyle="1">
    <w:name w:val="заголовок 11"/>
    <w:basedOn w:val="707"/>
    <w:next w:val="707"/>
    <w:pPr>
      <w:ind w:firstLine="0"/>
      <w:jc w:val="center"/>
      <w:keepNext/>
      <w:spacing w:line="240" w:lineRule="auto"/>
    </w:pPr>
    <w:rPr>
      <w:sz w:val="24"/>
      <w:szCs w:val="20"/>
    </w:rPr>
  </w:style>
  <w:style w:type="paragraph" w:styleId="1035" w:customStyle="1">
    <w:name w:val="xl28"/>
    <w:basedOn w:val="707"/>
    <w:pPr>
      <w:ind w:firstLine="0"/>
      <w:jc w:val="center"/>
      <w:spacing w:before="100" w:beforeAutospacing="1" w:after="100" w:afterAutospacing="1" w:line="240" w:lineRule="auto"/>
      <w:pBdr>
        <w:left w:val="single" w:color="000000" w:sz="8" w:space="0"/>
      </w:pBdr>
    </w:pPr>
    <w:rPr>
      <w:rFonts w:ascii="Arial Narrow" w:hAnsi="Arial Narrow"/>
      <w:b/>
      <w:bCs/>
      <w:sz w:val="24"/>
      <w:szCs w:val="24"/>
    </w:rPr>
  </w:style>
  <w:style w:type="paragraph" w:styleId="1036" w:customStyle="1">
    <w:name w:val="Заголовок 31"/>
    <w:basedOn w:val="707"/>
    <w:next w:val="707"/>
    <w:pPr>
      <w:ind w:firstLine="0"/>
      <w:keepNext/>
      <w:spacing w:line="240" w:lineRule="auto"/>
      <w:outlineLvl w:val="2"/>
    </w:pPr>
    <w:rPr>
      <w:sz w:val="24"/>
      <w:szCs w:val="20"/>
    </w:rPr>
  </w:style>
  <w:style w:type="paragraph" w:styleId="1037">
    <w:name w:val="Document Map"/>
    <w:basedOn w:val="707"/>
    <w:link w:val="1038"/>
    <w:semiHidden/>
    <w:pPr>
      <w:ind w:firstLine="0"/>
      <w:spacing w:after="60" w:line="240" w:lineRule="auto"/>
      <w:shd w:val="clear" w:color="auto" w:fill="000080"/>
    </w:pPr>
    <w:rPr>
      <w:sz w:val="2"/>
      <w:szCs w:val="20"/>
      <w:lang w:val="en-US" w:eastAsia="en-US"/>
    </w:rPr>
  </w:style>
  <w:style w:type="character" w:styleId="1038" w:customStyle="1">
    <w:name w:val="Схема документа Знак"/>
    <w:link w:val="1037"/>
    <w:semiHidden/>
    <w:rPr>
      <w:rFonts w:cs="Times New Roman"/>
      <w:sz w:val="2"/>
    </w:rPr>
  </w:style>
  <w:style w:type="paragraph" w:styleId="1039" w:customStyle="1">
    <w:name w:val="Heading"/>
    <w:pPr>
      <w:widowControl w:val="off"/>
    </w:pPr>
    <w:rPr>
      <w:rFonts w:ascii="Arial" w:hAnsi="Arial" w:cs="Arial"/>
      <w:b/>
      <w:bCs/>
      <w:sz w:val="22"/>
      <w:szCs w:val="22"/>
    </w:rPr>
  </w:style>
  <w:style w:type="paragraph" w:styleId="1040" w:customStyle="1">
    <w:name w:val="Обычный + 13 pt;по ширине;кернинг от 8 pt;разреженный на  0;7 пт"/>
    <w:basedOn w:val="707"/>
    <w:pPr>
      <w:ind w:left="34" w:firstLine="0"/>
      <w:jc w:val="center"/>
      <w:spacing w:line="240" w:lineRule="auto"/>
      <w:shd w:val="clear" w:color="auto" w:fill="ffffff"/>
      <w:widowControl w:val="off"/>
    </w:pPr>
    <w:rPr>
      <w:b/>
      <w:color w:val="000000"/>
      <w:spacing w:val="14"/>
      <w:sz w:val="26"/>
      <w:szCs w:val="26"/>
    </w:rPr>
  </w:style>
  <w:style w:type="paragraph" w:styleId="1041" w:customStyle="1">
    <w:name w:val="Основной текст + 13 pt;полужирный;по центру;Междустр.интервал:  одинарный + н..."/>
    <w:basedOn w:val="915"/>
    <w:pPr>
      <w:ind w:right="312" w:firstLine="0"/>
      <w:jc w:val="center"/>
      <w:spacing w:after="0" w:line="240" w:lineRule="auto"/>
      <w:shd w:val="clear" w:color="auto" w:fill="ffffff"/>
      <w:widowControl w:val="off"/>
    </w:pPr>
    <w:rPr>
      <w:b/>
      <w:sz w:val="26"/>
      <w:szCs w:val="26"/>
    </w:rPr>
  </w:style>
  <w:style w:type="paragraph" w:styleId="1042" w:customStyle="1">
    <w:name w:val="ListBull1"/>
    <w:basedOn w:val="707"/>
    <w:pPr>
      <w:ind w:left="1984" w:hanging="425"/>
      <w:jc w:val="left"/>
      <w:spacing w:before="60" w:after="40" w:line="240" w:lineRule="auto"/>
      <w:tabs>
        <w:tab w:val="num" w:pos="0" w:leader="none"/>
        <w:tab w:val="num" w:pos="1985" w:leader="none"/>
      </w:tabs>
    </w:pPr>
    <w:rPr>
      <w:sz w:val="24"/>
      <w:szCs w:val="24"/>
    </w:rPr>
  </w:style>
  <w:style w:type="paragraph" w:styleId="1043" w:customStyle="1">
    <w:name w:val="Табличный список"/>
    <w:basedOn w:val="707"/>
    <w:pPr>
      <w:numPr>
        <w:ilvl w:val="0"/>
        <w:numId w:val="6"/>
      </w:numPr>
      <w:ind w:firstLine="0"/>
      <w:jc w:val="left"/>
      <w:spacing w:line="240" w:lineRule="auto"/>
    </w:pPr>
    <w:rPr>
      <w:sz w:val="18"/>
      <w:szCs w:val="24"/>
    </w:rPr>
  </w:style>
  <w:style w:type="paragraph" w:styleId="1044" w:customStyle="1">
    <w:name w:val="ConsPlusNonformat"/>
    <w:pPr>
      <w:widowControl w:val="off"/>
    </w:pPr>
    <w:rPr>
      <w:rFonts w:ascii="Courier New" w:hAnsi="Courier New" w:cs="Courier New"/>
    </w:rPr>
  </w:style>
  <w:style w:type="paragraph" w:styleId="1045" w:customStyle="1">
    <w:name w:val="Стиль"/>
    <w:pPr>
      <w:widowControl w:val="off"/>
    </w:pPr>
    <w:rPr>
      <w:rFonts w:ascii="Arial" w:hAnsi="Arial" w:cs="Arial"/>
      <w:sz w:val="24"/>
      <w:szCs w:val="24"/>
    </w:rPr>
  </w:style>
  <w:style w:type="paragraph" w:styleId="1046" w:customStyle="1">
    <w:name w:val="Пункт"/>
    <w:basedOn w:val="707"/>
    <w:pPr>
      <w:ind w:left="1404" w:hanging="504"/>
      <w:spacing w:line="240" w:lineRule="auto"/>
      <w:tabs>
        <w:tab w:val="num" w:pos="1980" w:leader="none"/>
      </w:tabs>
    </w:pPr>
    <w:rPr>
      <w:sz w:val="24"/>
    </w:rPr>
  </w:style>
  <w:style w:type="character" w:styleId="1047" w:customStyle="1">
    <w:name w:val="Абзац списка Знак"/>
    <w:link w:val="735"/>
    <w:uiPriority w:val="34"/>
    <w:rPr>
      <w:sz w:val="24"/>
      <w:szCs w:val="28"/>
      <w:lang w:val="en-US"/>
    </w:rPr>
  </w:style>
  <w:style w:type="paragraph" w:styleId="1048" w:customStyle="1">
    <w:name w:val="Знак Знак Знак Знак Знак Знак Знак"/>
    <w:basedOn w:val="707"/>
    <w:pPr>
      <w:ind w:firstLine="0"/>
      <w:jc w:val="left"/>
      <w:spacing w:after="160" w:line="240" w:lineRule="exact"/>
    </w:pPr>
    <w:rPr>
      <w:rFonts w:ascii="Verdana" w:hAnsi="Verdana"/>
      <w:sz w:val="20"/>
      <w:szCs w:val="20"/>
      <w:lang w:val="en-US" w:eastAsia="en-US"/>
    </w:rPr>
  </w:style>
  <w:style w:type="paragraph" w:styleId="1049" w:customStyle="1">
    <w:name w:val="Контракт-раздел"/>
    <w:basedOn w:val="707"/>
    <w:next w:val="1050"/>
    <w:pPr>
      <w:numPr>
        <w:ilvl w:val="0"/>
        <w:numId w:val="7"/>
      </w:numPr>
      <w:ind w:firstLine="0"/>
      <w:jc w:val="center"/>
      <w:keepNext/>
      <w:spacing w:before="360" w:after="120" w:line="240" w:lineRule="auto"/>
      <w:tabs>
        <w:tab w:val="left" w:pos="540" w:leader="none"/>
      </w:tabs>
      <w:outlineLvl w:val="3"/>
    </w:pPr>
    <w:rPr>
      <w:b/>
      <w:bCs/>
      <w:caps/>
      <w:smallCaps/>
      <w:sz w:val="24"/>
      <w:szCs w:val="24"/>
    </w:rPr>
  </w:style>
  <w:style w:type="paragraph" w:styleId="1050" w:customStyle="1">
    <w:name w:val="Контракт-пункт"/>
    <w:basedOn w:val="707"/>
    <w:pPr>
      <w:numPr>
        <w:ilvl w:val="1"/>
        <w:numId w:val="7"/>
      </w:numPr>
      <w:spacing w:line="240" w:lineRule="auto"/>
    </w:pPr>
    <w:rPr>
      <w:sz w:val="24"/>
      <w:szCs w:val="24"/>
    </w:rPr>
  </w:style>
  <w:style w:type="paragraph" w:styleId="1051" w:customStyle="1">
    <w:name w:val="Контракт-подпункт"/>
    <w:basedOn w:val="707"/>
    <w:pPr>
      <w:numPr>
        <w:ilvl w:val="2"/>
        <w:numId w:val="7"/>
      </w:numPr>
      <w:spacing w:line="240" w:lineRule="auto"/>
    </w:pPr>
    <w:rPr>
      <w:sz w:val="24"/>
      <w:szCs w:val="24"/>
    </w:rPr>
  </w:style>
  <w:style w:type="paragraph" w:styleId="1052" w:customStyle="1">
    <w:name w:val="Контракт-подподпункт"/>
    <w:basedOn w:val="707"/>
    <w:pPr>
      <w:numPr>
        <w:ilvl w:val="3"/>
        <w:numId w:val="7"/>
      </w:numPr>
      <w:spacing w:line="240" w:lineRule="auto"/>
    </w:pPr>
    <w:rPr>
      <w:sz w:val="24"/>
      <w:szCs w:val="24"/>
    </w:rPr>
  </w:style>
  <w:style w:type="paragraph" w:styleId="1053" w:customStyle="1">
    <w:name w:val="SL_Заголовок документа 2 часть"/>
    <w:basedOn w:val="707"/>
    <w:next w:val="707"/>
    <w:link w:val="1054"/>
    <w:qFormat/>
    <w:pPr>
      <w:ind w:firstLine="0"/>
      <w:jc w:val="center"/>
      <w:spacing w:line="360" w:lineRule="auto"/>
    </w:pPr>
    <w:rPr>
      <w:rFonts w:ascii="Arial" w:hAnsi="Arial"/>
      <w:b/>
      <w:szCs w:val="36"/>
    </w:rPr>
  </w:style>
  <w:style w:type="character" w:styleId="1054" w:customStyle="1">
    <w:name w:val="SL_Заголовок документа 2 часть Знак"/>
    <w:link w:val="1053"/>
    <w:rPr>
      <w:rFonts w:ascii="Arial" w:hAnsi="Arial"/>
      <w:b/>
      <w:sz w:val="28"/>
      <w:szCs w:val="36"/>
    </w:rPr>
  </w:style>
  <w:style w:type="paragraph" w:styleId="1055">
    <w:name w:val="Revision"/>
    <w:hidden/>
    <w:uiPriority w:val="99"/>
    <w:semiHidden/>
    <w:rPr>
      <w:sz w:val="28"/>
      <w:szCs w:val="28"/>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yperlink" Target="https://login.consultant.ru/link/?req=doc&amp;base=LAW&amp;n=378973&amp;date=01.07.2021&amp;dst=100121&amp;fld=134" TargetMode="External"/><Relationship Id="rId10" Type="http://schemas.openxmlformats.org/officeDocument/2006/relationships/hyperlink" Target="https://login.consultant.ru/link/?req=doc&amp;base=LAW&amp;n=378973&amp;date=01.07.2021"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na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Р7-Офис/2026.1.2.1942</Application>
  <Company>Tycoon</Company>
  <DocSecurity>0</DocSecurity>
  <HyperlinksChanged>false</HyperlinksChanged>
  <LinksUpToDate>false</LinksUpToDate>
  <ScaleCrop>false</ScaleCrop>
  <SharedDoc>false</SharedDoc>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оказание услуг</dc:title>
  <dc:creator>ИГЗ</dc:creator>
  <cp:lastModifiedBy>PashkovaEE</cp:lastModifiedBy>
  <cp:revision>72</cp:revision>
  <dcterms:created xsi:type="dcterms:W3CDTF">2023-02-09T12:23:00Z</dcterms:created>
  <dcterms:modified xsi:type="dcterms:W3CDTF">2026-10-06T07:08:18Z</dcterms:modified>
  <cp:version>1048576</cp:version>
</cp:coreProperties>
</file>