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commentsDocument.xml" ContentType="application/vnd.openxmlformats-officedocument.wordprocessingml.comments+xml"/>
  <Override PartName="/word/header1.xml" ContentType="application/vnd.openxmlformats-officedocument.wordprocessingml.header+xml"/>
  <Override PartName="/word/commentsExtendedDocument.xml" ContentType="application/vnd.openxmlformats-officedocument.wordprocessingml.commentsExtended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IdsDocument.xml" ContentType="application/vnd.openxmlformats-officedocument.wordprocessingml.commentsId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W w:w="14518" w:type="dxa"/>
        <w:tblInd w:w="20" w:type="dxa"/>
        <w:tblBorders>
          <w:top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14518"/>
      </w:tblGrid>
      <w:tr>
        <w:tblPrEx/>
        <w:trPr>
          <w:trHeight w:val="944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14518" w:type="dxa"/>
            <w:textDirection w:val="lrTb"/>
            <w:noWrap w:val="false"/>
          </w:tcPr>
          <w:p>
            <w:pPr>
              <w:contextualSpacing/>
              <w:jc w:val="right"/>
              <w:spacing w:line="276" w:lineRule="auto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  <w:t xml:space="preserve">УТВЕРЖДАЮ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ind w:left="0" w:right="0" w:firstLine="0"/>
              <w:jc w:val="righ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ДЕПАРТАМЕНТ ИНФОРМАЦИОННЫХ ТЕХНОЛОГИЙ</w:t>
              <w:br/>
              <w:t xml:space="preserve"> И ЦИФРОВОГО РАЗВИТИЯ ХАНТЫ-МАНСИЙСКОГО</w:t>
              <w:br/>
              <w:t xml:space="preserve"> АВТОНОМНОГО ОКРУГА - ЮГРЫ</w:t>
            </w:r>
            <w:r/>
          </w:p>
          <w:p>
            <w:pPr>
              <w:contextualSpacing/>
              <w:jc w:val="right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center"/>
        <w:rPr>
          <w:sz w:val="32"/>
          <w:szCs w:val="32"/>
        </w:rPr>
      </w:pPr>
      <w:r>
        <w:rPr>
          <w:b/>
          <w:bCs/>
        </w:rPr>
        <w:t xml:space="preserve">Перечень сокращений</w:t>
      </w:r>
      <w:r>
        <w:t xml:space="preserve">, используемых в Описании объекта закупки </w:t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tbl>
      <w:tblPr>
        <w:tblW w:w="4944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2892"/>
        <w:gridCol w:w="11536"/>
      </w:tblGrid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94" w:type="dxa"/>
            <w:vAlign w:val="center"/>
            <w:textDirection w:val="lrTb"/>
            <w:noWrap w:val="false"/>
          </w:tcPr>
          <w:p>
            <w:pPr>
              <w:contextualSpacing/>
              <w:ind w:firstLine="0"/>
              <w:jc w:val="center"/>
              <w:spacing w:line="240" w:lineRule="auto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</w:rPr>
              <w:t xml:space="preserve">Сокращение</w:t>
            </w:r>
            <w:r>
              <w:rPr>
                <w:b/>
                <w:bCs/>
                <w:sz w:val="32"/>
                <w:szCs w:val="32"/>
              </w:rPr>
            </w:r>
            <w:r>
              <w:rPr>
                <w:b/>
                <w:bCs/>
                <w:sz w:val="32"/>
                <w:szCs w:val="3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43" w:type="dxa"/>
            <w:vAlign w:val="center"/>
            <w:textDirection w:val="lrTb"/>
            <w:noWrap w:val="false"/>
          </w:tcPr>
          <w:p>
            <w:pPr>
              <w:contextualSpacing/>
              <w:ind w:left="-15" w:firstLine="0"/>
              <w:jc w:val="center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Расшифровка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94" w:type="dxa"/>
            <w:vAlign w:val="center"/>
            <w:textDirection w:val="lrTb"/>
            <w:noWrap w:val="false"/>
          </w:tcPr>
          <w:p>
            <w:pPr>
              <w:ind w:firstLine="0"/>
              <w:spacing w:line="240" w:lineRule="auto"/>
              <w:rPr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t xml:space="preserve">Система, ЕЦС УФХД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43" w:type="dxa"/>
            <w:textDirection w:val="lrTb"/>
            <w:noWrap w:val="false"/>
          </w:tcPr>
          <w:p>
            <w:pPr>
              <w:ind w:firstLine="0"/>
              <w:jc w:val="both"/>
              <w:spacing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t xml:space="preserve">Единая централизованная система управления финансово-хозяйственной деятельностью </w:t>
            </w:r>
            <w:r/>
          </w:p>
        </w:tc>
      </w:tr>
      <w:tr>
        <w:tblPrEx/>
        <w:trPr>
          <w:jc w:val="center"/>
          <w:trHeight w:val="46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2894" w:type="dxa"/>
            <w:vAlign w:val="center"/>
            <w:textDirection w:val="lrTb"/>
            <w:noWrap w:val="false"/>
          </w:tcPr>
          <w:p>
            <w:pPr>
              <w:ind w:firstLine="0"/>
              <w:jc w:val="left"/>
              <w:spacing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t xml:space="preserve">Учреждения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1543" w:type="dxa"/>
            <w:textDirection w:val="lrTb"/>
            <w:noWrap w:val="false"/>
          </w:tcPr>
          <w:p>
            <w:pPr>
              <w:ind w:firstLine="0"/>
              <w:jc w:val="both"/>
              <w:spacing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t xml:space="preserve">Муниципальные учреждения муниципальных округов </w:t>
            </w:r>
            <w:r>
              <w:t xml:space="preserve">Ханты-Мансийского автономного округа – Югры</w:t>
            </w:r>
            <w:r/>
          </w:p>
        </w:tc>
      </w:tr>
      <w:tr>
        <w:tblPrEx/>
        <w:trPr>
          <w:jc w:val="center"/>
          <w:trHeight w:val="46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94" w:type="dxa"/>
            <w:vAlign w:val="center"/>
            <w:textDirection w:val="lrTb"/>
            <w:noWrap w:val="false"/>
          </w:tcPr>
          <w:p>
            <w:pPr>
              <w:ind w:firstLine="0"/>
              <w:jc w:val="left"/>
              <w:spacing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t xml:space="preserve">Заказчик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43" w:type="dxa"/>
            <w:textDirection w:val="lrTb"/>
            <w:noWrap w:val="false"/>
          </w:tcPr>
          <w:p>
            <w:pPr>
              <w:ind w:firstLine="0"/>
              <w:jc w:val="both"/>
              <w:spacing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t xml:space="preserve">Департамент информационных технологий и цифрового развития Ханты-Мансийского автономного округа – Югры</w:t>
            </w:r>
            <w:r/>
          </w:p>
        </w:tc>
      </w:tr>
      <w:tr>
        <w:tblPrEx/>
        <w:trPr>
          <w:jc w:val="center"/>
          <w:trHeight w:val="90"/>
        </w:trPr>
        <w:tc>
          <w:tcPr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94" w:type="dxa"/>
            <w:vAlign w:val="center"/>
            <w:textDirection w:val="lrTb"/>
            <w:noWrap w:val="false"/>
          </w:tcPr>
          <w:p>
            <w:pPr>
              <w:ind w:firstLine="0"/>
              <w:jc w:val="left"/>
              <w:spacing w:line="240" w:lineRule="auto"/>
            </w:pPr>
            <w:r>
              <w:t xml:space="preserve">СУБД</w:t>
            </w:r>
            <w:r/>
          </w:p>
        </w:tc>
        <w:tc>
          <w:tcPr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43" w:type="dxa"/>
            <w:vAlign w:val="center"/>
            <w:textDirection w:val="lrTb"/>
            <w:noWrap w:val="false"/>
          </w:tcPr>
          <w:p>
            <w:pPr>
              <w:ind w:firstLine="0"/>
              <w:jc w:val="both"/>
              <w:spacing w:line="240" w:lineRule="auto"/>
            </w:pPr>
            <w:r>
              <w:t xml:space="preserve">Система управления базой данных</w:t>
            </w:r>
            <w:r/>
          </w:p>
        </w:tc>
      </w:tr>
      <w:tr>
        <w:tblPrEx/>
        <w:trPr>
          <w:jc w:val="center"/>
          <w:trHeight w:val="31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94" w:type="dxa"/>
            <w:vAlign w:val="center"/>
            <w:textDirection w:val="lrTb"/>
            <w:noWrap w:val="false"/>
          </w:tcPr>
          <w:p>
            <w:pPr>
              <w:ind w:firstLine="0"/>
              <w:jc w:val="left"/>
              <w:spacing w:line="240" w:lineRule="auto"/>
              <w:rPr>
                <w:sz w:val="32"/>
                <w:szCs w:val="32"/>
              </w:rPr>
            </w:pPr>
            <w:r>
              <w:t xml:space="preserve">ПО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43" w:type="dxa"/>
            <w:vAlign w:val="center"/>
            <w:textDirection w:val="lrTb"/>
            <w:noWrap w:val="false"/>
          </w:tcPr>
          <w:p>
            <w:pPr>
              <w:ind w:firstLine="0"/>
              <w:jc w:val="both"/>
              <w:spacing w:line="240" w:lineRule="auto"/>
            </w:pPr>
            <w:r>
              <w:t xml:space="preserve">Программное обеспечение</w:t>
            </w:r>
            <w:r/>
          </w:p>
        </w:tc>
      </w:tr>
      <w:tr>
        <w:tblPrEx/>
        <w:trPr>
          <w:trHeight w:val="31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94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left"/>
              <w:spacing w:line="240" w:lineRule="auto"/>
            </w:pPr>
            <w:r>
              <w:t xml:space="preserve">ППО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43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both"/>
              <w:spacing w:line="240" w:lineRule="auto"/>
            </w:pPr>
            <w:r>
              <w:t xml:space="preserve">Прикладное программное обеспечение</w:t>
            </w:r>
            <w:r/>
          </w:p>
        </w:tc>
      </w:tr>
      <w:tr>
        <w:tblPrEx/>
        <w:trPr>
          <w:jc w:val="center"/>
          <w:trHeight w:val="31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94" w:type="dxa"/>
            <w:vAlign w:val="center"/>
            <w:textDirection w:val="lrTb"/>
            <w:noWrap w:val="false"/>
          </w:tcPr>
          <w:p>
            <w:pPr>
              <w:ind w:firstLine="0"/>
              <w:jc w:val="left"/>
              <w:spacing w:line="240" w:lineRule="auto"/>
              <w:rPr>
                <w:sz w:val="32"/>
                <w:szCs w:val="32"/>
              </w:rPr>
            </w:pPr>
            <w:r>
              <w:t xml:space="preserve">КТС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43" w:type="dxa"/>
            <w:vAlign w:val="center"/>
            <w:textDirection w:val="lrTb"/>
            <w:noWrap w:val="false"/>
          </w:tcPr>
          <w:p>
            <w:pPr>
              <w:ind w:firstLine="0"/>
              <w:jc w:val="both"/>
              <w:spacing w:line="240" w:lineRule="auto"/>
            </w:pPr>
            <w:r>
              <w:t xml:space="preserve">Комплекс технических средств</w:t>
            </w:r>
            <w:r/>
          </w:p>
        </w:tc>
      </w:tr>
      <w:tr>
        <w:tblPrEx/>
        <w:trPr>
          <w:jc w:val="center"/>
          <w:trHeight w:val="44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94" w:type="dxa"/>
            <w:vAlign w:val="center"/>
            <w:textDirection w:val="lrTb"/>
            <w:noWrap w:val="false"/>
          </w:tcPr>
          <w:p>
            <w:pPr>
              <w:ind w:firstLine="0"/>
              <w:jc w:val="left"/>
              <w:spacing w:line="240" w:lineRule="auto"/>
              <w:rPr>
                <w:sz w:val="32"/>
                <w:szCs w:val="32"/>
              </w:rPr>
            </w:pPr>
            <w:r>
              <w:t xml:space="preserve">ООЗ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43" w:type="dxa"/>
            <w:vAlign w:val="center"/>
            <w:textDirection w:val="lrTb"/>
            <w:noWrap w:val="false"/>
          </w:tcPr>
          <w:p>
            <w:pPr>
              <w:ind w:firstLine="0"/>
              <w:jc w:val="both"/>
              <w:spacing w:line="240" w:lineRule="auto"/>
            </w:pPr>
            <w:r>
              <w:t xml:space="preserve">Описание объекта закупки</w:t>
            </w:r>
            <w:r/>
          </w:p>
        </w:tc>
      </w:tr>
      <w:tr>
        <w:tblPrEx/>
        <w:trPr>
          <w:jc w:val="center"/>
          <w:trHeight w:val="44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94" w:type="dxa"/>
            <w:vAlign w:val="center"/>
            <w:textDirection w:val="lrTb"/>
            <w:noWrap w:val="false"/>
          </w:tcPr>
          <w:p>
            <w:pPr>
              <w:ind w:firstLine="0"/>
              <w:jc w:val="left"/>
              <w:spacing w:line="240" w:lineRule="auto"/>
              <w:rPr>
                <w:sz w:val="32"/>
                <w:szCs w:val="32"/>
              </w:rPr>
            </w:pPr>
            <w:r>
              <w:t xml:space="preserve">ГК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43" w:type="dxa"/>
            <w:vAlign w:val="center"/>
            <w:textDirection w:val="lrTb"/>
            <w:noWrap w:val="false"/>
          </w:tcPr>
          <w:p>
            <w:pPr>
              <w:ind w:firstLine="0"/>
              <w:jc w:val="both"/>
              <w:spacing w:line="240" w:lineRule="auto"/>
            </w:pPr>
            <w:r>
              <w:t xml:space="preserve">Государственный контракт</w:t>
            </w:r>
            <w:r/>
          </w:p>
        </w:tc>
      </w:tr>
      <w:tr>
        <w:tblPrEx/>
        <w:trPr>
          <w:jc w:val="center"/>
          <w:trHeight w:val="38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94" w:type="dxa"/>
            <w:vAlign w:val="center"/>
            <w:textDirection w:val="lrTb"/>
            <w:noWrap w:val="false"/>
          </w:tcPr>
          <w:p>
            <w:pPr>
              <w:ind w:firstLine="0"/>
              <w:jc w:val="left"/>
              <w:spacing w:line="240" w:lineRule="auto"/>
            </w:pPr>
            <w:r>
              <w:t xml:space="preserve">Автономный округ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43" w:type="dxa"/>
            <w:vAlign w:val="center"/>
            <w:textDirection w:val="lrTb"/>
            <w:noWrap w:val="false"/>
          </w:tcPr>
          <w:p>
            <w:pPr>
              <w:ind w:firstLine="0"/>
              <w:jc w:val="both"/>
              <w:spacing w:line="240" w:lineRule="auto"/>
            </w:pPr>
            <w:r>
              <w:t xml:space="preserve">Ханты-Мансийский автономный округ – Югра</w:t>
            </w:r>
            <w:r/>
          </w:p>
        </w:tc>
      </w:tr>
      <w:tr>
        <w:tblPrEx/>
        <w:trPr>
          <w:jc w:val="center"/>
          <w:trHeight w:val="33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94" w:type="dxa"/>
            <w:vAlign w:val="center"/>
            <w:textDirection w:val="lrTb"/>
            <w:noWrap w:val="false"/>
          </w:tcPr>
          <w:p>
            <w:pPr>
              <w:ind w:firstLine="0"/>
              <w:jc w:val="left"/>
              <w:spacing w:line="240" w:lineRule="auto"/>
              <w:rPr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t xml:space="preserve">АРМ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43" w:type="dxa"/>
            <w:vAlign w:val="center"/>
            <w:textDirection w:val="lrTb"/>
            <w:noWrap w:val="false"/>
          </w:tcPr>
          <w:p>
            <w:pPr>
              <w:ind w:firstLine="0"/>
              <w:jc w:val="both"/>
              <w:spacing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t xml:space="preserve">Автоматизированное рабочее место (программно-технический комплекс автоматизированной системы, предназначенный для автоматизации деятельности определенного вида)</w:t>
            </w:r>
            <w:r/>
          </w:p>
        </w:tc>
      </w:tr>
      <w:tr>
        <w:tblPrEx/>
        <w:trPr>
          <w:jc w:val="center"/>
          <w:trHeight w:val="33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94" w:type="dxa"/>
            <w:vAlign w:val="center"/>
            <w:textDirection w:val="lrTb"/>
            <w:noWrap w:val="false"/>
          </w:tcPr>
          <w:p>
            <w:pPr>
              <w:ind w:firstLine="0"/>
              <w:jc w:val="left"/>
              <w:spacing w:line="240" w:lineRule="auto"/>
              <w:rPr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t xml:space="preserve">БД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43" w:type="dxa"/>
            <w:vAlign w:val="center"/>
            <w:textDirection w:val="lrTb"/>
            <w:noWrap w:val="false"/>
          </w:tcPr>
          <w:p>
            <w:pPr>
              <w:ind w:firstLine="0"/>
              <w:jc w:val="both"/>
              <w:spacing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t xml:space="preserve">База данных – совокупность взаимосвязанных данных, сохраненных в одном или более компьютерных файлах в виде, позволяющем обращаться к ним пользователям или компьютерным программам с помощью системы управления базой данных</w:t>
            </w:r>
            <w:r/>
          </w:p>
        </w:tc>
      </w:tr>
      <w:tr>
        <w:tblPrEx/>
        <w:trPr>
          <w:jc w:val="center"/>
          <w:trHeight w:val="33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94" w:type="dxa"/>
            <w:vAlign w:val="center"/>
            <w:textDirection w:val="lrTb"/>
            <w:noWrap w:val="false"/>
          </w:tcPr>
          <w:p>
            <w:pPr>
              <w:ind w:firstLine="0"/>
              <w:jc w:val="left"/>
              <w:spacing w:line="240" w:lineRule="auto"/>
              <w:rPr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t xml:space="preserve">ЕИС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43" w:type="dxa"/>
            <w:vAlign w:val="center"/>
            <w:textDirection w:val="lrTb"/>
            <w:noWrap w:val="false"/>
          </w:tcPr>
          <w:p>
            <w:pPr>
              <w:ind w:firstLine="0"/>
              <w:jc w:val="both"/>
              <w:spacing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t xml:space="preserve">Единая информационная система в сфере закупок</w:t>
            </w:r>
            <w:r/>
          </w:p>
        </w:tc>
      </w:tr>
      <w:tr>
        <w:tblPrEx/>
        <w:trPr>
          <w:jc w:val="center"/>
          <w:trHeight w:val="33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94" w:type="dxa"/>
            <w:vAlign w:val="center"/>
            <w:textDirection w:val="lrTb"/>
            <w:noWrap w:val="false"/>
          </w:tcPr>
          <w:p>
            <w:pPr>
              <w:ind w:firstLine="0"/>
              <w:spacing w:line="240" w:lineRule="auto"/>
              <w:rPr>
                <w:sz w:val="24"/>
                <w:szCs w:val="24"/>
              </w:rPr>
            </w:pPr>
            <w:r>
              <w:t xml:space="preserve">Пользователь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43" w:type="dxa"/>
            <w:vAlign w:val="center"/>
            <w:textDirection w:val="lrTb"/>
            <w:noWrap w:val="false"/>
          </w:tcPr>
          <w:p>
            <w:pPr>
              <w:ind w:firstLine="0"/>
              <w:jc w:val="both"/>
              <w:spacing w:line="240" w:lineRule="auto"/>
            </w:pPr>
            <w:r>
              <w:t xml:space="preserve">Лицо, участвующее в функционировании системы или использующее результаты ее функционирования</w:t>
            </w:r>
            <w:r/>
          </w:p>
        </w:tc>
      </w:tr>
      <w:tr>
        <w:tblPrEx/>
        <w:trPr>
          <w:jc w:val="center"/>
          <w:trHeight w:val="33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94" w:type="dxa"/>
            <w:vAlign w:val="center"/>
            <w:textDirection w:val="lrTb"/>
            <w:noWrap w:val="false"/>
          </w:tcPr>
          <w:p>
            <w:pPr>
              <w:ind w:firstLine="0"/>
              <w:spacing w:line="240" w:lineRule="auto"/>
              <w:rPr>
                <w:sz w:val="24"/>
                <w:szCs w:val="24"/>
              </w:rPr>
            </w:pPr>
            <w:r>
              <w:t xml:space="preserve">ПМИ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43" w:type="dxa"/>
            <w:vAlign w:val="center"/>
            <w:textDirection w:val="lrTb"/>
            <w:noWrap w:val="false"/>
          </w:tcPr>
          <w:p>
            <w:pPr>
              <w:ind w:firstLine="0"/>
              <w:jc w:val="both"/>
              <w:spacing w:line="240" w:lineRule="auto"/>
            </w:pPr>
            <w:r>
              <w:t xml:space="preserve">Программа и методика испытаний</w:t>
            </w:r>
            <w:r/>
          </w:p>
        </w:tc>
      </w:tr>
      <w:tr>
        <w:tblPrEx/>
        <w:trPr>
          <w:jc w:val="center"/>
          <w:trHeight w:val="33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94" w:type="dxa"/>
            <w:vAlign w:val="center"/>
            <w:textDirection w:val="lrTb"/>
            <w:noWrap w:val="false"/>
          </w:tcPr>
          <w:p>
            <w:pPr>
              <w:ind w:firstLine="0"/>
              <w:spacing w:line="240" w:lineRule="auto"/>
              <w:rPr>
                <w:sz w:val="24"/>
                <w:szCs w:val="24"/>
              </w:rPr>
            </w:pPr>
            <w:r>
              <w:t xml:space="preserve">СЗИ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43" w:type="dxa"/>
            <w:vAlign w:val="center"/>
            <w:textDirection w:val="lrTb"/>
            <w:noWrap w:val="false"/>
          </w:tcPr>
          <w:p>
            <w:pPr>
              <w:ind w:firstLine="0"/>
              <w:jc w:val="both"/>
              <w:spacing w:line="240" w:lineRule="auto"/>
            </w:pPr>
            <w:r>
              <w:t xml:space="preserve">Средство защиты информации</w:t>
            </w:r>
            <w:r/>
          </w:p>
        </w:tc>
      </w:tr>
      <w:tr>
        <w:tblPrEx/>
        <w:trPr>
          <w:jc w:val="center"/>
          <w:trHeight w:val="33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94" w:type="dxa"/>
            <w:vAlign w:val="center"/>
            <w:textDirection w:val="lrTb"/>
            <w:noWrap w:val="false"/>
          </w:tcPr>
          <w:p>
            <w:pPr>
              <w:ind w:firstLine="0"/>
              <w:spacing w:line="240" w:lineRule="auto"/>
              <w:rPr>
                <w:sz w:val="24"/>
                <w:szCs w:val="24"/>
              </w:rPr>
            </w:pPr>
            <w:r>
              <w:t xml:space="preserve">СЗИ от НСД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43" w:type="dxa"/>
            <w:vAlign w:val="center"/>
            <w:textDirection w:val="lrTb"/>
            <w:noWrap w:val="false"/>
          </w:tcPr>
          <w:p>
            <w:pPr>
              <w:ind w:firstLine="0"/>
              <w:jc w:val="both"/>
              <w:spacing w:line="240" w:lineRule="auto"/>
            </w:pPr>
            <w:r>
              <w:t xml:space="preserve">Средство защиты информации от несанкционированного доступа</w:t>
            </w:r>
            <w:r/>
          </w:p>
        </w:tc>
      </w:tr>
      <w:tr>
        <w:tblPrEx/>
        <w:trPr>
          <w:jc w:val="center"/>
          <w:trHeight w:val="33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94" w:type="dxa"/>
            <w:vAlign w:val="center"/>
            <w:textDirection w:val="lrTb"/>
            <w:noWrap w:val="false"/>
          </w:tcPr>
          <w:p>
            <w:pPr>
              <w:ind w:firstLine="0"/>
              <w:spacing w:line="240" w:lineRule="auto"/>
              <w:rPr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t xml:space="preserve">1С:БГУ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43" w:type="dxa"/>
            <w:vAlign w:val="center"/>
            <w:textDirection w:val="lrTb"/>
            <w:noWrap w:val="false"/>
          </w:tcPr>
          <w:p>
            <w:pPr>
              <w:ind w:firstLine="0"/>
              <w:jc w:val="both"/>
              <w:spacing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t xml:space="preserve">1С:Бухгалтерия государственного учреждения 8 КОРП</w:t>
            </w:r>
            <w:r/>
          </w:p>
        </w:tc>
      </w:tr>
      <w:tr>
        <w:tblPrEx/>
        <w:trPr>
          <w:jc w:val="center"/>
          <w:trHeight w:val="50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2894" w:type="dxa"/>
            <w:vAlign w:val="center"/>
            <w:textDirection w:val="lrTb"/>
            <w:noWrap w:val="false"/>
          </w:tcPr>
          <w:p>
            <w:pPr>
              <w:ind w:firstLine="0"/>
              <w:spacing w:line="240" w:lineRule="auto"/>
              <w:rPr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t xml:space="preserve">1С:ЗКГУ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1543" w:type="dxa"/>
            <w:vAlign w:val="center"/>
            <w:textDirection w:val="lrTb"/>
            <w:noWrap w:val="false"/>
          </w:tcPr>
          <w:p>
            <w:pPr>
              <w:ind w:firstLine="0"/>
              <w:jc w:val="both"/>
              <w:spacing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t xml:space="preserve">1С:Зарплата и кадры государственного учреждения 8 КОРП</w:t>
            </w:r>
            <w:r/>
          </w:p>
        </w:tc>
      </w:tr>
      <w:tr>
        <w:tblPrEx/>
        <w:trPr>
          <w:jc w:val="center"/>
          <w:trHeight w:val="50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94" w:type="dxa"/>
            <w:vAlign w:val="center"/>
            <w:textDirection w:val="lrTb"/>
            <w:noWrap w:val="false"/>
          </w:tcPr>
          <w:p>
            <w:pPr>
              <w:ind w:firstLine="0"/>
              <w:spacing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t xml:space="preserve">1С:ОЦО ЦБ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43" w:type="dxa"/>
            <w:vAlign w:val="center"/>
            <w:textDirection w:val="lrTb"/>
            <w:noWrap w:val="false"/>
          </w:tcPr>
          <w:p>
            <w:pPr>
              <w:ind w:firstLine="0"/>
              <w:jc w:val="both"/>
              <w:spacing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t xml:space="preserve">1С:Общий центр обслуживания. Централизованная бухгалтерия КОРП.  Редакция 2.0</w:t>
            </w:r>
            <w:r/>
          </w:p>
        </w:tc>
      </w:tr>
      <w:tr>
        <w:tblPrEx/>
        <w:trPr>
          <w:jc w:val="center"/>
          <w:trHeight w:val="364"/>
        </w:trPr>
        <w:tc>
          <w:tcPr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2894" w:type="dxa"/>
            <w:vAlign w:val="center"/>
            <w:textDirection w:val="lrTb"/>
            <w:noWrap w:val="false"/>
          </w:tcPr>
          <w:p>
            <w:pPr>
              <w:ind w:firstLine="0"/>
              <w:spacing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t xml:space="preserve">1С:Свод отчетов</w:t>
            </w:r>
            <w:r/>
          </w:p>
        </w:tc>
        <w:tc>
          <w:tcPr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1543" w:type="dxa"/>
            <w:vAlign w:val="center"/>
            <w:textDirection w:val="lrTb"/>
            <w:noWrap w:val="false"/>
          </w:tcPr>
          <w:p>
            <w:pPr>
              <w:ind w:firstLine="0"/>
              <w:jc w:val="both"/>
              <w:spacing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t xml:space="preserve">1С:Свод отчетов 8 ПРОФ</w:t>
            </w:r>
            <w:r/>
          </w:p>
        </w:tc>
      </w:tr>
      <w:tr>
        <w:tblPrEx/>
        <w:trPr>
          <w:jc w:val="center"/>
          <w:trHeight w:val="38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94" w:type="dxa"/>
            <w:vAlign w:val="center"/>
            <w:textDirection w:val="lrTb"/>
            <w:noWrap w:val="false"/>
          </w:tcPr>
          <w:p>
            <w:pPr>
              <w:ind w:firstLine="0"/>
              <w:spacing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t xml:space="preserve">ЦОД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43" w:type="dxa"/>
            <w:vAlign w:val="center"/>
            <w:textDirection w:val="lrTb"/>
            <w:noWrap w:val="false"/>
          </w:tcPr>
          <w:p>
            <w:pPr>
              <w:ind w:firstLine="0"/>
              <w:jc w:val="both"/>
              <w:spacing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t xml:space="preserve">Центр обработки данных </w:t>
            </w:r>
            <w:r/>
          </w:p>
        </w:tc>
      </w:tr>
      <w:tr>
        <w:tblPrEx/>
        <w:trPr>
          <w:jc w:val="center"/>
          <w:trHeight w:val="38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94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spacing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t xml:space="preserve">Реестр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43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both"/>
              <w:spacing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t xml:space="preserve">Единый реестр российских программ для электронных вычислительных машин и баз данных (https://reestr.digital.gov.ru/)</w:t>
            </w:r>
            <w:r/>
          </w:p>
        </w:tc>
      </w:tr>
    </w:tbl>
    <w:p>
      <w:pPr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jc w:val="center"/>
        <w:rPr>
          <w:sz w:val="24"/>
          <w:szCs w:val="24"/>
        </w:rPr>
        <w:sectPr>
          <w:footnotePr/>
          <w:endnotePr/>
          <w:type w:val="nextPage"/>
          <w:pgSz w:w="16838" w:h="11906" w:orient="landscape"/>
          <w:pgMar w:top="1276" w:right="1103" w:bottom="1134" w:left="1134" w:header="709" w:footer="709" w:gutter="0"/>
          <w:cols w:num="1" w:sep="0" w:space="720" w:equalWidth="1"/>
          <w:docGrid w:linePitch="360"/>
        </w:sect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center"/>
      </w:pPr>
      <w:r>
        <w:rPr>
          <w:b/>
        </w:rPr>
        <w:t xml:space="preserve">Описание объекта закупки </w:t>
      </w:r>
      <w:r/>
    </w:p>
    <w:p>
      <w:pPr>
        <w:ind w:left="35" w:right="-2"/>
        <w:jc w:val="center"/>
        <w:tabs>
          <w:tab w:val="right" w:pos="8789" w:leader="none"/>
        </w:tabs>
        <w:rPr>
          <w:strike/>
          <w:sz w:val="32"/>
          <w:szCs w:val="32"/>
        </w:rPr>
      </w:pPr>
      <w:r>
        <w:t xml:space="preserve">Выполнение работ по созданию Единой централизованной системы управления финансово-хозяйственной деятельностью</w:t>
      </w:r>
      <w:r>
        <w:rPr>
          <w:strike/>
          <w:sz w:val="32"/>
          <w:szCs w:val="32"/>
        </w:rPr>
      </w:r>
      <w:r>
        <w:rPr>
          <w:strike/>
          <w:sz w:val="32"/>
          <w:szCs w:val="32"/>
        </w:rPr>
      </w:r>
    </w:p>
    <w:p>
      <w:pPr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tbl>
      <w:tblPr>
        <w:tblW w:w="1450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1000"/>
        <w:gridCol w:w="2401"/>
        <w:gridCol w:w="11099"/>
      </w:tblGrid>
      <w:tr>
        <w:tblPrEx/>
        <w:trPr/>
        <w:tc>
          <w:tcPr>
            <w:tcW w:w="1000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widowControl w:val="off"/>
            </w:pPr>
            <w:r>
              <w:t xml:space="preserve">№</w:t>
            </w:r>
            <w:r/>
          </w:p>
          <w:p>
            <w:pPr>
              <w:ind w:firstLine="0"/>
              <w:jc w:val="center"/>
              <w:widowControl w:val="off"/>
            </w:pPr>
            <w:r>
              <w:t xml:space="preserve">п/п</w:t>
            </w:r>
            <w:r/>
          </w:p>
        </w:tc>
        <w:tc>
          <w:tcPr>
            <w:shd w:val="clear" w:color="ffffff" w:fill="ffffff"/>
            <w:tcW w:w="2401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widowControl w:val="off"/>
            </w:pPr>
            <w:r>
              <w:t xml:space="preserve">Параметры требований к работам</w:t>
            </w:r>
            <w:r/>
          </w:p>
        </w:tc>
        <w:tc>
          <w:tcPr>
            <w:tcW w:w="11099" w:type="dxa"/>
            <w:vAlign w:val="center"/>
            <w:textDirection w:val="lrTb"/>
            <w:noWrap w:val="false"/>
          </w:tcPr>
          <w:p>
            <w:pPr>
              <w:contextualSpacing w:val="0"/>
              <w:ind w:firstLine="0"/>
              <w:jc w:val="center"/>
              <w:spacing w:line="240" w:lineRule="auto"/>
              <w:widowControl w:val="off"/>
              <w:suppressLineNumbers w:val="0"/>
            </w:pPr>
            <w:r>
              <w:t xml:space="preserve">Требования к выполненным работам, указываемые Заказчиком</w:t>
            </w:r>
            <w:r/>
          </w:p>
        </w:tc>
      </w:tr>
      <w:tr>
        <w:tblPrEx/>
        <w:trPr/>
        <w:tc>
          <w:tcPr>
            <w:tcW w:w="1000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sz w:val="22"/>
                <w:szCs w:val="22"/>
              </w:rPr>
            </w:pPr>
            <w:r>
              <w:t xml:space="preserve">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W w:w="2401" w:type="dxa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widowControl w:val="off"/>
              <w:rPr>
                <w:sz w:val="22"/>
                <w:szCs w:val="22"/>
              </w:rPr>
            </w:pPr>
            <w:r>
              <w:rPr>
                <w:lang w:val="en-US"/>
              </w:rPr>
              <w:t xml:space="preserve">2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11099" w:type="dxa"/>
            <w:textDirection w:val="lrTb"/>
            <w:noWrap w:val="false"/>
          </w:tcPr>
          <w:p>
            <w:pPr>
              <w:contextualSpacing w:val="0"/>
              <w:ind w:firstLine="0"/>
              <w:jc w:val="center"/>
              <w:spacing w:line="240" w:lineRule="auto"/>
              <w:widowControl w:val="off"/>
              <w:rPr>
                <w:sz w:val="22"/>
                <w:szCs w:val="22"/>
              </w:rPr>
              <w:suppressLineNumbers w:val="0"/>
            </w:pPr>
            <w:r>
              <w:t xml:space="preserve">3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>
          <w:trHeight w:val="765"/>
        </w:trPr>
        <w:tc>
          <w:tcPr>
            <w:tcW w:w="1000" w:type="dxa"/>
            <w:textDirection w:val="lrTb"/>
            <w:noWrap w:val="false"/>
          </w:tcPr>
          <w:p>
            <w:pPr>
              <w:pStyle w:val="757"/>
              <w:numPr>
                <w:ilvl w:val="0"/>
                <w:numId w:val="9"/>
              </w:numPr>
              <w:contextualSpacing w:val="0"/>
              <w:ind w:left="0" w:firstLine="0"/>
              <w:jc w:val="center"/>
            </w:pPr>
            <w:r/>
            <w:r/>
          </w:p>
        </w:tc>
        <w:tc>
          <w:tcPr>
            <w:shd w:val="clear" w:color="ffffff" w:fill="ffffff"/>
            <w:tcW w:w="2401" w:type="dxa"/>
            <w:textDirection w:val="lrTb"/>
            <w:noWrap w:val="false"/>
          </w:tcPr>
          <w:p>
            <w:pPr>
              <w:ind w:firstLine="0"/>
              <w:jc w:val="left"/>
              <w:spacing w:line="240" w:lineRule="auto"/>
            </w:pPr>
            <w:r>
              <w:t xml:space="preserve">Цели выполнения работ</w:t>
            </w:r>
            <w:r/>
          </w:p>
        </w:tc>
        <w:tc>
          <w:tcPr>
            <w:tcW w:w="11099" w:type="dxa"/>
            <w:textDirection w:val="lrTb"/>
            <w:noWrap w:val="false"/>
          </w:tcPr>
          <w:p>
            <w:pPr>
              <w:contextualSpacing w:val="0"/>
              <w:ind w:left="0" w:firstLine="720"/>
              <w:jc w:val="both"/>
              <w:spacing w:line="240" w:lineRule="auto"/>
              <w:tabs>
                <w:tab w:val="left" w:pos="992" w:leader="none"/>
                <w:tab w:val="left" w:pos="1134" w:leader="none"/>
              </w:tabs>
              <w:rPr>
                <w14:ligatures w14:val="none"/>
              </w:rPr>
              <w:suppressLineNumbers w:val="0"/>
            </w:pPr>
            <w:r>
              <w:t xml:space="preserve">Целями создания </w:t>
            </w:r>
            <w:r>
              <w:t xml:space="preserve">Единой централизованной системы управления финансово-хозяйственной деятельностью</w:t>
            </w:r>
            <w:r>
              <w:t xml:space="preserve">: 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contextualSpacing w:val="0"/>
              <w:ind w:left="0" w:firstLine="720"/>
              <w:jc w:val="both"/>
              <w:spacing w:line="240" w:lineRule="auto"/>
              <w:tabs>
                <w:tab w:val="left" w:pos="992" w:leader="none"/>
                <w:tab w:val="left" w:pos="1134" w:leader="none"/>
              </w:tabs>
              <w:rPr>
                <w:sz w:val="18"/>
                <w:szCs w:val="18"/>
              </w:rPr>
              <w:suppressLineNumbers w:val="0"/>
            </w:pPr>
            <w:r>
              <w:t xml:space="preserve">обеспечение прозрачности, открытости и подотчетности деятельности Учреждений;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contextualSpacing w:val="0"/>
              <w:ind w:left="0" w:firstLine="720"/>
              <w:jc w:val="both"/>
              <w:spacing w:line="240" w:lineRule="auto"/>
              <w:tabs>
                <w:tab w:val="left" w:pos="992" w:leader="none"/>
                <w:tab w:val="left" w:pos="1134" w:leader="none"/>
              </w:tabs>
              <w:suppressLineNumbers w:val="0"/>
            </w:pPr>
            <w:r>
              <w:t xml:space="preserve">соблюдение единой методологии ведения бюджетного (бухгалтерского) учета и формирования бюджетной (бухгалтерской), кадровой и иной отчетности;</w:t>
            </w:r>
            <w:r>
              <w:rPr>
                <w:sz w:val="18"/>
                <w:szCs w:val="18"/>
              </w:rPr>
            </w:r>
            <w:r/>
          </w:p>
          <w:p>
            <w:pPr>
              <w:contextualSpacing w:val="0"/>
              <w:ind w:left="0" w:firstLine="720"/>
              <w:jc w:val="both"/>
              <w:spacing w:line="240" w:lineRule="auto"/>
              <w:tabs>
                <w:tab w:val="left" w:pos="992" w:leader="none"/>
                <w:tab w:val="left" w:pos="1134" w:leader="none"/>
              </w:tabs>
              <w:suppressLineNumbers w:val="0"/>
            </w:pPr>
            <w:r>
              <w:t xml:space="preserve">обеспечение качества ведения бюджетного (бухгалтерского) и кадрового учета, составления и своевременности предоставления бюджетной (бухгалтерской), кадровой и иной отчетности Учреждениями;</w:t>
            </w:r>
            <w:r>
              <w:rPr>
                <w:sz w:val="18"/>
                <w:szCs w:val="18"/>
              </w:rPr>
            </w:r>
            <w:r/>
          </w:p>
          <w:p>
            <w:pPr>
              <w:contextualSpacing w:val="0"/>
              <w:ind w:left="0" w:firstLine="720"/>
              <w:jc w:val="both"/>
              <w:spacing w:line="240" w:lineRule="auto"/>
              <w:tabs>
                <w:tab w:val="left" w:pos="992" w:leader="none"/>
                <w:tab w:val="left" w:pos="1134" w:leader="none"/>
              </w:tabs>
              <w:suppressLineNumbers w:val="0"/>
            </w:pPr>
            <w:r>
              <w:t xml:space="preserve">повышение эффективности внутреннего финансового контроля;</w:t>
            </w:r>
            <w:r>
              <w:rPr>
                <w:sz w:val="18"/>
                <w:szCs w:val="18"/>
              </w:rPr>
            </w:r>
            <w:r/>
          </w:p>
          <w:p>
            <w:pPr>
              <w:contextualSpacing w:val="0"/>
              <w:ind w:left="0" w:firstLine="720"/>
              <w:jc w:val="both"/>
              <w:spacing w:line="240" w:lineRule="auto"/>
              <w:tabs>
                <w:tab w:val="left" w:pos="992" w:leader="none"/>
                <w:tab w:val="left" w:pos="1134" w:leader="none"/>
              </w:tabs>
              <w:suppressLineNumbers w:val="0"/>
            </w:pPr>
            <w:r>
              <w:t xml:space="preserve">обеспечение возможности получения сведений о финансовом состоянии Учреждений в онлайн-формате (состояние активов, обязательств, расчетов с дебиторами и кредиторами и т.п.);</w:t>
            </w:r>
            <w:r>
              <w:rPr>
                <w:sz w:val="18"/>
                <w:szCs w:val="18"/>
              </w:rPr>
            </w:r>
            <w:r/>
          </w:p>
          <w:p>
            <w:pPr>
              <w:contextualSpacing w:val="0"/>
              <w:ind w:left="0" w:firstLine="720"/>
              <w:jc w:val="both"/>
              <w:spacing w:line="240" w:lineRule="auto"/>
              <w:tabs>
                <w:tab w:val="left" w:pos="992" w:leader="none"/>
                <w:tab w:val="left" w:pos="1134" w:leader="none"/>
              </w:tabs>
              <w:suppressLineNumbers w:val="0"/>
            </w:pPr>
            <w:r>
              <w:t xml:space="preserve">обеспечение технологической интеграции данных бюджетного (бухгалтерского) учета с данными ГИС «Электронный бюджет»;</w:t>
            </w:r>
            <w:r>
              <w:rPr>
                <w:highlight w:val="none"/>
              </w:rPr>
            </w:r>
            <w:r/>
          </w:p>
          <w:p>
            <w:pPr>
              <w:contextualSpacing w:val="0"/>
              <w:ind w:left="0" w:firstLine="720"/>
              <w:jc w:val="both"/>
              <w:spacing w:line="240" w:lineRule="auto"/>
              <w:tabs>
                <w:tab w:val="left" w:pos="992" w:leader="none"/>
                <w:tab w:val="left" w:pos="1134" w:leader="none"/>
              </w:tabs>
              <w:suppressLineNumbers w:val="0"/>
            </w:pPr>
            <w:r>
              <w:t xml:space="preserve">обеспечение технологической интеграции данных при осуществлении закупок с ЕИС;</w:t>
            </w:r>
            <w:r>
              <w:rPr>
                <w:highlight w:val="none"/>
              </w:rPr>
            </w:r>
            <w:r/>
          </w:p>
          <w:p>
            <w:pPr>
              <w:contextualSpacing w:val="0"/>
              <w:ind w:left="0" w:firstLine="720"/>
              <w:jc w:val="both"/>
              <w:spacing w:line="240" w:lineRule="auto"/>
              <w:tabs>
                <w:tab w:val="left" w:pos="992" w:leader="none"/>
                <w:tab w:val="left" w:pos="1134" w:leader="none"/>
              </w:tabs>
              <w:suppressLineNumbers w:val="0"/>
            </w:pPr>
            <w:r>
              <w:t xml:space="preserve">с</w:t>
            </w:r>
            <w:r>
              <w:t xml:space="preserve">оздание условий для дальнейшего развития функциональных возможностей системы и оптимизации расходов на ее содержание;</w:t>
            </w:r>
            <w:r/>
          </w:p>
          <w:p>
            <w:pPr>
              <w:contextualSpacing w:val="0"/>
              <w:ind w:left="0" w:firstLine="720"/>
              <w:jc w:val="both"/>
              <w:spacing w:line="240" w:lineRule="auto"/>
              <w:tabs>
                <w:tab w:val="left" w:pos="992" w:leader="none"/>
                <w:tab w:val="left" w:pos="1134" w:leader="none"/>
              </w:tabs>
              <w:rPr>
                <w14:ligatures w14:val="none"/>
              </w:rPr>
              <w:suppressLineNumbers w:val="0"/>
            </w:pPr>
            <w:r>
              <w:t xml:space="preserve">обеспечение реализации требований законодательства в части исполнения Приказов Минфина России от 15.04.2021 г. № 61н «</w:t>
            </w:r>
            <w:r>
              <w:t xml:space="preserve">Об утверждении унифицированных форм электронных документов бухгалтерского учета, применяемых при ведении бюджетного учета, бухгалтерского учета государственных (муниципальных) учреждений, и Методических указаний по их формированию и применению», </w:t>
            </w:r>
            <w:r>
              <w:t xml:space="preserve">от 30.03.2015 № 52н «</w:t>
            </w:r>
            <w:r>
              <w:t xml:space="preserve">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</w:t>
            </w:r>
            <w:r>
              <w:t xml:space="preserve">рственными (муниципальными) учреждениями, и Методических указаний по их применению»</w:t>
            </w:r>
            <w:r>
              <w:t xml:space="preserve">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contextualSpacing w:val="0"/>
              <w:ind w:left="0" w:firstLine="720"/>
              <w:jc w:val="both"/>
              <w:spacing w:line="240" w:lineRule="auto"/>
              <w:tabs>
                <w:tab w:val="left" w:pos="992" w:leader="none"/>
                <w:tab w:val="left" w:pos="1134" w:leader="none"/>
              </w:tabs>
              <w:rPr>
                <w:highlight w:val="none"/>
              </w:rPr>
              <w:suppressLineNumbers w:val="0"/>
            </w:pPr>
            <w:r>
              <w:t xml:space="preserve">обеспечение реализации требований Федерального закона от 20.03.2025 № 33-ФЗ «</w:t>
            </w:r>
            <w:r>
              <w:t xml:space="preserve">Об общих принципах организации местного самоуправления в единой системе публичной власти»;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contextualSpacing w:val="0"/>
              <w:ind w:left="0" w:firstLine="720"/>
              <w:jc w:val="both"/>
              <w:spacing w:line="240" w:lineRule="auto"/>
              <w:tabs>
                <w:tab w:val="left" w:pos="992" w:leader="none"/>
                <w:tab w:val="left" w:pos="1134" w:leader="none"/>
              </w:tabs>
              <w:suppressLineNumbers w:val="0"/>
            </w:pPr>
            <w:r>
              <w:rPr>
                <w:highlight w:val="none"/>
              </w:rPr>
              <w:t xml:space="preserve">создание условий для дальнейшего тиражирования Системы.</w:t>
            </w:r>
            <w:r>
              <w:rPr>
                <w:highlight w:val="none"/>
              </w:rPr>
            </w:r>
            <w:r/>
          </w:p>
        </w:tc>
      </w:tr>
      <w:tr>
        <w:tblPrEx/>
        <w:trPr>
          <w:trHeight w:val="765"/>
        </w:trPr>
        <w:tc>
          <w:tcPr>
            <w:tcW w:w="1000" w:type="dxa"/>
            <w:textDirection w:val="lrTb"/>
            <w:noWrap w:val="false"/>
          </w:tcPr>
          <w:p>
            <w:pPr>
              <w:pStyle w:val="757"/>
              <w:numPr>
                <w:ilvl w:val="0"/>
                <w:numId w:val="9"/>
              </w:numPr>
              <w:contextualSpacing w:val="0"/>
              <w:ind w:left="0" w:firstLine="0"/>
              <w:jc w:val="center"/>
            </w:pPr>
            <w:r/>
            <w:r/>
          </w:p>
        </w:tc>
        <w:tc>
          <w:tcPr>
            <w:shd w:val="clear" w:color="ffffff" w:fill="ffffff"/>
            <w:tcW w:w="2401" w:type="dxa"/>
            <w:textDirection w:val="lrTb"/>
            <w:noWrap w:val="false"/>
          </w:tcPr>
          <w:p>
            <w:pPr>
              <w:ind w:firstLine="0"/>
              <w:jc w:val="left"/>
              <w:spacing w:line="240" w:lineRule="auto"/>
            </w:pPr>
            <w:r>
              <w:t xml:space="preserve">Состав Системы</w:t>
            </w:r>
            <w:r/>
          </w:p>
        </w:tc>
        <w:tc>
          <w:tcPr>
            <w:tcW w:w="11099" w:type="dxa"/>
            <w:textDirection w:val="lrTb"/>
            <w:noWrap w:val="false"/>
          </w:tcPr>
          <w:p>
            <w:pPr>
              <w:contextualSpacing w:val="0"/>
              <w:ind w:firstLine="720"/>
              <w:jc w:val="both"/>
              <w:spacing w:line="240" w:lineRule="auto"/>
              <w:tabs>
                <w:tab w:val="left" w:pos="992" w:leader="none"/>
                <w:tab w:val="left" w:pos="1134" w:leader="none"/>
              </w:tabs>
              <w:suppressLineNumbers w:val="0"/>
            </w:pPr>
            <w:r>
              <w:t xml:space="preserve">Система должна состоять из следующих подсистем и компонентов:</w:t>
            </w:r>
            <w:r/>
          </w:p>
          <w:p>
            <w:pPr>
              <w:contextualSpacing w:val="0"/>
              <w:ind w:left="0" w:firstLine="720"/>
              <w:jc w:val="both"/>
              <w:spacing w:line="240" w:lineRule="auto"/>
              <w:tabs>
                <w:tab w:val="left" w:pos="992" w:leader="none"/>
                <w:tab w:val="left" w:pos="1134" w:leader="none"/>
              </w:tabs>
              <w:suppressLineNumbers w:val="0"/>
            </w:pPr>
            <w:r>
              <w:t xml:space="preserve">подсистема администрирования (на базе ППО «1С:Предприятие. Облачная подсистема Фреш»);</w:t>
            </w:r>
            <w:r/>
          </w:p>
          <w:p>
            <w:pPr>
              <w:contextualSpacing w:val="0"/>
              <w:ind w:left="0" w:firstLine="720"/>
              <w:jc w:val="both"/>
              <w:spacing w:line="240" w:lineRule="auto"/>
              <w:tabs>
                <w:tab w:val="left" w:pos="992" w:leader="none"/>
                <w:tab w:val="left" w:pos="1134" w:leader="none"/>
              </w:tabs>
              <w:suppressLineNumbers w:val="0"/>
            </w:pPr>
            <w:r>
              <w:t xml:space="preserve">п</w:t>
            </w:r>
            <w:r>
              <w:t xml:space="preserve">одсистема «Бухгалтерский учет» (на базе ППО 1С:БГУ);</w:t>
            </w:r>
            <w:r/>
          </w:p>
          <w:p>
            <w:pPr>
              <w:contextualSpacing w:val="0"/>
              <w:ind w:left="0" w:firstLine="720"/>
              <w:jc w:val="both"/>
              <w:spacing w:line="240" w:lineRule="auto"/>
              <w:tabs>
                <w:tab w:val="left" w:pos="992" w:leader="none"/>
                <w:tab w:val="left" w:pos="1134" w:leader="none"/>
              </w:tabs>
              <w:suppressLineNumbers w:val="0"/>
            </w:pPr>
            <w:r>
              <w:t xml:space="preserve">п</w:t>
            </w:r>
            <w:r>
              <w:t xml:space="preserve">одсистема «Кадровый учет и расчет заработной платы» (на базе ППО 1С:ЗКГУ); </w:t>
            </w:r>
            <w:r/>
          </w:p>
          <w:p>
            <w:pPr>
              <w:contextualSpacing w:val="0"/>
              <w:ind w:left="0" w:firstLine="720"/>
              <w:jc w:val="both"/>
              <w:spacing w:line="240" w:lineRule="auto"/>
              <w:tabs>
                <w:tab w:val="left" w:pos="992" w:leader="none"/>
                <w:tab w:val="left" w:pos="1134" w:leader="none"/>
              </w:tabs>
              <w:suppressLineNumbers w:val="0"/>
            </w:pPr>
            <w:r>
              <w:t xml:space="preserve">подсистема регламентированной сводной отчетности (на базе ППО 1С:Свод отчетов);</w:t>
            </w:r>
            <w:r/>
          </w:p>
          <w:p>
            <w:pPr>
              <w:contextualSpacing w:val="0"/>
              <w:ind w:left="0" w:firstLine="720"/>
              <w:jc w:val="both"/>
              <w:spacing w:line="240" w:lineRule="auto"/>
              <w:tabs>
                <w:tab w:val="left" w:pos="992" w:leader="none"/>
                <w:tab w:val="left" w:pos="1134" w:leader="none"/>
              </w:tabs>
              <w:suppressLineNumbers w:val="0"/>
            </w:pPr>
            <w:r>
              <w:t xml:space="preserve">подсистема централизованного обслуживания (на базе ППО 1С:ОЦО ЦБ);</w:t>
            </w:r>
            <w:r/>
          </w:p>
          <w:p>
            <w:pPr>
              <w:contextualSpacing w:val="0"/>
              <w:ind w:left="0" w:firstLine="720"/>
              <w:jc w:val="both"/>
              <w:spacing w:line="240" w:lineRule="auto"/>
              <w:tabs>
                <w:tab w:val="left" w:pos="992" w:leader="none"/>
                <w:tab w:val="left" w:pos="1134" w:leader="none"/>
              </w:tabs>
              <w:suppressLineNumbers w:val="0"/>
            </w:pPr>
            <w:r>
              <w:t xml:space="preserve">связующих (обеспечивающих) компонентов (связующее, обеспечивающее ППО):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tabs>
                <w:tab w:val="left" w:pos="992" w:leader="none"/>
                <w:tab w:val="left" w:pos="1134" w:leader="none"/>
              </w:tabs>
              <w:suppressLineNumbers w:val="0"/>
            </w:pPr>
            <w:r>
              <w:t xml:space="preserve">«1С:Предприятие 8.3 КОРП. Лицензия на сервер (x86-64)»;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tabs>
                <w:tab w:val="left" w:pos="992" w:leader="none"/>
                <w:tab w:val="left" w:pos="1134" w:leader="none"/>
              </w:tabs>
              <w:suppressLineNumbers w:val="0"/>
            </w:pPr>
            <w:r>
              <w:t xml:space="preserve">«1С: Предприятие 8 КОРП. Клиентская лицензия»;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tabs>
                <w:tab w:val="left" w:pos="992" w:leader="none"/>
                <w:tab w:val="left" w:pos="1134" w:leader="none"/>
              </w:tabs>
              <w:suppressLineNumbers w:val="0"/>
            </w:pPr>
            <w:r>
              <w:t xml:space="preserve">«1С: Корпоративный инструментальный пакет 8»;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tabs>
                <w:tab w:val="left" w:pos="992" w:leader="none"/>
                <w:tab w:val="left" w:pos="1134" w:leader="none"/>
              </w:tabs>
              <w:rPr>
                <w:highlight w:val="none"/>
              </w:rPr>
              <w:suppressLineNumbers w:val="0"/>
            </w:pPr>
            <w:r>
              <w:t xml:space="preserve">«Защищенный программный комплекс 1С:Предприятие 8.3z (х86-64)».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contextualSpacing w:val="0"/>
              <w:ind w:firstLine="720"/>
              <w:jc w:val="both"/>
              <w:spacing w:line="240" w:lineRule="auto"/>
              <w:tabs>
                <w:tab w:val="left" w:pos="992" w:leader="none"/>
                <w:tab w:val="left" w:pos="1134" w:leader="none"/>
              </w:tabs>
              <w:suppressLineNumbers w:val="0"/>
            </w:pPr>
            <w:r>
              <w:rPr>
                <w:highlight w:val="none"/>
              </w:rPr>
            </w:r>
            <w:r>
              <w:t xml:space="preserve">Поставка аналога (эквивалента) не предусмотрена по причине несовместимости товаров, на которых размещаются другие товарные знаки, и необходимости обеспеч</w:t>
            </w:r>
            <w:r>
              <w:t xml:space="preserve">ения взаимодействия таких товаров с товарами, используемыми Заказчиком (пункт 1 части 1 статьи 33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нужд»).</w:t>
            </w:r>
            <w:r>
              <w:rPr>
                <w:highlight w:val="none"/>
              </w:rPr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tabs>
                <w:tab w:val="left" w:pos="992" w:leader="none"/>
                <w:tab w:val="left" w:pos="1134" w:leader="none"/>
              </w:tabs>
              <w:suppressLineNumbers w:val="0"/>
            </w:pPr>
            <w:r>
              <w:t xml:space="preserve">Система должна быть размещена на ресурсах, предоставляемых Заказчиком.</w:t>
            </w:r>
            <w:r/>
          </w:p>
        </w:tc>
      </w:tr>
      <w:tr>
        <w:tblPrEx/>
        <w:trPr>
          <w:cantSplit/>
          <w:trHeight w:val="283"/>
        </w:trPr>
        <w:tc>
          <w:tcPr>
            <w:tcW w:w="1000" w:type="dxa"/>
            <w:textDirection w:val="lrTb"/>
            <w:noWrap w:val="false"/>
          </w:tcPr>
          <w:p>
            <w:pPr>
              <w:pStyle w:val="757"/>
              <w:numPr>
                <w:ilvl w:val="0"/>
                <w:numId w:val="9"/>
              </w:numPr>
              <w:contextualSpacing w:val="0"/>
              <w:ind w:left="0" w:firstLine="0"/>
              <w:jc w:val="center"/>
            </w:pPr>
            <w:r/>
            <w:r/>
          </w:p>
        </w:tc>
        <w:tc>
          <w:tcPr>
            <w:shd w:val="clear" w:color="ffffff" w:fill="ffffff"/>
            <w:tcW w:w="2401" w:type="dxa"/>
            <w:textDirection w:val="lrTb"/>
            <w:noWrap w:val="false"/>
          </w:tcPr>
          <w:p>
            <w:pPr>
              <w:ind w:firstLine="0"/>
              <w:spacing w:line="240" w:lineRule="auto"/>
            </w:pPr>
            <w:r>
              <w:t xml:space="preserve">Характеристика объекта автоматизации</w:t>
            </w:r>
            <w:r/>
          </w:p>
        </w:tc>
        <w:tc>
          <w:tcPr>
            <w:tcW w:w="11099" w:type="dxa"/>
            <w:textDirection w:val="lrTb"/>
            <w:noWrap w:val="false"/>
          </w:tcPr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Объектом автоматизации является деятельность Учреждений по ведению бухгалтерского, зарплатного и кадрового учета.</w:t>
            </w:r>
            <w:r/>
          </w:p>
        </w:tc>
      </w:tr>
      <w:tr>
        <w:tblPrEx/>
        <w:trPr>
          <w:cantSplit/>
          <w:trHeight w:val="765"/>
        </w:trPr>
        <w:tc>
          <w:tcPr>
            <w:tcW w:w="1000" w:type="dxa"/>
            <w:textDirection w:val="lrTb"/>
            <w:noWrap w:val="false"/>
          </w:tcPr>
          <w:p>
            <w:pPr>
              <w:pStyle w:val="757"/>
              <w:numPr>
                <w:ilvl w:val="0"/>
                <w:numId w:val="9"/>
              </w:numPr>
              <w:contextualSpacing w:val="0"/>
              <w:ind w:left="0" w:firstLine="0"/>
              <w:jc w:val="center"/>
            </w:pPr>
            <w:r/>
            <w:r/>
          </w:p>
        </w:tc>
        <w:tc>
          <w:tcPr>
            <w:shd w:val="clear" w:color="ffffff" w:fill="ffffff"/>
            <w:tcW w:w="2401" w:type="dxa"/>
            <w:textDirection w:val="lrTb"/>
            <w:noWrap w:val="false"/>
          </w:tcPr>
          <w:p>
            <w:pPr>
              <w:ind w:firstLine="0"/>
              <w:jc w:val="left"/>
              <w:spacing w:line="240" w:lineRule="auto"/>
            </w:pPr>
            <w:r>
              <w:t xml:space="preserve">Требования к составу работ</w:t>
            </w:r>
            <w:r/>
          </w:p>
        </w:tc>
        <w:tc>
          <w:tcPr>
            <w:tcW w:w="11099" w:type="dxa"/>
            <w:textDirection w:val="lrTb"/>
            <w:noWrap w:val="false"/>
          </w:tcPr>
          <w:p>
            <w:pPr>
              <w:contextualSpacing w:val="0"/>
              <w:ind w:left="0" w:firstLine="720"/>
              <w:jc w:val="both"/>
              <w:spacing w:line="240" w:lineRule="auto"/>
              <w:tabs>
                <w:tab w:val="left" w:pos="992" w:leader="none"/>
                <w:tab w:val="left" w:pos="1134" w:leader="none"/>
              </w:tabs>
              <w:rPr>
                <w14:ligatures w14:val="none"/>
              </w:rPr>
              <w:suppressLineNumbers w:val="0"/>
            </w:pPr>
            <w:r>
              <w:t xml:space="preserve">Создание Системы включает: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contextualSpacing w:val="0"/>
              <w:ind w:firstLine="720"/>
              <w:jc w:val="both"/>
              <w:spacing w:line="240" w:lineRule="auto"/>
              <w:rPr>
                <w14:ligatures w14:val="none"/>
              </w:rPr>
              <w:suppressLineNumbers w:val="0"/>
            </w:pPr>
            <w:r>
              <w:t xml:space="preserve">предоставление права использования программного обеспечения на условиях простой (неисключительной) лицензии (Приложение 1 к ООЗ)</w:t>
            </w:r>
            <w:r>
              <w:t xml:space="preserve">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contextualSpacing w:val="0"/>
              <w:ind w:firstLine="720"/>
              <w:jc w:val="both"/>
              <w:spacing w:line="240" w:lineRule="auto"/>
              <w:rPr>
                <w14:ligatures w14:val="none"/>
              </w:rPr>
              <w:suppressLineNumbers w:val="0"/>
            </w:pPr>
            <w:r>
              <w:t xml:space="preserve">установку и настройку Системы, в том числе: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contextualSpacing w:val="0"/>
              <w:ind w:firstLine="720"/>
              <w:jc w:val="both"/>
              <w:spacing w:line="240" w:lineRule="auto"/>
              <w:rPr>
                <w14:ligatures w14:val="none"/>
              </w:rPr>
              <w:suppressLineNumbers w:val="0"/>
            </w:pPr>
            <w:r>
              <w:t xml:space="preserve">подсистемы «Администрирование»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contextualSpacing w:val="0"/>
              <w:ind w:firstLine="720"/>
              <w:jc w:val="both"/>
              <w:spacing w:line="240" w:lineRule="auto"/>
              <w:rPr>
                <w14:ligatures w14:val="none"/>
              </w:rPr>
              <w:suppressLineNumbers w:val="0"/>
            </w:pPr>
            <w:r>
              <w:t xml:space="preserve">подсистемы «Бухгалтерский учет»;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contextualSpacing w:val="0"/>
              <w:ind w:firstLine="720"/>
              <w:jc w:val="both"/>
              <w:spacing w:line="240" w:lineRule="auto"/>
              <w:rPr>
                <w14:ligatures w14:val="none"/>
              </w:rPr>
              <w:suppressLineNumbers w:val="0"/>
            </w:pPr>
            <w:r>
              <w:t xml:space="preserve">подсистемы «Кадровый учет и расчет заработной платы»;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contextualSpacing w:val="0"/>
              <w:ind w:firstLine="720"/>
              <w:jc w:val="both"/>
              <w:spacing w:line="240" w:lineRule="auto"/>
              <w:rPr>
                <w14:ligatures w14:val="none"/>
              </w:rPr>
              <w:suppressLineNumbers w:val="0"/>
            </w:pPr>
            <w:r>
              <w:t xml:space="preserve">подсистемы регламентированной сводной отчетности;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contextualSpacing w:val="0"/>
              <w:ind w:firstLine="720"/>
              <w:jc w:val="both"/>
              <w:spacing w:line="240" w:lineRule="auto"/>
              <w:rPr>
                <w14:ligatures w14:val="none"/>
              </w:rPr>
              <w:suppressLineNumbers w:val="0"/>
            </w:pPr>
            <w:r>
              <w:t xml:space="preserve">подсистемы централизованного обслуживания.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Распреде</w:t>
            </w:r>
            <w:r>
              <w:t xml:space="preserve">ление выполнения работ по этапам указан</w:t>
            </w:r>
            <w:r>
              <w:t xml:space="preserve">о в Приложении 3 к ООЗ.</w:t>
            </w:r>
            <w:r/>
          </w:p>
        </w:tc>
      </w:tr>
      <w:tr>
        <w:tblPrEx/>
        <w:trPr>
          <w:trHeight w:val="425"/>
        </w:trPr>
        <w:tc>
          <w:tcPr>
            <w:tcW w:w="1000" w:type="dxa"/>
            <w:textDirection w:val="lrTb"/>
            <w:noWrap w:val="false"/>
          </w:tcPr>
          <w:p>
            <w:pPr>
              <w:pStyle w:val="757"/>
              <w:numPr>
                <w:ilvl w:val="0"/>
                <w:numId w:val="9"/>
              </w:numPr>
              <w:contextualSpacing w:val="0"/>
              <w:ind w:left="0" w:firstLine="0"/>
              <w:jc w:val="center"/>
            </w:pPr>
            <w:r/>
            <w:r/>
          </w:p>
        </w:tc>
        <w:tc>
          <w:tcPr>
            <w:shd w:val="clear" w:color="ffffff" w:fill="ffffff"/>
            <w:tcW w:w="2401" w:type="dxa"/>
            <w:textDirection w:val="lrTb"/>
            <w:noWrap w:val="false"/>
          </w:tcPr>
          <w:p>
            <w:pPr>
              <w:ind w:firstLine="0"/>
              <w:jc w:val="left"/>
              <w:spacing w:line="240" w:lineRule="auto"/>
            </w:pPr>
            <w:r>
              <w:t xml:space="preserve">Требования к </w:t>
            </w:r>
            <w:r>
              <w:rPr>
                <w:rFonts w:eastAsia="Arial"/>
                <w:highlight w:val="none"/>
              </w:rPr>
              <w:t xml:space="preserve">предоставлению права использования программного обеспечения на условиях простой (неисключительной) лицензии</w:t>
            </w:r>
            <w:r/>
          </w:p>
        </w:tc>
        <w:tc>
          <w:tcPr>
            <w:tcW w:w="11099" w:type="dxa"/>
            <w:textDirection w:val="lrTb"/>
            <w:noWrap w:val="false"/>
          </w:tcPr>
          <w:p>
            <w:pPr>
              <w:contextualSpacing w:val="0"/>
              <w:ind w:firstLine="720"/>
              <w:jc w:val="both"/>
              <w:spacing w:line="240" w:lineRule="auto"/>
              <w:rPr>
                <w:rFonts w:eastAsia="Arial"/>
                <w:highlight w:val="none"/>
                <w14:ligatures w14:val="none"/>
              </w:rPr>
              <w:suppressLineNumbers w:val="0"/>
            </w:pPr>
            <w:r>
              <w:rPr>
                <w:color w:val="000000"/>
                <w:sz w:val="28"/>
                <w:szCs w:val="28"/>
              </w:rPr>
              <w:t xml:space="preserve">Подрядчик</w:t>
            </w:r>
            <w:r>
              <w:rPr>
                <w:color w:val="000000"/>
                <w:sz w:val="28"/>
                <w:szCs w:val="28"/>
              </w:rPr>
              <w:t xml:space="preserve"> предоставляет право использования ПО на услов</w:t>
            </w:r>
            <w:r>
              <w:rPr>
                <w:color w:val="000000"/>
                <w:sz w:val="28"/>
                <w:szCs w:val="28"/>
              </w:rPr>
              <w:t xml:space="preserve">иях простой (неисключительной лицензии), п</w:t>
            </w:r>
            <w:r>
              <w:t xml:space="preserve">еречень предоставляемых Подрядчиком неисключительных (пользовательских) прав на использование программных продуктов указан в Приложении 1 к ООЗ.</w:t>
            </w:r>
            <w:r>
              <w:rPr>
                <w:rFonts w:eastAsia="Arial"/>
                <w:highlight w:val="none"/>
                <w14:ligatures w14:val="none"/>
              </w:rPr>
            </w:r>
            <w:r>
              <w:rPr>
                <w:rFonts w:eastAsia="Arial"/>
                <w:highlight w:val="none"/>
                <w14:ligatures w14:val="none"/>
              </w:rPr>
            </w:r>
          </w:p>
          <w:p>
            <w:pPr>
              <w:contextualSpacing w:val="0"/>
              <w:ind w:firstLine="720"/>
              <w:jc w:val="both"/>
              <w:spacing w:line="240" w:lineRule="auto"/>
              <w:rPr>
                <w:rFonts w:eastAsia="Arial"/>
                <w:highlight w:val="none"/>
                <w14:ligatures w14:val="none"/>
              </w:rPr>
              <w:suppressLineNumbers w:val="0"/>
            </w:pPr>
            <w:r>
              <w:rPr>
                <w:rFonts w:eastAsia="Arial"/>
                <w:highlight w:val="none"/>
              </w:rPr>
              <w:t xml:space="preserve">Неисключительные права на использование ПО должны</w:t>
            </w:r>
            <w:r>
              <w:rPr>
                <w:rFonts w:eastAsia="Arial"/>
                <w:highlight w:val="none"/>
              </w:rPr>
              <w:t xml:space="preserve"> быть переданы Заказчику на весь срок с даты подписания документа о приемке неисключительных прав в объеме, установленном правообладателем соответствующего ПО, и включать в себя неисключительное (пользовательское) право их использования </w:t>
            </w:r>
            <w:r>
              <w:rPr>
                <w:rFonts w:eastAsia="Arial"/>
                <w:highlight w:val="none"/>
              </w:rPr>
              <w:t xml:space="preserve">в соответствии с прямым техническим (функциональным) назначением и условиями настоящего ООЗ, а также включать в себя права, предусмотренные ст. 1280 ГК РФ, непротиворечащие и не запрещенные условиями настоящего ООЗ, включая: </w:t>
            </w:r>
            <w:r>
              <w:rPr>
                <w:rFonts w:eastAsia="Arial"/>
                <w:highlight w:val="none"/>
                <w14:ligatures w14:val="none"/>
              </w:rPr>
            </w:r>
            <w:r>
              <w:rPr>
                <w:rFonts w:eastAsia="Arial"/>
                <w:highlight w:val="none"/>
                <w14:ligatures w14:val="none"/>
              </w:rPr>
            </w:r>
          </w:p>
          <w:p>
            <w:pPr>
              <w:contextualSpacing w:val="0"/>
              <w:ind w:left="0" w:firstLine="720"/>
              <w:jc w:val="both"/>
              <w:spacing w:line="240" w:lineRule="auto"/>
              <w:rPr>
                <w:rFonts w:eastAsia="Arial"/>
                <w:highlight w:val="none"/>
                <w14:ligatures w14:val="none"/>
              </w:rPr>
              <w:suppressLineNumbers w:val="0"/>
            </w:pPr>
            <w:r>
              <w:rPr>
                <w:rFonts w:eastAsia="Arial"/>
                <w:highlight w:val="none"/>
              </w:rPr>
              <w:t xml:space="preserve">установку ПО</w:t>
            </w:r>
            <w:r>
              <w:rPr>
                <w:rFonts w:eastAsia="Arial"/>
                <w:highlight w:val="none"/>
              </w:rPr>
              <w:t xml:space="preserve"> для дальнейшего его применения в рабочем процессе в соответствии с функциональным (техническим) назначением (в том числе: автоматизация работы специалистов, информационное обеспечение деятельности и др.);</w:t>
            </w:r>
            <w:r>
              <w:rPr>
                <w:rFonts w:eastAsia="Arial"/>
                <w:highlight w:val="none"/>
                <w14:ligatures w14:val="none"/>
              </w:rPr>
            </w:r>
            <w:r>
              <w:rPr>
                <w:rFonts w:eastAsia="Arial"/>
                <w:highlight w:val="none"/>
                <w14:ligatures w14:val="none"/>
              </w:rPr>
            </w:r>
          </w:p>
          <w:p>
            <w:pPr>
              <w:contextualSpacing w:val="0"/>
              <w:ind w:left="0" w:firstLine="720"/>
              <w:jc w:val="both"/>
              <w:spacing w:line="240" w:lineRule="auto"/>
              <w:rPr>
                <w:rFonts w:eastAsia="Arial"/>
                <w:highlight w:val="none"/>
                <w14:ligatures w14:val="none"/>
              </w:rPr>
              <w:suppressLineNumbers w:val="0"/>
            </w:pPr>
            <w:r>
              <w:rPr>
                <w:rFonts w:eastAsia="Arial"/>
                <w:highlight w:val="none"/>
              </w:rPr>
              <w:t xml:space="preserve">при необходимости осуществление адаптации ПО в целях обеспечения его  функционирования на конкретных технических средствах либо для совместимости с другим ПО Заказчика;</w:t>
            </w:r>
            <w:r>
              <w:rPr>
                <w:rFonts w:eastAsia="Arial"/>
                <w:highlight w:val="none"/>
                <w14:ligatures w14:val="none"/>
              </w:rPr>
            </w:r>
            <w:r>
              <w:rPr>
                <w:rFonts w:eastAsia="Arial"/>
                <w:highlight w:val="none"/>
                <w14:ligatures w14:val="none"/>
              </w:rPr>
            </w:r>
          </w:p>
          <w:p>
            <w:pPr>
              <w:contextualSpacing w:val="0"/>
              <w:ind w:left="0" w:firstLine="720"/>
              <w:jc w:val="both"/>
              <w:spacing w:line="240" w:lineRule="auto"/>
              <w:rPr>
                <w:rFonts w:eastAsia="Arial"/>
                <w:highlight w:val="none"/>
                <w14:ligatures w14:val="none"/>
              </w:rPr>
              <w:suppressLineNumbers w:val="0"/>
            </w:pPr>
            <w:r>
              <w:rPr>
                <w:rFonts w:eastAsia="Arial"/>
                <w:highlight w:val="none"/>
              </w:rPr>
              <w:t xml:space="preserve">право создания учетных резервных копий ПО либо его частей при услови</w:t>
            </w:r>
            <w:r>
              <w:rPr>
                <w:rFonts w:eastAsia="Arial"/>
                <w:highlight w:val="none"/>
              </w:rPr>
              <w:t xml:space="preserve">и, что каждая копия находится под контролем Заказчика и эти копии предназначены только для архивных целей и для замены правомерно приобретенного экземпляра в случаях, когда оригинал либо его часть утеряна, уничтожена или стала непригодна для использования;</w:t>
            </w:r>
            <w:r>
              <w:rPr>
                <w:rFonts w:eastAsia="Arial"/>
                <w:highlight w:val="none"/>
                <w14:ligatures w14:val="none"/>
              </w:rPr>
            </w:r>
            <w:r>
              <w:rPr>
                <w:rFonts w:eastAsia="Arial"/>
                <w:highlight w:val="none"/>
                <w14:ligatures w14:val="none"/>
              </w:rPr>
            </w:r>
          </w:p>
          <w:p>
            <w:pPr>
              <w:contextualSpacing w:val="0"/>
              <w:ind w:left="0" w:firstLine="720"/>
              <w:jc w:val="both"/>
              <w:spacing w:line="240" w:lineRule="auto"/>
              <w:rPr>
                <w:rFonts w:eastAsia="Arial"/>
                <w:highlight w:val="none"/>
                <w14:ligatures w14:val="none"/>
              </w:rPr>
              <w:suppressLineNumbers w:val="0"/>
            </w:pPr>
            <w:r>
              <w:rPr>
                <w:rFonts w:eastAsia="Arial"/>
                <w:highlight w:val="none"/>
              </w:rPr>
              <w:t xml:space="preserve">иные права, предусмотренные ст. 1280 ГК РФ, не противоречащие и не запрещенные условиями настоящего раздела ООЗ.</w:t>
            </w:r>
            <w:r>
              <w:rPr>
                <w:rFonts w:eastAsia="Arial"/>
                <w:highlight w:val="none"/>
                <w14:ligatures w14:val="none"/>
              </w:rPr>
            </w:r>
            <w:r>
              <w:rPr>
                <w:rFonts w:eastAsia="Arial"/>
                <w:highlight w:val="none"/>
                <w14:ligatures w14:val="none"/>
              </w:rPr>
            </w:r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Способ предоставления неисключительных (пользовательских) прав на использование программных (и иных лицензионных) продуктов – электронная поставка. 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Поставка аналога (эквивалента) не предусмотрена по причине несовместимости товаров, на которых размещаются другие товарные знаки, и необходимости обеспеч</w:t>
            </w:r>
            <w:r>
              <w:t xml:space="preserve">ения взаимодействия таких товаров с товарами, используемыми Заказчиком (пункт 1 части 1 статьи 33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нужд»).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rPr>
                <w:highlight w:val="none"/>
              </w:rPr>
              <w:suppressLineNumbers w:val="0"/>
            </w:pPr>
            <w:r>
              <w:rPr>
                <w:highlight w:val="none"/>
              </w:rPr>
              <w:t xml:space="preserve">Перечень</w:t>
            </w:r>
            <w:r>
              <w:rPr>
                <w:highlight w:val="none"/>
              </w:rPr>
              <w:t xml:space="preserve"> </w:t>
            </w:r>
            <w:r>
              <w:rPr>
                <w:rFonts w:eastAsia="Arial"/>
                <w:highlight w:val="none"/>
              </w:rPr>
              <w:t xml:space="preserve">прав использования программного обеспечения на условиях простой (неисключительной) лицензии</w:t>
            </w:r>
            <w:r>
              <w:rPr>
                <w:highlight w:val="none"/>
              </w:rPr>
              <w:t xml:space="preserve">, имеющихся в наличии у Заказчика, приведен в Приложении 4 к ООЗ.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425"/>
        </w:trPr>
        <w:tc>
          <w:tcPr>
            <w:tcW w:w="1000" w:type="dxa"/>
            <w:vMerge w:val="restart"/>
            <w:textDirection w:val="lrTb"/>
            <w:noWrap w:val="false"/>
          </w:tcPr>
          <w:p>
            <w:pPr>
              <w:pStyle w:val="757"/>
              <w:numPr>
                <w:ilvl w:val="0"/>
                <w:numId w:val="9"/>
              </w:numPr>
              <w:contextualSpacing w:val="0"/>
              <w:ind w:left="0" w:firstLine="0"/>
              <w:jc w:val="center"/>
            </w:pPr>
            <w:r/>
            <w:r/>
          </w:p>
        </w:tc>
        <w:tc>
          <w:tcPr>
            <w:shd w:val="clear" w:color="ffffff" w:fill="ffffff"/>
            <w:tcW w:w="2401" w:type="dxa"/>
            <w:vMerge w:val="restart"/>
            <w:textDirection w:val="lrTb"/>
            <w:noWrap w:val="false"/>
          </w:tcPr>
          <w:p>
            <w:pPr>
              <w:ind w:firstLine="0"/>
              <w:jc w:val="left"/>
              <w:spacing w:line="240" w:lineRule="auto"/>
            </w:pPr>
            <w:r>
              <w:t xml:space="preserve">Общие требования к Системе</w:t>
            </w:r>
            <w:r/>
          </w:p>
        </w:tc>
        <w:tc>
          <w:tcPr>
            <w:tcW w:w="11099" w:type="dxa"/>
            <w:vMerge w:val="restart"/>
            <w:textDirection w:val="lrTb"/>
            <w:noWrap w:val="false"/>
          </w:tcPr>
          <w:p>
            <w:pPr>
              <w:contextualSpacing w:val="0"/>
              <w:ind w:firstLine="720"/>
              <w:jc w:val="both"/>
              <w:spacing w:line="240" w:lineRule="auto"/>
              <w:rPr>
                <w:highlight w:val="none"/>
              </w:rPr>
              <w:suppressLineNumbers w:val="0"/>
            </w:pPr>
            <w:r>
              <w:t xml:space="preserve">Должна быть обеспечена возможность использования ППО, входящего в состав Системы с использованием технологии Облачного сервиса (на базе 1С:Предприятие. Облачная подсистема Фреш).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Использование технологии Облачного сервиса должно обеспечить: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применение (использование) в Облачном сервисе прикладного программного обеспечения, эксплуатируемого в Учреждениях;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централизованное обновление опубликованных в облачном сервисе ППО;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централизованное размещение обновлений классификаторов, форматов обмена, комплектов регламентированной отчетности и прочей нормативно-справочной информации для использования при работе в ППО;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автоматический обмен данными между опубликованными в облачном сервисе ППО;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автоматическое резервное копирование данных Пользователей;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единая аутентификация Пользователей во всех ППО Системы;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подключение внешних обработок для кастомизации опубликованного в облачном сервисе ППО;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оповещение Пользователей Облачного сервиса о предстоящих работах и других событиях в Облачном сервисе;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средства централизованного управления ресурсами облачного сервиса;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получение статистических данных о работе облачного сервиса, Пользователей ППО;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размещение общесистемного ПО, обеспечивающего функционирование ППО Системы на серверах технологической площадки (ЦОД);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размещение </w:t>
            </w:r>
            <w:r>
              <w:t xml:space="preserve">данных каждого из Учреждений</w:t>
            </w:r>
            <w:r>
              <w:t xml:space="preserve"> в централизованной базе данных с обеспечением доступа каждого Учреждения только к своей области данных БД;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единые конфигурации (релизы) ППО, входящего в состав Системы, для всех Учреждений;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централизованное администрирование БД Системы.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rPr>
                <w:highlight w:val="none"/>
              </w:rPr>
            </w:r>
            <w:r/>
          </w:p>
          <w:p>
            <w:pPr>
              <w:contextualSpacing w:val="0"/>
              <w:ind w:firstLine="0"/>
              <w:jc w:val="center"/>
              <w:spacing w:line="240" w:lineRule="auto"/>
              <w:rPr>
                <w:highlight w:val="none"/>
              </w:rPr>
              <w:suppressLineNumbers w:val="0"/>
            </w:pPr>
            <w:r>
              <w:t xml:space="preserve">Общее описание получаемой архитектуры Системы</w:t>
              <w:br/>
              <w:t xml:space="preserve"> и получаемых результатов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contextualSpacing w:val="0"/>
              <w:ind w:firstLine="0"/>
              <w:jc w:val="both"/>
              <w:spacing w:line="240" w:lineRule="auto"/>
              <w:rPr>
                <w:highlight w:val="none"/>
              </w:rPr>
              <w:suppressLineNumbers w:val="0"/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contextualSpacing w:val="0"/>
              <w:ind w:firstLine="720"/>
              <w:jc w:val="both"/>
              <w:spacing w:line="240" w:lineRule="auto"/>
              <w:rPr>
                <w14:ligatures w14:val="none"/>
              </w:rPr>
              <w:suppressLineNumbers w:val="0"/>
            </w:pPr>
            <w:r>
              <w:t xml:space="preserve">Система должна функционировать в рамках информационно-телекоммуникационной инфраструктуры с использованием архитектуры «клиент-сервер», предполагающей наличие: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contextualSpacing w:val="0"/>
              <w:ind w:firstLine="720"/>
              <w:jc w:val="both"/>
              <w:spacing w:line="240" w:lineRule="auto"/>
              <w:rPr>
                <w14:ligatures w14:val="none"/>
              </w:rPr>
              <w:suppressLineNumbers w:val="0"/>
            </w:pPr>
            <w:r>
              <w:t xml:space="preserve">клиентского приложения;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contextualSpacing w:val="0"/>
              <w:ind w:firstLine="720"/>
              <w:jc w:val="both"/>
              <w:spacing w:line="240" w:lineRule="auto"/>
              <w:rPr>
                <w14:ligatures w14:val="none"/>
              </w:rPr>
              <w:suppressLineNumbers w:val="0"/>
            </w:pPr>
            <w:r>
              <w:t xml:space="preserve">сервера приложений;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contextualSpacing w:val="0"/>
              <w:ind w:firstLine="720"/>
              <w:jc w:val="both"/>
              <w:spacing w:line="240" w:lineRule="auto"/>
              <w:rPr>
                <w14:ligatures w14:val="none"/>
              </w:rPr>
              <w:suppressLineNumbers w:val="0"/>
            </w:pPr>
            <w:r>
              <w:t xml:space="preserve">сервера базы данных;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contextualSpacing w:val="0"/>
              <w:ind w:firstLine="720"/>
              <w:jc w:val="both"/>
              <w:spacing w:line="240" w:lineRule="auto"/>
              <w:rPr>
                <w14:ligatures w14:val="none"/>
              </w:rPr>
              <w:suppressLineNumbers w:val="0"/>
            </w:pPr>
            <w:r>
              <w:t xml:space="preserve">веб-сервера.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1232"/>
              <w:contextualSpacing w:val="0"/>
              <w:ind w:firstLine="720"/>
              <w:jc w:val="both"/>
              <w:rPr>
                <w:sz w:val="28"/>
                <w:szCs w:val="28"/>
              </w:rPr>
              <w:suppressLineNumbers w:val="0"/>
            </w:pP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</w:rPr>
              <w:t xml:space="preserve">Система состоит из вычислительных узлов – нод (далее – ВУ, нода), каждый из которых функционирует в собственном режиме, не</w:t>
            </w:r>
            <w:r>
              <w:rPr>
                <w:sz w:val="28"/>
                <w:szCs w:val="28"/>
              </w:rPr>
              <w:t xml:space="preserve">зависимо от режима функционирования других ВУ Системы. Каждый из ВУ должен предоставлять доступ части пользователей Системы к функциям Системы.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1232"/>
              <w:contextualSpacing w:val="0"/>
              <w:ind w:firstLine="720"/>
              <w:jc w:val="both"/>
              <w:rPr>
                <w:sz w:val="28"/>
                <w:szCs w:val="28"/>
                <w:highlight w:val="none"/>
              </w:rPr>
              <w:suppressLineNumbers w:val="0"/>
            </w:pPr>
            <w:r>
              <w:rPr>
                <w:sz w:val="28"/>
                <w:szCs w:val="28"/>
              </w:rPr>
              <w:t xml:space="preserve">Подрядчиком должно быть обеспечено: 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pStyle w:val="1232"/>
              <w:contextualSpacing w:val="0"/>
              <w:ind w:firstLine="720"/>
              <w:jc w:val="both"/>
              <w:rPr>
                <w:sz w:val="28"/>
                <w:szCs w:val="28"/>
              </w:rPr>
              <w:suppressLineNumbers w:val="0"/>
            </w:pPr>
            <w:r>
              <w:rPr>
                <w:sz w:val="28"/>
                <w:szCs w:val="28"/>
              </w:rPr>
              <w:t xml:space="preserve">наличие клиентского приложения «тонкий клиент». Т</w:t>
            </w:r>
            <w:r>
              <w:rPr>
                <w:sz w:val="28"/>
                <w:szCs w:val="28"/>
              </w:rPr>
              <w:t xml:space="preserve">онкий клиент должен позволять работать с интерфейсом ППО через сеть Интернет с использованием средств защиты информации от несанкционированного доступа, прошедших в установленном порядке процедуру оценки соответствия, входящих в состав создаваемой Системы;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1232"/>
              <w:contextualSpacing w:val="0"/>
              <w:ind w:firstLine="720"/>
              <w:jc w:val="both"/>
              <w:rPr>
                <w:sz w:val="28"/>
                <w:szCs w:val="28"/>
              </w:rPr>
              <w:suppressLineNumbers w:val="0"/>
            </w:pPr>
            <w:r>
              <w:rPr>
                <w:sz w:val="28"/>
                <w:szCs w:val="28"/>
              </w:rPr>
              <w:t xml:space="preserve">мониторинг состояния сеансов и перевод, при истечении ук</w:t>
            </w:r>
            <w:r>
              <w:rPr>
                <w:sz w:val="28"/>
                <w:szCs w:val="28"/>
              </w:rPr>
              <w:t xml:space="preserve">азанного интервала времени, неактивных сеансов в статус «уснувших» с освобождением выделенных под них ресурсов, по первому требованию, удаление уснувших сеансов при истечении указанного интервала времени, с освобождением всех ресурсов, выделенных на сеанс.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contextualSpacing w:val="0"/>
              <w:ind w:firstLine="720"/>
              <w:jc w:val="both"/>
              <w:spacing w:line="240" w:lineRule="auto"/>
              <w:widowControl w:val="off"/>
              <w:suppressLineNumbers w:val="0"/>
            </w:pPr>
            <w:r/>
            <w:r/>
          </w:p>
          <w:p>
            <w:pPr>
              <w:contextualSpacing w:val="0"/>
              <w:ind w:firstLine="720"/>
              <w:jc w:val="both"/>
              <w:spacing w:line="240" w:lineRule="auto"/>
              <w:rPr>
                <w:sz w:val="24"/>
                <w:szCs w:val="24"/>
              </w:rPr>
              <w:suppressLineNumbers w:val="0"/>
            </w:pPr>
            <w:r>
              <w:t xml:space="preserve">Таблица 1. Элементы программных средств создаваемой Системы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contextualSpacing w:val="0"/>
              <w:ind w:firstLine="720"/>
              <w:jc w:val="both"/>
              <w:spacing w:line="240" w:lineRule="auto"/>
              <w:widowControl w:val="off"/>
              <w:suppressLineNumbers w:val="0"/>
            </w:pPr>
            <w:r/>
            <w:r/>
          </w:p>
          <w:tbl>
            <w:tblPr>
              <w:tblW w:w="0" w:type="auto"/>
              <w:tblBorders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  <w:insideH w:val="single" w:color="000000" w:sz="4" w:space="0"/>
                <w:insideV w:val="single" w:color="000000" w:sz="4" w:space="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  <w:gridCol w:w="2552"/>
              <w:gridCol w:w="3192"/>
              <w:gridCol w:w="3368"/>
            </w:tblGrid>
            <w:tr>
              <w:tblPrEx/>
              <w:trPr>
                <w:trHeight w:val="856"/>
              </w:trPr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567" w:type="dxa"/>
                  <w:textDirection w:val="lrTb"/>
                  <w:noWrap w:val="false"/>
                </w:tcPr>
                <w:p>
                  <w:pPr>
                    <w:contextualSpacing w:val="0"/>
                    <w:ind w:firstLine="0"/>
                    <w:jc w:val="center"/>
                    <w:spacing w:line="240" w:lineRule="auto"/>
                    <w:suppressLineNumbers w:val="0"/>
                  </w:pPr>
                  <w:r>
                    <w:t xml:space="preserve">№</w:t>
                  </w:r>
                  <w:r/>
                </w:p>
                <w:p>
                  <w:pPr>
                    <w:contextualSpacing w:val="0"/>
                    <w:ind w:firstLine="0"/>
                    <w:jc w:val="center"/>
                    <w:spacing w:line="240" w:lineRule="auto"/>
                    <w:suppressLineNumbers w:val="0"/>
                  </w:pPr>
                  <w:r>
                    <w:t xml:space="preserve">п/п</w:t>
                  </w:r>
                  <w:r/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2552" w:type="dxa"/>
                  <w:textDirection w:val="lrTb"/>
                  <w:noWrap w:val="false"/>
                </w:tcPr>
                <w:p>
                  <w:pPr>
                    <w:contextualSpacing w:val="0"/>
                    <w:ind w:firstLine="0"/>
                    <w:jc w:val="center"/>
                    <w:spacing w:line="240" w:lineRule="auto"/>
                    <w:suppressLineNumbers w:val="0"/>
                  </w:pPr>
                  <w:r>
                    <w:t xml:space="preserve">Название элемента</w:t>
                  </w:r>
                  <w:r/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3192" w:type="dxa"/>
                  <w:textDirection w:val="lrTb"/>
                  <w:noWrap w:val="false"/>
                </w:tcPr>
                <w:p>
                  <w:pPr>
                    <w:contextualSpacing w:val="0"/>
                    <w:ind w:firstLine="0"/>
                    <w:jc w:val="center"/>
                    <w:spacing w:line="240" w:lineRule="auto"/>
                    <w:suppressLineNumbers w:val="0"/>
                  </w:pPr>
                  <w:r>
                    <w:t xml:space="preserve">Реализация</w:t>
                  </w:r>
                  <w:r/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3368" w:type="dxa"/>
                  <w:textDirection w:val="lrTb"/>
                  <w:noWrap w:val="false"/>
                </w:tcPr>
                <w:p>
                  <w:pPr>
                    <w:contextualSpacing w:val="0"/>
                    <w:ind w:firstLine="0"/>
                    <w:jc w:val="center"/>
                    <w:spacing w:line="240" w:lineRule="auto"/>
                    <w:suppressLineNumbers w:val="0"/>
                  </w:pPr>
                  <w:r>
                    <w:t xml:space="preserve">Описание</w:t>
                  </w:r>
                  <w:r/>
                </w:p>
              </w:tc>
            </w:tr>
            <w:tr>
              <w:tblPrEx/>
              <w:trPr>
                <w:trHeight w:val="856"/>
              </w:trPr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567" w:type="dxa"/>
                  <w:textDirection w:val="lrTb"/>
                  <w:noWrap w:val="false"/>
                </w:tcPr>
                <w:p>
                  <w:pPr>
                    <w:contextualSpacing w:val="0"/>
                    <w:ind w:firstLine="0"/>
                    <w:jc w:val="both"/>
                    <w:spacing w:line="240" w:lineRule="auto"/>
                    <w:rPr>
                      <w:sz w:val="24"/>
                      <w:szCs w:val="24"/>
                    </w:rPr>
                    <w:suppressLineNumbers w:val="0"/>
                  </w:pPr>
                  <w:r>
                    <w:t xml:space="preserve">1</w:t>
                  </w: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2552" w:type="dxa"/>
                  <w:textDirection w:val="lrTb"/>
                  <w:noWrap w:val="false"/>
                </w:tcPr>
                <w:p>
                  <w:pPr>
                    <w:contextualSpacing w:val="0"/>
                    <w:ind w:firstLine="0"/>
                    <w:jc w:val="both"/>
                    <w:spacing w:line="240" w:lineRule="auto"/>
                    <w:rPr>
                      <w:sz w:val="24"/>
                      <w:szCs w:val="24"/>
                    </w:rPr>
                    <w:suppressLineNumbers w:val="0"/>
                  </w:pPr>
                  <w:r>
                    <w:t xml:space="preserve">Компонента публикации данных </w:t>
                  </w: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3192" w:type="dxa"/>
                  <w:textDirection w:val="lrTb"/>
                  <w:noWrap w:val="false"/>
                </w:tcPr>
                <w:p>
                  <w:pPr>
                    <w:contextualSpacing w:val="0"/>
                    <w:ind w:firstLine="0"/>
                    <w:jc w:val="center"/>
                    <w:spacing w:line="240" w:lineRule="auto"/>
                    <w:rPr>
                      <w:sz w:val="24"/>
                      <w:szCs w:val="24"/>
                    </w:rPr>
                    <w:suppressLineNumbers w:val="0"/>
                  </w:pPr>
                  <w:r>
                    <w:t xml:space="preserve">Web – сервер(ы) </w:t>
                  </w: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3368" w:type="dxa"/>
                  <w:textDirection w:val="lrTb"/>
                  <w:noWrap w:val="false"/>
                </w:tcPr>
                <w:p>
                  <w:pPr>
                    <w:contextualSpacing w:val="0"/>
                    <w:ind w:firstLine="0"/>
                    <w:jc w:val="both"/>
                    <w:spacing w:line="240" w:lineRule="auto"/>
                    <w:rPr>
                      <w:sz w:val="24"/>
                      <w:szCs w:val="24"/>
                    </w:rPr>
                    <w:suppressLineNumbers w:val="0"/>
                  </w:pPr>
                  <w:r>
                    <w:t xml:space="preserve">Элемент публикации приложения по протоколу https, преобразующая https запросы в TCP/IP</w:t>
                  </w: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</w:tc>
            </w:tr>
            <w:tr>
              <w:tblPrEx/>
              <w:trPr>
                <w:trHeight w:val="975"/>
              </w:trPr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567" w:type="dxa"/>
                  <w:textDirection w:val="lrTb"/>
                  <w:noWrap w:val="false"/>
                </w:tcPr>
                <w:p>
                  <w:pPr>
                    <w:contextualSpacing w:val="0"/>
                    <w:ind w:firstLine="0"/>
                    <w:jc w:val="both"/>
                    <w:spacing w:line="240" w:lineRule="auto"/>
                    <w:rPr>
                      <w:sz w:val="24"/>
                      <w:szCs w:val="24"/>
                    </w:rPr>
                    <w:suppressLineNumbers w:val="0"/>
                  </w:pPr>
                  <w:r>
                    <w:t xml:space="preserve">2</w:t>
                  </w: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2552" w:type="dxa"/>
                  <w:textDirection w:val="lrTb"/>
                  <w:noWrap w:val="false"/>
                </w:tcPr>
                <w:p>
                  <w:pPr>
                    <w:contextualSpacing w:val="0"/>
                    <w:ind w:firstLine="0"/>
                    <w:jc w:val="both"/>
                    <w:spacing w:line="240" w:lineRule="auto"/>
                    <w:rPr>
                      <w:sz w:val="24"/>
                      <w:szCs w:val="24"/>
                    </w:rPr>
                    <w:suppressLineNumbers w:val="0"/>
                  </w:pPr>
                  <w:r>
                    <w:t xml:space="preserve">Компонента обработки данных</w:t>
                  </w: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contextualSpacing w:val="0"/>
                    <w:ind w:firstLine="0"/>
                    <w:jc w:val="both"/>
                    <w:spacing w:line="240" w:lineRule="auto"/>
                    <w:rPr>
                      <w:sz w:val="24"/>
                      <w:szCs w:val="24"/>
                    </w:rPr>
                    <w:suppressLineNumbers w:val="0"/>
                  </w:pP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3192" w:type="dxa"/>
                  <w:textDirection w:val="lrTb"/>
                  <w:noWrap w:val="false"/>
                </w:tcPr>
                <w:p>
                  <w:pPr>
                    <w:contextualSpacing w:val="0"/>
                    <w:ind w:firstLine="0"/>
                    <w:jc w:val="center"/>
                    <w:spacing w:line="240" w:lineRule="auto"/>
                    <w:rPr>
                      <w:sz w:val="24"/>
                      <w:szCs w:val="24"/>
                    </w:rPr>
                    <w:suppressLineNumbers w:val="0"/>
                  </w:pPr>
                  <w:r>
                    <w:t xml:space="preserve">Серверы приложений</w:t>
                  </w: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contextualSpacing w:val="0"/>
                    <w:ind w:firstLine="0"/>
                    <w:jc w:val="center"/>
                    <w:spacing w:line="240" w:lineRule="auto"/>
                    <w:rPr>
                      <w:sz w:val="24"/>
                      <w:szCs w:val="24"/>
                    </w:rPr>
                    <w:suppressLineNumbers w:val="0"/>
                  </w:pPr>
                  <w:r>
                    <w:t xml:space="preserve">Кластер серверов приложений </w:t>
                  </w: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3368" w:type="dxa"/>
                  <w:textDirection w:val="lrTb"/>
                  <w:noWrap w:val="false"/>
                </w:tcPr>
                <w:p>
                  <w:pPr>
                    <w:contextualSpacing w:val="0"/>
                    <w:ind w:firstLine="0"/>
                    <w:jc w:val="both"/>
                    <w:spacing w:line="240" w:lineRule="auto"/>
                    <w:rPr>
                      <w:sz w:val="24"/>
                      <w:szCs w:val="24"/>
                    </w:rPr>
                    <w:suppressLineNumbers w:val="0"/>
                  </w:pPr>
                  <w:r>
                    <w:t xml:space="preserve">Обработка пользовательских данных, регистрация событий</w:t>
                  </w: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</w:tc>
            </w:tr>
            <w:tr>
              <w:tblPrEx/>
              <w:trPr>
                <w:trHeight w:val="591"/>
              </w:trPr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567" w:type="dxa"/>
                  <w:textDirection w:val="lrTb"/>
                  <w:noWrap w:val="false"/>
                </w:tcPr>
                <w:p>
                  <w:pPr>
                    <w:contextualSpacing w:val="0"/>
                    <w:ind w:firstLine="0"/>
                    <w:jc w:val="both"/>
                    <w:spacing w:line="240" w:lineRule="auto"/>
                    <w:rPr>
                      <w:sz w:val="24"/>
                      <w:szCs w:val="24"/>
                    </w:rPr>
                    <w:suppressLineNumbers w:val="0"/>
                  </w:pPr>
                  <w:r>
                    <w:t xml:space="preserve">3</w:t>
                  </w: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2552" w:type="dxa"/>
                  <w:textDirection w:val="lrTb"/>
                  <w:noWrap w:val="false"/>
                </w:tcPr>
                <w:p>
                  <w:pPr>
                    <w:contextualSpacing w:val="0"/>
                    <w:ind w:firstLine="0"/>
                    <w:jc w:val="both"/>
                    <w:spacing w:line="240" w:lineRule="auto"/>
                    <w:rPr>
                      <w:sz w:val="24"/>
                      <w:szCs w:val="24"/>
                    </w:rPr>
                    <w:suppressLineNumbers w:val="0"/>
                  </w:pPr>
                  <w:r>
                    <w:t xml:space="preserve">Компонента хранения и обработки данных</w:t>
                  </w: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3192" w:type="dxa"/>
                  <w:textDirection w:val="lrTb"/>
                  <w:noWrap w:val="false"/>
                </w:tcPr>
                <w:p>
                  <w:pPr>
                    <w:contextualSpacing w:val="0"/>
                    <w:ind w:firstLine="0"/>
                    <w:jc w:val="center"/>
                    <w:spacing w:line="240" w:lineRule="auto"/>
                    <w:rPr>
                      <w:sz w:val="24"/>
                      <w:szCs w:val="24"/>
                    </w:rPr>
                    <w:suppressLineNumbers w:val="0"/>
                  </w:pPr>
                  <w:r>
                    <w:t xml:space="preserve">Сервер СУБД</w:t>
                  </w:r>
                  <w:r>
                    <w:br/>
                  </w: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3368" w:type="dxa"/>
                  <w:textDirection w:val="lrTb"/>
                  <w:noWrap w:val="false"/>
                </w:tcPr>
                <w:p>
                  <w:pPr>
                    <w:contextualSpacing w:val="0"/>
                    <w:ind w:firstLine="0"/>
                    <w:jc w:val="both"/>
                    <w:spacing w:line="240" w:lineRule="auto"/>
                    <w:rPr>
                      <w:sz w:val="24"/>
                      <w:szCs w:val="24"/>
                    </w:rPr>
                    <w:suppressLineNumbers w:val="0"/>
                  </w:pPr>
                  <w:r>
                    <w:t xml:space="preserve">Хранение и обработка пользовательских данных</w:t>
                  </w: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</w:tc>
            </w:tr>
          </w:tbl>
          <w:p>
            <w:pPr>
              <w:contextualSpacing w:val="0"/>
              <w:ind w:firstLine="720"/>
              <w:jc w:val="both"/>
              <w:spacing w:line="240" w:lineRule="auto"/>
              <w:widowControl w:val="off"/>
              <w:suppressLineNumbers w:val="0"/>
            </w:pPr>
            <w:r/>
            <w:r/>
          </w:p>
          <w:p>
            <w:pPr>
              <w:contextualSpacing w:val="0"/>
              <w:ind w:firstLine="720"/>
              <w:jc w:val="both"/>
              <w:spacing w:line="240" w:lineRule="auto"/>
              <w:widowControl w:val="off"/>
              <w:suppressLineNumbers w:val="0"/>
            </w:pPr>
            <w:r>
              <w:t xml:space="preserve">Должны выделяться независимые друг от друга ландшафты: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widowControl w:val="off"/>
              <w:suppressLineNumbers w:val="0"/>
            </w:pPr>
            <w:r>
              <w:t xml:space="preserve">промышленный (рабочий) ландшафт должен быть предназначен для разворачивания ППО. Ландшафт должен обеспечивать штатное функционирование Системы для постоянной эксплуатации;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widowControl w:val="off"/>
              <w:suppressLineNumbers w:val="0"/>
            </w:pPr>
            <w:r>
              <w:t xml:space="preserve">тестовый ландшафт должен быть предназначен для выполнения испытаний обновлений и изменений настроек Системы. Проведение успешных испытаний обновлений и изменений настроек на тест</w:t>
            </w:r>
            <w:r>
              <w:t xml:space="preserve">овом ландшафте должно являться необходимым условием вывода обновления и изменения настроек на промышленный ландшафт, позволяющим выявлять ошибки, проблемы быстродействия и несоответствия разработанного сервиса до вывода обновления на промышленный ландшафт.</w:t>
            </w:r>
            <w:r/>
          </w:p>
          <w:p>
            <w:pPr>
              <w:pStyle w:val="1232"/>
              <w:contextualSpacing w:val="0"/>
              <w:ind w:firstLine="720"/>
              <w:jc w:val="both"/>
              <w:rPr>
                <w:sz w:val="28"/>
                <w:szCs w:val="28"/>
              </w:rPr>
              <w:suppressLineNumbers w:val="0"/>
            </w:pPr>
            <w:r>
              <w:rPr>
                <w:sz w:val="28"/>
                <w:szCs w:val="28"/>
              </w:rPr>
              <w:t xml:space="preserve">Сервера каждого из ландшафтов должны логически объединяться по функциональному предназначению в зоны: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1232"/>
              <w:contextualSpacing w:val="0"/>
              <w:ind w:firstLine="720"/>
              <w:jc w:val="both"/>
              <w:rPr>
                <w:sz w:val="28"/>
                <w:szCs w:val="28"/>
              </w:rPr>
              <w:suppressLineNumbers w:val="0"/>
            </w:pPr>
            <w:r>
              <w:rPr>
                <w:sz w:val="28"/>
                <w:szCs w:val="28"/>
              </w:rPr>
              <w:t xml:space="preserve">зону маршрутизации, управляющую зону и прикладную зону (для промышленного ландшафта);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1232"/>
              <w:contextualSpacing w:val="0"/>
              <w:ind w:firstLine="720"/>
              <w:jc w:val="both"/>
              <w:rPr>
                <w:sz w:val="28"/>
                <w:szCs w:val="28"/>
              </w:rPr>
              <w:suppressLineNumbers w:val="0"/>
            </w:pPr>
            <w:r>
              <w:rPr>
                <w:sz w:val="28"/>
                <w:szCs w:val="28"/>
              </w:rPr>
              <w:t xml:space="preserve">управляющую зону и зону функционального тестирования новых релизов платформы и прикладных сервисов (для тестового ландшафта).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1232"/>
              <w:contextualSpacing w:val="0"/>
              <w:ind w:firstLine="720"/>
              <w:jc w:val="both"/>
              <w:rPr>
                <w:sz w:val="28"/>
                <w:szCs w:val="28"/>
              </w:rPr>
              <w:suppressLineNumbers w:val="0"/>
            </w:pPr>
            <w:r>
              <w:rPr>
                <w:sz w:val="28"/>
                <w:szCs w:val="28"/>
              </w:rPr>
              <w:t xml:space="preserve">Управляющая зона должна содержать общесистемные служебные серверы, обеспечивающие: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1232"/>
              <w:contextualSpacing w:val="0"/>
              <w:ind w:firstLine="720"/>
              <w:jc w:val="both"/>
              <w:rPr>
                <w:sz w:val="28"/>
                <w:szCs w:val="28"/>
              </w:rPr>
              <w:suppressLineNumbers w:val="0"/>
            </w:pPr>
            <w:r>
              <w:rPr>
                <w:sz w:val="28"/>
                <w:szCs w:val="28"/>
              </w:rPr>
              <w:t xml:space="preserve">управление серверами на инфраструктурном уровне;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1232"/>
              <w:contextualSpacing w:val="0"/>
              <w:ind w:firstLine="720"/>
              <w:jc w:val="both"/>
              <w:rPr>
                <w:sz w:val="28"/>
                <w:szCs w:val="28"/>
              </w:rPr>
              <w:suppressLineNumbers w:val="0"/>
            </w:pPr>
            <w:r>
              <w:rPr>
                <w:sz w:val="28"/>
                <w:szCs w:val="28"/>
              </w:rPr>
              <w:t xml:space="preserve">управление учетными записями;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1232"/>
              <w:contextualSpacing w:val="0"/>
              <w:ind w:firstLine="720"/>
              <w:jc w:val="both"/>
              <w:rPr>
                <w:sz w:val="28"/>
                <w:szCs w:val="28"/>
              </w:rPr>
              <w:suppressLineNumbers w:val="0"/>
            </w:pPr>
            <w:r>
              <w:rPr>
                <w:sz w:val="28"/>
                <w:szCs w:val="28"/>
              </w:rPr>
              <w:t xml:space="preserve">резервное копирование;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1232"/>
              <w:contextualSpacing w:val="0"/>
              <w:ind w:firstLine="720"/>
              <w:jc w:val="both"/>
              <w:rPr>
                <w:sz w:val="28"/>
                <w:szCs w:val="28"/>
              </w:rPr>
              <w:suppressLineNumbers w:val="0"/>
            </w:pPr>
            <w:r>
              <w:rPr>
                <w:sz w:val="28"/>
                <w:szCs w:val="28"/>
              </w:rPr>
              <w:t xml:space="preserve">доступ к серверам;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1232"/>
              <w:contextualSpacing w:val="0"/>
              <w:ind w:firstLine="720"/>
              <w:jc w:val="both"/>
              <w:rPr>
                <w:sz w:val="28"/>
                <w:szCs w:val="28"/>
              </w:rPr>
              <w:suppressLineNumbers w:val="0"/>
            </w:pPr>
            <w:r>
              <w:rPr>
                <w:sz w:val="28"/>
                <w:szCs w:val="28"/>
              </w:rPr>
              <w:t xml:space="preserve">взаимодействие серверов площадки с внешними серверами по отношению к площадке.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1232"/>
              <w:contextualSpacing w:val="0"/>
              <w:ind w:firstLine="720"/>
              <w:jc w:val="both"/>
              <w:rPr>
                <w:sz w:val="28"/>
                <w:szCs w:val="28"/>
              </w:rPr>
              <w:suppressLineNumbers w:val="0"/>
            </w:pPr>
            <w:r>
              <w:rPr>
                <w:sz w:val="28"/>
                <w:szCs w:val="28"/>
              </w:rPr>
              <w:t xml:space="preserve">Зона маршрутизации должна содержать: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1232"/>
              <w:contextualSpacing w:val="0"/>
              <w:ind w:firstLine="720"/>
              <w:jc w:val="both"/>
              <w:rPr>
                <w:sz w:val="28"/>
                <w:szCs w:val="28"/>
              </w:rPr>
              <w:suppressLineNumbers w:val="0"/>
            </w:pPr>
            <w:r>
              <w:rPr>
                <w:sz w:val="28"/>
                <w:szCs w:val="28"/>
              </w:rPr>
              <w:t xml:space="preserve">серверы, предназначенные для маршрутизации сетевого трафика между внешней средой и внутренними серверами этой среды. Данная зона использует открытое программное обеспечение веб-сервер Nginx в качестве обратного прокси.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1232"/>
              <w:contextualSpacing w:val="0"/>
              <w:ind w:firstLine="720"/>
              <w:jc w:val="both"/>
              <w:rPr>
                <w:sz w:val="28"/>
                <w:szCs w:val="28"/>
              </w:rPr>
              <w:suppressLineNumbers w:val="0"/>
            </w:pPr>
            <w:r>
              <w:rPr>
                <w:sz w:val="28"/>
                <w:szCs w:val="28"/>
              </w:rPr>
              <w:t xml:space="preserve">Прикладная зона должна содержать: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1232"/>
              <w:contextualSpacing w:val="0"/>
              <w:ind w:firstLine="720"/>
              <w:jc w:val="both"/>
              <w:rPr>
                <w:sz w:val="28"/>
                <w:szCs w:val="28"/>
              </w:rPr>
              <w:suppressLineNumbers w:val="0"/>
            </w:pPr>
            <w:r>
              <w:rPr>
                <w:sz w:val="28"/>
                <w:szCs w:val="28"/>
              </w:rPr>
              <w:t xml:space="preserve">серверы, логически объединённые в вычислительные узлы, обеспечивающие функционирование ППО с возможностью горизонтального масштабирования.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1232"/>
              <w:contextualSpacing w:val="0"/>
              <w:ind w:firstLine="720"/>
              <w:jc w:val="both"/>
              <w:rPr>
                <w:sz w:val="28"/>
                <w:szCs w:val="28"/>
              </w:rPr>
              <w:suppressLineNumbers w:val="0"/>
            </w:pPr>
            <w:r>
              <w:rPr>
                <w:sz w:val="28"/>
                <w:szCs w:val="28"/>
              </w:rPr>
              <w:t xml:space="preserve">Зона функционального тестирования новых релизов платформы и прикладных сервисов должна содержать: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1232"/>
              <w:contextualSpacing w:val="0"/>
              <w:ind w:firstLine="720"/>
              <w:jc w:val="both"/>
              <w:rPr>
                <w:sz w:val="28"/>
                <w:szCs w:val="28"/>
              </w:rPr>
              <w:suppressLineNumbers w:val="0"/>
            </w:pPr>
            <w:r>
              <w:rPr>
                <w:sz w:val="28"/>
                <w:szCs w:val="28"/>
              </w:rPr>
              <w:t xml:space="preserve">вычислительные узлы, аналогичные прикладной зоне промышленного ландшафта и предназначенные для организации функционального тестирования обновлений ППО и анализа проблем данных в базах данных с прикладной зоны.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1232"/>
              <w:contextualSpacing w:val="0"/>
              <w:ind w:firstLine="720"/>
              <w:jc w:val="both"/>
              <w:rPr>
                <w:sz w:val="28"/>
                <w:szCs w:val="28"/>
              </w:rPr>
              <w:suppressLineNumbers w:val="0"/>
            </w:pPr>
            <w:r>
              <w:rPr>
                <w:sz w:val="28"/>
                <w:szCs w:val="28"/>
              </w:rPr>
              <w:t xml:space="preserve">Горизонтальное масштабирование Системы должно организовываться за счет наращивания количества ВУ.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1232"/>
              <w:contextualSpacing w:val="0"/>
              <w:ind w:firstLine="720"/>
              <w:jc w:val="both"/>
              <w:rPr>
                <w:sz w:val="28"/>
                <w:szCs w:val="28"/>
              </w:rPr>
              <w:suppressLineNumbers w:val="0"/>
            </w:pPr>
            <w:r>
              <w:rPr>
                <w:sz w:val="28"/>
                <w:szCs w:val="28"/>
              </w:rPr>
              <w:t xml:space="preserve">Критерий масштабируемости - один прикладной вычислительный узел должен быть предназначен для работы 450 (четырехсот пятидесяти) пользователей.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1232"/>
              <w:contextualSpacing w:val="0"/>
              <w:ind w:firstLine="720"/>
              <w:jc w:val="both"/>
              <w:rPr>
                <w:sz w:val="28"/>
                <w:szCs w:val="28"/>
                <w:highlight w:val="none"/>
              </w:rPr>
              <w:suppressLineNumbers w:val="0"/>
            </w:pPr>
            <w:r>
              <w:rPr>
                <w:sz w:val="28"/>
                <w:szCs w:val="28"/>
              </w:rPr>
              <w:t xml:space="preserve">При необходимости объединения информационных баз нескольких Учреждений на одном вычислительном узле необходимо руководствоваться следующим принципом: на ВУ объединяются информационные базы Учреждений, суммарно обеспечивающие работу до 450 пользователей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pStyle w:val="1232"/>
              <w:contextualSpacing w:val="0"/>
              <w:ind w:firstLine="720"/>
              <w:jc w:val="both"/>
              <w:rPr>
                <w:sz w:val="28"/>
                <w:szCs w:val="28"/>
              </w:rPr>
              <w:suppressLineNumbers w:val="0"/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1232"/>
              <w:contextualSpacing w:val="0"/>
              <w:ind w:firstLine="0"/>
              <w:jc w:val="center"/>
              <w:rPr>
                <w:sz w:val="28"/>
                <w:szCs w:val="28"/>
              </w:rPr>
              <w:suppressLineNumbers w:val="0"/>
            </w:pPr>
            <w:r>
              <w:rPr>
                <w:sz w:val="28"/>
                <w:szCs w:val="28"/>
              </w:rPr>
              <w:t xml:space="preserve">Режимы функционирования Системы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1232"/>
              <w:contextualSpacing w:val="0"/>
              <w:ind w:firstLine="720"/>
              <w:jc w:val="both"/>
              <w:rPr>
                <w:sz w:val="28"/>
                <w:szCs w:val="28"/>
              </w:rPr>
              <w:suppressLineNumbers w:val="0"/>
            </w:pP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1232"/>
              <w:contextualSpacing w:val="0"/>
              <w:ind w:firstLine="720"/>
              <w:jc w:val="both"/>
              <w:rPr>
                <w:sz w:val="28"/>
                <w:szCs w:val="28"/>
                <w:highlight w:val="none"/>
              </w:rPr>
              <w:suppressLineNumbers w:val="0"/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Дальнейшее требование к режимам функционирования Системы и их смены имеет отношение к любому из ВУ Системы.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pStyle w:val="1232"/>
              <w:contextualSpacing w:val="0"/>
              <w:ind w:firstLine="720"/>
              <w:jc w:val="both"/>
              <w:rPr>
                <w:sz w:val="28"/>
                <w:szCs w:val="28"/>
              </w:rPr>
              <w:suppressLineNumbers w:val="0"/>
            </w:pPr>
            <w:r>
              <w:rPr>
                <w:sz w:val="28"/>
                <w:szCs w:val="28"/>
              </w:rPr>
              <w:t xml:space="preserve">Основным режимом функционирования Системы должен являться штатный режим. Дополнительным режимом функционирования Системы может являться режим технического обслуживания.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1232"/>
              <w:contextualSpacing w:val="0"/>
              <w:ind w:firstLine="720"/>
              <w:jc w:val="both"/>
              <w:rPr>
                <w:sz w:val="28"/>
                <w:szCs w:val="28"/>
              </w:rPr>
              <w:suppressLineNumbers w:val="0"/>
            </w:pPr>
            <w:r>
              <w:rPr>
                <w:sz w:val="28"/>
                <w:szCs w:val="28"/>
              </w:rPr>
              <w:t xml:space="preserve">По согласованию с Заказчиком в течение периода внедрения Системы период времени функционирования ВУ Системы в штатном режиме </w:t>
            </w:r>
            <w:r>
              <w:rPr>
                <w:sz w:val="28"/>
                <w:szCs w:val="28"/>
              </w:rPr>
              <w:t xml:space="preserve">может быть изменен</w:t>
            </w:r>
            <w:r>
              <w:rPr>
                <w:sz w:val="28"/>
                <w:szCs w:val="28"/>
              </w:rPr>
              <w:t xml:space="preserve">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1232"/>
              <w:contextualSpacing w:val="0"/>
              <w:ind w:firstLine="720"/>
              <w:jc w:val="both"/>
              <w:rPr>
                <w:sz w:val="28"/>
                <w:szCs w:val="28"/>
              </w:rPr>
              <w:suppressLineNumbers w:val="0"/>
            </w:pPr>
            <w:r>
              <w:rPr>
                <w:sz w:val="28"/>
                <w:szCs w:val="28"/>
              </w:rPr>
              <w:t xml:space="preserve">Штатный режим функционирования должен характеризоваться доступностью ВУ Системы в соответствии с эксплуатационными характеристиками функций Системы.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1232"/>
              <w:contextualSpacing w:val="0"/>
              <w:ind w:firstLine="720"/>
              <w:jc w:val="both"/>
              <w:rPr>
                <w:sz w:val="28"/>
                <w:szCs w:val="28"/>
              </w:rPr>
              <w:suppressLineNumbers w:val="0"/>
            </w:pPr>
            <w:r>
              <w:rPr>
                <w:sz w:val="28"/>
                <w:szCs w:val="28"/>
              </w:rPr>
              <w:t xml:space="preserve">Режим технического обслуживания должен быть предусмот</w:t>
            </w:r>
            <w:r>
              <w:rPr>
                <w:sz w:val="28"/>
                <w:szCs w:val="28"/>
              </w:rPr>
              <w:t xml:space="preserve">рен для проведения запланированных работ по обслуживанию программных и аппаратных средств Системы, и может сопровождаться частичной или полной недоступностью функциональных возможностей Системы, в том числе при изменении конфигурации, параметров работы, </w:t>
            </w:r>
            <w:r>
              <w:rPr>
                <w:sz w:val="28"/>
                <w:szCs w:val="28"/>
              </w:rPr>
              <w:t xml:space="preserve">настроек, выполнения регламентного обслуживания программно-технических средств. Также, в режиме технического обслуживания должны выполняться функции, связанные с реконфигурацией, конвертированием и архивированием баз данных.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425"/>
        </w:trPr>
        <w:tc>
          <w:tcPr>
            <w:tcW w:w="1000" w:type="dxa"/>
            <w:textDirection w:val="lrTb"/>
            <w:noWrap w:val="false"/>
          </w:tcPr>
          <w:p>
            <w:pPr>
              <w:pStyle w:val="757"/>
              <w:numPr>
                <w:ilvl w:val="0"/>
                <w:numId w:val="9"/>
              </w:numPr>
              <w:contextualSpacing w:val="0"/>
              <w:ind w:left="0" w:firstLine="0"/>
              <w:jc w:val="center"/>
            </w:pPr>
            <w:r/>
            <w:r/>
          </w:p>
        </w:tc>
        <w:tc>
          <w:tcPr>
            <w:shd w:val="clear" w:color="ffffff" w:fill="ffffff"/>
            <w:tcW w:w="2401" w:type="dxa"/>
            <w:textDirection w:val="lrTb"/>
            <w:noWrap w:val="false"/>
          </w:tcPr>
          <w:p>
            <w:pPr>
              <w:ind w:firstLine="0"/>
              <w:jc w:val="left"/>
              <w:spacing w:line="240" w:lineRule="auto"/>
              <w:rPr>
                <w:sz w:val="24"/>
                <w:szCs w:val="24"/>
              </w:rPr>
            </w:pPr>
            <w:r>
              <w:t xml:space="preserve">Требования к установке и настройке Системы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firstLine="0"/>
              <w:jc w:val="left"/>
              <w:spacing w:line="240" w:lineRule="auto"/>
            </w:pPr>
            <w:r/>
            <w:r/>
          </w:p>
        </w:tc>
        <w:tc>
          <w:tcPr>
            <w:tcW w:w="11099" w:type="dxa"/>
            <w:textDirection w:val="lrTb"/>
            <w:noWrap w:val="false"/>
          </w:tcPr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В рамках выполнения работ по установке и настройке Системы Подрядчик должен провести: 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установку ПО и комплексную настройку Системы и её час</w:t>
            </w:r>
            <w:r>
              <w:t xml:space="preserve">тей на оборудовании ЦОД, предоставленном Заказчиком;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при необходимости осуществление адаптации ПО в целях обеспечения  функционирования на конкретных технических средствах либо для совместимости с другим ПО Заказчика и установку (инсталляцию) обновлений ПО;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настройку Системы в соответствии с требованиями, установленными в ООЗ, в том числе подготовку, загрузку и настройку справочников, классификаторов, конфигурационных файлов</w:t>
            </w:r>
            <w:r>
              <w:t xml:space="preserve">.</w:t>
            </w:r>
            <w:r/>
          </w:p>
        </w:tc>
      </w:tr>
      <w:tr>
        <w:tblPrEx/>
        <w:trPr>
          <w:trHeight w:val="765"/>
        </w:trPr>
        <w:tc>
          <w:tcPr>
            <w:tcW w:w="1000" w:type="dxa"/>
            <w:textDirection w:val="lrTb"/>
            <w:noWrap w:val="false"/>
          </w:tcPr>
          <w:p>
            <w:pPr>
              <w:ind w:firstLine="0"/>
              <w:jc w:val="center"/>
            </w:pPr>
            <w:r>
              <w:t xml:space="preserve">7.1.</w:t>
            </w:r>
            <w:r/>
          </w:p>
        </w:tc>
        <w:tc>
          <w:tcPr>
            <w:shd w:val="clear" w:color="ffffff" w:fill="ffffff"/>
            <w:tcW w:w="2401" w:type="dxa"/>
            <w:textDirection w:val="lrTb"/>
            <w:noWrap w:val="false"/>
          </w:tcPr>
          <w:p>
            <w:pPr>
              <w:ind w:firstLine="0"/>
              <w:jc w:val="left"/>
              <w:spacing w:line="240" w:lineRule="auto"/>
            </w:pPr>
            <w:r>
              <w:t xml:space="preserve">Требования к установке и настройке подсистемы «Администрирование»</w:t>
            </w:r>
            <w:r/>
          </w:p>
        </w:tc>
        <w:tc>
          <w:tcPr>
            <w:tcW w:w="11099" w:type="dxa"/>
            <w:textDirection w:val="lrTb"/>
            <w:noWrap w:val="false"/>
          </w:tcPr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Подсистема «Администрирование» должна обеспечивать проведение общих настроек Системы в целом.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Подсистема должна позволять решать следующие задачи: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регистрация пользователей Системы;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общесистемный мониторинг событий, проведенных в Системе;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обеспечение отслеживания изменений при переходе на новую версию ППО в части содержания объектов базы данных; 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rPr>
                <w14:ligatures w14:val="none"/>
              </w:rPr>
              <w:suppressLineNumbers w:val="0"/>
            </w:pPr>
            <w:r>
              <w:t xml:space="preserve">проведение импорта и экспорта данных в рамках типовых процедур коробочных конфигураций, а также проведение синхронизации информации между конфигурациями в рамках типовых методов и процедур в ЦОДе</w:t>
            </w:r>
            <w:r>
              <w:t xml:space="preserve">.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В рамках настройки реализации функций подсистемы «Администрирование» должны выполняться следующие действия: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настройка Системы: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настройка общих параметров;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регистрация шаблонов типовых отчетов;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разграничение прав пользователей Системы: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регистрация пользователей;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регистрация ролей;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установка допуска к приложениям;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разрешение доступа к данным Учреждений;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назначение прав доступа к разделам, каталогам и записям;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назначение ролей пользователям;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обслуживание базы данных: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создание/обновление БД;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установка доступа к списку сессий;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обслуживание таблиц и бизнес-процессов: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оптимизация скорости работы;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статистика;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очистка временных таблиц;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отслеживание событий;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журнал регистрации начала/завершения сеанса;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обслуживание объектов базы данных.</w:t>
            </w:r>
            <w:r/>
          </w:p>
        </w:tc>
      </w:tr>
      <w:tr>
        <w:tblPrEx/>
        <w:trPr>
          <w:trHeight w:val="765"/>
        </w:trPr>
        <w:tc>
          <w:tcPr>
            <w:tcW w:w="1000" w:type="dxa"/>
            <w:textDirection w:val="lrTb"/>
            <w:noWrap w:val="false"/>
          </w:tcPr>
          <w:p>
            <w:pPr>
              <w:ind w:firstLine="0"/>
              <w:jc w:val="center"/>
            </w:pPr>
            <w:r>
              <w:t xml:space="preserve">7.2.</w:t>
            </w:r>
            <w:r/>
          </w:p>
        </w:tc>
        <w:tc>
          <w:tcPr>
            <w:shd w:val="clear" w:color="ffffff" w:fill="ffffff"/>
            <w:tcW w:w="2401" w:type="dxa"/>
            <w:textDirection w:val="lrTb"/>
            <w:noWrap w:val="false"/>
          </w:tcPr>
          <w:p>
            <w:pPr>
              <w:ind w:firstLine="0"/>
              <w:jc w:val="left"/>
              <w:spacing w:line="240" w:lineRule="auto"/>
            </w:pPr>
            <w:r>
              <w:t xml:space="preserve">Требования к установке и настройке подсистемы «Бухгалтерский учет» </w:t>
            </w:r>
            <w:r/>
          </w:p>
        </w:tc>
        <w:tc>
          <w:tcPr>
            <w:tcW w:w="11099" w:type="dxa"/>
            <w:textDirection w:val="lrTb"/>
            <w:noWrap w:val="false"/>
          </w:tcPr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Подсистема </w:t>
            </w:r>
            <w:bookmarkStart w:id="0" w:name="undefined"/>
            <w:r>
              <w:t xml:space="preserve">«Бухгалтерский учет» </w:t>
            </w:r>
            <w:bookmarkEnd w:id="0"/>
            <w:r>
              <w:t xml:space="preserve">должна поддерживать единый методически выверенный взаимосвязанный технологический процесс ведения бухгалтерского учета, который должен предусматривать учет всех необходимых первичных документов и регистров учета. 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Общие требования к автоматизации учета в подсистеме: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ввод и хранение информации в объеме, необходимом для оформления первичных учетных документов и формирования регистров бухгалтерского учета; 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ведение учета хозяйственных операций в хронологическом порядке с отражением на синтетических счетах и счетах аналитического учета Рабочего плана счетов бухгалтерского учета; 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регистрация входящих первичных учетных документов; 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оформление исходящих первичных учетных документов (формирование в бумажном и/или электронном виде);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хранение сформированных первичных документов в электронном виде в информационной базе; 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формирование регистров учета по учетным данным с получением твердых копий на бумажном носителе на типовых бланках, унифицированных формах;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формирование регистров учета, стандартных и специализированных отчетов с различной группировкой и иерархией представления данных; 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формирование регламентированной бухгалтерской, налоговой и статистической отчетности; 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формирование по учетным данным регламентированных </w:t>
            </w:r>
            <w:r>
              <w:rPr>
                <w:color w:val="000000" w:themeColor="text1"/>
              </w:rPr>
              <w:t xml:space="preserve">бухгалтерских </w:t>
            </w:r>
            <w:r>
              <w:t xml:space="preserve">отчетов, отражающих факт</w:t>
            </w:r>
            <w:r>
              <w:t xml:space="preserve">ы хозяйственной жизни Учреждений, необходимых для принятия оперативных управленческих решений, а также для использования в расчетах и сверках с поставщиками, покупателями, налоговыми, финансовыми и банковскими органами и иными заинтересованными субъектами;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электронный обмен данными в форматах Федерального казначейства, УФЭБС, настраиваемый механизм обмена информацией с казначейскими системами; 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электронный документооборот с ФНС России, ФПСС РФ и Росстатом РФ посредством подключения к соответствующим сервисам данных органов через операторов электронного документооборота;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обмен данными с системой учета заработной платы, в части отражения начислений, удержаний, налогов и взносов в бюджетном (бухгалтерском) учете.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Подсистемой должен быть обеспечен автоматизированный бухгалтерский учет по следующим разделам: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учет планирования и санкционирования;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учет денежных средств;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учет материальных запасов;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учет ОС, НМА и НПА;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услуги, работы и производство;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налоговый учет;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учет и отчетность;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централизованное материально-техническое снабжение;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учет ГСМ;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учет финансовых активов и обязательств;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ведение учета на забалансовых счетах.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Учет планирования и санкционирования. Должен предусматривать учет: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лимитов бюджетных обязательств;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бюджетных ассигнований;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сметных (плановых, прогнозных) назначений;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принимаемых обязательств;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принятых бюджетных обязательств;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принятых денежных обязательств;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отложенных обязательств.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Учет должен предусматривать возможность отражения следующих операций: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регистрация и учет полученных бюджетных ассигнований, лимитов бюджетных обязательств с возможностью формирования Расходных расписаний </w:t>
            </w:r>
            <w:r>
              <w:br/>
              <w:t xml:space="preserve">ф. 0531722 бюджетополучателем для представления в Федеральное казначейство;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отражение в учете сумм бюджетных данных, доведенных до распорядителя бюджетных средств, подлежащих дальнейшему распределению по подведомственным учреждениям обя</w:t>
            </w:r>
            <w:r>
              <w:t xml:space="preserve">зательств с возможностью формирования Расходных расписаний ф. 0531722 для передачи в органы казначейства и формирования бухгалтерских записей по распределению бюджетных данных подведомственным получателям бюджетных средств, в том числе себе как получателю;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регистрация и учет сметных назначений;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регистрация и учет показателей плана фина</w:t>
            </w:r>
            <w:r>
              <w:t xml:space="preserve">нсово-хозяйственной деятельности с возможностью формирования отчета «План финансово-хозяйственной деятельности» по форме, приведенной в приложении к Порядку составления и утверждения плана финансово-хозяйственной деятельности государственных учреждений в с</w:t>
            </w:r>
            <w:r>
              <w:t xml:space="preserve">оответствии с Требованиями, утвержденными Приказом Минфина России от 31.08.2018 № 186н «Требования к составлению и утверждению плана финансово – хозяйственной деятельности государственного (муниципального) учреждения» (с дополнениями и изменениями);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формирование планов доходов и расходов;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мониторинг выполнения договорных обязательств;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регистрация и учет операции по принимаемым обязательствам;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регистрация и учет принятых обязательств, в том числе автоматический ввод денежных обязательств в соответствии с заданными настройками автоматического ввода денежных обязательств из документов приобретения НФА и услуг;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при регистрации и учете операций раздела санкционирование расходов должно быть обеспечено наличие основных контролей: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контроль при</w:t>
            </w:r>
            <w:r>
              <w:t xml:space="preserve">нятия обязательств в пределах лимитов бюджетных обязательств, сметных (плановых) назначений, доведенных (утвержденных) по кодам классификации расходов соответствующего бюджета (ведомственной классификации), и с учетом принятых и неисполненных обязательств;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контроль не превышения кассовых расходов над доведенными лимитами бюджетных обязательств (ассигнованиями) и при необходимости предельными объемами финансирования расходов;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контроль не превышения кассовых выплат по источникам финансирования дефицита бюджета над доведенными бюджетными ассигнованиями; 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контроль не превышения кассовых расходов над утвержденными сметными (плановыми) назначениями.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Учет денежных средств. Должен предусматриваться учет: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операций, связанных с движением денежных средств учреждения на лицевых и расчетных счетах;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кассовых операций, отражающих наличие и движение денежных документов, наличных денежных средств в кассе; 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финансовых вложений: депозитов, акций, облигаций, иных финансовых активов; 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операций по доходам; 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операций в части расчетов по выданным авансам: с поставщиками и подрядчиками в разрезе контрагентов и оснований расчетов; 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операций в части расчетов по кредитам, займам (ссудам); 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операций по расчетам с подотчетными лицами;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операций в части расчетов по ущербу имуществу; 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операций по прочим расчетам с дебиторами; 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операций отражающие вложения в финансовые активы.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Учет материальных запасов. Учет материальных запасов должен предусматривать учет: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операций, связанных с поступлением, перемещением и выбытием товарных и материальных запасов; 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операций, предусматривающих вещевое обеспечение; 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складских операций; 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операций, связанных с поступлением, перемещением и списанием продуктов питания; 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расходов на автотранспорт; 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операций, связанных с вложением в материальные запасы; 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операций, отражающих материальные запасы в пути; 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операций, отражающих централизованное материально-техническое снабжение.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Учет материальных запасо</w:t>
            </w:r>
            <w:r>
              <w:t xml:space="preserve">в должен предусматривать ведение аналитического учета (анализ и контроль состояния) материальных запасов в разрезе номенклатуры, материально-ответственных лиц и мест хранения и расчет объема вложений в материальные запасы при их приобретении, изготовлении.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Учет ОС, НМА и НПА. Учет должен предусматривать отражение: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операций, связанных с поступлением, перемещением и выбытием основных средств, нематериальных активов, непроизведенных активов; 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операций, отражающих начисление амортизации ОС, НМА и НПА; 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операций, отражающих вложения в ОС, НМА и НПА; 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операций, отражающих ОС, НМА и НПА в пути; 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операций, отражающих централизованное материально-техническое снабжение.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Учет должен предусматривать возможность: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ведения аналитического учета в разрезе номенклатуры, материально-ответственных лиц и мест хранения; индивидуальный и групповой учет инвентарных объектов; 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расчета объема вложений (инвестиций) в ОС, НМА и НПА при их приобретении, строительстве (создании);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изготовления и модернизации (реконструкция, достройка, дооборудование) в разрезе каждого объекта;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расчета амортизации с учетом их стоимости, назначения и использования; 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расчета сумм по переоценке стоимости объектов имущества и капитальных вложений в ОС, НМА и НПА в соответствии с действующим законодательством; 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анализа и контроля состояния каждого объекта основных средств, нематериальных активов, непроизведенных активов, имущества казны в разрезе номенклатуры, мест хранения, материально ответственных лиц; 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учета начисленной амортизации. 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Услуги, работы и производство. Должен предусматриваться учет: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операций по расчетам с кредиторами по долговым обязательствам; 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операций по расчетам с поставщиками и подрядчиками; 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операций в части расчетов по платежам в бюджеты; 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операций в части расчетов по средствам, полученным во временное распоряжение; 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операций по внутриведомственным расчетам; 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операций по расчетам с прочими кредиторами;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операций, связанных с отражением затрат на производство;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операций, отражающих реализацию.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Учет должен предусматривать ведение аналитического учета (анализ и контроль состояния) обязательств в разрезе контрагентов, документов – оснований расчетов, видов налогов и платежей.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Налоговый учет. Учет должен предусматривать учет операций в части: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налога на прибыль (ведение налогового учета в соответствии с гл. 25 НК РФ); 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налога на имущество (налогообложения имущества, учитываемого на балансе);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транспортного налога; 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НДС (ведение книг покупок и продаж, ведение счетов-фактур); 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земельного налога; 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амортизируемого имущества.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формирование по учетным данным регламентированной налоговой отчетности. 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Учет и отчетность. Учет должен предусматривать: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настройку плана счетов учреждения;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учет отдельных операций отражающие финансовый результат учреждения (закрытие финансового периода: месяц, квартал, год);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учет операций, предусматривающих движение на забалансовых счетах; 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формирование документов по инвентаризации расчетов, нефинансовых активов; 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отражение в учете начислений в части заработной платы, страховых взносов и налогов;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отражение в учете расходов будущих периодов;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формирование по учетным данным регламентированной бюджетной (бухгалтерской) и статистической отчетности.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Централизо</w:t>
            </w:r>
            <w:r>
              <w:t xml:space="preserve">ванное материально-техническое снабжение. Подсистема должна позволять формировать печатную форму «Исходящего извещения» (ф. по ОКУД 0504805) для отражения операций по передаче НФА с собственного склада и со склада поставщика при централизованном снабжении.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Учет ГСМ. Подсистема должна позволять формировать следующие печатные формы: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путевой лист автобуса (типовая межотраслевая форма №6) (ф. по ОКУД 0345006);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путевой лист легкового автомобиля (типовая межотраслевая форма № 3) (ф. по ОКУД 0345001);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путевой лист грузового автомобиля (типовая межотраслевая форма №4-П) (ф. по ОКУД 0345005).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t xml:space="preserve">Учет образовательных услуг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t xml:space="preserve">При выполнении соответствующих настроек параметров учета возможен доступ к специализированным подсистемам.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t xml:space="preserve">Подсистема может</w:t>
            </w:r>
            <w:r>
              <w:t xml:space="preserve"> позволять вести учет расчетов по образовательным услугам: ведение списка учащихся, хранения информации о порядке и ставках оплаты за образовательные услуги, автоматическое формирование начислений, получение информации о состоянии расчетов с плательщиками.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t xml:space="preserve">Учет расчетов с родите</w:t>
            </w:r>
            <w:r>
              <w:t xml:space="preserve">лями за содержание детей в ДДУ: ведение списка детей, хранение информации о порядке и ставках оплаты, автоматическое формирование начислений, расчет компенсации родительской платы, получение информации о состоянии расчетов с родителями, учет посещаемости. 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t xml:space="preserve">Решение о проведении инвентаризации (ф. </w:t>
            </w:r>
            <w:hyperlink r:id="rId11" w:tooltip="https://its.1c.ru/db/garant/content/400666923/hdoc/2006" w:history="1">
              <w:r>
                <w:rPr>
                  <w:rStyle w:val="899"/>
                  <w:color w:val="auto"/>
                  <w:u w:val="none"/>
                </w:rPr>
                <w:t xml:space="preserve">0510439</w:t>
              </w:r>
            </w:hyperlink>
            <w:r>
              <w:t xml:space="preserve">);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t xml:space="preserve">Изменение Решения о проведении инвентаризации (ф. </w:t>
            </w:r>
            <w:hyperlink r:id="rId12" w:tooltip="https://its.1c.ru/db/garant/content/400666923/hdoc/2017" w:history="1">
              <w:r>
                <w:rPr>
                  <w:rStyle w:val="899"/>
                  <w:color w:val="auto"/>
                  <w:u w:val="none"/>
                </w:rPr>
                <w:t xml:space="preserve">0510447</w:t>
              </w:r>
            </w:hyperlink>
            <w:r>
              <w:t xml:space="preserve">);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t xml:space="preserve">Инвентаризационная опись (сличительная ведомость) по объектам нефинансовых активов (ф. </w:t>
            </w:r>
            <w:hyperlink r:id="rId13" w:tooltip="https://its.1c.ru/db/garant/content/400666923/hdoc/2020" w:history="1">
              <w:r>
                <w:rPr>
                  <w:rStyle w:val="899"/>
                  <w:color w:val="auto"/>
                  <w:u w:val="none"/>
                </w:rPr>
                <w:t xml:space="preserve">0510466</w:t>
              </w:r>
            </w:hyperlink>
            <w:r>
              <w:t xml:space="preserve">);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t xml:space="preserve">Акт о результатах инвентаризации (ф. </w:t>
            </w:r>
            <w:hyperlink r:id="rId14" w:tooltip="https://its.1c.ru/db/garant/content/405831009/hdoc/60000" w:history="1">
              <w:r>
                <w:rPr>
                  <w:rStyle w:val="899"/>
                  <w:color w:val="auto"/>
                  <w:u w:val="none"/>
                </w:rPr>
                <w:t xml:space="preserve">0510463</w:t>
              </w:r>
            </w:hyperlink>
            <w:r>
              <w:t xml:space="preserve">) (в ред. Приказа Минфина России </w:t>
            </w:r>
            <w:hyperlink r:id="rId15" w:tooltip="https://its.1c.ru/db/garant/content/480907712/hdoc" w:history="1">
              <w:r>
                <w:rPr>
                  <w:rStyle w:val="899"/>
                  <w:color w:val="auto"/>
                  <w:u w:val="none"/>
                </w:rPr>
                <w:t xml:space="preserve">от 30.09.2024 № 144н</w:t>
              </w:r>
            </w:hyperlink>
            <w:r>
              <w:t xml:space="preserve">).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t xml:space="preserve">Учет финансовых активов и обязательств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t xml:space="preserve">В Подсистеме должно быть предусмотрено формирование следующих документов: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t xml:space="preserve">Инвентаризационная опись расчетов с покупателями, поставщиками и прочими дебиторами и кредиторами (ф. по ОКУД 0510469),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t xml:space="preserve">Инвентаризационная опись остатков на счетах учета денежных средств (форма по ОКУД 0504082);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t xml:space="preserve">Инвентаризационная опись (сличительная ведомость) бланков строгой отчетности и денежных документов (форма по ОКУД 0504086);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t xml:space="preserve">Инвентаризационная опись наличных денежных средств (форма по ОКУД 0504088);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t xml:space="preserve">Инвентаризационная опись расчетов по поступлениям (форма по ОКУД 0510468);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журнал операций (ф. по ОКУД 050471);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бухгалтерская справка (ф. по ОКУД 0504833).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Подсистема будет обеспечивать решение следующих оперативных задач по учету финансовых активов: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учет банковских платежей (приходных и расходных), с возможностью формирования следующей печатной формы: Платежное поручение (ф. 0401060);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учет операций по кассе (приходных и расходных), с возможностью формирования следующих печатных форм: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приходный кассовый ордер (ф. по ОКУД 0310001);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расходный кассовый ордер (ф. по ОКУД 0310002);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ведомость на выдачу подотчетным лицам (ф. по ОКУД 0504501);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отчет кассира (ф. 0504514);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карточка количественно-суммового учета МЦ (ф. 0504041).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Отражение взаимодействия организации с органами казначейства, с возможностью формирования следующих печатных форм: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заявка на возврат (ф. по КФД 0531803);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заявка на кассовый расход (ф. 0531801);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заявка на кассовый расход (сокращенная) (ф. 0531851);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сводная заявка на кассовый расход (ф. 0531860);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заявка на получение наличных денег (ф. 0531802);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заявка на получение наличных (банковская карта) (ф. 0531243);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запрос на аннулирование заявки (ф. 0531807);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уведомление об уточнении вида и принадлежности платежа (ф. 0531809);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объявление на взнос наличными (ф. 0402001).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Подсистема должна содержать справочник, предназначенный для ведения списка объектов финансовых вложений, таких как акции, участие в капитале и прочих финансовых вложений, которые также являются объектами </w:t>
            </w:r>
            <w:r>
              <w:t xml:space="preserve">учета имущества. В справочнике должно храниться информация о контрагенте, виде вложений (ценные бумаги, участие в капитале, иные финансовые активы). Для вида вложений «Участие в капитале» будет указываться дата, с которой действуют сведения и доля участия.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Подсистема должна содержать электронные документы, позволяющие оформлять следующие операции, связанные с производством продукции: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оформление оприходования изготовленных материальных ценностей (ТМЦ) со счета 109.60 «Себестоимость готовой продукции, работ, услуг» на счет вида 105.хх «Материальные запасы»;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оформление оприходования продукции со счетов 106.хх на счет 105.хх продукции, изготовленной для собственного потребления.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Подсистема должна позволять оформлять расчеты по платным услугам, которые оказывает учреждение.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Подсистема должна позволять оформлять расчеты по аренде государственного (муниципального) имущества и других доходов учреждения от собственности.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Подсистема должна поддерживать расчет по выданным авансам, с возможностью автоматического зачета аванса при оформлении поступлений товаров, работ, услуг.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Подсистема должна позволять оформлять бухгалтерские операции, связанные с расчетами (предоставление, погашение задолженности) по кредитам, займам (ссудам).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Подсистема должна поддерживать аналитический учет расчетов с подотчетными лицами. В системе должно быть предусмотрено оформление печатной формы Авансового отчета (ф. по ОКУД 0504505).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Подсистема должна обеспечить решение следующих оперативных задач по учету обязательств: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должна содержать электронные документы для оформления бухгалтерских за</w:t>
            </w:r>
            <w:r>
              <w:t xml:space="preserve">писей, связанных с расчетами по долговым обязательствам учреждения, а также для оформления инвентаризации задолженности по кредитам, займам (ссудам), инвентаризации государственного долга по кредитам и гарантиям, с возможностью формирования печатных форм: 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t xml:space="preserve">Инвентаризационная опись задолженности по кредитам, займам (ссудам) (ф. по ОКУД 0510471),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t xml:space="preserve">Инвентаризационная опись состояния государственного (муниципального) долга по предоставленным гарантиям (ф. </w:t>
            </w:r>
            <w:hyperlink r:id="rId16" w:tooltip="https://its.1c.ru/db/garant/content/400666923/hdoc/2028" w:history="1">
              <w:r>
                <w:rPr>
                  <w:rStyle w:val="899"/>
                  <w:color w:val="auto"/>
                  <w:u w:val="none"/>
                </w:rPr>
                <w:t xml:space="preserve">0510474</w:t>
              </w:r>
            </w:hyperlink>
            <w:r>
              <w:t xml:space="preserve">);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t xml:space="preserve">Инвентаризационная опись состояния государственного (муниципального) долга по привлеченным кредитам (ф. </w:t>
            </w:r>
            <w:hyperlink r:id="rId17" w:tooltip="https://its.1c.ru/db/garant/content/400666923/hdoc/2027" w:history="1">
              <w:r>
                <w:rPr>
                  <w:rStyle w:val="899"/>
                  <w:color w:val="auto"/>
                  <w:u w:val="none"/>
                </w:rPr>
                <w:t xml:space="preserve">0510473</w:t>
              </w:r>
            </w:hyperlink>
            <w:r>
              <w:t xml:space="preserve">).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Подсистема должна позволять: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формировать проводки по оплате труда и отчислениям страховых взносов в государственные внебюджетные фонды и НДФЛ в разрезе источников выплат (составов затрат);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оформлять получение и возврат средств, полученных во временное распоряжение.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оформлять операции поступления НФА при централизованном снабжении, операции внутриведомственного перемещения, а также для передачи денежных средств, требований, обязательств и начисления дохода в рамках внутриведомственных расчетов.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Финансовый результат.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 Подсистема должна обеспечивать учет финансового результата экономического субъекта.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Ведение учета на забалансовых счетах. 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Подсистема должна позволять вести учет на забалансовых счетах.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В подсистеме «Бухгалтерский учет» должны быть выполнены настройки процессов обработки документов, которые обеспечивают выполнение следующих функций: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обеспечение поэтапной обработки документов в соответствии с предварительно настроенными шаблонами процессов обработки документов;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настройка системы статусов (состояний) документов при прохождении документа по соответствующему процессу обработки документов;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распределение процесса обработки документа по ответственным пользователям Системы согласно должностным обязанностям, разграничение зон ответственности пользователей Системы по соответствующим этапам обработки документов и по реквизитам документов;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использование электронной подписи при принятии решений по обработке документа, в том числе подпись наборов реквизитов в соответствующей зоне ответственности соответствующего пользователя Системы;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информирование пользователей Системы об их задачах по обработке документов;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мониторинг и контроль выполнения задач пользователями Системы; 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ручное назначение задач пользователям Системы.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Настройка процессов обработки документов в подсистеме производится по перечню процессов в соответствии с перечнем унифицированных форм электронных первичных учетных документов и электронных форм регистров бухгалтерского учета в соответствии с П</w:t>
            </w:r>
            <w:r>
              <w:t xml:space="preserve">риказами Минфина России от 15.04.2021 №61н, от 2.06.2022 №100н, 07.11.2022 157н, от 15.06.2020 №103н для всех Учреждений, осуществляющих работу в ПО.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В рамках ис</w:t>
            </w:r>
            <w:r>
              <w:t xml:space="preserve">полнения ГК Подрядчиком производится настройка процессов обработки документов с использованием комплекта шаблонов процессов обработки документов, входящих в состав поставки программного продукта 1С:ОЦО ЦБ </w:t>
            </w:r>
            <w:r>
              <w:t xml:space="preserve">для возможности обеспечения коллективного последовательного формирования и обработки документов сотрудниками учреждений и централизованных бухгалтерий, выведения в печатных формах электронных документов </w:t>
            </w:r>
            <w:r>
              <w:t xml:space="preserve">штампов электронных подписей уполномоченных на подписание таких документов </w:t>
            </w:r>
            <w:r>
              <w:t xml:space="preserve">сотрудников.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В этих целях: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Подрядчик, совместно с Заказчиком, определяет перечень процессов обработки документов бухгалтерского учета. 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Подрядчик выполняет </w:t>
            </w:r>
            <w:r>
              <w:t xml:space="preserve">раздачу</w:t>
            </w:r>
            <w:r>
              <w:t xml:space="preserve"> согласованного перечня процессов обработки документов бухгалтерского учета в информационны</w:t>
            </w:r>
            <w:r>
              <w:t xml:space="preserve">е</w:t>
            </w:r>
            <w:r>
              <w:t xml:space="preserve"> баз</w:t>
            </w:r>
            <w:r>
              <w:t xml:space="preserve">ы</w:t>
            </w:r>
            <w:r>
              <w:t xml:space="preserve"> Учреждений, осуществляющих учет в Системе.</w:t>
            </w:r>
            <w:r/>
          </w:p>
        </w:tc>
      </w:tr>
      <w:tr>
        <w:tblPrEx/>
        <w:trPr>
          <w:trHeight w:val="765"/>
        </w:trPr>
        <w:tc>
          <w:tcPr>
            <w:tcW w:w="1000" w:type="dxa"/>
            <w:textDirection w:val="lrTb"/>
            <w:noWrap w:val="false"/>
          </w:tcPr>
          <w:p>
            <w:pPr>
              <w:ind w:firstLine="0"/>
              <w:jc w:val="center"/>
            </w:pPr>
            <w:r>
              <w:t xml:space="preserve">7.3.</w:t>
            </w:r>
            <w:r/>
          </w:p>
        </w:tc>
        <w:tc>
          <w:tcPr>
            <w:shd w:val="clear" w:color="ffffff" w:fill="ffffff"/>
            <w:tcW w:w="2401" w:type="dxa"/>
            <w:textDirection w:val="lrTb"/>
            <w:noWrap w:val="false"/>
          </w:tcPr>
          <w:p>
            <w:pPr>
              <w:ind w:firstLine="0"/>
              <w:jc w:val="left"/>
              <w:spacing w:line="240" w:lineRule="auto"/>
            </w:pPr>
            <w:r>
              <w:t xml:space="preserve">Требования к установке и настройке подсистемы «Кадровый учет и расчет заработной платы» </w:t>
            </w:r>
            <w:r/>
          </w:p>
        </w:tc>
        <w:tc>
          <w:tcPr>
            <w:tcW w:w="11099" w:type="dxa"/>
            <w:textDirection w:val="lrTb"/>
            <w:noWrap w:val="false"/>
          </w:tcPr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Подсистема «Кадровый учет и расчет заработной платы» должна обеспечить ведение: кадрового учета Учреждения, взаиморасчетов с работниками, а также учет затрат на оплату труда в </w:t>
            </w:r>
            <w:r>
              <w:t xml:space="preserve">составе расходов Учреждений. 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Подсистема «Кадровый учет и расчет заработной платы» должна обеспечить следующие возможности: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Учет штатной структуры организации в разрезе подразделений, должностей и статей финансирования (КФО) внутри статьи финансирования: 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регистрация подразделений и должностей;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формирование штатного расписания;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прием штатных работников;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назначение работников на должность.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Учет сведений по всем исполняемым работником должностям , в т.ч. в разрезе КФО: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выполнение анализа штатного расписания организаций, в т.ч. в разрезе КФО;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ведения учета изменений штатного расписания организации;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наличие регламентированных печатных форм для штатного расписания;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добавление постоянных надбавок по подразделениям и должностям в штатном расписании, в т.ч. в разрезе КФО.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Хранение информации о работниках организации и физических лицах в специализированных справочниках.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Выполнение расчета заработной платы работников в целом по организации или по ее отдельным подразделениям как в одном расчете, так и в нескольких за месяц, в т.ч. в разрезе КФО.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Формирование документов на выплату заработной платы, как законодательно утвержденных, возможность формирования ведомостей на выплату по одному работнику и через банк, и через кассу, формирование реестров на выплату зарплаты и журнал реестров.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Удержание и перечисление добровольных страховых взносов на накопительную часть трудовой пенсии.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Формирование банковских и кассовых документов.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Депонирование и перечисление начисленных сумм.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Создание резерва отпусков.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Учет отсутствий работников по видам: отпуска ежегодные и без содержания, больничные;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Учет исполнительных листов и контроль за суммой исполнительного листа;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Ведение налоговых регистров;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Формирование единовременной и периодической отчетности в электронном виде для ФНС России, СФР, Росстата (ЕФС, 6-НДФЛ, П-4, РСВ).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Формирование регламентированной статистической отчетности.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Формирование кадровых документов.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Учет информации о работниках в объеме, необходимом для расчета заработной платы и формирования отчетности: 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регистрация табельных номеров;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регистрация дат приема, перевода и увольнения;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информация о детях и родственниках;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адресные данные;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информация о персональных документах;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информация об инвалидности;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информация о различных стажах работы;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информация о доходах и налогах;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информация о страховых полисах.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По исполняемым сотрудниками должностям должна быть обеспечена возможность формирования: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фактической расстановки работников в соответствии с занимаемой должностью, количеством занимаемых ставок по должности;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нормы рабочего времени и отчета о фактически отработанном времени по каждому отдельному работнику.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Для расчета и учета заработной платы в Системе должна быть автоматизирована деятельность бухгалтеров – расчетчиков заработной платы: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автоматический расчет начислений в соответствии с действующими в Учреждениях системами оплаты труда;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гибкая настройка используемых начислений и удержаний.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Подсистема расчета заработной платы должна обеспечить ведение взаиморасчетов с работниками, а также учет затрат на оплату труда в составе расходов</w:t>
            </w:r>
            <w:r>
              <w:t xml:space="preserve"> организации. Должен быть автоматизирован весь комплекс расчетов с работниками, начиная с оплаты больничных листов и отпусков, вплоть до формирования документов на выплату зарплаты и депонирование, а также отчетности в государственные надзорные органы  РФ.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В подсистеме расчета заработной платы должен быть обеспечен сквозной учет всех сумм начислений и удержаний в разрезе статей финансирования непосредственно при проведении расчетов. Д</w:t>
            </w:r>
            <w:r>
              <w:t xml:space="preserve">олжна быть предоставлена возможность настройки порядка отражения в бюджетном учете каждого начисления или удержания. Все аналитические отчеты по заработной плате (расчетные листки, ведомости, своды и др.) должны быть сформированы по статьям финансирования.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В подсистеме расчета заработной платы должна быть реализована методика расчета оплаты труда по профессиональным квалификационным уровням и группам и возможность отнесения должностей работников к профессиональным квалификационным группам с </w:t>
            </w:r>
            <w:r>
              <w:t xml:space="preserve">соответствующими окладами. Подсистема расчета заработной платы должна обладать возможностью начисления и расчета заработной платы работников с учетом профессиональных квалификационных уровней и групп.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В подсистеме расчета заработной платы должны быть реализованы следующие механизмы учета профессиональных квалифицированных уровней и групп: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гибкая настройка критериев принадлежности 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работников к профессиональным квалификационным уровням;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задание показателей оклада и коэффициента для квалификационных групп, уровней, элементов уровней и хранение истории изменения показателей;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расчет оклада работника по профессиональным квалификационным уровням. 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В целях обеспечения бесперебойной работы основные «расчетные» документы должны быть снабжены средствами автоматического заполнения и расчета.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Должна быть реализована возможность доначислен</w:t>
            </w:r>
            <w:r>
              <w:t xml:space="preserve">ия зарплаты прошлых периодов с регистрацией в текущем периоде, расчет «первой половины месяца» с учетом введенных на момент расчета данных об отклонениях и фактической выработке работников и последующая выплата заработной платы за «первую половину месяца».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Для учета использования рабочего времени в подсистеме расчета заработной платы должны обеспечиваться: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ведение общих графиков работы организации;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формирование индивидуальных графиков работы для отдельных работников;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регистрация первичных документов учета рабочего времени – табелей учета использования рабочего времени;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регистрация времени, отработанного по подразделению, без формирования кадровых документов; 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суммированный учет рабочего времени;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заполнение табеля учета использования рабочего времени.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Подсистема расчета заработной платы должна обеспечивать п</w:t>
            </w:r>
            <w:r>
              <w:t xml:space="preserve">одготовку всех необходимых унифицированных форм по учету заработной платы (в соответствии с Приказом Минфина РФ от 30.03.2015 № 52н   «Об утверждении форм  первичных учетных документов и регистров бухгалтерского учета, применяемых органами государственной </w:t>
            </w:r>
            <w:r>
              <w:t xml:space="preserve">власти (государственными органами), органами местного</w:t>
            </w:r>
            <w:r>
              <w:t xml:space="preserve"> самоуправления, органами управления государственными внебюджетными фондами, государственными (муниципальными) учреждениями, и методических указаний по их применению» и других необходимых отчетов, позволяющих получить) информацию за любой расчетный период: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расчетные листки, с возможностью рассылки расчетных листков на электронную почту работников в виде архива с персональным паролем;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аналитические расчетные ведомости, своды по начислениям и удержаниям;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расчетно-платежные ведомости (ф. 0504401);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платежные ведомости (ф. 0504403);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записка-расчет об исчислении среднего заработка при предоставлении отпуска, увольнении и других случаях (ф. 0504425);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табель учета использования рабочего времени и расчета заработной платы (ф. 0504421);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карточки-справки (ф. 0504417);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анкетные данные работников - АДВ-1, АДВ-2 и АДВ-3;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заявления о добровольном вступлении в правоотношения по обязательному пенсионному страхованию в целях уплаты дополнительных страховых взносов на накопительную часть трудовой пенсии ДСВ-1;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сведения о стаже СЗВ-К, Персонифицированные сведения о физических лицах, </w:t>
            </w:r>
            <w:r>
              <w:br/>
              <w:t xml:space="preserve">ЕФС-1.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Подсистема расчета заработной платы должна обеспечивать исчисление установленных законодательством налогов с фонда оплаты труда: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налога на доходы физических лиц; 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страховых взносов по единому тарифу;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страховых взносов на страхование от несчастных случаев и профзаболеваний;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страховых взносов на случай временной нетрудоспособности и в связи с материнством.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По результатам учета доходов, сумм исчисленных налогов и взносов формируется регламентированная отчетность: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справка о доходах физического лица формы 2-НДФЛ, реестр сведений о доходах физических лиц;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карточки индивидуального учета сумм начисленных выплат и иных вознаграждений и сумм начисленных страховых взносов;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в подсистеме должны автоматически формироваться регламентированные отчеты для представления в органы ФНС России, СФР РФ (6-НФДЛ, РСВ, ЕФС);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сведения о среднесписочной численности работников за предшествующий календарный год;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регистр налогового учета по налогу на доходы физических лиц.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Подсистема формирования регламентированной отчетности должна поддерживаться в актуальном состоянии в соответствии с законодательством РФ.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Отчетность в органы ФНС России, ФПСС РФ, Росстата РФ также должна формироваться в электронном виде.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Все комплекты регламентированной отчетности должны содержать функцию передачи данных в электронном виде в контролирующие органы РФ и субъекта. Подсистема</w:t>
            </w:r>
            <w:r>
              <w:t xml:space="preserve"> формирования регламентированной отчетности должна обеспечивать полную интеграцию с подсистемой бухгалтерского и бюджетного учета в части синхронизации данных по отражению начислений, удержаний из заработной платы и страховых взносов в бухгалтерском учете.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По</w:t>
            </w:r>
            <w:r>
              <w:t xml:space="preserve">дсистема формирования регламентированной отчетности должна обеспечивать интеграцию с подсистемой бухгалтерского и бюджетного учета в части синхронизации данных по отражению начислений, удержаний из заработной платы и страховых взносов в бухгалтерском учете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Подсистема кадрового учета и расчета заработной платы должна обеспечивать взаимодействие с системами Банк-клиент.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В подсистеме «Кадровый учет и расчет заработной платы» должны быть выполнены настройки процессов обработки документов, которые обеспечивают выполнение следующих функций: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обеспечение поэтапной обработки документов в соответствии с предварительно настроенными шаблонами процессов обработки документов;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настройка системы статусов (состояний) документов при прохождении документа по соответствующему процессу обработки документов;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распределение проце</w:t>
            </w:r>
            <w:r>
              <w:t xml:space="preserve">сса обработки документа по ответственным сотрудникам (пользователям Системы) согласно должностным обязанностям, разграничение зон ответственности сотрудников (пользователей Системы) по соответствующим этапам обработки документов и по реквизитам документов;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использование электронной подписи при принятии решений по обработке документа, в том числе подпись наборов реквизитов в соответствующей зоне ответственности соответствующего сотрудника (пользователя Системы);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информирование сотрудников (пользователей Системы) об их задачах по обработке документов;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мониторинг и контроль выполнения задач сотрудниками (пользователями ПО), «ручное» назначение задач сотрудникам (пользователям Системы).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Настройка процессов обработки документов в подсистеме производится по перечню про</w:t>
            </w:r>
            <w:r>
              <w:t xml:space="preserve">цессов в соответствии с перечнем унифицированных форм электронных первичных учетных документов и электронных форм регистров бухгалтерского учета в соответствии с Приказом Минфина России от 15.06.2020 года №103н для Учреждений, осуществляющих работу в ПО.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В рамках ис</w:t>
            </w:r>
            <w:r>
              <w:t xml:space="preserve">полнения ГК Подрядчиком производится настройка процессов обработки документов с использованием комплекта шаблонов процессов обработки документов, входящих в состав поставки программного продукта 1С:ОЦО ЦБ</w:t>
            </w:r>
            <w:r>
              <w:t xml:space="preserve"> для возможности обеспечения коллек</w:t>
            </w:r>
            <w:r>
              <w:t xml:space="preserve">тивного последовательного формирования и обработки документов сотрудниками Учреждений и централизованных бухгалтерий, выведения в печатных формах электронных документов штампов электронных подписей уполномоченных на подписание таких документов сотрудников.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В этих целях: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Подрядчик, совместно с Заказчиком, определяет перечень процессов обработки документов зарплатного и кадрового учета. 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Подрядчик выполняет </w:t>
            </w:r>
            <w:r>
              <w:t xml:space="preserve">раздачу</w:t>
            </w:r>
            <w:r>
              <w:t xml:space="preserve"> согласованного перечня процессов обработки документов зарплатного и кадрового учета в информационн</w:t>
            </w:r>
            <w:r>
              <w:t xml:space="preserve">ые</w:t>
            </w:r>
            <w:r>
              <w:t xml:space="preserve"> баз</w:t>
            </w:r>
            <w:r>
              <w:t xml:space="preserve">ы</w:t>
            </w:r>
            <w:r>
              <w:t xml:space="preserve"> Учреждений.</w:t>
            </w:r>
            <w:r/>
          </w:p>
        </w:tc>
      </w:tr>
      <w:tr>
        <w:tblPrEx/>
        <w:trPr>
          <w:trHeight w:val="765"/>
        </w:trPr>
        <w:tc>
          <w:tcPr>
            <w:tcW w:w="1000" w:type="dxa"/>
            <w:textDirection w:val="lrTb"/>
            <w:noWrap w:val="false"/>
          </w:tcPr>
          <w:p>
            <w:pPr>
              <w:ind w:firstLine="0"/>
              <w:jc w:val="center"/>
            </w:pPr>
            <w:r>
              <w:t xml:space="preserve">7.4.</w:t>
            </w:r>
            <w:r/>
          </w:p>
        </w:tc>
        <w:tc>
          <w:tcPr>
            <w:shd w:val="clear" w:color="ffffff" w:fill="ffffff"/>
            <w:tcW w:w="2401" w:type="dxa"/>
            <w:textDirection w:val="lrTb"/>
            <w:noWrap w:val="false"/>
          </w:tcPr>
          <w:p>
            <w:pPr>
              <w:ind w:firstLine="0"/>
              <w:jc w:val="left"/>
              <w:spacing w:line="240" w:lineRule="auto"/>
            </w:pPr>
            <w:r>
              <w:t xml:space="preserve">Требования к установке и настройке подсистемы регламентированной сводной отчетности</w:t>
            </w:r>
            <w:r/>
          </w:p>
        </w:tc>
        <w:tc>
          <w:tcPr>
            <w:tcW w:w="11099" w:type="dxa"/>
            <w:textDirection w:val="lrTb"/>
            <w:noWrap w:val="false"/>
          </w:tcPr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Подсистема регламентированной сводной отчетности должна отвечать следующим требованиям: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uppressLineNumbers w:val="0"/>
            </w:pPr>
            <w:r>
              <w:t xml:space="preserve">реализовывать полный технологический цикл консолидации отчетности, включая функции импорта, экспорта в электронном виде для предоставления вышестоящей организации; 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uppressLineNumbers w:val="0"/>
            </w:pPr>
            <w:r>
              <w:t xml:space="preserve">обеспечив</w:t>
            </w:r>
            <w:r>
              <w:t xml:space="preserve">ать гибкие возможности по настройке, сбору, входному контролю и пакетной обработке отчетности и поддерживает формирование индивидуальных и консолидированных отчетов с учетом как автоматических (элиминация), так и ручных корректировок исходных показателей; 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uppressLineNumbers w:val="0"/>
            </w:pPr>
            <w:r>
              <w:t xml:space="preserve">позволять определять политику обработки отчетности: формировать структуру показателей, их аналитические измерения, правила расчета и проверки значений показателей; 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uppressLineNumbers w:val="0"/>
            </w:pPr>
            <w:r>
              <w:t xml:space="preserve">поддерживать планирование регламента обработки отчетности и контроль его соблюдения, взаимосвязанное управление состояниями отчетов и этапов их обработки, а также определение участников процесса и их ролей в управлении процессом обработки отчетности.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Подсистема регламентированной сводной отчетности должна обеспечить следующие функциональные возможности: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uppressLineNumbers w:val="0"/>
            </w:pPr>
            <w:r>
              <w:t xml:space="preserve">автоматизированный сбор, проверка и консолидация отчетности «без участия человека» с рассылкой уведомлений ответственным лицам о завершении очередного этапа обработки по электронной почте;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uppressLineNumbers w:val="0"/>
            </w:pPr>
            <w:r>
              <w:t xml:space="preserve">импорт данных отчетности подведомственных учреждений: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uppressLineNumbers w:val="0"/>
            </w:pPr>
            <w:r>
              <w:t xml:space="preserve">с электронных носителей информации;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uppressLineNumbers w:val="0"/>
            </w:pPr>
            <w:r>
              <w:t xml:space="preserve">из файлов, полученных по электронной почте;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uppressLineNumbers w:val="0"/>
            </w:pPr>
            <w:r>
              <w:t xml:space="preserve">ввод данных в информационную базу с помощью Web-интерфейса через обычный интернет-браузер;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uppressLineNumbers w:val="0"/>
            </w:pPr>
            <w:r>
              <w:t xml:space="preserve">непосредственный ввод данных бухгалтерской отчетности с бумажных носителей (заполнение типовых форм) в случае отсутствия бухгалтерского отчета в электронном виде. 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uppressLineNumbers w:val="0"/>
            </w:pPr>
            <w:r>
              <w:t xml:space="preserve">взаимодействие через веб-сервис — прием отчетов из других программ и отправка протоколов автоматической обработки, проверки. Возможность обновления комплектов регламентированной отчетности через веб-сервис;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uppressLineNumbers w:val="0"/>
            </w:pPr>
            <w:r>
              <w:t xml:space="preserve">криптографическая защита информации с использованием шифрования и электронных подписей;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uppressLineNumbers w:val="0"/>
            </w:pPr>
            <w:r>
              <w:t xml:space="preserve">хранение принятых отчетов подведомственных учреждений в электронном виде;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uppressLineNumbers w:val="0"/>
            </w:pPr>
            <w:r>
              <w:t xml:space="preserve">версионирование отчетности, представленной повторно;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uppressLineNumbers w:val="0"/>
            </w:pPr>
            <w:r>
              <w:t xml:space="preserve">контроль предоставления запланированной отчетности;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uppressLineNumbers w:val="0"/>
            </w:pPr>
            <w:r>
              <w:t xml:space="preserve">проверка заполнения отчетности: внутриформенный и межформенный контроль показателей отчетных форм;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uppressLineNumbers w:val="0"/>
            </w:pPr>
            <w:r>
              <w:t xml:space="preserve">формирование консолидированного отчета с произвольной (определяемой пользователем) агрегацией, с любым уровнем детализации и пересчетом (элиминацией) показателей по любым заданным пользователем правилам;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uppressLineNumbers w:val="0"/>
            </w:pPr>
            <w:r>
              <w:t xml:space="preserve">возможность поэтапной консолидации отчетности;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uppressLineNumbers w:val="0"/>
            </w:pPr>
            <w:r>
              <w:t xml:space="preserve">создание, хранение и тиражирование правил пересчета (элиминации) взаимосвязанных показателей отчетных форм;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uppressLineNumbers w:val="0"/>
            </w:pPr>
            <w:r>
              <w:t xml:space="preserve">получение произвольных (определяемых пользователем) статистических выборок из консолидированных данных;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uppressLineNumbers w:val="0"/>
            </w:pPr>
            <w:r>
              <w:t xml:space="preserve">формирование разнообразных аналитических отчетов, содержащих таблицы, диаграммы, графики, с помощью удобных конструкторов без использования программирования;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uppressLineNumbers w:val="0"/>
            </w:pPr>
            <w:r>
              <w:t xml:space="preserve">экспорт данных консолидированной отчетности в формате 1С, форматах Федерального казначейства, возможно подключение обработок для выгрузки в любом формате;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uppressLineNumbers w:val="0"/>
            </w:pPr>
            <w:r>
              <w:t xml:space="preserve">контроль за составлением сводной отчетности: ведение плана-графика процесса составления отчетности с назначением ответственных лиц;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uppressLineNumbers w:val="0"/>
            </w:pPr>
            <w:r>
              <w:t xml:space="preserve">разграничение полномочий между пользователями с использованием ролей и разграничения доступа к информации по организационным единицам (учреждениям) и отчетным формам;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uppressLineNumbers w:val="0"/>
            </w:pPr>
            <w:r>
              <w:t xml:space="preserve">планирование и выполнение регламента процесса обработки отчетности как совокупности взаимосвязанных этапов, а также определение участников этого процесса и их ролей;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uppressLineNumbers w:val="0"/>
            </w:pPr>
            <w:r>
              <w:t xml:space="preserve">обработка отчетности по заданному шаблону без участия пользователя. Уведомления о выполнении очередного этапа процесса приходят на адреса электронной почты ответственных лиц – пользователей подсистемы регламентированной сводной отчетности.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rPr>
                <w:highlight w:val="none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uppressLineNumbers w:val="0"/>
            </w:pPr>
            <w:r>
              <w:rPr>
                <w:highlight w:val="none"/>
              </w:rPr>
              <w:t xml:space="preserve">Подсистема регламентированной сводной отчетности</w:t>
            </w:r>
            <w:r>
              <w:rPr>
                <w:highlight w:val="none"/>
              </w:rPr>
              <w:t xml:space="preserve"> поддерживает сбор, обработку и хранение данных </w:t>
            </w:r>
            <w:r>
              <w:rPr>
                <w:highlight w:val="none"/>
              </w:rPr>
              <w:t xml:space="preserve">т</w:t>
            </w:r>
            <w:r>
              <w:rPr>
                <w:highlight w:val="none"/>
              </w:rPr>
              <w:t xml:space="preserve">иповых разработанных форм отчетности, в том числе содержащих нечисловые показатели</w:t>
            </w:r>
            <w:r>
              <w:rPr>
                <w:highlight w:val="none"/>
              </w:rPr>
              <w:t xml:space="preserve">.</w:t>
            </w:r>
            <w:r>
              <w:rPr>
                <w:highlight w:val="none"/>
                <w14:ligatures w14:val="none"/>
              </w:rPr>
            </w:r>
            <w:r>
              <w:rPr>
                <w:highlight w:val="none"/>
                <w14:ligatures w14:val="none"/>
              </w:rPr>
            </w:r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При внедрении подсистемы регламентированной отчетности Подрядчиком разрабатываются отчёты в количестве не более 5 (пяти) штук.</w:t>
            </w:r>
            <w:r/>
          </w:p>
        </w:tc>
      </w:tr>
      <w:tr>
        <w:tblPrEx/>
        <w:trPr>
          <w:trHeight w:val="765"/>
        </w:trPr>
        <w:tc>
          <w:tcPr>
            <w:tcW w:w="1000" w:type="dxa"/>
            <w:textDirection w:val="lrTb"/>
            <w:noWrap w:val="false"/>
          </w:tcPr>
          <w:p>
            <w:pPr>
              <w:ind w:firstLine="0"/>
              <w:jc w:val="center"/>
            </w:pPr>
            <w:r>
              <w:t xml:space="preserve">7.5.</w:t>
            </w:r>
            <w:r/>
          </w:p>
        </w:tc>
        <w:tc>
          <w:tcPr>
            <w:shd w:val="clear" w:color="ffffff" w:fill="ffffff"/>
            <w:tcW w:w="2401" w:type="dxa"/>
            <w:textDirection w:val="lrTb"/>
            <w:noWrap w:val="false"/>
          </w:tcPr>
          <w:p>
            <w:pPr>
              <w:ind w:firstLine="0"/>
              <w:jc w:val="left"/>
              <w:spacing w:line="240" w:lineRule="auto"/>
            </w:pPr>
            <w:r>
              <w:t xml:space="preserve">Требования к установке и настройке подсистемы централизованного обслуживания</w:t>
            </w:r>
            <w:r/>
          </w:p>
        </w:tc>
        <w:tc>
          <w:tcPr>
            <w:tcW w:w="11099" w:type="dxa"/>
            <w:textDirection w:val="lrTb"/>
            <w:noWrap w:val="false"/>
          </w:tcPr>
          <w:p>
            <w:pPr>
              <w:contextualSpacing w:val="0"/>
              <w:ind w:firstLine="720"/>
              <w:jc w:val="both"/>
              <w:spacing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uppressLineNumbers w:val="0"/>
            </w:pPr>
            <w:r>
              <w:rPr>
                <w:color w:val="000000"/>
              </w:rPr>
              <w:t xml:space="preserve">Подсистема централизованного обслуживания должна автоматизировать выполнение следующих функций: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uppressLineNumbers w:val="0"/>
            </w:pPr>
            <w:r>
              <w:rPr>
                <w:color w:val="000000"/>
              </w:rPr>
              <w:t xml:space="preserve">возможность централизованно обрабатывать полученные задачи по настроенному шаблону процессов обработки документов в ППО 1С:БГУ, ред. 2, 1С:ЗКГУ, ред. 3;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uppressLineNumbers w:val="0"/>
            </w:pPr>
            <w:r>
              <w:rPr>
                <w:color w:val="000000"/>
              </w:rPr>
              <w:t xml:space="preserve">централизованное назначение групп доступа, а также ролей пользователям при использовании поэтапной обработки документов;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uppressLineNumbers w:val="0"/>
            </w:pPr>
            <w:r>
              <w:rPr>
                <w:color w:val="000000"/>
              </w:rPr>
              <w:t xml:space="preserve">автоматическое распределение задач между пользователями на основании их ролей;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uppressLineNumbers w:val="0"/>
            </w:pPr>
            <w:r>
              <w:rPr>
                <w:color w:val="000000"/>
              </w:rPr>
              <w:t xml:space="preserve">просмотр состава задач по обработке документов;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uppressLineNumbers w:val="0"/>
            </w:pPr>
            <w:r>
              <w:rPr>
                <w:color w:val="000000"/>
              </w:rPr>
              <w:t xml:space="preserve">контроль выполнения задач пользователями.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rPr>
                <w:color w:val="000000"/>
              </w:rPr>
              <w:t xml:space="preserve">Подрядчиком путем настроек Системы и предоставления доступов Заказчику обеспечивается возможность Заказчика самостоятельно осуществлять настройки и </w:t>
            </w:r>
            <w:r>
              <w:rPr>
                <w:color w:val="000000"/>
              </w:rPr>
              <w:t xml:space="preserve">администрирование подсистемы </w:t>
            </w:r>
            <w:r>
              <w:t xml:space="preserve">централизованного обслуживания</w:t>
            </w:r>
            <w:r>
              <w:rPr>
                <w:color w:val="000000"/>
              </w:rPr>
              <w:t xml:space="preserve"> в части распространения технической нормативно-справочной информации и прикладных настроек подсистемы.</w:t>
            </w:r>
            <w:r/>
          </w:p>
        </w:tc>
      </w:tr>
      <w:tr>
        <w:tblPrEx/>
        <w:trPr>
          <w:trHeight w:val="765"/>
        </w:trPr>
        <w:tc>
          <w:tcPr>
            <w:tcW w:w="1000" w:type="dxa"/>
            <w:textDirection w:val="lrTb"/>
            <w:noWrap w:val="false"/>
          </w:tcPr>
          <w:p>
            <w:pPr>
              <w:ind w:firstLine="0"/>
              <w:jc w:val="center"/>
            </w:pPr>
            <w:r>
              <w:t xml:space="preserve">7.6.</w:t>
            </w:r>
            <w:r/>
          </w:p>
        </w:tc>
        <w:tc>
          <w:tcPr>
            <w:shd w:val="clear" w:color="ffffff" w:fill="ffffff"/>
            <w:tcW w:w="2401" w:type="dxa"/>
            <w:textDirection w:val="lrTb"/>
            <w:noWrap w:val="false"/>
          </w:tcPr>
          <w:p>
            <w:pPr>
              <w:ind w:firstLine="0"/>
              <w:jc w:val="left"/>
              <w:spacing w:line="240" w:lineRule="auto"/>
            </w:pPr>
            <w:r>
              <w:t xml:space="preserve">Требования к администрированию и 3й линии поддержки</w:t>
            </w:r>
            <w:r/>
          </w:p>
        </w:tc>
        <w:tc>
          <w:tcPr>
            <w:tcW w:w="11099" w:type="dxa"/>
            <w:textDirection w:val="lrTb"/>
            <w:noWrap w:val="false"/>
          </w:tcPr>
          <w:p>
            <w:pPr>
              <w:pStyle w:val="1232"/>
              <w:contextualSpacing w:val="0"/>
              <w:ind w:firstLine="720"/>
              <w:jc w:val="both"/>
              <w:rPr>
                <w:sz w:val="28"/>
                <w:szCs w:val="28"/>
              </w:rPr>
              <w:suppressLineNumbers w:val="0"/>
            </w:pPr>
            <w:r>
              <w:rPr>
                <w:sz w:val="28"/>
                <w:szCs w:val="28"/>
              </w:rPr>
              <w:t xml:space="preserve">Подрядчиком должны быть обеспечены: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contextualSpacing w:val="0"/>
              <w:ind w:firstLine="720"/>
              <w:jc w:val="both"/>
              <w:spacing w:line="240" w:lineRule="auto"/>
              <w:rPr>
                <w:color w:val="000000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uppressLineNumbers w:val="0"/>
            </w:pPr>
            <w:r>
              <w:rPr>
                <w:color w:val="000000"/>
              </w:rPr>
              <w:t xml:space="preserve">администрирование Системы; </w:t>
            </w:r>
            <w:r>
              <w:rPr>
                <w:color w:val="000000"/>
                <w14:ligatures w14:val="none"/>
              </w:rPr>
            </w:r>
            <w:r>
              <w:rPr>
                <w:color w:val="000000"/>
                <w14:ligatures w14:val="none"/>
              </w:rPr>
            </w:r>
          </w:p>
          <w:p>
            <w:pPr>
              <w:contextualSpacing w:val="0"/>
              <w:ind w:firstLine="720"/>
              <w:jc w:val="both"/>
              <w:spacing w:line="240" w:lineRule="auto"/>
              <w:rPr>
                <w:color w:val="000000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uppressLineNumbers w:val="0"/>
            </w:pPr>
            <w:r>
              <w:rPr>
                <w:color w:val="000000"/>
              </w:rPr>
              <w:t xml:space="preserve">настройка и поддержание в работоспособном состоянии программного обеспечения Системы; </w:t>
            </w:r>
            <w:r>
              <w:rPr>
                <w:color w:val="000000"/>
                <w14:ligatures w14:val="none"/>
              </w:rPr>
            </w:r>
            <w:r>
              <w:rPr>
                <w:color w:val="000000"/>
                <w14:ligatures w14:val="none"/>
              </w:rPr>
            </w:r>
          </w:p>
          <w:p>
            <w:pPr>
              <w:contextualSpacing w:val="0"/>
              <w:ind w:firstLine="720"/>
              <w:jc w:val="both"/>
              <w:spacing w:line="240" w:lineRule="auto"/>
              <w:rPr>
                <w:color w:val="000000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uppressLineNumbers w:val="0"/>
            </w:pPr>
            <w:r>
              <w:rPr>
                <w:color w:val="000000"/>
              </w:rPr>
              <w:t xml:space="preserve">тестирование обновлений в тестовом ландшафте и публикация обновлений в промышленном контуре Системы;</w:t>
            </w:r>
            <w:r>
              <w:rPr>
                <w:color w:val="000000"/>
                <w14:ligatures w14:val="none"/>
              </w:rPr>
            </w:r>
            <w:r>
              <w:rPr>
                <w:color w:val="000000"/>
                <w14:ligatures w14:val="none"/>
              </w:rPr>
            </w:r>
          </w:p>
          <w:p>
            <w:pPr>
              <w:contextualSpacing w:val="0"/>
              <w:ind w:firstLine="720"/>
              <w:jc w:val="both"/>
              <w:spacing w:line="240" w:lineRule="auto"/>
              <w:rPr>
                <w:color w:val="000000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uppressLineNumbers w:val="0"/>
            </w:pPr>
            <w:r>
              <w:rPr>
                <w:color w:val="000000"/>
              </w:rPr>
              <w:t xml:space="preserve">проведение регламентных профилактических работ;</w:t>
            </w:r>
            <w:r>
              <w:rPr>
                <w:color w:val="000000"/>
                <w14:ligatures w14:val="none"/>
              </w:rPr>
            </w:r>
            <w:r>
              <w:rPr>
                <w:color w:val="000000"/>
                <w14:ligatures w14:val="none"/>
              </w:rPr>
            </w:r>
          </w:p>
          <w:p>
            <w:pPr>
              <w:contextualSpacing w:val="0"/>
              <w:ind w:firstLine="720"/>
              <w:jc w:val="both"/>
              <w:spacing w:line="240" w:lineRule="auto"/>
              <w:rPr>
                <w:color w:val="000000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uppressLineNumbers w:val="0"/>
            </w:pPr>
            <w:r>
              <w:rPr>
                <w:color w:val="000000"/>
              </w:rPr>
              <w:t xml:space="preserve">проведение ремонтно-восстановительных работ;</w:t>
            </w:r>
            <w:r>
              <w:rPr>
                <w:color w:val="000000"/>
                <w14:ligatures w14:val="none"/>
              </w:rPr>
            </w:r>
            <w:r>
              <w:rPr>
                <w:color w:val="000000"/>
                <w14:ligatures w14:val="none"/>
              </w:rPr>
            </w:r>
          </w:p>
          <w:p>
            <w:pPr>
              <w:contextualSpacing w:val="0"/>
              <w:ind w:firstLine="720"/>
              <w:jc w:val="both"/>
              <w:spacing w:line="240" w:lineRule="auto"/>
              <w:rPr>
                <w:color w:val="000000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uppressLineNumbers w:val="0"/>
            </w:pPr>
            <w:r>
              <w:rPr>
                <w:color w:val="000000"/>
              </w:rPr>
              <w:t xml:space="preserve">мониторинг загруженности системы в режиме реального времени;</w:t>
            </w:r>
            <w:r>
              <w:rPr>
                <w:color w:val="000000"/>
                <w14:ligatures w14:val="none"/>
              </w:rPr>
            </w:r>
            <w:r>
              <w:rPr>
                <w:color w:val="000000"/>
                <w14:ligatures w14:val="none"/>
              </w:rPr>
            </w:r>
          </w:p>
          <w:p>
            <w:pPr>
              <w:contextualSpacing w:val="0"/>
              <w:ind w:firstLine="720"/>
              <w:jc w:val="both"/>
              <w:spacing w:line="240" w:lineRule="auto"/>
              <w:rPr>
                <w:color w:val="000000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uppressLineNumbers w:val="0"/>
            </w:pPr>
            <w:r>
              <w:rPr>
                <w:color w:val="000000"/>
              </w:rPr>
              <w:t xml:space="preserve">резервное копирование и восстановление из резервной копии при необходимости; </w:t>
            </w:r>
            <w:r>
              <w:rPr>
                <w:color w:val="000000"/>
                <w14:ligatures w14:val="none"/>
              </w:rPr>
            </w:r>
            <w:r>
              <w:rPr>
                <w:color w:val="000000"/>
                <w14:ligatures w14:val="none"/>
              </w:rPr>
            </w:r>
          </w:p>
          <w:p>
            <w:pPr>
              <w:contextualSpacing w:val="0"/>
              <w:ind w:firstLine="720"/>
              <w:jc w:val="both"/>
              <w:spacing w:line="240" w:lineRule="auto"/>
              <w:rPr>
                <w:color w:val="000000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uppressLineNumbers w:val="0"/>
            </w:pPr>
            <w:r>
              <w:rPr>
                <w:color w:val="000000"/>
              </w:rPr>
              <w:t xml:space="preserve">поддержка систем мониторинга (свободного дискового пространства, свободной памяти, нагрузки серверного, работоспособности сервисов, сбоев в работе аппаратного обеспечения).</w:t>
            </w:r>
            <w:r>
              <w:rPr>
                <w:color w:val="000000"/>
                <w14:ligatures w14:val="none"/>
              </w:rPr>
            </w:r>
            <w:r>
              <w:rPr>
                <w:color w:val="000000"/>
                <w14:ligatures w14:val="none"/>
              </w:rPr>
            </w:r>
          </w:p>
          <w:p>
            <w:pPr>
              <w:pStyle w:val="1232"/>
              <w:contextualSpacing w:val="0"/>
              <w:ind w:firstLine="720"/>
              <w:jc w:val="both"/>
              <w:rPr>
                <w:sz w:val="28"/>
                <w:szCs w:val="28"/>
              </w:rPr>
              <w:suppressLineNumbers w:val="0"/>
            </w:pPr>
            <w:r>
              <w:rPr>
                <w:sz w:val="28"/>
                <w:szCs w:val="28"/>
              </w:rPr>
              <w:t xml:space="preserve">Подрядчик в течение срока оказания услуг предоставляет обновления Системы, основанием для предоставления обновлений являются изменения, связанные с: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1232"/>
              <w:contextualSpacing w:val="0"/>
              <w:ind w:firstLine="720"/>
              <w:jc w:val="both"/>
              <w:rPr>
                <w:sz w:val="28"/>
                <w:szCs w:val="28"/>
              </w:rPr>
              <w:suppressLineNumbers w:val="0"/>
            </w:pPr>
            <w:r>
              <w:rPr>
                <w:sz w:val="28"/>
                <w:szCs w:val="28"/>
              </w:rPr>
              <w:t xml:space="preserve">адаптацией существующего функционала на соответствие измененным требованиям действующего федерального законодательства, включая изменение форм (форматов) регламентированной отчетности;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1232"/>
              <w:contextualSpacing w:val="0"/>
              <w:ind w:firstLine="720"/>
              <w:jc w:val="both"/>
              <w:rPr>
                <w:sz w:val="28"/>
                <w:szCs w:val="28"/>
              </w:rPr>
              <w:suppressLineNumbers w:val="0"/>
            </w:pPr>
            <w:r>
              <w:rPr>
                <w:sz w:val="28"/>
                <w:szCs w:val="28"/>
              </w:rPr>
              <w:t xml:space="preserve">решением запросов, в том числе с устранением инцидентов и дефектов Системы, выявленных в ходе обработки Запросов.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1232"/>
              <w:contextualSpacing w:val="0"/>
              <w:ind w:firstLine="720"/>
              <w:jc w:val="both"/>
              <w:rPr>
                <w:sz w:val="28"/>
                <w:szCs w:val="28"/>
              </w:rPr>
              <w:suppressLineNumbers w:val="0"/>
            </w:pPr>
            <w:r>
              <w:rPr>
                <w:sz w:val="28"/>
                <w:szCs w:val="28"/>
              </w:rPr>
              <w:t xml:space="preserve">Перед установкой обновлений Системы Подрядчиком должно быть выполнено тестирование новых версий прикладного программного обеспечения на тестовом ландшафте, включая проверку </w:t>
            </w:r>
            <w:r>
              <w:rPr>
                <w:sz w:val="28"/>
                <w:szCs w:val="28"/>
              </w:rPr>
              <w:t xml:space="preserve">ключевых сценариев новой версии ППО, проверку в</w:t>
            </w:r>
            <w:r>
              <w:rPr>
                <w:sz w:val="28"/>
                <w:szCs w:val="28"/>
              </w:rPr>
              <w:t xml:space="preserve">несенных изменений новой версии ППО; проверку </w:t>
            </w:r>
            <w:r>
              <w:rPr>
                <w:sz w:val="28"/>
                <w:szCs w:val="28"/>
              </w:rPr>
              <w:t xml:space="preserve">совместимости новой версии ППО с применяемыми конфигурациями области данных.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1232"/>
              <w:contextualSpacing w:val="0"/>
              <w:ind w:firstLine="720"/>
              <w:jc w:val="both"/>
              <w:rPr>
                <w:sz w:val="28"/>
                <w:szCs w:val="28"/>
              </w:rPr>
              <w:suppressLineNumbers w:val="0"/>
            </w:pPr>
            <w:r>
              <w:rPr>
                <w:sz w:val="28"/>
                <w:szCs w:val="28"/>
              </w:rPr>
              <w:t xml:space="preserve">После успешного завершения тестирования Подрядчик должен согласовать с Заказчиком дату и время установки обновлений Системы.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1232"/>
              <w:contextualSpacing w:val="0"/>
              <w:ind w:firstLine="720"/>
              <w:jc w:val="both"/>
              <w:rPr>
                <w:sz w:val="28"/>
                <w:szCs w:val="28"/>
              </w:rPr>
              <w:suppressLineNumbers w:val="0"/>
            </w:pPr>
            <w:r>
              <w:rPr>
                <w:sz w:val="28"/>
                <w:szCs w:val="28"/>
              </w:rPr>
              <w:t xml:space="preserve">В случае выявления в результате тестирования в тестовом ландшафте нежелательного поведения Системы обновление не должно быть произведено, о чем Подрядчик должен уведомить Заказчика указав причину.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1232"/>
              <w:contextualSpacing w:val="0"/>
              <w:ind w:firstLine="720"/>
              <w:jc w:val="both"/>
              <w:rPr>
                <w:sz w:val="28"/>
                <w:szCs w:val="28"/>
              </w:rPr>
              <w:suppressLineNumbers w:val="0"/>
            </w:pPr>
            <w:r>
              <w:rPr>
                <w:sz w:val="28"/>
                <w:szCs w:val="28"/>
              </w:rPr>
              <w:t xml:space="preserve">Требования к 3й линии поддержки включают работу </w:t>
            </w:r>
            <w:r>
              <w:rPr>
                <w:sz w:val="28"/>
                <w:szCs w:val="28"/>
              </w:rPr>
              <w:t xml:space="preserve">с обращениями и запросами в службу поддержки, полученными со 2й линии поддержки, по вопросам,</w:t>
            </w:r>
            <w:r>
              <w:rPr>
                <w:sz w:val="28"/>
                <w:szCs w:val="28"/>
              </w:rPr>
              <w:t xml:space="preserve"> связанным с выполнением Пользователями задач/функций/операций с использованием Системы и входящих в ее состав подсистем, модулей и компонентов</w:t>
            </w:r>
            <w:r>
              <w:rPr>
                <w:sz w:val="28"/>
                <w:szCs w:val="28"/>
              </w:rPr>
              <w:t xml:space="preserve">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1232"/>
              <w:contextualSpacing w:val="0"/>
              <w:ind w:firstLine="720"/>
              <w:jc w:val="both"/>
              <w:rPr>
                <w:sz w:val="28"/>
                <w:szCs w:val="28"/>
              </w:rPr>
              <w:suppressLineNumbers w:val="0"/>
            </w:pPr>
            <w:r>
              <w:rPr>
                <w:sz w:val="28"/>
                <w:szCs w:val="28"/>
              </w:rPr>
              <w:t xml:space="preserve">Ответы на вопросы по </w:t>
            </w:r>
            <w:r>
              <w:rPr>
                <w:sz w:val="28"/>
                <w:szCs w:val="28"/>
              </w:rPr>
              <w:t xml:space="preserve">работе с </w:t>
            </w:r>
            <w:r>
              <w:rPr>
                <w:sz w:val="28"/>
                <w:szCs w:val="28"/>
              </w:rPr>
              <w:t xml:space="preserve">функционал</w:t>
            </w:r>
            <w:r>
              <w:rPr>
                <w:sz w:val="28"/>
                <w:szCs w:val="28"/>
              </w:rPr>
              <w:t xml:space="preserve">ом</w:t>
            </w:r>
            <w:r>
              <w:rPr>
                <w:sz w:val="28"/>
                <w:szCs w:val="28"/>
              </w:rPr>
              <w:t xml:space="preserve"> конфигураций, а также работа с </w:t>
            </w:r>
            <w:r>
              <w:rPr>
                <w:sz w:val="28"/>
                <w:szCs w:val="28"/>
              </w:rPr>
              <w:t xml:space="preserve">правами и доступами </w:t>
            </w:r>
            <w:r>
              <w:rPr>
                <w:sz w:val="28"/>
                <w:szCs w:val="28"/>
              </w:rPr>
              <w:t xml:space="preserve">пользовател</w:t>
            </w:r>
            <w:r>
              <w:rPr>
                <w:sz w:val="28"/>
                <w:szCs w:val="28"/>
              </w:rPr>
              <w:t xml:space="preserve">ей</w:t>
            </w:r>
            <w:r>
              <w:rPr>
                <w:sz w:val="28"/>
                <w:szCs w:val="28"/>
              </w:rPr>
              <w:t xml:space="preserve"> (создание, удаление, корректировка прав)</w:t>
            </w:r>
            <w:r>
              <w:rPr>
                <w:sz w:val="28"/>
                <w:szCs w:val="28"/>
              </w:rPr>
              <w:t xml:space="preserve">, настройка ролей исполнителей</w:t>
            </w:r>
            <w:r>
              <w:rPr>
                <w:sz w:val="28"/>
                <w:szCs w:val="28"/>
              </w:rPr>
              <w:t xml:space="preserve"> находятся в зоне ответственности 2й линии поддержки.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1232"/>
              <w:contextualSpacing w:val="0"/>
              <w:ind w:firstLine="720"/>
              <w:jc w:val="both"/>
              <w:rPr>
                <w:sz w:val="28"/>
                <w:szCs w:val="28"/>
              </w:rPr>
              <w:suppressLineNumbers w:val="0"/>
            </w:pPr>
            <w:r>
              <w:rPr>
                <w:sz w:val="28"/>
                <w:szCs w:val="28"/>
              </w:rPr>
              <w:t xml:space="preserve">Подрядчик должен предоставлять необходимые и достаточные ответы и рекомендации по соответствующим вопросам, позволяющие решить возникшие в ходе </w:t>
            </w:r>
            <w:r>
              <w:rPr>
                <w:sz w:val="28"/>
                <w:szCs w:val="28"/>
              </w:rPr>
              <w:t xml:space="preserve">администрирования</w:t>
            </w:r>
            <w:r>
              <w:rPr>
                <w:sz w:val="28"/>
                <w:szCs w:val="28"/>
              </w:rPr>
              <w:t xml:space="preserve"> Системы вопросы или проблемы. Подрядчик должен отражать информацию о ходе решения обращения.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1232"/>
              <w:contextualSpacing w:val="0"/>
              <w:ind w:firstLine="720"/>
              <w:jc w:val="both"/>
              <w:rPr>
                <w:sz w:val="28"/>
                <w:szCs w:val="28"/>
              </w:rPr>
              <w:suppressLineNumbers w:val="0"/>
            </w:pPr>
            <w:r>
              <w:rPr>
                <w:sz w:val="28"/>
                <w:szCs w:val="28"/>
              </w:rPr>
              <w:t xml:space="preserve">Подрядчик должен производить обработку обращений и запросов, а также предоставление ответов (решений) с 09-00 до 18-00 по местному времени Заказчика по рабочим дням.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765"/>
        </w:trPr>
        <w:tc>
          <w:tcPr>
            <w:tcW w:w="1000" w:type="dxa"/>
            <w:vMerge w:val="restart"/>
            <w:textDirection w:val="lrTb"/>
            <w:noWrap w:val="false"/>
          </w:tcPr>
          <w:p>
            <w:pPr>
              <w:pStyle w:val="757"/>
              <w:numPr>
                <w:ilvl w:val="0"/>
                <w:numId w:val="9"/>
              </w:numPr>
              <w:contextualSpacing w:val="0"/>
              <w:ind w:left="0" w:firstLine="0"/>
              <w:jc w:val="center"/>
            </w:pPr>
            <w:r/>
            <w:r/>
          </w:p>
        </w:tc>
        <w:tc>
          <w:tcPr>
            <w:shd w:val="clear" w:color="ffffff" w:fill="ffffff"/>
            <w:tcW w:w="2401" w:type="dxa"/>
            <w:vMerge w:val="restart"/>
            <w:textDirection w:val="lrTb"/>
            <w:noWrap w:val="false"/>
          </w:tcPr>
          <w:p>
            <w:pPr>
              <w:ind w:firstLine="0"/>
              <w:jc w:val="left"/>
              <w:spacing w:line="240" w:lineRule="auto"/>
            </w:pPr>
            <w:r>
              <w:t xml:space="preserve">Требования к программному обеспечению Системы</w:t>
            </w:r>
            <w:r/>
          </w:p>
        </w:tc>
        <w:tc>
          <w:tcPr>
            <w:tcW w:w="11099" w:type="dxa"/>
            <w:vMerge w:val="restart"/>
            <w:textDirection w:val="lrTb"/>
            <w:noWrap w:val="false"/>
          </w:tcPr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Система должна состоять из следующих компонентов: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общесистемное программное обеспечение: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система виртуализации;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операционные системы серверов;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операционные системы клиентских станций;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СУБД.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Обеспечивающее (связующее) программное обеспечение: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технологическая платформа;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программное обеспечение администрирования Системы;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технология «облачного» сервиса.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ППО, функциональное программное обеспечение: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для ведения бюджетного (бухгалтерского) учета;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для ведения кадрового учета и расчета заработной платы;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для ведения централизованного обслуживания учета Учреждений.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Технологическая платформа должна удовлетворять следующим требованиям: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являться средой исполнения для всех прикладных (функциональных) решений Системы;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иметь возможность установки, настройки отдельно от функционального (прикладного) программного обеспечения;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содержать инструментарий, необходимый для доработки, администрирования и поддержки прикладных решений без привлечения сил производителя технологической платформы.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Технология создания облачного сервиса должна удовлетворять следующим требованиям: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Технология облачного сервиса должна содержать компоненты: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менеджер сервиса;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агент сервиса;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шлюз приложений;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сайт сервиса (информационный портал взаимодействия с пользователями);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форум сервиса;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менеджер доступности;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страница информации о недоступности;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библиотека технологий сервиса.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Требование к менеджеру сервиса: координация взаимодействия всех компонентов облачного сервиса, хранение информации о компонентах сервиса, о пользователях, их правах и взаимосвязях.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Требование к агенту сервиса: автоматическое выполнение административных действий с информационными базами прикладных решений (обновление конфигураций, создание резервных копий по расписанию, сбор статистики о работе сервиса).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Требование к шлюзу приложений: обеспечение горизонтального масштабирования сервиса, возможность добавлять в сервис новые информационные базы прикладных решений с сохранением для однотипных информационных баз единого внешнего адреса.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Требование к сайту сервиса: обеспечение взаимодействия пользователей с сервисом и системой</w:t>
            </w:r>
            <w:r>
              <w:t xml:space="preserve"> в целом в формате, настроенном для конкретного пользователя (роли пользователя в Систему). Обеспечивает запуск приложений, подключение новых приложений, регистрацию в сервисе, просмотр новостей, касающихся функционирования системы и справочной информации.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Требование к менеджеру доступности: обеспечение хранения информации о недоступности ресурсов сервиса, вывода сообщения о недоступности пользователям </w:t>
            </w:r>
            <w:r>
              <w:t xml:space="preserve">системы и форума, даже в том случае, если все другие компоненты системы не функционируют.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Требование к странице информации о недоступности: веб-приложение, которое при недоступности каких-либо ресурсов сервиса информирует об этом пользователей в понятной форме, с указанием причин недоступности и предполагаемого времени окончания работ.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Требование к наличию биб</w:t>
            </w:r>
            <w:r>
              <w:t xml:space="preserve">лиотеки технологий сервиса: наличие библиотеки готового инструментария, предназначенного для специалистов, обеспечивающих доработку существующих прикладных решений, разработку новых прикладных решений, предназначенных для работы в модели облачного сервиса.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Связующее программное обеспечение должно удовлетворять общим требованиям: 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наличие системы регистрации действий пользователей и функционирования компонентов Системы на основе журналирования; 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возможность просмотра списка и управления активными сессиями пользователей; 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возможность выгрузки и архивирования данных из базы данных; 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возможность просмотра состояния и управления процессами серверной части; 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возможность запуска регламентированных заданий, исполняемых серверной частью Системы по расписанию;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возможность проведения многопользовательских нагрузочных испытаний Системы с целью моделирования работы реальных пользователей без их участия для получения оценок производительности, применимости и масштабируемости Системы в реальных условиях;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возможность мониторинга технологических показателей производительности работающей Системы;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возможность проведения оценки производительности Системы в реальном времени, записи и хранения информации о производительности Системы;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возможность анализировать сохраненные данные за произвольный период времени; 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rPr>
                <w:highlight w:val="none"/>
              </w:rPr>
              <w:suppressLineNumbers w:val="0"/>
            </w:pPr>
            <w:r>
              <w:t xml:space="preserve">возможность автоматически реагировать на изменение показателей путем отправки уведомлений на электронную почту и запуска регламентных процедур.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rPr>
                <w:highlight w:val="none"/>
              </w:rPr>
              <w:t xml:space="preserve">Система должна функционировать </w:t>
            </w:r>
            <w:r>
              <w:t xml:space="preserve">под управлением различных операционных систем</w:t>
            </w:r>
            <w:r>
              <w:t xml:space="preserve">, </w:t>
            </w:r>
            <w:r>
              <w:t xml:space="preserve">на рабочих местах должно быть обеспечено устойчивое функционирование совместно с программным обеспечением антивирусной защиты и защиты от несанкционированного доступа.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rPr>
                <w:highlight w:val="none"/>
              </w:rPr>
              <w:suppressLineNumbers w:val="0"/>
            </w:pPr>
            <w:r>
              <w:rPr>
                <w:highlight w:val="none"/>
              </w:rPr>
              <w:t xml:space="preserve">Настройка клиентского программного обеспечения на рабочих местах производится силами Заказчика на основании инструкции, предоставленной Подрядчиком.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765"/>
        </w:trPr>
        <w:tc>
          <w:tcPr>
            <w:tcW w:w="1000" w:type="dxa"/>
            <w:textDirection w:val="lrTb"/>
            <w:noWrap w:val="false"/>
          </w:tcPr>
          <w:p>
            <w:pPr>
              <w:pStyle w:val="757"/>
              <w:numPr>
                <w:ilvl w:val="0"/>
                <w:numId w:val="9"/>
              </w:numPr>
              <w:contextualSpacing w:val="0"/>
              <w:ind w:left="0" w:firstLine="0"/>
              <w:jc w:val="center"/>
            </w:pPr>
            <w:r/>
            <w:bookmarkStart w:id="1" w:name="_heading=h.6fxtv38yajx6"/>
            <w:r/>
            <w:bookmarkStart w:id="2" w:name="_heading=h.rl698o5ur3sc"/>
            <w:r/>
            <w:bookmarkEnd w:id="1"/>
            <w:r/>
            <w:bookmarkEnd w:id="2"/>
            <w:r/>
            <w:r/>
          </w:p>
        </w:tc>
        <w:tc>
          <w:tcPr>
            <w:shd w:val="clear" w:color="ffffff" w:fill="ffffff"/>
            <w:tcW w:w="2401" w:type="dxa"/>
            <w:textDirection w:val="lrTb"/>
            <w:noWrap w:val="false"/>
          </w:tcPr>
          <w:p>
            <w:pPr>
              <w:ind w:firstLine="0"/>
              <w:jc w:val="left"/>
              <w:spacing w:line="240" w:lineRule="auto"/>
            </w:pPr>
            <w:r>
              <w:t xml:space="preserve">Требования к техническому обеспечению</w:t>
            </w:r>
            <w:r/>
          </w:p>
        </w:tc>
        <w:tc>
          <w:tcPr>
            <w:tcW w:w="11099" w:type="dxa"/>
            <w:textDirection w:val="lrTb"/>
            <w:noWrap w:val="false"/>
          </w:tcPr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Техническое обеспечение Системы, предоставляемое Заказчиком, должно позволять эффективно решать задачи Системы и обеспечивать функционирование Системы в соответствии с требованиями настоящего документа.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Система должна функционировать на клиентских рабочих местах со следующими минимальными характеристиками: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процессор с частотой не менее 2.33 ГГц;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оперативная память не менее 4 ГБ;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монитор SVGA с разрешением не менее 1024х768 точек;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канал связи не менее 5 Мбит/сек.</w:t>
            </w:r>
            <w:r/>
          </w:p>
        </w:tc>
      </w:tr>
      <w:tr>
        <w:tblPrEx/>
        <w:trPr>
          <w:trHeight w:val="765"/>
        </w:trPr>
        <w:tc>
          <w:tcPr>
            <w:tcW w:w="1000" w:type="dxa"/>
            <w:textDirection w:val="lrTb"/>
            <w:noWrap w:val="false"/>
          </w:tcPr>
          <w:p>
            <w:pPr>
              <w:pStyle w:val="757"/>
              <w:numPr>
                <w:ilvl w:val="0"/>
                <w:numId w:val="9"/>
              </w:numPr>
              <w:contextualSpacing w:val="0"/>
              <w:ind w:left="0" w:firstLine="0"/>
              <w:jc w:val="center"/>
            </w:pPr>
            <w:r/>
            <w:r/>
          </w:p>
        </w:tc>
        <w:tc>
          <w:tcPr>
            <w:shd w:val="clear" w:color="ffffff" w:fill="ffffff"/>
            <w:tcW w:w="2401" w:type="dxa"/>
            <w:textDirection w:val="lrTb"/>
            <w:noWrap w:val="false"/>
          </w:tcPr>
          <w:p>
            <w:pPr>
              <w:ind w:firstLine="0"/>
              <w:jc w:val="left"/>
              <w:spacing w:line="240" w:lineRule="auto"/>
            </w:pPr>
            <w:r>
              <w:t xml:space="preserve">Требования к установке и настройке ПО на серверах Заказчика</w:t>
            </w:r>
            <w:r/>
          </w:p>
        </w:tc>
        <w:tc>
          <w:tcPr>
            <w:tcW w:w="11099" w:type="dxa"/>
            <w:textDirection w:val="lrTb"/>
            <w:noWrap w:val="false"/>
          </w:tcPr>
          <w:p>
            <w:pPr>
              <w:contextualSpacing w:val="0"/>
              <w:ind w:firstLine="720"/>
              <w:jc w:val="both"/>
              <w:spacing w:line="240" w:lineRule="auto"/>
              <w:rPr>
                <w:sz w:val="24"/>
                <w:szCs w:val="24"/>
              </w:rPr>
              <w:suppressLineNumbers w:val="0"/>
            </w:pPr>
            <w:r>
              <w:rPr>
                <w:lang w:eastAsia="ru-RU"/>
              </w:rPr>
              <w:t xml:space="preserve">Подрядчик: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contextualSpacing w:val="0"/>
              <w:ind w:firstLine="720"/>
              <w:jc w:val="both"/>
              <w:spacing w:line="240" w:lineRule="auto"/>
              <w:rPr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uppressLineNumbers w:val="0"/>
            </w:pPr>
            <w:r>
              <w:t xml:space="preserve">устанавливает и настраивает модули и подсистемы ПО;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contextualSpacing w:val="0"/>
              <w:ind w:firstLine="720"/>
              <w:jc w:val="both"/>
              <w:spacing w:line="240" w:lineRule="auto"/>
              <w:rPr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uppressLineNumbers w:val="0"/>
            </w:pPr>
            <w:r>
              <w:t xml:space="preserve">настраивает окружение серверной операционной системы;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contextualSpacing w:val="0"/>
              <w:ind w:firstLine="720"/>
              <w:jc w:val="both"/>
              <w:spacing w:line="240" w:lineRule="auto"/>
              <w:rPr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uppressLineNumbers w:val="0"/>
            </w:pPr>
            <w:r>
              <w:t xml:space="preserve">устанавливает и настраивает СУБД Postgres Pro Standart/PostgreSQL;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contextualSpacing w:val="0"/>
              <w:ind w:firstLine="720"/>
              <w:jc w:val="both"/>
              <w:spacing w:line="240" w:lineRule="auto"/>
              <w:rPr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uppressLineNumbers w:val="0"/>
            </w:pPr>
            <w:r>
              <w:t xml:space="preserve">осуществляет тестирование и стабилизацию работы программных и серверных компонентов.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contextualSpacing w:val="0"/>
              <w:ind w:firstLine="720"/>
              <w:jc w:val="both"/>
              <w:spacing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uppressLineNumbers w:val="0"/>
            </w:pPr>
            <w:r>
              <w:t xml:space="preserve">Для выполнения вышеуказанных работ лицензии на СУБД Postgres Pro Standart/PostgreSQL (версии не ниже 13) предоставляются Заказчиком.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rPr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uppressLineNumbers w:val="0"/>
            </w:pPr>
            <w:r/>
            <w:bookmarkStart w:id="3" w:name="_Hlk238131162"/>
            <w:r>
              <w:t xml:space="preserve">Минимальные требования к программному обеспечению серверов (имеются в наличии у Заказчика) указаны в Приложении 2 к ООЗ.</w:t>
            </w:r>
            <w:bookmarkEnd w:id="3"/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>
          <w:trHeight w:val="765"/>
        </w:trPr>
        <w:tc>
          <w:tcPr>
            <w:tcW w:w="1000" w:type="dxa"/>
            <w:textDirection w:val="lrTb"/>
            <w:noWrap w:val="false"/>
          </w:tcPr>
          <w:p>
            <w:pPr>
              <w:pStyle w:val="757"/>
              <w:numPr>
                <w:ilvl w:val="0"/>
                <w:numId w:val="9"/>
              </w:numPr>
              <w:contextualSpacing w:val="0"/>
              <w:ind w:left="0" w:firstLine="0"/>
              <w:jc w:val="center"/>
            </w:pPr>
            <w:r/>
            <w:r/>
          </w:p>
        </w:tc>
        <w:tc>
          <w:tcPr>
            <w:shd w:val="clear" w:color="ffffff" w:fill="ffffff"/>
            <w:tcW w:w="2401" w:type="dxa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</w:pPr>
            <w:r>
              <w:t xml:space="preserve">Требования к обеспечению конфиденциальности и защите информации</w:t>
            </w:r>
            <w:r/>
          </w:p>
        </w:tc>
        <w:tc>
          <w:tcPr>
            <w:tcW w:w="11099" w:type="dxa"/>
            <w:textDirection w:val="lrTb"/>
            <w:noWrap w:val="false"/>
          </w:tcPr>
          <w:p>
            <w:pPr>
              <w:contextualSpacing w:val="0"/>
              <w:ind w:firstLine="720"/>
              <w:jc w:val="both"/>
              <w:spacing w:line="240" w:lineRule="auto"/>
              <w:rPr>
                <w:color w:val="000000"/>
                <w:sz w:val="24"/>
              </w:rPr>
              <w:suppressLineNumbers w:val="0"/>
            </w:pPr>
            <w:r>
              <w:rPr>
                <w:color w:val="000000"/>
              </w:rPr>
              <w:t xml:space="preserve">Защита персональных данных, обрабатываемых с помощью Системы, обеспечивается силами Заказчика в соответствии с требованиями законодательства Российской Федерации. </w:t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  <w:p>
            <w:pPr>
              <w:contextualSpacing w:val="0"/>
              <w:ind w:firstLine="720"/>
              <w:jc w:val="both"/>
              <w:spacing w:line="240" w:lineRule="auto"/>
              <w:rPr>
                <w:color w:val="000000"/>
                <w:sz w:val="24"/>
              </w:rPr>
              <w:suppressLineNumbers w:val="0"/>
            </w:pPr>
            <w:r>
              <w:rPr>
                <w:color w:val="000000"/>
              </w:rPr>
              <w:t xml:space="preserve">Любая информация, предоставленная </w:t>
            </w:r>
            <w:r>
              <w:t xml:space="preserve">Подрядчику</w:t>
            </w:r>
            <w:r>
              <w:rPr>
                <w:color w:val="000000"/>
              </w:rPr>
              <w:t xml:space="preserve"> Заказчиком или ставшая известной в связ</w:t>
            </w:r>
            <w:r>
              <w:rPr>
                <w:color w:val="000000"/>
              </w:rPr>
              <w:t xml:space="preserve">и с в</w:t>
            </w:r>
            <w:r>
              <w:rPr>
                <w:color w:val="000000"/>
              </w:rPr>
              <w:t xml:space="preserve">ыполнением работ по ГК, считается информацией ограниченного доступа, в том числе учетные записи, переданные для предоставления доступа к содержащейся в Системе информации, и не подлежит разглашению или передаче третьим лицам без согласования с Заказчиком. </w:t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  <w:p>
            <w:pPr>
              <w:contextualSpacing w:val="0"/>
              <w:ind w:firstLine="720"/>
              <w:jc w:val="both"/>
              <w:spacing w:line="240" w:lineRule="auto"/>
              <w:rPr>
                <w:color w:val="000000"/>
                <w:sz w:val="24"/>
              </w:rPr>
              <w:suppressLineNumbers w:val="0"/>
            </w:pPr>
            <w:r>
              <w:rPr>
                <w:color w:val="000000"/>
              </w:rPr>
              <w:t xml:space="preserve">В информационных системах, отдельных программно-аппаратных средствах </w:t>
            </w:r>
            <w:r>
              <w:t xml:space="preserve">Подрядчика</w:t>
            </w:r>
            <w:r>
              <w:rPr>
                <w:color w:val="000000"/>
              </w:rPr>
              <w:t xml:space="preserve">, в которых осуществляются обработка и хранение полученной в результате предоставленного доступа информации, должны быть приняты меры по защите информации в соответствии с требованиями о защ</w:t>
            </w:r>
            <w:r>
              <w:rPr>
                <w:color w:val="000000"/>
              </w:rPr>
              <w:t xml:space="preserve">ите информации, содержащейся в государственных информационных системах, иных информационных системах государственных органов, государственных унитарных предприятий, государственных учреждений, утвержденные приказом ФСТЭК России от 11.04.2025 г. № 117. </w:t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  <w:p>
            <w:pPr>
              <w:contextualSpacing w:val="0"/>
              <w:ind w:firstLine="720"/>
              <w:jc w:val="both"/>
              <w:spacing w:line="240" w:lineRule="auto"/>
              <w:rPr>
                <w:color w:val="000000"/>
                <w:sz w:val="24"/>
              </w:rPr>
              <w:suppressLineNumbers w:val="0"/>
            </w:pPr>
            <w:r>
              <w:rPr>
                <w:color w:val="000000"/>
              </w:rPr>
              <w:t xml:space="preserve">Заказчик не несет ответственности за обеспечение соответствующего режима обработки информации ограниченного доступа, переданной </w:t>
            </w:r>
            <w:r>
              <w:t xml:space="preserve">Подрядчиком</w:t>
            </w:r>
            <w:r>
              <w:rPr>
                <w:color w:val="000000"/>
              </w:rPr>
              <w:t xml:space="preserve"> по ГК в рамках выполнения работ.</w:t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  <w:p>
            <w:pPr>
              <w:contextualSpacing w:val="0"/>
              <w:ind w:firstLine="720"/>
              <w:jc w:val="both"/>
              <w:spacing w:line="240" w:lineRule="auto"/>
              <w:rPr>
                <w:color w:val="000000"/>
                <w:sz w:val="24"/>
              </w:rPr>
              <w:suppressLineNumbers w:val="0"/>
            </w:pPr>
            <w:r>
              <w:rPr>
                <w:color w:val="000000"/>
              </w:rPr>
              <w:t xml:space="preserve">Заказчик самостоятельно разрешает или ограничивает доступ к информации, полученной от </w:t>
            </w:r>
            <w:r>
              <w:t xml:space="preserve">Подрядчика</w:t>
            </w:r>
            <w:r>
              <w:rPr>
                <w:b/>
                <w:color w:val="000000"/>
              </w:rPr>
              <w:t xml:space="preserve"> </w:t>
            </w:r>
            <w:r>
              <w:rPr>
                <w:color w:val="000000"/>
              </w:rPr>
              <w:t xml:space="preserve">в рамках выполнения работ, определяет порядок и условия доступа к этой информации.</w:t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  <w:p>
            <w:pPr>
              <w:contextualSpacing w:val="0"/>
              <w:ind w:firstLine="720"/>
              <w:jc w:val="both"/>
              <w:spacing w:line="240" w:lineRule="auto"/>
              <w:rPr>
                <w:color w:val="000000"/>
                <w:sz w:val="24"/>
              </w:rPr>
              <w:suppressLineNumbers w:val="0"/>
            </w:pPr>
            <w:r>
              <w:t xml:space="preserve">Подрядчик</w:t>
            </w:r>
            <w:r>
              <w:rPr>
                <w:color w:val="000000"/>
              </w:rPr>
              <w:t xml:space="preserve"> должен:</w:t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  <w:p>
            <w:pPr>
              <w:contextualSpacing w:val="0"/>
              <w:ind w:firstLine="720"/>
              <w:jc w:val="both"/>
              <w:spacing w:line="240" w:lineRule="auto"/>
              <w:rPr>
                <w:color w:val="000000"/>
                <w:sz w:val="24"/>
              </w:rPr>
              <w:suppressLineNumbers w:val="0"/>
            </w:pPr>
            <w:r>
              <w:rPr>
                <w:color w:val="000000"/>
              </w:rPr>
              <w:t xml:space="preserve">соблюдать установленные на объекте Заказчика режимные требования и пропускной режим;</w:t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  <w:p>
            <w:pPr>
              <w:contextualSpacing w:val="0"/>
              <w:ind w:firstLine="720"/>
              <w:jc w:val="both"/>
              <w:spacing w:line="240" w:lineRule="auto"/>
              <w:rPr>
                <w:color w:val="000000"/>
                <w:sz w:val="24"/>
                <w:highlight w:val="white"/>
              </w:rPr>
              <w:suppressLineNumbers w:val="0"/>
            </w:pPr>
            <w:r>
              <w:rPr>
                <w:color w:val="000000"/>
                <w:highlight w:val="white"/>
              </w:rPr>
              <w:t xml:space="preserve">соблюдать требо</w:t>
            </w:r>
            <w:r>
              <w:rPr>
                <w:color w:val="000000"/>
                <w:highlight w:val="white"/>
              </w:rPr>
              <w:t xml:space="preserve">вания</w:t>
            </w:r>
            <w:r>
              <w:rPr>
                <w:color w:val="000000"/>
                <w:highlight w:val="white"/>
              </w:rPr>
              <w:t xml:space="preserve"> и рекомендации по защите информации в создаваемой</w:t>
            </w:r>
            <w:r>
              <w:rPr>
                <w:color w:val="000000"/>
                <w:highlight w:val="white"/>
              </w:rPr>
              <w:t xml:space="preserve"> Системе, полученные от Заказчика (в частности, параметры настройки общесистемного и прикладного программного обеспечения), или дать мотивированный отказ от выполнения, с предложением компенсирующих мер;</w:t>
            </w:r>
            <w:r>
              <w:rPr>
                <w:color w:val="000000"/>
                <w:sz w:val="24"/>
                <w:highlight w:val="white"/>
              </w:rPr>
            </w:r>
            <w:r>
              <w:rPr>
                <w:color w:val="000000"/>
                <w:sz w:val="24"/>
                <w:highlight w:val="white"/>
              </w:rPr>
            </w:r>
          </w:p>
          <w:p>
            <w:pPr>
              <w:contextualSpacing w:val="0"/>
              <w:ind w:firstLine="720"/>
              <w:jc w:val="both"/>
              <w:spacing w:line="240" w:lineRule="auto"/>
              <w:rPr>
                <w:color w:val="000000"/>
                <w:sz w:val="24"/>
                <w:highlight w:val="white"/>
              </w:rPr>
              <w:suppressLineNumbers w:val="0"/>
            </w:pPr>
            <w:r>
              <w:rPr>
                <w:color w:val="000000"/>
                <w:highlight w:val="white"/>
              </w:rPr>
              <w:t xml:space="preserve">согласовывать с Заказчиком планируемые изменения состава и конфигурации прикладного и общесистемного программного обеспечения Системы;</w:t>
            </w:r>
            <w:r>
              <w:rPr>
                <w:color w:val="000000"/>
                <w:sz w:val="24"/>
                <w:highlight w:val="white"/>
              </w:rPr>
            </w:r>
            <w:r>
              <w:rPr>
                <w:color w:val="000000"/>
                <w:sz w:val="24"/>
                <w:highlight w:val="white"/>
              </w:rPr>
            </w:r>
          </w:p>
          <w:p>
            <w:pPr>
              <w:contextualSpacing w:val="0"/>
              <w:ind w:firstLine="720"/>
              <w:jc w:val="both"/>
              <w:spacing w:line="240" w:lineRule="auto"/>
              <w:rPr>
                <w:color w:val="000000"/>
                <w:sz w:val="24"/>
                <w:highlight w:val="white"/>
              </w:rPr>
              <w:suppressLineNumbers w:val="0"/>
            </w:pPr>
            <w:r>
              <w:rPr>
                <w:color w:val="000000"/>
                <w:highlight w:val="white"/>
              </w:rPr>
              <w:t xml:space="preserve">предоставлять Заказчику </w:t>
            </w:r>
            <w:r>
              <w:rPr>
                <w:color w:val="000000"/>
                <w:highlight w:val="white"/>
              </w:rPr>
              <w:t xml:space="preserve">предл</w:t>
            </w:r>
            <w:r>
              <w:rPr>
                <w:color w:val="000000"/>
                <w:highlight w:val="white"/>
              </w:rPr>
              <w:t xml:space="preserve">ожения по внесению изменений в модель угроз безопасности информации с учетом изменений функционала Системы, произведенных в рамках текущих работ, с учетом п. 2 Требований, утвержденных приказом ФСБ России от 22.08.2026 № 321, или дать мотивированный отказ;</w:t>
            </w:r>
            <w:r>
              <w:rPr>
                <w:color w:val="000000"/>
                <w:sz w:val="24"/>
                <w:highlight w:val="white"/>
              </w:rPr>
            </w:r>
            <w:r>
              <w:rPr>
                <w:color w:val="000000"/>
                <w:sz w:val="24"/>
                <w:highlight w:val="white"/>
              </w:rPr>
            </w:r>
          </w:p>
          <w:p>
            <w:pPr>
              <w:contextualSpacing w:val="0"/>
              <w:ind w:firstLine="720"/>
              <w:jc w:val="both"/>
              <w:spacing w:line="240" w:lineRule="auto"/>
              <w:rPr>
                <w:color w:val="000000"/>
                <w:sz w:val="24"/>
                <w:highlight w:val="white"/>
              </w:rPr>
              <w:suppressLineNumbers w:val="0"/>
            </w:pPr>
            <w:r>
              <w:rPr>
                <w:color w:val="000000"/>
                <w:highlight w:val="white"/>
              </w:rPr>
              <w:t xml:space="preserve">обеспечивать установку обновлений безопасности используемых программных компонентов (базового и специализированного ПО) и операционных систем с учетом особенностей функционирования Системы;</w:t>
            </w:r>
            <w:r>
              <w:rPr>
                <w:color w:val="000000"/>
                <w:sz w:val="24"/>
                <w:highlight w:val="white"/>
              </w:rPr>
            </w:r>
            <w:r>
              <w:rPr>
                <w:color w:val="000000"/>
                <w:sz w:val="24"/>
                <w:highlight w:val="white"/>
              </w:rPr>
            </w:r>
          </w:p>
          <w:p>
            <w:pPr>
              <w:contextualSpacing w:val="0"/>
              <w:ind w:firstLine="720"/>
              <w:jc w:val="both"/>
              <w:spacing w:line="240" w:lineRule="auto"/>
              <w:rPr>
                <w:color w:val="000000"/>
                <w:sz w:val="24"/>
              </w:rPr>
              <w:suppressLineNumbers w:val="0"/>
            </w:pPr>
            <w:r>
              <w:rPr>
                <w:color w:val="000000"/>
                <w:highlight w:val="white"/>
              </w:rPr>
              <w:t xml:space="preserve">незамедлительно информировать Заказчика </w:t>
            </w:r>
            <w:r>
              <w:rPr>
                <w:color w:val="000000"/>
              </w:rPr>
              <w:t xml:space="preserve">в случае возникновения у</w:t>
            </w:r>
            <w:r>
              <w:rPr>
                <w:color w:val="000000"/>
              </w:rPr>
              <w:t xml:space="preserve">гроз и фак</w:t>
            </w:r>
            <w:r>
              <w:rPr>
                <w:color w:val="000000"/>
              </w:rPr>
              <w:t xml:space="preserve">тов сбоя и (или) нарушений в работе Системы, возникновения угроз и фактов утечки информации, а также нарушений требований о защите информации, которые могут привести к нарушению функционирования Системы и (или) нарушению сроков и качества выполнения работ;</w:t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  <w:p>
            <w:pPr>
              <w:contextualSpacing w:val="0"/>
              <w:ind w:firstLine="720"/>
              <w:jc w:val="both"/>
              <w:spacing w:line="240" w:lineRule="auto"/>
              <w:rPr>
                <w:color w:val="000000"/>
                <w:sz w:val="24"/>
              </w:rPr>
              <w:suppressLineNumbers w:val="0"/>
            </w:pPr>
            <w:r>
              <w:rPr>
                <w:color w:val="000000"/>
              </w:rPr>
              <w:t xml:space="preserve">оперативно принимать меры по устранению нарушений требований о защите информации, которые могут привести к утечкам информации и (или) нарушению функционирования Системы и (или) нарушению сроков и качества выполнения работ; </w:t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  <w:p>
            <w:pPr>
              <w:contextualSpacing w:val="0"/>
              <w:ind w:firstLine="720"/>
              <w:jc w:val="both"/>
              <w:spacing w:line="240" w:lineRule="auto"/>
              <w:rPr>
                <w:color w:val="000000"/>
                <w:sz w:val="24"/>
              </w:rPr>
              <w:suppressLineNumbers w:val="0"/>
            </w:pPr>
            <w:r>
              <w:rPr>
                <w:color w:val="000000"/>
              </w:rPr>
              <w:t xml:space="preserve">обеспечивать контроль и учет действий своих работников (р</w:t>
            </w:r>
            <w:r>
              <w:rPr>
                <w:color w:val="000000"/>
              </w:rPr>
              <w:t xml:space="preserve">аботн</w:t>
            </w:r>
            <w:r>
              <w:rPr>
                <w:color w:val="000000"/>
              </w:rPr>
              <w:t xml:space="preserve">иков субподрядчиков, привлекаемых к выполнению работ), имеющих доступ к программно-техническим средствам, средствам защиты информации Системы, информации ограниченного доступа Заказчика, а также имеющих возможность изменения конфигурации указанных средств;</w:t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  <w:p>
            <w:pPr>
              <w:contextualSpacing w:val="0"/>
              <w:ind w:firstLine="720"/>
              <w:jc w:val="both"/>
              <w:spacing w:line="240" w:lineRule="auto"/>
              <w:rPr>
                <w:color w:val="000000"/>
                <w:sz w:val="24"/>
                <w:highlight w:val="white"/>
              </w:rPr>
              <w:suppressLineNumbers w:val="0"/>
            </w:pPr>
            <w:r>
              <w:rPr>
                <w:color w:val="000000"/>
                <w:highlight w:val="white"/>
              </w:rPr>
              <w:t xml:space="preserve">определять и предоставлять Заказчику на согласование перечень ресурсов, подлежащих резервированию, периодичность резе</w:t>
            </w:r>
            <w:r>
              <w:rPr>
                <w:color w:val="000000"/>
                <w:highlight w:val="white"/>
              </w:rPr>
              <w:t xml:space="preserve">рвиро</w:t>
            </w:r>
            <w:r>
              <w:rPr>
                <w:color w:val="000000"/>
                <w:highlight w:val="white"/>
              </w:rPr>
              <w:t xml:space="preserve">вания, а также порядок и сроки восстановления работоспособности Системы. По согласованию с Заказчиком оформляется документ «Порядок организации резервирования и восстановления программного обеспечения и информации, обрабатываемой в информационной системе»;</w:t>
            </w:r>
            <w:r>
              <w:rPr>
                <w:color w:val="000000"/>
                <w:sz w:val="24"/>
                <w:highlight w:val="white"/>
              </w:rPr>
            </w:r>
            <w:r>
              <w:rPr>
                <w:color w:val="000000"/>
                <w:sz w:val="24"/>
                <w:highlight w:val="white"/>
              </w:rPr>
            </w:r>
          </w:p>
          <w:p>
            <w:pPr>
              <w:contextualSpacing w:val="0"/>
              <w:ind w:firstLine="720"/>
              <w:jc w:val="both"/>
              <w:spacing w:line="240" w:lineRule="auto"/>
              <w:rPr>
                <w:color w:val="000000"/>
                <w:sz w:val="24"/>
                <w:highlight w:val="white"/>
              </w:rPr>
              <w:suppressLineNumbers w:val="0"/>
            </w:pPr>
            <w:r>
              <w:rPr>
                <w:color w:val="000000"/>
                <w:highlight w:val="white"/>
              </w:rPr>
              <w:t xml:space="preserve">осуществлять резервное копирование данных на выделенное Заказчиком отдельное хранилище;</w:t>
            </w:r>
            <w:r>
              <w:rPr>
                <w:color w:val="000000"/>
                <w:sz w:val="24"/>
                <w:highlight w:val="white"/>
              </w:rPr>
            </w:r>
            <w:r>
              <w:rPr>
                <w:color w:val="000000"/>
                <w:sz w:val="24"/>
                <w:highlight w:val="white"/>
              </w:rPr>
            </w:r>
          </w:p>
          <w:p>
            <w:pPr>
              <w:contextualSpacing w:val="0"/>
              <w:ind w:firstLine="720"/>
              <w:jc w:val="both"/>
              <w:spacing w:line="240" w:lineRule="auto"/>
              <w:rPr>
                <w:color w:val="000000"/>
                <w:sz w:val="24"/>
              </w:rPr>
              <w:suppressLineNumbers w:val="0"/>
            </w:pPr>
            <w:r>
              <w:rPr>
                <w:color w:val="000000"/>
              </w:rPr>
              <w:t xml:space="preserve">осуществлять восстановление работоспособности Системы в случаях сбоя и при возникновении нештатных ситуаций. </w:t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  <w:p>
            <w:pPr>
              <w:contextualSpacing w:val="0"/>
              <w:ind w:firstLine="720"/>
              <w:jc w:val="both"/>
              <w:spacing w:line="240" w:lineRule="auto"/>
              <w:rPr>
                <w:color w:val="000000"/>
                <w:sz w:val="24"/>
              </w:rPr>
              <w:suppressLineNumbers w:val="0"/>
            </w:pPr>
            <w:r>
              <w:rPr>
                <w:color w:val="000000"/>
              </w:rPr>
              <w:t xml:space="preserve">Запрещается использовать и (или) размещать исходные коды Системы в размещенных за пределами территории Российской Федерации каталогах систем контроля версий (GitHub, GitLab и т.д.).</w:t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  <w:p>
            <w:pPr>
              <w:contextualSpacing w:val="0"/>
              <w:ind w:firstLine="720"/>
              <w:jc w:val="both"/>
              <w:spacing w:line="240" w:lineRule="auto"/>
              <w:rPr>
                <w:color w:val="000000"/>
              </w:rPr>
              <w:suppressLineNumbers w:val="0"/>
            </w:pPr>
            <w:r>
              <w:rPr>
                <w:color w:val="000000"/>
              </w:rPr>
              <w:t xml:space="preserve">Заказчик обеспечивает </w:t>
            </w:r>
            <w:r>
              <w:t xml:space="preserve">Подрядчику</w:t>
            </w:r>
            <w:r>
              <w:rPr>
                <w:color w:val="000000"/>
              </w:rPr>
              <w:t xml:space="preserve"> доступ к Системе в объеме, необходимом и достаточном для исполнения требований ООЗ.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contextualSpacing w:val="0"/>
              <w:ind w:firstLine="720"/>
              <w:jc w:val="both"/>
              <w:spacing w:line="240" w:lineRule="auto"/>
              <w:rPr>
                <w:color w:val="000000"/>
                <w:sz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uppressLineNumbers w:val="0"/>
            </w:pPr>
            <w:r>
              <w:rPr>
                <w:color w:val="000000"/>
              </w:rPr>
              <w:t xml:space="preserve">В случае, если выполнение работ, предусмотренных ГК, осуществляется </w:t>
            </w:r>
            <w:r>
              <w:t xml:space="preserve">Подрядчиком</w:t>
            </w:r>
            <w:r>
              <w:rPr>
                <w:color w:val="000000"/>
              </w:rPr>
              <w:t xml:space="preserve"> посредством удаленного сетевого доступа с использованием средств информационных технологий и телекоммуникаций, то такой доступ осуществляется с применением средст</w:t>
            </w:r>
            <w:r>
              <w:rPr>
                <w:color w:val="000000"/>
              </w:rPr>
              <w:t xml:space="preserve">в криптографической защиты информации (предоставляются Заказчиком), прошедших в установленном порядке процедуру оценки соответствия требованиям безопасности информации, защиты в соответствии с законодательством Российской Федерации, а также в соответствии </w:t>
            </w:r>
            <w:r>
              <w:rPr>
                <w:color w:val="000000"/>
              </w:rPr>
              <w:t xml:space="preserve">с Политикой обеспечения безопасности удаленного доступа к корпоративной сети органов государственной власти автономного округа,  утвержденной приказом Департамента информационных технологий и цифрового развития автономного округа от 13.10.2020 № 08-Пр-247.</w:t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  <w:p>
            <w:pPr>
              <w:contextualSpacing w:val="0"/>
              <w:ind w:firstLine="720"/>
              <w:jc w:val="both"/>
              <w:spacing w:line="240" w:lineRule="auto"/>
              <w:rPr>
                <w:color w:val="000000"/>
              </w:rPr>
              <w:suppressLineNumbers w:val="0"/>
            </w:pPr>
            <w:r>
              <w:t xml:space="preserve">Подрядчик</w:t>
            </w:r>
            <w:r>
              <w:rPr>
                <w:color w:val="000000"/>
              </w:rPr>
              <w:t xml:space="preserve"> для выполнения работ в удаленном режиме организует АРМ, находящиеся на территории Российской Федерации, с доступом к Системе только с сетевых адресов, закрепленных за автономными системами Российской Федерации. АРМ, </w:t>
            </w:r>
            <w:r>
              <w:rPr>
                <w:color w:val="333333"/>
                <w:shd w:val="clear" w:color="auto" w:fill="ffffff"/>
              </w:rPr>
              <w:t xml:space="preserve">в которых осуществляются обработка и хранение полученной в результате предоставленного доступа информации, должны </w:t>
            </w:r>
            <w:r>
              <w:rPr>
                <w:color w:val="000000"/>
              </w:rPr>
              <w:t xml:space="preserve">соответствовать согласованным с Заказчиком требованиям по защите информации и обеспечивать уровень защищенности информации и класса защиты Системы не ниже установленного для Системы. </w:t>
            </w:r>
            <w:r>
              <w:t xml:space="preserve">Подрядчик</w:t>
            </w:r>
            <w:r>
              <w:rPr>
                <w:color w:val="000000"/>
              </w:rPr>
              <w:t xml:space="preserve"> обеспечивает наличие сертифицированных средств защиты информации (средств антивирусной защиты информации, средств защиты информации от НСД, персональный ид</w:t>
            </w:r>
            <w:r>
              <w:rPr>
                <w:color w:val="000000"/>
              </w:rPr>
              <w:t xml:space="preserve">ентиф</w:t>
            </w:r>
            <w:r>
              <w:rPr>
                <w:color w:val="000000"/>
              </w:rPr>
              <w:t xml:space="preserve">икатор Пользователя и т.д.) и организационно-распорядительных документов по защите информации в Системе на период выполнения работ. На указанных рабочих местах не должно быть подключений к информационным системам третьих лиц, не связанных с исполнением ГК.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contextualSpacing w:val="0"/>
              <w:ind w:firstLine="720"/>
              <w:jc w:val="both"/>
              <w:spacing w:line="240" w:lineRule="auto"/>
              <w:rPr>
                <w:color w:val="000000"/>
                <w:sz w:val="24"/>
                <w:szCs w:val="24"/>
              </w:rPr>
              <w:suppressLineNumbers w:val="0"/>
            </w:pPr>
            <w:r/>
            <w:bookmarkStart w:id="4" w:name="_Hlk238131175"/>
            <w:r>
              <w:t xml:space="preserve">Для получения удаленного доступа Подрядчик в течение 5 календарных дней с даты заключения государственного контракта подает зая</w:t>
            </w:r>
            <w:r>
              <w:t xml:space="preserve">вку на предоставление доступа через имеющееся у Заказчика сертифицированное программное обеспечение в соответствии с политикой обеспечения безопасности удаленного доступа к корпоративной сети исполнительных органов автономного округа. </w:t>
            </w:r>
            <w:bookmarkEnd w:id="4"/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contextualSpacing w:val="0"/>
              <w:ind w:firstLine="720"/>
              <w:jc w:val="both"/>
              <w:spacing w:line="240" w:lineRule="auto"/>
              <w:rPr>
                <w:color w:val="000000"/>
                <w:sz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uppressLineNumbers w:val="0"/>
            </w:pPr>
            <w:r>
              <w:t xml:space="preserve">Подрядчик</w:t>
            </w:r>
            <w:r>
              <w:rPr>
                <w:color w:val="000000"/>
              </w:rPr>
              <w:t xml:space="preserve"> назначает ответственного за информационную безопасность и направляет его контактные данные на адрес электронной почты ib@admhmao.ru для взаимодействия в случае инцидентов информационной безопасности. </w:t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  <w:p>
            <w:pPr>
              <w:contextualSpacing w:val="0"/>
              <w:ind w:firstLine="720"/>
              <w:jc w:val="both"/>
              <w:spacing w:line="240" w:lineRule="auto"/>
              <w:rPr>
                <w:color w:val="000000"/>
                <w:sz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uppressLineNumbers w:val="0"/>
            </w:pPr>
            <w:r>
              <w:rPr>
                <w:color w:val="000000"/>
              </w:rPr>
              <w:t xml:space="preserve">Заказчик может провести техническую проверку использования </w:t>
            </w:r>
            <w:r>
              <w:t xml:space="preserve">Подрядчиком</w:t>
            </w:r>
            <w:r>
              <w:rPr>
                <w:color w:val="000000"/>
              </w:rPr>
              <w:t xml:space="preserve"> данных, полученных в рамках исполнения ГК, с выяснением целей использования указанных данных, а также для предотвращения сохранения </w:t>
            </w:r>
            <w:r>
              <w:t xml:space="preserve">Подрядчиком</w:t>
            </w:r>
            <w:r>
              <w:rPr>
                <w:color w:val="000000"/>
              </w:rPr>
              <w:t xml:space="preserve"> полученных из Системы данных </w:t>
            </w:r>
            <w:r>
              <w:rPr>
                <w:color w:val="000000"/>
              </w:rPr>
              <w:t xml:space="preserve"> и передачи их третьим лицам.</w:t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  <w:p>
            <w:pPr>
              <w:contextualSpacing w:val="0"/>
              <w:ind w:firstLine="720"/>
              <w:jc w:val="both"/>
              <w:spacing w:line="240" w:lineRule="auto"/>
              <w:rPr>
                <w:color w:val="000000"/>
                <w:sz w:val="24"/>
                <w:highlight w:val="none"/>
              </w:rPr>
              <w:suppressLineNumbers w:val="0"/>
            </w:pPr>
            <w:r>
              <w:rPr>
                <w:color w:val="000000"/>
                <w:highlight w:val="none"/>
              </w:rPr>
              <w:t xml:space="preserve">Результаты работ в соответствии с Требованиями, утвержденными постановлением Правительства Российской Федерации от 06.07.2015 № 676 «О треб</w:t>
            </w:r>
            <w:r>
              <w:rPr>
                <w:color w:val="000000"/>
                <w:highlight w:val="none"/>
              </w:rPr>
              <w:t xml:space="preserve">ованиях к порядку создания, развития, ввода в эксплуатацию, эксплуатации и вывода из эксплуатации государственных информационных систем и дальнейшего хранения содержащейся в их базах данных информации», не должны отрицательно влиять на получение аттестата </w:t>
            </w:r>
            <w:r>
              <w:rPr>
                <w:color w:val="000000"/>
                <w:highlight w:val="none"/>
              </w:rPr>
              <w:t xml:space="preserve">соответствия требованиям о защите информации в с</w:t>
            </w:r>
            <w:r>
              <w:rPr>
                <w:color w:val="000000"/>
                <w:highlight w:val="none"/>
              </w:rPr>
              <w:t xml:space="preserve">оответствии с Порядком организации и проведения работ по аттестации объектов информатизации на соответствие требованиям о защите информации ограниченного доступа, не составляющей государственную тайну, утвержденным приказом ФСТЭК России от 29.04.2021 № 77.</w:t>
            </w:r>
            <w:r>
              <w:rPr>
                <w:color w:val="000000"/>
                <w:sz w:val="24"/>
                <w:highlight w:val="none"/>
              </w:rPr>
            </w:r>
            <w:r>
              <w:rPr>
                <w:color w:val="000000"/>
                <w:sz w:val="24"/>
                <w:highlight w:val="none"/>
              </w:rPr>
            </w:r>
          </w:p>
        </w:tc>
      </w:tr>
      <w:tr>
        <w:tblPrEx/>
        <w:trPr>
          <w:trHeight w:val="765"/>
        </w:trPr>
        <w:tc>
          <w:tcPr>
            <w:tcW w:w="1000" w:type="dxa"/>
            <w:textDirection w:val="lrTb"/>
            <w:noWrap w:val="false"/>
          </w:tcPr>
          <w:p>
            <w:pPr>
              <w:pStyle w:val="757"/>
              <w:numPr>
                <w:ilvl w:val="0"/>
                <w:numId w:val="9"/>
              </w:numPr>
              <w:contextualSpacing w:val="0"/>
              <w:ind w:left="0" w:firstLine="0"/>
              <w:jc w:val="center"/>
            </w:pPr>
            <w:r/>
            <w:r/>
          </w:p>
        </w:tc>
        <w:tc>
          <w:tcPr>
            <w:shd w:val="clear" w:color="ffffff" w:fill="ffffff"/>
            <w:tcW w:w="2401" w:type="dxa"/>
            <w:textDirection w:val="lrTb"/>
            <w:noWrap w:val="false"/>
          </w:tcPr>
          <w:p>
            <w:pPr>
              <w:ind w:firstLine="0"/>
              <w:jc w:val="left"/>
              <w:spacing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t xml:space="preserve">Требования к порядку проведения приемо-сдаточных испытаний</w:t>
            </w:r>
            <w:r/>
          </w:p>
          <w:p>
            <w:pPr>
              <w:ind w:firstLine="0"/>
              <w:jc w:val="left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1099" w:type="dxa"/>
            <w:textDirection w:val="lrTb"/>
            <w:noWrap w:val="false"/>
          </w:tcPr>
          <w:p>
            <w:pPr>
              <w:contextualSpacing w:val="0"/>
              <w:ind w:firstLine="720"/>
              <w:jc w:val="both"/>
              <w:spacing w:line="240" w:lineRule="auto"/>
              <w:rPr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uppressLineNumbers w:val="0"/>
            </w:pPr>
            <w:r/>
            <w:bookmarkStart w:id="5" w:name="_Hlk238131182"/>
            <w:r>
              <w:rPr>
                <w:lang w:eastAsia="ru-RU"/>
              </w:rPr>
              <w:t xml:space="preserve">Приемка выполненных работ Заказчиком з</w:t>
            </w:r>
            <w:r>
              <w:rPr>
                <w:lang w:eastAsia="ru-RU"/>
              </w:rPr>
              <w:t xml:space="preserve">аключается в рассмотрении, оценке и проверке выполненных работ на соответствие данному ООЗ, а также в соответствии с условиями ГК. Приемка работ должна проводиться поэтапно в соответствии с Распределением работ по этапам</w:t>
            </w:r>
            <w:r>
              <w:rPr>
                <w:highlight w:val="none"/>
                <w:lang w:eastAsia="ru-RU"/>
              </w:rPr>
              <w:t xml:space="preserve"> (Приложение 3 к ООЗ).</w:t>
            </w:r>
            <w:bookmarkEnd w:id="5"/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contextualSpacing w:val="0"/>
              <w:ind w:firstLine="720"/>
              <w:jc w:val="both"/>
              <w:spacing w:line="240" w:lineRule="auto"/>
              <w:rPr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uppressLineNumbers w:val="0"/>
            </w:pPr>
            <w:r>
              <w:rPr>
                <w:lang w:eastAsia="ru-RU"/>
              </w:rPr>
              <w:t xml:space="preserve">ПСИ проводятся в соответствии с Программой и методикой испытаний, разрабатываемой </w:t>
            </w:r>
            <w:r>
              <w:t xml:space="preserve">Подрядчиком</w:t>
            </w:r>
            <w:r>
              <w:rPr>
                <w:lang w:eastAsia="ru-RU"/>
              </w:rPr>
              <w:t xml:space="preserve">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contextualSpacing w:val="0"/>
              <w:ind w:firstLine="720"/>
              <w:jc w:val="both"/>
              <w:spacing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uppressLineNumbers w:val="0"/>
            </w:pPr>
            <w:r>
              <w:rPr>
                <w:lang w:eastAsia="ru-RU"/>
              </w:rPr>
              <w:t xml:space="preserve">ПМИ направляется на согласование Заказчику в срок не позднее 10 рабочих дней до окончания срока выполнения работ.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uppressLineNumbers w:val="0"/>
            </w:pPr>
            <w:r>
              <w:rPr>
                <w:lang w:eastAsia="ru-RU"/>
              </w:rPr>
              <w:t xml:space="preserve">ПСИ проводятся комиссией, формируемой из представителей Заказчика. Заказчик может включить в состав комиссии независимых экспертов. По итогам проведения ПСИ комиссией составляется протокол ПСИ.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rPr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uppressLineNumbers w:val="0"/>
            </w:pPr>
            <w:r>
              <w:rPr>
                <w:lang w:eastAsia="ru-RU"/>
              </w:rPr>
              <w:t xml:space="preserve">При наличии замечаний, зафиксированных в протоколе ПСИ, </w:t>
            </w:r>
            <w:r>
              <w:t xml:space="preserve">Подрядчик </w:t>
            </w:r>
            <w:r>
              <w:rPr>
                <w:lang w:eastAsia="ru-RU"/>
              </w:rPr>
              <w:t xml:space="preserve">обязан устранить замечания в согласованный с Заказчиком срок и провести повторные ПСИ не позднее 5 (пяти) рабочих дней после устранения замечаний.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3359"/>
        </w:trPr>
        <w:tc>
          <w:tcPr>
            <w:tcW w:w="1000" w:type="dxa"/>
            <w:textDirection w:val="lrTb"/>
            <w:noWrap w:val="false"/>
          </w:tcPr>
          <w:p>
            <w:pPr>
              <w:pStyle w:val="757"/>
              <w:numPr>
                <w:ilvl w:val="0"/>
                <w:numId w:val="9"/>
              </w:numPr>
              <w:contextualSpacing w:val="0"/>
              <w:ind w:left="0" w:firstLine="0"/>
              <w:jc w:val="center"/>
            </w:pPr>
            <w:r/>
            <w:r/>
          </w:p>
        </w:tc>
        <w:tc>
          <w:tcPr>
            <w:shd w:val="clear" w:color="ffffff" w:fill="ffffff"/>
            <w:tcW w:w="2401" w:type="dxa"/>
            <w:textDirection w:val="lrTb"/>
            <w:noWrap w:val="false"/>
          </w:tcPr>
          <w:p>
            <w:pPr>
              <w:ind w:firstLine="0"/>
              <w:jc w:val="left"/>
              <w:spacing w:line="240" w:lineRule="auto"/>
              <w:rPr>
                <w:sz w:val="24"/>
                <w:szCs w:val="24"/>
              </w:rPr>
            </w:pPr>
            <w:r>
              <w:t xml:space="preserve">Требования к результатам выполнения работ и составу документации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1099" w:type="dxa"/>
            <w:textDirection w:val="lrTb"/>
            <w:noWrap w:val="false"/>
          </w:tcPr>
          <w:p>
            <w:pPr>
              <w:contextualSpacing w:val="0"/>
              <w:ind w:firstLine="720"/>
              <w:jc w:val="both"/>
              <w:spacing w:line="240" w:lineRule="auto"/>
              <w:suppressLineNumbers w:val="0"/>
            </w:pPr>
            <w:r>
              <w:t xml:space="preserve">Состав документации, которую Подрядчик предоставляет Заказчику в ходе исполнения ГК: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uppressLineNumbers w:val="0"/>
            </w:pPr>
            <w:r>
              <w:t xml:space="preserve">Программа и методика испытаний;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uppressLineNumbers w:val="0"/>
            </w:pPr>
            <w:r>
              <w:t xml:space="preserve">Руководство пользователя для подсистемы «Бухгалтерский учет»;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uppressLineNumbers w:val="0"/>
            </w:pPr>
            <w:r>
              <w:t xml:space="preserve">Руководство пользователя для подсистемы «Кадровый учет и расчет заработной платы»;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uppressLineNumbers w:val="0"/>
            </w:pPr>
            <w:r>
              <w:t xml:space="preserve">Руководство пользователя для подсистемы регламентированной сводной отчетности;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rPr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uppressLineNumbers w:val="0"/>
            </w:pPr>
            <w:r>
              <w:t xml:space="preserve">Руководство пользователя для подсистемы централизованного обслуживания;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contextualSpacing w:val="0"/>
              <w:ind w:firstLine="720"/>
              <w:jc w:val="both"/>
              <w:spacing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uppressLineNumbers w:val="0"/>
            </w:pPr>
            <w:r>
              <w:rPr>
                <w:highlight w:val="none"/>
              </w:rPr>
              <w:t xml:space="preserve">Инструкция по настройке «тонкого клиента» на рабочих местах пользователей.</w:t>
            </w:r>
            <w:r>
              <w:rPr>
                <w:highlight w:val="none"/>
              </w:rPr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uppressLineNumbers w:val="0"/>
            </w:pPr>
            <w:r>
              <w:t xml:space="preserve">Качество выполненных работ должно соответствовать всей нормативно-технической документации, установленной законодательством РФ для данного вида услуг.</w:t>
            </w:r>
            <w:r/>
          </w:p>
          <w:p>
            <w:pPr>
              <w:contextualSpacing w:val="0"/>
              <w:ind w:firstLine="720"/>
              <w:jc w:val="both"/>
              <w:spacing w:line="240" w:lineRule="auto"/>
              <w:rPr>
                <w:sz w:val="24"/>
                <w:szCs w:val="24"/>
              </w:rPr>
              <w:suppressLineNumbers w:val="0"/>
            </w:pPr>
            <w:r>
              <w:t xml:space="preserve">Документация предоставляется в электронном виде.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tabs>
          <w:tab w:val="num" w:pos="-21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shd w:val="nil" w:color="auto"/>
      </w:pPr>
      <w:r>
        <w:rPr>
          <w:bCs/>
          <w:highlight w:val="none"/>
        </w:rPr>
        <w:br w:type="page" w:clear="all"/>
      </w:r>
      <w:r>
        <w:rPr>
          <w:bCs/>
          <w:highlight w:val="none"/>
        </w:rPr>
      </w:r>
      <w:r/>
    </w:p>
    <w:p>
      <w:pPr>
        <w:contextualSpacing w:val="0"/>
        <w:jc w:val="right"/>
        <w:spacing w:before="0" w:after="0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32"/>
          <w:szCs w:val="32"/>
        </w:rPr>
      </w: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Приложение 1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 w:val="0"/>
        <w:ind w:left="35" w:right="-2"/>
        <w:jc w:val="right"/>
        <w:spacing w:before="0" w:after="0" w:line="240" w:lineRule="auto"/>
        <w:widowControl w:val="off"/>
        <w:tabs>
          <w:tab w:val="center" w:pos="4677" w:leader="none"/>
          <w:tab w:val="right" w:pos="8789" w:leader="none"/>
        </w:tabs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к Описанию объекта закупки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 w:val="0"/>
        <w:ind w:left="35"/>
        <w:jc w:val="left"/>
        <w:spacing w:before="0" w:after="0" w:line="240" w:lineRule="auto"/>
        <w:widowControl w:val="off"/>
        <w:tabs>
          <w:tab w:val="center" w:pos="4677" w:leader="none"/>
          <w:tab w:val="right" w:pos="9355" w:leader="none"/>
        </w:tabs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 w:val="0"/>
        <w:ind w:left="35"/>
        <w:jc w:val="center"/>
        <w:spacing w:before="0" w:after="0" w:line="240" w:lineRule="auto"/>
        <w:widowControl w:val="off"/>
        <w:tabs>
          <w:tab w:val="center" w:pos="4677" w:leader="none"/>
          <w:tab w:val="right" w:pos="9355" w:leader="none"/>
        </w:tabs>
        <w:rPr>
          <w:rFonts w:ascii="Times New Roman" w:hAnsi="Times New Roman" w:cs="Times New Roman"/>
          <w:sz w:val="36"/>
          <w:szCs w:val="36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Перечень неисключительных (пользовательских) прав на программное обеспечение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,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п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е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р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е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д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а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в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а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е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м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е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З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а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к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а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з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ч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и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к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у</w:t>
      </w:r>
      <w:r>
        <w:rPr>
          <w:rFonts w:ascii="Times New Roman" w:hAnsi="Times New Roman" w:cs="Times New Roman"/>
          <w:sz w:val="36"/>
          <w:szCs w:val="36"/>
          <w:highlight w:val="none"/>
        </w:rPr>
      </w:r>
      <w:r>
        <w:rPr>
          <w:rFonts w:ascii="Times New Roman" w:hAnsi="Times New Roman" w:cs="Times New Roman"/>
          <w:sz w:val="36"/>
          <w:szCs w:val="36"/>
          <w:highlight w:val="none"/>
        </w:rPr>
      </w:r>
    </w:p>
    <w:p>
      <w:pPr>
        <w:contextualSpacing w:val="0"/>
        <w:ind w:left="35"/>
        <w:jc w:val="center"/>
        <w:spacing w:before="0" w:after="0" w:line="240" w:lineRule="auto"/>
        <w:widowControl w:val="off"/>
        <w:tabs>
          <w:tab w:val="center" w:pos="4677" w:leader="none"/>
          <w:tab w:val="right" w:pos="9355" w:leader="none"/>
        </w:tabs>
        <w:rPr>
          <w:rFonts w:ascii="Times New Roman" w:hAnsi="Times New Roman" w:eastAsia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sz w:val="36"/>
          <w:szCs w:val="36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tbl>
      <w:tblPr>
        <w:tblW w:w="5226" w:type="pct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57" w:type="dxa"/>
          <w:top w:w="57" w:type="dxa"/>
          <w:right w:w="57" w:type="dxa"/>
          <w:bottom w:w="57" w:type="dxa"/>
        </w:tblCellMar>
        <w:tblLook w:val="04A0" w:firstRow="1" w:lastRow="0" w:firstColumn="1" w:lastColumn="0" w:noHBand="0" w:noVBand="1"/>
      </w:tblPr>
      <w:tblGrid>
        <w:gridCol w:w="316"/>
        <w:gridCol w:w="1290"/>
        <w:gridCol w:w="1257"/>
        <w:gridCol w:w="568"/>
        <w:gridCol w:w="1374"/>
        <w:gridCol w:w="1682"/>
        <w:gridCol w:w="1122"/>
        <w:gridCol w:w="1122"/>
        <w:gridCol w:w="1122"/>
        <w:gridCol w:w="864"/>
        <w:gridCol w:w="786"/>
        <w:gridCol w:w="1606"/>
        <w:gridCol w:w="1457"/>
        <w:gridCol w:w="1107"/>
      </w:tblGrid>
      <w:tr>
        <w:tblPrEx/>
        <w:trPr/>
        <w:tc>
          <w:tcPr>
            <w:gridSpan w:val="9"/>
            <w:tcW w:w="9856" w:type="dxa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bCs/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Тип объекта закупки</w:t>
            </w:r>
            <w:r>
              <w:rPr>
                <w:sz w:val="20"/>
                <w:szCs w:val="20"/>
                <w:lang w:val="en-US"/>
              </w:rPr>
            </w:r>
            <w:r>
              <w:rPr>
                <w:bCs/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gridSpan w:val="3"/>
            <w:tcW w:w="3255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bCs/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Услуги</w:t>
            </w:r>
            <w:r>
              <w:rPr>
                <w:sz w:val="20"/>
                <w:szCs w:val="20"/>
                <w:lang w:val="en-US"/>
              </w:rPr>
            </w:r>
            <w:r>
              <w:rPr>
                <w:bCs/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457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Вид требования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07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bCs/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Обоснование невозможности соблюдения запрета, ограничения</w:t>
            </w:r>
            <w:r>
              <w:rPr>
                <w:sz w:val="20"/>
                <w:szCs w:val="20"/>
                <w:lang w:val="en-US"/>
              </w:rPr>
            </w:r>
            <w:r>
              <w:rPr>
                <w:bCs/>
                <w:sz w:val="20"/>
                <w:szCs w:val="20"/>
                <w:lang w:val="en-US"/>
                <w14:ligatures w14:val="none"/>
              </w:rPr>
            </w:r>
          </w:p>
        </w:tc>
      </w:tr>
      <w:tr>
        <w:tblPrEx/>
        <w:trPr>
          <w:trHeight w:val="230"/>
        </w:trPr>
        <w:tc>
          <w:tcPr>
            <w:tcW w:w="316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bCs/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№ п/п</w:t>
            </w:r>
            <w:r>
              <w:rPr>
                <w:sz w:val="20"/>
                <w:szCs w:val="20"/>
                <w:lang w:val="en-US"/>
              </w:rPr>
            </w:r>
            <w:r>
              <w:rPr>
                <w:bCs/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290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bCs/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Наименование товара, работы, услуги</w:t>
            </w:r>
            <w:r>
              <w:rPr>
                <w:sz w:val="20"/>
                <w:szCs w:val="20"/>
                <w:lang w:val="en-US"/>
              </w:rPr>
            </w:r>
            <w:r>
              <w:rPr>
                <w:bCs/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257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bCs/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КТРУ/ОКПД2</w:t>
            </w:r>
            <w:r>
              <w:rPr>
                <w:sz w:val="20"/>
                <w:szCs w:val="20"/>
                <w:lang w:val="en-US"/>
              </w:rPr>
            </w:r>
            <w:r>
              <w:rPr>
                <w:bCs/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gridSpan w:val="6"/>
            <w:tcW w:w="6992" w:type="dxa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bCs/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Характеристики товара, работы, услуги</w:t>
            </w:r>
            <w:r>
              <w:rPr>
                <w:sz w:val="20"/>
                <w:szCs w:val="20"/>
                <w:lang w:val="en-US"/>
              </w:rPr>
            </w:r>
            <w:r>
              <w:rPr>
                <w:bCs/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864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bCs/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Количество товара (объем работы, услуги)</w:t>
            </w:r>
            <w:r>
              <w:rPr>
                <w:sz w:val="20"/>
                <w:szCs w:val="20"/>
                <w:lang w:val="en-US"/>
              </w:rPr>
            </w:r>
            <w:r>
              <w:rPr>
                <w:bCs/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786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bCs/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Единица измерения</w:t>
            </w:r>
            <w:r>
              <w:rPr>
                <w:sz w:val="20"/>
                <w:szCs w:val="20"/>
                <w:lang w:val="en-US"/>
              </w:rPr>
            </w:r>
            <w:r>
              <w:rPr>
                <w:bCs/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606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bCs/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Обоснование включения дополнительной информации и сведений о товаре, работе, услуге</w:t>
            </w:r>
            <w:r>
              <w:rPr>
                <w:sz w:val="20"/>
                <w:szCs w:val="20"/>
                <w:lang w:val="en-US"/>
              </w:rPr>
            </w:r>
            <w:r>
              <w:rPr>
                <w:bCs/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457" w:type="dxa"/>
            <w:vMerge w:val="continue"/>
            <w:textDirection w:val="lrTb"/>
            <w:noWrap w:val="false"/>
          </w:tcPr>
          <w:p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</w:r>
            <w:r>
              <w:rPr>
                <w:bCs/>
                <w:color w:val="000000"/>
                <w:sz w:val="20"/>
                <w:szCs w:val="20"/>
              </w:rPr>
            </w:r>
            <w:r>
              <w:rPr>
                <w:bCs/>
                <w:color w:val="000000"/>
                <w:sz w:val="20"/>
                <w:szCs w:val="20"/>
              </w:rPr>
            </w:r>
          </w:p>
        </w:tc>
        <w:tc>
          <w:tcPr>
            <w:tcW w:w="1107" w:type="dxa"/>
            <w:vMerge w:val="continue"/>
            <w:textDirection w:val="lrTb"/>
            <w:noWrap w:val="false"/>
          </w:tcPr>
          <w:p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</w:r>
            <w:r>
              <w:rPr>
                <w:bCs/>
                <w:color w:val="000000"/>
                <w:sz w:val="20"/>
                <w:szCs w:val="20"/>
              </w:rPr>
            </w:r>
            <w:r>
              <w:rPr>
                <w:bCs/>
                <w:color w:val="000000"/>
                <w:sz w:val="20"/>
                <w:szCs w:val="20"/>
              </w:rPr>
            </w:r>
          </w:p>
        </w:tc>
      </w:tr>
      <w:tr>
        <w:tblPrEx/>
        <w:trPr/>
        <w:tc>
          <w:tcPr>
            <w:tcW w:w="316" w:type="dxa"/>
            <w:vMerge w:val="continue"/>
            <w:textDirection w:val="lrTb"/>
            <w:noWrap w:val="false"/>
          </w:tcPr>
          <w:p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</w:r>
            <w:r>
              <w:rPr>
                <w:bCs/>
                <w:color w:val="000000"/>
                <w:sz w:val="20"/>
                <w:szCs w:val="20"/>
              </w:rPr>
            </w:r>
            <w:r>
              <w:rPr>
                <w:bCs/>
                <w:color w:val="000000"/>
                <w:sz w:val="20"/>
                <w:szCs w:val="20"/>
              </w:rPr>
            </w:r>
          </w:p>
        </w:tc>
        <w:tc>
          <w:tcPr>
            <w:tcW w:w="1290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</w:r>
            <w:r>
              <w:rPr>
                <w:bCs/>
                <w:color w:val="000000"/>
                <w:sz w:val="20"/>
                <w:szCs w:val="20"/>
              </w:rPr>
            </w:r>
            <w:r>
              <w:rPr>
                <w:bCs/>
                <w:color w:val="000000"/>
                <w:sz w:val="20"/>
                <w:szCs w:val="20"/>
              </w:rPr>
            </w:r>
          </w:p>
        </w:tc>
        <w:tc>
          <w:tcPr>
            <w:tcW w:w="125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</w:r>
            <w:r>
              <w:rPr>
                <w:bCs/>
                <w:color w:val="000000"/>
                <w:sz w:val="20"/>
                <w:szCs w:val="20"/>
              </w:rPr>
            </w:r>
            <w:r>
              <w:rPr>
                <w:bCs/>
                <w:color w:val="000000"/>
                <w:sz w:val="20"/>
                <w:szCs w:val="20"/>
              </w:rPr>
            </w:r>
          </w:p>
        </w:tc>
        <w:tc>
          <w:tcPr>
            <w:tcW w:w="568" w:type="dxa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bCs/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№ п/п</w:t>
            </w:r>
            <w:r>
              <w:rPr>
                <w:sz w:val="20"/>
                <w:szCs w:val="20"/>
                <w:lang w:val="en-US"/>
              </w:rPr>
            </w:r>
            <w:r>
              <w:rPr>
                <w:bCs/>
                <w:sz w:val="20"/>
                <w:szCs w:val="20"/>
                <w:lang w:val="en-US"/>
                <w14:ligatures w14:val="none"/>
              </w:rPr>
            </w:r>
          </w:p>
          <w:p>
            <w:pPr>
              <w:ind w:left="0" w:right="0" w:firstLine="0"/>
              <w:jc w:val="center"/>
              <w:rPr>
                <w:bCs/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(хар-ки)</w:t>
            </w:r>
            <w:r>
              <w:rPr>
                <w:sz w:val="20"/>
                <w:szCs w:val="20"/>
                <w:lang w:val="en-US"/>
              </w:rPr>
            </w:r>
            <w:r>
              <w:rPr>
                <w:bCs/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37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bCs/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Наименование характеристики</w:t>
            </w:r>
            <w:r>
              <w:rPr>
                <w:sz w:val="20"/>
                <w:szCs w:val="20"/>
                <w:lang w:val="en-US"/>
              </w:rPr>
            </w:r>
            <w:r>
              <w:rPr>
                <w:bCs/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68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bCs/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Значение характеристики</w:t>
            </w:r>
            <w:r>
              <w:rPr>
                <w:sz w:val="20"/>
                <w:szCs w:val="20"/>
                <w:lang w:val="en-US"/>
              </w:rPr>
            </w:r>
            <w:r>
              <w:rPr>
                <w:bCs/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bCs/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Единица </w:t>
            </w:r>
            <w:r>
              <w:rPr>
                <w:sz w:val="20"/>
                <w:szCs w:val="20"/>
                <w:lang w:val="en-US"/>
              </w:rPr>
              <w:t xml:space="preserve">измерения характеристики</w:t>
            </w:r>
            <w:r>
              <w:rPr>
                <w:sz w:val="20"/>
                <w:szCs w:val="20"/>
                <w:lang w:val="en-US"/>
              </w:rPr>
            </w:r>
            <w:r>
              <w:rPr>
                <w:bCs/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bCs/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Тип характеристики</w:t>
            </w:r>
            <w:r>
              <w:rPr>
                <w:sz w:val="20"/>
                <w:szCs w:val="20"/>
                <w:lang w:val="en-US"/>
              </w:rPr>
            </w:r>
            <w:r>
              <w:rPr>
                <w:bCs/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bCs/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Инструкция по заполнению характеристик в заявке</w:t>
            </w:r>
            <w:r>
              <w:rPr>
                <w:sz w:val="20"/>
                <w:szCs w:val="20"/>
                <w:lang w:val="en-US"/>
              </w:rPr>
            </w:r>
            <w:r>
              <w:rPr>
                <w:bCs/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86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</w:r>
            <w:r>
              <w:rPr>
                <w:bCs/>
                <w:color w:val="000000"/>
                <w:sz w:val="20"/>
                <w:szCs w:val="20"/>
              </w:rPr>
            </w:r>
            <w:r>
              <w:rPr>
                <w:bCs/>
                <w:color w:val="000000"/>
                <w:sz w:val="20"/>
                <w:szCs w:val="20"/>
              </w:rPr>
            </w:r>
          </w:p>
        </w:tc>
        <w:tc>
          <w:tcPr>
            <w:tcW w:w="78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</w:r>
            <w:r>
              <w:rPr>
                <w:bCs/>
                <w:color w:val="000000"/>
                <w:sz w:val="20"/>
                <w:szCs w:val="20"/>
              </w:rPr>
            </w:r>
            <w:r>
              <w:rPr>
                <w:bCs/>
                <w:color w:val="000000"/>
                <w:sz w:val="20"/>
                <w:szCs w:val="20"/>
              </w:rPr>
            </w:r>
          </w:p>
        </w:tc>
        <w:tc>
          <w:tcPr>
            <w:tcW w:w="1606" w:type="dxa"/>
            <w:vMerge w:val="continue"/>
            <w:textDirection w:val="lrTb"/>
            <w:noWrap w:val="false"/>
          </w:tcPr>
          <w:p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</w:r>
            <w:r>
              <w:rPr>
                <w:bCs/>
                <w:color w:val="000000"/>
                <w:sz w:val="20"/>
                <w:szCs w:val="20"/>
              </w:rPr>
            </w:r>
            <w:r>
              <w:rPr>
                <w:bCs/>
                <w:color w:val="000000"/>
                <w:sz w:val="20"/>
                <w:szCs w:val="20"/>
              </w:rPr>
            </w:r>
          </w:p>
        </w:tc>
        <w:tc>
          <w:tcPr>
            <w:tcW w:w="1457" w:type="dxa"/>
            <w:vMerge w:val="continue"/>
            <w:textDirection w:val="lrTb"/>
            <w:noWrap w:val="false"/>
          </w:tcPr>
          <w:p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</w:r>
            <w:r>
              <w:rPr>
                <w:bCs/>
                <w:color w:val="000000"/>
                <w:sz w:val="20"/>
                <w:szCs w:val="20"/>
              </w:rPr>
            </w:r>
            <w:r>
              <w:rPr>
                <w:bCs/>
                <w:color w:val="000000"/>
                <w:sz w:val="20"/>
                <w:szCs w:val="20"/>
              </w:rPr>
            </w:r>
          </w:p>
        </w:tc>
        <w:tc>
          <w:tcPr>
            <w:tcW w:w="1107" w:type="dxa"/>
            <w:vMerge w:val="continue"/>
            <w:textDirection w:val="lrTb"/>
            <w:noWrap w:val="false"/>
          </w:tcPr>
          <w:p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</w:r>
            <w:r>
              <w:rPr>
                <w:bCs/>
                <w:color w:val="000000"/>
                <w:sz w:val="20"/>
                <w:szCs w:val="20"/>
              </w:rPr>
            </w:r>
            <w:r>
              <w:rPr>
                <w:bCs/>
                <w:color w:val="000000"/>
                <w:sz w:val="20"/>
                <w:szCs w:val="20"/>
              </w:rPr>
            </w:r>
          </w:p>
        </w:tc>
      </w:tr>
      <w:tr>
        <w:tblPrEx/>
        <w:trPr/>
        <w:tc>
          <w:tcPr>
            <w:tcW w:w="316" w:type="dxa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1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290" w:type="dxa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2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257" w:type="dxa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3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568" w:type="dxa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4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374" w:type="dxa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5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682" w:type="dxa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6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7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8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9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864" w:type="dxa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10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786" w:type="dxa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11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606" w:type="dxa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12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457" w:type="dxa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13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07" w:type="dxa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14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</w:tr>
      <w:tr>
        <w:tblPrEx/>
        <w:trPr>
          <w:trHeight w:val="21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16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1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90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Программное обеспечение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57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58.29.11.000-00000004</w:t>
            </w:r>
            <w:r>
              <w:rPr>
                <w:sz w:val="20"/>
                <w:szCs w:val="20"/>
                <w:lang w:val="en-US"/>
              </w:rPr>
              <w:t xml:space="preserve">/</w:t>
            </w:r>
            <w:r>
              <w:rPr>
                <w:sz w:val="20"/>
                <w:szCs w:val="20"/>
                <w:lang w:val="en-US"/>
              </w:rPr>
              <w:t xml:space="preserve">58.29.50.000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1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7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Способ предоставления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68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Удаленный доступ через информационно-телекоммуникационные сети, в том числе через информационно-телекоммуникационную сеть Интернет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b/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b/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Качественная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64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2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86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Условная единица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60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57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Запрет закупок товаров, происходящих из иностранных государств, выполняемых работ, оказываемых услуг иностранными лицами</w:t>
            </w:r>
            <w:r>
              <w:rPr>
                <w:sz w:val="20"/>
                <w:szCs w:val="20"/>
                <w:lang w:val="en-US"/>
              </w:rPr>
              <w:br/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07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</w:tr>
      <w:tr>
        <w:tblPrEx/>
        <w:trPr>
          <w:trHeight w:val="21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1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9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2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7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Класс программ для электронных вычислительных машин и баз данных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68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(04.08) Интегрированные платформы для создания приложений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b/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b/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Качественная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64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8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60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0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21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1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9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3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7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Вид лицензии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68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Простая (неисключительная)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b/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b/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Качественная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64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8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60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0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21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1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9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4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7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Наименование программного обеспечения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68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«1С:Предприятие 8 КОРП. Клиентская лицензия на 100 рабочих мест»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b/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b/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Качественная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64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8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60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Использование эквивалентных решений не предусмотрено. Ограничение установлено ввиду необходимости обеспечения взаимодействия поставляе</w:t>
            </w:r>
            <w:r>
              <w:rPr>
                <w:sz w:val="20"/>
                <w:szCs w:val="20"/>
                <w:lang w:val="en-US"/>
              </w:rPr>
              <w:t xml:space="preserve">мого продукта с уже эксплуатируемым аналогичным программным обеспечением Заказчика (расширение количества лицензий). Отсутствие совместимости может повлечь дополнительные затраты на доработку и переконфигурацию системы, не предусмотренные бюджетом проекта.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0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21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1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9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5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7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Срок  действия лицензии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68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Бессрочная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b/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b/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Качественная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64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8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60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Исключение необходимости ежегодного продления и дополнительных бюджетных расходов в последующие периоды.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0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21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16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2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90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Программное обеспечение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57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58.29.11.000-00000004</w:t>
            </w:r>
            <w:r>
              <w:rPr>
                <w:sz w:val="20"/>
                <w:szCs w:val="20"/>
                <w:lang w:val="en-US"/>
              </w:rPr>
              <w:t xml:space="preserve">/</w:t>
            </w:r>
            <w:r>
              <w:rPr>
                <w:sz w:val="20"/>
                <w:szCs w:val="20"/>
                <w:lang w:val="en-US"/>
              </w:rPr>
              <w:t xml:space="preserve">58.29.50.000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1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7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Способ предоставления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68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Удаленный доступ через информационно-телекоммуникационные сети, в том числе через информационно-телекоммуникационную сеть Интернет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b/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b/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Качественная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64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1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86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Условная единица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60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57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Запрет закупок товаров, происходящих из иностранных государств, выполняемых работ, оказываемых услуг иностранными лицами</w:t>
            </w:r>
            <w:r>
              <w:rPr>
                <w:sz w:val="20"/>
                <w:szCs w:val="20"/>
                <w:lang w:val="en-US"/>
              </w:rPr>
              <w:br/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07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</w:tr>
      <w:tr>
        <w:tblPrEx/>
        <w:trPr>
          <w:trHeight w:val="21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1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9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2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7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Класс программ для электронных вычислительных машин и баз данных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68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(04.08) Интегрированные платформы для создания приложений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b/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b/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Качественная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64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8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60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0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21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1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9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3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7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Вид лицензии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68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Простая (неисключительная)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b/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b/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Качественная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64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8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60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0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21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1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9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4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7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Наименование программного обеспечения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68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«1С:Предприятие 8 КОРП. Клиентская лицензия на 50 рабочих мест»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b/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b/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Качественная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64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8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60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Использование эквивалентных решений не предусмотрено. Ограничение установлено ввиду необходимости обеспечения взаимодействия поставляе</w:t>
            </w:r>
            <w:r>
              <w:rPr>
                <w:sz w:val="20"/>
                <w:szCs w:val="20"/>
                <w:lang w:val="en-US"/>
              </w:rPr>
              <w:t xml:space="preserve">мого продукта с уже эксплуатируемым аналогичным программным обеспечением Заказчика (расширение количества лицензий). Отсутствие совместимости может повлечь дополнительные затраты на доработку и переконфигурацию системы, не предусмотренные бюджетом проекта.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0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21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1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9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5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7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Срок  действия лицензии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68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Бессрочная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b/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b/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Качественная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64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8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60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Исключение необходимости ежегодного продления и дополнительных бюджетных расходов в последующие периоды.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0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21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16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3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90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Программное обеспечение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57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58.29.11.000-00000004</w:t>
            </w:r>
            <w:r>
              <w:rPr>
                <w:sz w:val="20"/>
                <w:szCs w:val="20"/>
                <w:lang w:val="en-US"/>
              </w:rPr>
              <w:t xml:space="preserve">/</w:t>
            </w:r>
            <w:r>
              <w:rPr>
                <w:sz w:val="20"/>
                <w:szCs w:val="20"/>
                <w:lang w:val="en-US"/>
              </w:rPr>
              <w:t xml:space="preserve">58.29.50.000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1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7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Способ предоставления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68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Удаленный доступ через информационно-телекоммуникационные сети, в том числе через информационно-телекоммуникационную сеть Интернет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b/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b/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Качественная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64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2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86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Условная единица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60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57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Запрет закупок товаров, происходящих из иностранных государств, выполняемых работ, оказываемых услуг иностранными лицами</w:t>
            </w:r>
            <w:r>
              <w:rPr>
                <w:sz w:val="20"/>
                <w:szCs w:val="20"/>
                <w:lang w:val="en-US"/>
              </w:rPr>
              <w:br/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07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</w:tr>
      <w:tr>
        <w:tblPrEx/>
        <w:trPr>
          <w:trHeight w:val="21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1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9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2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7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Класс программ для электронных вычислительных машин и баз данных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68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(04.08) Интегрированные платформы для создания приложений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b/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b/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Качественная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64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8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60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0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21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1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9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3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7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Вид лицензии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68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Простая (неисключительная)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b/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b/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Качественная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64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8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60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0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21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1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9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4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7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Наименование программного обеспечения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68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«1С:Предприятие 8 КОРП. Клиентская лицензия на 20 рабочих мест»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b/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b/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Качественная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64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8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60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Использование эквивалентных решений не предусмотрено. Ограничение установлено ввиду необходимости обеспечения взаимодействия поставляе</w:t>
            </w:r>
            <w:r>
              <w:rPr>
                <w:sz w:val="20"/>
                <w:szCs w:val="20"/>
                <w:lang w:val="en-US"/>
              </w:rPr>
              <w:t xml:space="preserve">мого продукта с уже эксплуатируемым аналогичным программным обеспечением Заказчика (расширение количества лицензий). Отсутствие совместимости может повлечь дополнительные затраты на доработку и переконфигурацию системы, не предусмотренные бюджетом проекта.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0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21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1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9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5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7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Срок  действия лицензии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68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Бессрочная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b/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b/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Качественная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64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8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60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Исключение необходимости ежегодного продления и дополнительных бюджетных расходов в последующие периоды.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0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21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16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4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90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Программное обеспечение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57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58.29.11.000-00000004</w:t>
            </w:r>
            <w:r>
              <w:rPr>
                <w:sz w:val="20"/>
                <w:szCs w:val="20"/>
                <w:lang w:val="en-US"/>
              </w:rPr>
              <w:t xml:space="preserve">/</w:t>
            </w:r>
            <w:r>
              <w:rPr>
                <w:sz w:val="20"/>
                <w:szCs w:val="20"/>
                <w:lang w:val="en-US"/>
              </w:rPr>
              <w:t xml:space="preserve">58.29.50.000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1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7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Способ предоставления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68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Удаленный доступ через информационно-телекоммуникационные сети, в том числе через информационно-телекоммуникационную сеть Интернет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b/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b/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Качественная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64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1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86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Условная единица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60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57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Запрет закупок товаров, происходящих из иностранных государств, выполняемых работ, оказываемых услуг иностранными лицами</w:t>
            </w:r>
            <w:r>
              <w:rPr>
                <w:sz w:val="20"/>
                <w:szCs w:val="20"/>
                <w:lang w:val="en-US"/>
              </w:rPr>
              <w:br/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07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</w:tr>
      <w:tr>
        <w:tblPrEx/>
        <w:trPr>
          <w:trHeight w:val="21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1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9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2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7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Класс программ для электронных вычислительных машин и баз данных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68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(04.08) Интегрированные платформы для создания приложений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b/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b/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Качественная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64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8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60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0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21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1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9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3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7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Вид лицензии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68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Простая (неисключительная)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b/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b/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Качественная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64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8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60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0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21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1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9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4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7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Наименование программного обеспечения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68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«1С:Предприятие 8 КОРП. Клиентская лицензия на 5 рабочих мест»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b/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b/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Качественная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64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8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60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Использование эквивалентных решений не предусмотрено. Ограничение установлено ввиду необходимости обеспечения взаимодействия поставляе</w:t>
            </w:r>
            <w:r>
              <w:rPr>
                <w:sz w:val="20"/>
                <w:szCs w:val="20"/>
                <w:lang w:val="en-US"/>
              </w:rPr>
              <w:t xml:space="preserve">мого продукта с уже эксплуатируемым аналогичным программным обеспечением Заказчика (расширение количества лицензий). Отсутствие совместимости может повлечь дополнительные затраты на доработку и переконфигурацию системы, не предусмотренные бюджетом проекта.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0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21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1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9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5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7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Срок  действия лицензии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68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Бессрочная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b/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b/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Качественная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64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8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60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Исключение необходимости ежегодного продления и дополнительных бюджетных расходов в последующие периоды.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0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21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16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5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90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Программное обеспечение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57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58.29.11.000-00000004</w:t>
            </w:r>
            <w:r>
              <w:rPr>
                <w:sz w:val="20"/>
                <w:szCs w:val="20"/>
                <w:lang w:val="en-US"/>
              </w:rPr>
              <w:t xml:space="preserve">/</w:t>
            </w:r>
            <w:r>
              <w:rPr>
                <w:sz w:val="20"/>
                <w:szCs w:val="20"/>
                <w:lang w:val="en-US"/>
              </w:rPr>
              <w:t xml:space="preserve">58.29.50.000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1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7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Способ предоставления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68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Удаленный доступ через информационно-телекоммуникационные сети, в том числе через информационно-телекоммуникационную сеть Интернет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b/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b/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Качественная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64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1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86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Условная единица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60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57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Запрет закупок товаров, происходящих из иностранных государств, выполняемых работ, оказываемых услуг иностранными лицами</w:t>
            </w:r>
            <w:r>
              <w:rPr>
                <w:sz w:val="20"/>
                <w:szCs w:val="20"/>
                <w:lang w:val="en-US"/>
              </w:rPr>
              <w:br/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07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</w:tr>
      <w:tr>
        <w:tblPrEx/>
        <w:trPr>
          <w:trHeight w:val="21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1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9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2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7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Класс программ для электронных вычислительных машин и баз данных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68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(04.08) Интегрированные платформы для создания приложений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b/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b/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Качественная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64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8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60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0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21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1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9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3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7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Вид лицензии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68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Простая (неисключительная)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b/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b/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Качественная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64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8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60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0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21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1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9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4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7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Наименование программного обеспечения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68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«1С:Предприятие 8 КОРП. Клиентская лицензия на 1 рабочее место»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b/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b/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Качественная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64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8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60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Использование эквивалентных решений не предусмотрено. Ограничение установлено ввиду необходимости обеспечения взаимодействия поставляе</w:t>
            </w:r>
            <w:r>
              <w:rPr>
                <w:sz w:val="20"/>
                <w:szCs w:val="20"/>
                <w:lang w:val="en-US"/>
              </w:rPr>
              <w:t xml:space="preserve">мого продукта с уже эксплуатируемым аналогичным программным обеспечением Заказчика (расширение количества лицензий). Отсутствие совместимости может повлечь дополнительные затраты на доработку и переконфигурацию системы, не предусмотренные бюджетом проекта.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0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21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1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9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5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7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Срок  действия лицензии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68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Бессрочная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b/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b/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Качественная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64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8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60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Исключение необходимости ежегодного продления и дополнительных бюджетных расходов в последующие периоды.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0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21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16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6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90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Программное обеспечение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57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58.29.11.000-00000004</w:t>
            </w:r>
            <w:r>
              <w:rPr>
                <w:sz w:val="20"/>
                <w:szCs w:val="20"/>
                <w:lang w:val="en-US"/>
              </w:rPr>
              <w:t xml:space="preserve">/</w:t>
            </w:r>
            <w:r>
              <w:rPr>
                <w:sz w:val="20"/>
                <w:szCs w:val="20"/>
                <w:lang w:val="en-US"/>
              </w:rPr>
              <w:t xml:space="preserve">58.29.50.000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1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7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Способ предоставления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68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Удаленный доступ через информационно-телекоммуникационные сети, в том числе через информационно-телекоммуникационную сеть Интернет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b/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b/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Качественная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64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2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86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Условная единица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60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57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Запрет закупок товаров, происходящих из иностранных государств, выполняемых работ, оказываемых услуг иностранными лицами</w:t>
            </w:r>
            <w:r>
              <w:rPr>
                <w:sz w:val="20"/>
                <w:szCs w:val="20"/>
                <w:lang w:val="en-US"/>
              </w:rPr>
              <w:br/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07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</w:tr>
      <w:tr>
        <w:tblPrEx/>
        <w:trPr>
          <w:trHeight w:val="21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1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9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2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7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Класс программ для электронных вычислительных машин и баз данных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68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(04.08) Интегрированные платформы для создания приложений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b/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b/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Качественная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64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8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60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0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21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1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9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3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7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Вид лицензии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68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Простая (неисключительная)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b/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b/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Качественная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64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8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60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0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21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1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9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4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7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Наименование программного обеспечения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68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«1С: Предприятие 8.3 КОРП. Лицензия на сервер (х86-64)»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b/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b/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Качественная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64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8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60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Использование эквивалентных решений не предусмотрено. Ограничение установлено ввиду необходимости обеспечения взаимодействия поставляе</w:t>
            </w:r>
            <w:r>
              <w:rPr>
                <w:sz w:val="20"/>
                <w:szCs w:val="20"/>
                <w:lang w:val="en-US"/>
              </w:rPr>
              <w:t xml:space="preserve">мого продукта с уже эксплуатируемым аналогичным программным обеспечением Заказчика (расширение количества лицензий). Отсутствие совместимости может повлечь дополнительные затраты на доработку и переконфигурацию системы, не предусмотренные бюджетом проекта.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0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21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1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9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5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7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Срок  действия лицензии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68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Бессрочная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b/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b/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Качественная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64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8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60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Исключение необходимости ежегодного продления и дополнительных бюджетных расходов в последующие периоды.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0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21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16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7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90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Программное обеспечение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57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58.29.11.000-00000004</w:t>
            </w:r>
            <w:r>
              <w:rPr>
                <w:sz w:val="20"/>
                <w:szCs w:val="20"/>
                <w:lang w:val="en-US"/>
              </w:rPr>
              <w:t xml:space="preserve">/</w:t>
            </w:r>
            <w:r>
              <w:rPr>
                <w:sz w:val="20"/>
                <w:szCs w:val="20"/>
                <w:lang w:val="en-US"/>
              </w:rPr>
              <w:t xml:space="preserve">58.29.50.000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1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7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Способ предоставления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68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Удаленный доступ через информационно-телекоммуникационные сети, в том числе через информационно-телекоммуникационную сеть Интернет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b/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b/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Качественная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64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1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86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Условная единица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60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57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Запрет закупок товаров, происходящих из иностранных государств, выполняемых работ, оказываемых услуг иностранными лицами</w:t>
            </w:r>
            <w:r>
              <w:rPr>
                <w:sz w:val="20"/>
                <w:szCs w:val="20"/>
                <w:lang w:val="en-US"/>
              </w:rPr>
              <w:br/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07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</w:tr>
      <w:tr>
        <w:tblPrEx/>
        <w:trPr>
          <w:trHeight w:val="21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1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9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2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7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Класс программ для электронных вычислительных машин и баз данных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68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(09.01) Средства управления бизнес-процессами (BPM)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b/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b/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Качественная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64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8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60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0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21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1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9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3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7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Вид лицензии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68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Простая (неисключительная)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b/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b/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Качественная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64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8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60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0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21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1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9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4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7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Наименование программного обеспечения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68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«1С:Свод отчетов 8 ПРОФ»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b/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b/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Качественная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64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8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60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Использование эквивалентных решений не предусмотрено. Ограничение установлено ввиду необходимости обе</w:t>
            </w:r>
            <w:r>
              <w:rPr>
                <w:sz w:val="20"/>
                <w:szCs w:val="20"/>
                <w:lang w:val="en-US"/>
              </w:rPr>
              <w:t xml:space="preserve">спечения взаимодействия поставляемого продукта с уже эксплуатируемым аналогичным программным обеспечением Заказчика. Отсутствие совместимости может повлечь дополнительные затраты на доработку и переконфигурацию системы, не предусмотренные бюджетом проекта.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0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21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1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9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5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7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Срок  действия лицензии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68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Бессрочная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b/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b/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Качественная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64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8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60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Исключение необходимости ежегодного продления и дополнительных бюджетных расходов в последующие периоды.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0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21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16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8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90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Программное обеспечение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57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58.29.11.000-00000004</w:t>
            </w:r>
            <w:r>
              <w:rPr>
                <w:sz w:val="20"/>
                <w:szCs w:val="20"/>
                <w:lang w:val="en-US"/>
              </w:rPr>
              <w:t xml:space="preserve">/</w:t>
            </w:r>
            <w:r>
              <w:rPr>
                <w:sz w:val="20"/>
                <w:szCs w:val="20"/>
                <w:lang w:val="en-US"/>
              </w:rPr>
              <w:t xml:space="preserve">58.29.50.000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1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7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Способ предоставления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68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Удаленный доступ через информационно-телекоммуникационные сети, в том числе через информационно-телекоммуникационную сеть Интернет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b/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b/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Качественная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64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1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86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Условная единица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60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57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Запрет закупок товаров, происходящих из иностранных государств, выполняемых работ, оказываемых услуг иностранными лицами</w:t>
            </w:r>
            <w:r>
              <w:rPr>
                <w:sz w:val="20"/>
                <w:szCs w:val="20"/>
                <w:lang w:val="en-US"/>
              </w:rPr>
              <w:br/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07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</w:tr>
      <w:tr>
        <w:tblPrEx/>
        <w:trPr>
          <w:trHeight w:val="21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1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9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2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7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Класс программ для электронных вычислительных машин и баз данных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68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(09.01) Средства управления бизнес-процессами (BPM)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b/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b/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Качественная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64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8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60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0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21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1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9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3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7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Вид лицензии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68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Простая (неисключительная)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b/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b/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Качественная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64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8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60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0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21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1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9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4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7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Наименование программного обеспечения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68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«1С:Бухгалтерия государственного учреждения 8 КОРП»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b/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b/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Качественная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64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8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60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Использование эквивалентных решений не предусмотрено. Ограничение установлено ввиду необходимости обе</w:t>
            </w:r>
            <w:r>
              <w:rPr>
                <w:sz w:val="20"/>
                <w:szCs w:val="20"/>
                <w:lang w:val="en-US"/>
              </w:rPr>
              <w:t xml:space="preserve">спечения взаимодействия поставляемого продукта с уже эксплуатируемым аналогичным программным обеспечением Заказчика. Отсутствие совместимости может повлечь дополнительные затраты на доработку и переконфигурацию системы, не предусмотренные бюджетом проекта.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0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21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1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9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5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7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Срок  действия лицензии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68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Бессрочная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b/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b/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Качественная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64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8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60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Исключение необходимости ежегодного продления и дополнительных бюджетных расходов в последующие периоды.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0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21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16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9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90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Программное обеспечение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57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58.29.11.000-00000004</w:t>
            </w:r>
            <w:r>
              <w:rPr>
                <w:sz w:val="20"/>
                <w:szCs w:val="20"/>
                <w:lang w:val="en-US"/>
              </w:rPr>
              <w:t xml:space="preserve">/</w:t>
            </w:r>
            <w:r>
              <w:rPr>
                <w:sz w:val="20"/>
                <w:szCs w:val="20"/>
                <w:lang w:val="en-US"/>
              </w:rPr>
              <w:t xml:space="preserve">58.29.50.000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1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7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Способ предоставления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68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Удаленный доступ через информационно-телекоммуникационные сети, в том числе через информационно-телекоммуникационную сеть Интернет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b/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b/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Качественная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64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9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86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Условная единица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60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57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Запрет закупок товаров, происходящих из иностранных государств, выполняемых работ, оказываемых услуг иностранными лицами</w:t>
            </w:r>
            <w:r>
              <w:rPr>
                <w:sz w:val="20"/>
                <w:szCs w:val="20"/>
                <w:lang w:val="en-US"/>
              </w:rPr>
              <w:br/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07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</w:tr>
      <w:tr>
        <w:tblPrEx/>
        <w:trPr>
          <w:trHeight w:val="21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1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9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2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7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Класс программ для электронных вычислительных машин и баз данных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68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(09.01) Средства управления бизнес-процессами (BPM)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b/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b/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Качественная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64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8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60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0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21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1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9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3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7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Вид лицензии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68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Простая (неисключительная)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b/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b/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Качественная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64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8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60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0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21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1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9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4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7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Наименование программного обеспечения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68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«1С:Бухгалтерия государственного учреждения 8 КОРП. Лицензия для централизованно обслуживаемых учреждений»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b/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b/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Качественная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64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8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60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Использование эквивалентных решений не предусмотрено. Ограничение установлено ввиду необходимости обе</w:t>
            </w:r>
            <w:r>
              <w:rPr>
                <w:sz w:val="20"/>
                <w:szCs w:val="20"/>
                <w:lang w:val="en-US"/>
              </w:rPr>
              <w:t xml:space="preserve">спечения взаимодействия поставляемого продукта с уже эксплуатируемым аналогичным программным обеспечением Заказчика. Отсутствие совместимости может повлечь дополнительные затраты на доработку и переконфигурацию системы, не предусмотренные бюджетом проекта.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0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21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1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9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5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7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Срок  действия лицензии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68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Бессрочная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b/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b/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Качественная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64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8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60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Исключение необходимости ежегодного продления и дополнительных бюджетных расходов в последующие периоды.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0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21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16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10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90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Программное обеспечение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57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58.29.11.000-00000004</w:t>
            </w:r>
            <w:r>
              <w:rPr>
                <w:sz w:val="20"/>
                <w:szCs w:val="20"/>
                <w:lang w:val="en-US"/>
              </w:rPr>
              <w:t xml:space="preserve">/</w:t>
            </w:r>
            <w:r>
              <w:rPr>
                <w:sz w:val="20"/>
                <w:szCs w:val="20"/>
                <w:lang w:val="en-US"/>
              </w:rPr>
              <w:t xml:space="preserve">58.29.50.000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1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7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Способ предоставления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68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Удаленный доступ через информационно-телекоммуникационные сети, в том числе через информационно-телекоммуникационную сеть Интернет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b/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b/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Качественная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64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64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86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Условная единица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60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57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Запрет закупок товаров, происходящих из иностранных государств, выполняемых работ, оказываемых услуг иностранными лицами</w:t>
            </w:r>
            <w:r>
              <w:rPr>
                <w:sz w:val="20"/>
                <w:szCs w:val="20"/>
                <w:lang w:val="en-US"/>
              </w:rPr>
              <w:br/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07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</w:tr>
      <w:tr>
        <w:tblPrEx/>
        <w:trPr>
          <w:trHeight w:val="21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1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9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2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7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Класс программ для электронных вычислительных машин и баз данных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68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(09.01) Средства управления бизнес-процессами (BPM)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b/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b/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Качественная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64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8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60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0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21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1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9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3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7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Вид лицензии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68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Простая (неисключительная)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b/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b/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Качественная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64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8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60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0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21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1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9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4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7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Наименование программного обеспечения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68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«1C:Бухгалтерия государственного учреждения 8 КОРП для централизованно обслуживаемых учреждений. Дополнительная лицензия к версии ПРОФ»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b/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b/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Качественная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64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8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60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Использование эквивалентных решений не предусмотрено. Ограничение установлено ввиду необходимости обе</w:t>
            </w:r>
            <w:r>
              <w:rPr>
                <w:sz w:val="20"/>
                <w:szCs w:val="20"/>
                <w:lang w:val="en-US"/>
              </w:rPr>
              <w:t xml:space="preserve">спечения взаимодействия поставляемого продукта с уже эксплуатируемым аналогичным программным обеспечением Заказчика. Отсутствие совместимости может повлечь дополнительные затраты на доработку и переконфигурацию системы, не предусмотренные бюджетом проекта.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0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21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1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9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5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7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Срок  действия лицензии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68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Бессрочная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b/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b/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Качественная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64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8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60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Исключение необходимости ежегодного продления и дополнительных бюджетных расходов в последующие периоды.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0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21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16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11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90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Программное обеспечение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57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58.29.11.000-00000004</w:t>
            </w:r>
            <w:r>
              <w:rPr>
                <w:sz w:val="20"/>
                <w:szCs w:val="20"/>
                <w:lang w:val="en-US"/>
              </w:rPr>
              <w:t xml:space="preserve">/</w:t>
            </w:r>
            <w:r>
              <w:rPr>
                <w:sz w:val="20"/>
                <w:szCs w:val="20"/>
                <w:lang w:val="en-US"/>
              </w:rPr>
              <w:t xml:space="preserve">58.29.50.000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1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7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Способ предоставления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68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Удаленный доступ через информационно-телекоммуникационные сети, в том числе через информационно-телекоммуникационную сеть Интернет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b/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b/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Качественная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64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1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86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Условная единица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60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57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Запрет закупок товаров, происходящих из иностранных государств, выполняемых работ, оказываемых услуг иностранными лицами</w:t>
            </w:r>
            <w:r>
              <w:rPr>
                <w:sz w:val="20"/>
                <w:szCs w:val="20"/>
                <w:lang w:val="en-US"/>
              </w:rPr>
              <w:br/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07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</w:tr>
      <w:tr>
        <w:tblPrEx/>
        <w:trPr>
          <w:trHeight w:val="21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1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9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2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7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Класс программ для электронных вычислительных машин и баз данных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68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(09.01) Средства управления бизнес-процессами (BPM)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b/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b/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Качественная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64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8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60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0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21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1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9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3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7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Вид лицензии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68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Простая (неисключительная)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b/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b/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Качественная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64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8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60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0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21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1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9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4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7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Наименование программного обеспечения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68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«1С:Зарплата и кадры государственного учреждения 8 КОРП. Электронная поставка»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b/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b/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Качественная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64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8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60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Использование эквивалентных решений не предусмотрено. Ограничение установлено ввиду необходимости обе</w:t>
            </w:r>
            <w:r>
              <w:rPr>
                <w:sz w:val="20"/>
                <w:szCs w:val="20"/>
                <w:lang w:val="en-US"/>
              </w:rPr>
              <w:t xml:space="preserve">спечения взаимодействия поставляемого продукта с уже эксплуатируемым аналогичным программным обеспечением Заказчика. Отсутствие совместимости может повлечь дополнительные затраты на доработку и переконфигурацию системы, не предусмотренные бюджетом проекта.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0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21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1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9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5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7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Срок  действия лицензии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68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Бессрочная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b/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b/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Качественная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64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8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60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Исключение необходимости ежегодного продления и дополнительных бюджетных расходов в последующие периоды.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0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21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16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12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90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Программное обеспечение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57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58.29.11.000-00000004</w:t>
            </w:r>
            <w:r>
              <w:rPr>
                <w:sz w:val="20"/>
                <w:szCs w:val="20"/>
                <w:lang w:val="en-US"/>
              </w:rPr>
              <w:t xml:space="preserve">/</w:t>
            </w:r>
            <w:r>
              <w:rPr>
                <w:sz w:val="20"/>
                <w:szCs w:val="20"/>
                <w:lang w:val="en-US"/>
              </w:rPr>
              <w:t xml:space="preserve">58.29.50.000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1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7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Способ предоставления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68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Удаленный доступ через информационно-телекоммуникационные сети, в том числе через информационно-телекоммуникационную сеть Интернет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b/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b/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Качественная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64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49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86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Условная единица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60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57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Запрет закупок товаров, происходящих из иностранных государств, выполняемых работ, оказываемых услуг иностранными лицами</w:t>
            </w:r>
            <w:r>
              <w:rPr>
                <w:sz w:val="20"/>
                <w:szCs w:val="20"/>
                <w:lang w:val="en-US"/>
              </w:rPr>
              <w:br/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07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</w:tr>
      <w:tr>
        <w:tblPrEx/>
        <w:trPr>
          <w:trHeight w:val="21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1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9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2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7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Класс программ для электронных вычислительных машин и баз данных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68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(09.01) Средства управления бизнес-процессами (BPM)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b/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b/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Качественная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64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8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60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0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21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1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9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3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7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Вид лицензии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68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Простая (неисключительная)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b/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b/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Качественная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64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8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60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0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21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1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9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4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7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Наименование программного обеспечения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68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«1С:Зарплата и кадры государственного учреждения 8 КОРП. Лицензия для централизованно обслуживаемых учреждений. Электронная поставка»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b/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b/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Качественная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64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8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60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Использование эквивалентных решений не предусмотрено. Ограничение установлено ввиду необходимости обе</w:t>
            </w:r>
            <w:r>
              <w:rPr>
                <w:sz w:val="20"/>
                <w:szCs w:val="20"/>
                <w:lang w:val="en-US"/>
              </w:rPr>
              <w:t xml:space="preserve">спечения взаимодействия поставляемого продукта с уже эксплуатируемым аналогичным программным обеспечением Заказчика. Отсутствие совместимости может повлечь дополнительные затраты на доработку и переконфигурацию системы, не предусмотренные бюджетом проекта.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0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21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1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9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5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7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Срок  действия лицензии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68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Бессрочная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b/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b/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Качественная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64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8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60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Исключение необходимости ежегодного продления и дополнительных бюджетных расходов в последующие периоды.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0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21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16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13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90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Программное обеспечение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57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58.29.11.000-00000004</w:t>
            </w:r>
            <w:r>
              <w:rPr>
                <w:sz w:val="20"/>
                <w:szCs w:val="20"/>
                <w:lang w:val="en-US"/>
              </w:rPr>
              <w:t xml:space="preserve">/</w:t>
            </w:r>
            <w:r>
              <w:rPr>
                <w:sz w:val="20"/>
                <w:szCs w:val="20"/>
                <w:lang w:val="en-US"/>
              </w:rPr>
              <w:t xml:space="preserve">58.29.50.000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1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7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Способ предоставления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68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Удаленный доступ через информационно-телекоммуникационные сети, в том числе через информационно-телекоммуникационную сеть Интернет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b/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b/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Качественная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64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1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86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Условная единица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60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57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Запрет закупок товаров, происходящих из иностранных государств, выполняемых работ, оказываемых услуг иностранными лицами</w:t>
            </w:r>
            <w:r>
              <w:rPr>
                <w:sz w:val="20"/>
                <w:szCs w:val="20"/>
                <w:lang w:val="en-US"/>
              </w:rPr>
              <w:br/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07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</w:tr>
      <w:tr>
        <w:tblPrEx/>
        <w:trPr>
          <w:trHeight w:val="21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1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9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2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7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Класс программ для электронных вычислительных машин и баз данных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68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(09.01) Средства управления бизнес-процессами (BPM)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b/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b/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Качественная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64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8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60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0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21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1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9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3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7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Вид лицензии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68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Простая (неисключительная)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b/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b/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Качественная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64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8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60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0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21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1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9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4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7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Наименование программного обеспечения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68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«1С:Общий центр обслуживания. Централизованная бухгалтерия КОРП. Редакция 2.0»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b/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b/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Качественная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64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8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60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Использование эквивалентных решений не предусмотрено. Ограничение установлено ввиду необходимости обе</w:t>
            </w:r>
            <w:r>
              <w:rPr>
                <w:sz w:val="20"/>
                <w:szCs w:val="20"/>
                <w:lang w:val="en-US"/>
              </w:rPr>
              <w:t xml:space="preserve">спечения взаимодействия поставляемого продукта с уже эксплуатируемым аналогичным программным обеспечением Заказчика. Отсутствие совместимости может повлечь дополнительные затраты на доработку и переконфигурацию системы, не предусмотренные бюджетом проекта.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0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21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1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9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5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7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Срок  действия лицензии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68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Бессрочная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b/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b/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Качественная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64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8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60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Исключение необходимости ежегодного продления и дополнительных бюджетных расходов в последующие периоды.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0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21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16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14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90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Программное обеспечение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57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58.29.11.000-00000004</w:t>
            </w:r>
            <w:r>
              <w:rPr>
                <w:sz w:val="20"/>
                <w:szCs w:val="20"/>
                <w:lang w:val="en-US"/>
              </w:rPr>
              <w:t xml:space="preserve">/</w:t>
            </w:r>
            <w:r>
              <w:rPr>
                <w:sz w:val="20"/>
                <w:szCs w:val="20"/>
                <w:lang w:val="en-US"/>
              </w:rPr>
              <w:t xml:space="preserve">58.29.50.000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1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7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Способ предоставления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68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Удаленный доступ через информационно-телекоммуникационные сети, в том числе через информационно-телекоммуникационную сеть Интернет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b/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b/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Качественная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64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1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86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Условная единица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60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57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Запрет закупок товаров, происходящих из иностранных государств, выполняемых работ, оказываемых услуг иностранными лицами</w:t>
            </w:r>
            <w:r>
              <w:rPr>
                <w:sz w:val="20"/>
                <w:szCs w:val="20"/>
                <w:lang w:val="en-US"/>
              </w:rPr>
              <w:br/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07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</w:tr>
      <w:tr>
        <w:tblPrEx/>
        <w:trPr>
          <w:trHeight w:val="21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1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9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2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7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Класс программ для электронных вычислительных машин и баз данных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68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(04.08) Интегрированные платформы для создания приложений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b/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b/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Качественная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64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8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60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0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21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1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9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3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7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Вид лицензии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68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Простая (неисключительная)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b/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b/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Качественная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64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8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60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0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21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1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9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4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7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Наименование программного обеспечения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68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«1С:Предприятие 8. Расширенная Корпоративная Лицензия»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b/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b/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Качественная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64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8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60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Использование эквивалентных решений не предусмотрено. Ограничение установлено ввиду необходимости обе</w:t>
            </w:r>
            <w:r>
              <w:rPr>
                <w:sz w:val="20"/>
                <w:szCs w:val="20"/>
                <w:lang w:val="en-US"/>
              </w:rPr>
              <w:t xml:space="preserve">спечения взаимодействия поставляемого продукта с уже эксплуатируемым аналогичным программным обеспечением Заказчика. Отсутствие совместимости может повлечь дополнительные затраты на доработку и переконфигурацию системы, не предусмотренные бюджетом проекта.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0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21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1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9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5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7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Срок  действия лицензии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68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12 (двенадцать) месяцев.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b/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b/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Качественная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64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8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60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Минимально возможный срок на сервисное сопровождение, установленный правообладателем ПО, исходя из необходимого Заказчику количества лицензий.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0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21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16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15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90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Программное обеспечение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57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58.29.11.000-00000004</w:t>
            </w:r>
            <w:r>
              <w:rPr>
                <w:sz w:val="20"/>
                <w:szCs w:val="20"/>
                <w:lang w:val="en-US"/>
              </w:rPr>
              <w:t xml:space="preserve">/</w:t>
            </w:r>
            <w:r>
              <w:rPr>
                <w:sz w:val="20"/>
                <w:szCs w:val="20"/>
                <w:lang w:val="en-US"/>
              </w:rPr>
              <w:t xml:space="preserve">58.29.50.000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1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7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Способ предоставления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68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Удаленный доступ через информационно-телекоммуникационные сети, в том числе через информационно-телекоммуникационную сеть Интернет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b/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b/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Качественная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64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1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86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Условная единица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60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57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Запрет закупок товаров, происходящих из иностранных государств, выполняемых работ, оказываемых услуг иностранными лицами</w:t>
            </w:r>
            <w:r>
              <w:rPr>
                <w:sz w:val="20"/>
                <w:szCs w:val="20"/>
                <w:lang w:val="en-US"/>
              </w:rPr>
              <w:br/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07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</w:tr>
      <w:tr>
        <w:tblPrEx/>
        <w:trPr>
          <w:trHeight w:val="21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1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9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2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7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Класс программ для электронных вычислительных машин и баз данных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68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(02.02) Программы обслуживания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b/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b/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Качественная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64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8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60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0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21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1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9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3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7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Вид лицензии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68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Простая (неисключительная)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b/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b/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Качественная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64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8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60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0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21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1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9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4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7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Наименование программного обеспечения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68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«1С:КП ЦГУ. Информационно технологическое сопровождение Государственных Учреждений»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b/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b/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Качественная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64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8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60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Использование эквивалентных решений не предусмотрено. Ограничение установлено ввиду необходимости обе</w:t>
            </w:r>
            <w:r>
              <w:rPr>
                <w:sz w:val="20"/>
                <w:szCs w:val="20"/>
                <w:lang w:val="en-US"/>
              </w:rPr>
              <w:t xml:space="preserve">спечения взаимодействия поставляемого продукта с уже эксплуатируемым аналогичным программным обеспечением Заказчика. Отсутствие совместимости может повлечь дополнительные затраты на доработку и переконфигурацию системы, не предусмотренные бюджетом проекта.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0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21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1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9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5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7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Срок  действия лицензии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68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6 (шесть) месяцев.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b/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b/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Качественная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64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8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60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Минимально возможный срок на сервисное сопровождение, установленный правообладателем ПО, исходя из необходимого Заказчику количества лицензий.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0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21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16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16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90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Программное обеспечение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57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58.29.11.000-00000004</w:t>
            </w:r>
            <w:r>
              <w:rPr>
                <w:sz w:val="20"/>
                <w:szCs w:val="20"/>
                <w:lang w:val="en-US"/>
              </w:rPr>
              <w:t xml:space="preserve">/</w:t>
            </w:r>
            <w:r>
              <w:rPr>
                <w:sz w:val="20"/>
                <w:szCs w:val="20"/>
                <w:lang w:val="en-US"/>
              </w:rPr>
              <w:t xml:space="preserve">58.29.50.000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1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7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Способ предоставления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68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Удаленный доступ через информационно-телекоммуникационные сети, в том числе через информационно-телекоммуникационную сеть Интернет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b/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b/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Качественная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64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1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86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Условная единица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60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57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Запрет закупок товаров, происходящих из иностранных государств, выполняемых работ, оказываемых услуг иностранными лицами</w:t>
            </w:r>
            <w:r>
              <w:rPr>
                <w:sz w:val="20"/>
                <w:szCs w:val="20"/>
                <w:lang w:val="en-US"/>
              </w:rPr>
              <w:br/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07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</w:tr>
      <w:tr>
        <w:tblPrEx/>
        <w:trPr>
          <w:trHeight w:val="21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1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9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2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7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Класс программ для электронных вычислительных машин и баз данных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68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(02.02) Программы обслуживания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b/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b/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Качественная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64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8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60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0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21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1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9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3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7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Вид лицензии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68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Простая (неисключительная)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b/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b/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Качественная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64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8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60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0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21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1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9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4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7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Наименование программного обеспечения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68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«1С:КП Отраслевой ПРОФ, 5-я Категория»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b/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b/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Качественная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64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8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60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Использование эквивалентных решений не предусмотрено. Ограничение установлено ввиду необходимости обе</w:t>
            </w:r>
            <w:r>
              <w:rPr>
                <w:sz w:val="20"/>
                <w:szCs w:val="20"/>
                <w:lang w:val="en-US"/>
              </w:rPr>
              <w:t xml:space="preserve">спечения взаимодействия поставляемого продукта с уже эксплуатируемым аналогичным программным обеспечением Заказчика. Отсутствие совместимости может повлечь дополнительные затраты на доработку и переконфигурацию системы, не предусмотренные бюджетом проекта.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0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21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1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9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5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7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Срок  действия лицензии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68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6 (шесть) месяцев.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b/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b/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Качественная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64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8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60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Минимально возможный срок на сервисное сопровождение, установленный правообладателем ПО, исходя из необходимого Заказчику количества лицензий.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0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21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16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17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90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Программное обеспечение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57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58.29.11.000-00000004</w:t>
            </w:r>
            <w:r>
              <w:rPr>
                <w:sz w:val="20"/>
                <w:szCs w:val="20"/>
                <w:lang w:val="en-US"/>
              </w:rPr>
              <w:t xml:space="preserve">/</w:t>
            </w:r>
            <w:r>
              <w:rPr>
                <w:sz w:val="20"/>
                <w:szCs w:val="20"/>
                <w:lang w:val="en-US"/>
              </w:rPr>
              <w:t xml:space="preserve">58.29.50.000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1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7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Способ предоставления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68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Удаленный доступ через информационно-телекоммуникационные сети, в том числе через информационно-телекоммуникационную сеть Интернет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b/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b/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Качественная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64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1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86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Условная единица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60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57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Запрет закупок товаров, происходящих из иностранных государств, выполняемых работ, оказываемых услуг иностранными лицами</w:t>
            </w:r>
            <w:r>
              <w:rPr>
                <w:sz w:val="20"/>
                <w:szCs w:val="20"/>
                <w:lang w:val="en-US"/>
              </w:rPr>
              <w:br/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07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</w:tr>
      <w:tr>
        <w:tblPrEx/>
        <w:trPr>
          <w:trHeight w:val="21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1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9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2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7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Класс программ для электронных вычислительных машин и баз данных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68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(05.10) Базы знаний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b/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b/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Качественная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64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8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60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0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21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1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9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3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7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Вид лицензии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68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Простая (неисключительная)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b/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b/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Качественная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64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8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60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0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21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1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9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4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7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Наименование программного обеспечения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68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«1C:ИТМС Бюджет»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b/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b/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Качественная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64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8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60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Использование эквивалентных решений не предусмотрено. Ограничение установлено ввиду необходимости обе</w:t>
            </w:r>
            <w:r>
              <w:rPr>
                <w:sz w:val="20"/>
                <w:szCs w:val="20"/>
                <w:lang w:val="en-US"/>
              </w:rPr>
              <w:t xml:space="preserve">спечения взаимодействия поставляемого продукта с уже эксплуатируемым аналогичным программным обеспечением Заказчика. Отсутствие совместимости может повлечь дополнительные затраты на доработку и переконфигурацию системы, не предусмотренные бюджетом проекта.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0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21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1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9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5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7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Срок  действия лицензии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68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3 (три) месяца: 01.02.2027- 30.04.2027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b/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b/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Качественная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22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64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8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60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sz w:val="20"/>
                <w:szCs w:val="20"/>
                <w:lang w:val="en-US"/>
                <w14:ligatures w14:val="none"/>
              </w:rPr>
            </w:pPr>
            <w:r>
              <w:rPr>
                <w:sz w:val="20"/>
                <w:szCs w:val="20"/>
                <w:lang w:val="en-US"/>
              </w:rPr>
              <w:t xml:space="preserve">Минимально возможный срок на сервисное сопровождение, установленный правообладателем ПО, исходя из необходимого Заказчику количества лицензий.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5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07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contextualSpacing w:val="0"/>
        <w:ind w:left="35" w:firstLine="0"/>
        <w:jc w:val="left"/>
        <w:spacing w:before="0" w:after="0" w:line="240" w:lineRule="auto"/>
        <w:widowControl w:val="off"/>
        <w:tabs>
          <w:tab w:val="center" w:pos="4677" w:leader="none"/>
          <w:tab w:val="right" w:pos="9355" w:leader="none"/>
        </w:tabs>
        <w:rPr>
          <w:rFonts w:ascii="Times New Roman" w:hAnsi="Times New Roman" w:cs="Times New Roman"/>
          <w:sz w:val="36"/>
          <w:szCs w:val="36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36"/>
          <w:szCs w:val="36"/>
          <w:highlight w:val="none"/>
        </w:rPr>
      </w:r>
      <w:r>
        <w:rPr>
          <w:rFonts w:ascii="Times New Roman" w:hAnsi="Times New Roman" w:cs="Times New Roman"/>
          <w:sz w:val="36"/>
          <w:szCs w:val="36"/>
          <w:highlight w:val="none"/>
        </w:rPr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right"/>
        <w:shd w:val="nil" w:color="auto"/>
        <w:rPr>
          <w:highlight w:val="none"/>
        </w:rPr>
      </w:pPr>
      <w:r>
        <w:rPr>
          <w:bCs/>
          <w:highlight w:val="none"/>
        </w:rPr>
        <w:br w:type="page" w:clear="all"/>
      </w:r>
      <w:r>
        <w:rPr>
          <w:highlight w:val="none"/>
        </w:rPr>
      </w:r>
      <w:r>
        <w:rPr>
          <w:highlight w:val="none"/>
        </w:rPr>
      </w:r>
      <w:r>
        <w:rPr>
          <w:bCs/>
        </w:rPr>
        <w:t xml:space="preserve">Приложение 2 </w:t>
      </w: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ind w:left="35" w:right="-2"/>
        <w:jc w:val="right"/>
        <w:spacing w:line="240" w:lineRule="auto"/>
        <w:widowControl w:val="off"/>
        <w:tabs>
          <w:tab w:val="center" w:pos="4677" w:leader="none"/>
          <w:tab w:val="right" w:pos="8789" w:leader="none"/>
        </w:tabs>
      </w:pPr>
      <w:r>
        <w:rPr>
          <w:bCs/>
        </w:rPr>
        <w:t xml:space="preserve">к Описанию объекта закупки</w:t>
      </w:r>
      <w:r/>
    </w:p>
    <w:p>
      <w:pPr>
        <w:pStyle w:val="1234"/>
        <w:ind w:right="-1"/>
        <w:jc w:val="right"/>
        <w:spacing w:before="0" w:after="0"/>
        <w:rPr>
          <w:rFonts w:ascii="Times New Roman" w:hAnsi="Times New Roman" w:cs="Times New Roman"/>
          <w:b w:val="0"/>
          <w:sz w:val="25"/>
          <w:szCs w:val="25"/>
          <w:highlight w:val="yellow"/>
        </w:rPr>
      </w:pPr>
      <w:r>
        <w:rPr>
          <w:rFonts w:ascii="Times New Roman" w:hAnsi="Times New Roman" w:cs="Times New Roman"/>
          <w:b w:val="0"/>
          <w:sz w:val="25"/>
          <w:szCs w:val="25"/>
          <w:highlight w:val="yellow"/>
        </w:rPr>
      </w:r>
      <w:r>
        <w:rPr>
          <w:rFonts w:ascii="Times New Roman" w:hAnsi="Times New Roman" w:cs="Times New Roman"/>
          <w:b w:val="0"/>
          <w:sz w:val="25"/>
          <w:szCs w:val="25"/>
          <w:highlight w:val="yellow"/>
        </w:rPr>
      </w:r>
      <w:r>
        <w:rPr>
          <w:rFonts w:ascii="Times New Roman" w:hAnsi="Times New Roman" w:cs="Times New Roman"/>
          <w:b w:val="0"/>
          <w:sz w:val="25"/>
          <w:szCs w:val="25"/>
          <w:highlight w:val="yellow"/>
        </w:rPr>
      </w:r>
    </w:p>
    <w:p>
      <w:pPr>
        <w:jc w:val="center"/>
        <w:spacing w:after="240"/>
      </w:pPr>
      <w:r>
        <w:t xml:space="preserve">Минимальные требования к серверному оборудованию</w:t>
      </w:r>
      <w:r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098"/>
        <w:gridCol w:w="2920"/>
        <w:gridCol w:w="1012"/>
        <w:gridCol w:w="1443"/>
        <w:gridCol w:w="1443"/>
        <w:gridCol w:w="576"/>
        <w:gridCol w:w="680"/>
        <w:gridCol w:w="871"/>
        <w:gridCol w:w="977"/>
        <w:gridCol w:w="896"/>
        <w:gridCol w:w="1036"/>
        <w:gridCol w:w="850"/>
      </w:tblGrid>
      <w:tr>
        <w:tblPrEx/>
        <w:trPr>
          <w:trHeight w:val="1148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98" w:type="dxa"/>
            <w:vAlign w:val="bottom"/>
            <w:textDirection w:val="lrTb"/>
            <w:noWrap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 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20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Роль сервера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2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Кол-во ВМ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43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Количество серверных лицензий 1С:КОРП (шт)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43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Количество клиентских лицензий 1С:КОРП (шт)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6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ВЯ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ОЗУ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71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Системный диск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7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Диск временных таблиц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96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Диск с данными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6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Кол-во СУБД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ВЯ СУБД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428"/>
        </w:trPr>
        <w:tc>
          <w:tcPr>
            <w:gridSpan w:val="2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18" w:type="dxa"/>
            <w:vAlign w:val="center"/>
            <w:textDirection w:val="lrTb"/>
            <w:noWrap/>
          </w:tcPr>
          <w:p>
            <w:pPr>
              <w:ind w:firstLine="0"/>
              <w:jc w:val="left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ИТОГО РЕСУРСОВ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2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31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43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7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43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436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6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156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468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71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1550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7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200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96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12400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6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7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422"/>
        </w:trPr>
        <w:tc>
          <w:tcPr>
            <w:gridSpan w:val="2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18" w:type="dxa"/>
            <w:vAlign w:val="center"/>
            <w:textDirection w:val="lrTb"/>
            <w:noWrap w:val="false"/>
          </w:tcPr>
          <w:p>
            <w:pPr>
              <w:ind w:firstLine="0"/>
              <w:jc w:val="left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Промышленный ландшафт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2" w:type="dxa"/>
            <w:vAlign w:val="center"/>
            <w:textDirection w:val="lrTb"/>
            <w:noWrap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22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43" w:type="dxa"/>
            <w:vAlign w:val="center"/>
            <w:textDirection w:val="lrTb"/>
            <w:noWrap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5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43" w:type="dxa"/>
            <w:vAlign w:val="center"/>
            <w:textDirection w:val="lrTb"/>
            <w:noWrap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426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6" w:type="dxa"/>
            <w:vAlign w:val="center"/>
            <w:textDirection w:val="lrTb"/>
            <w:noWrap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114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0" w:type="dxa"/>
            <w:vAlign w:val="center"/>
            <w:textDirection w:val="lrTb"/>
            <w:noWrap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336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71" w:type="dxa"/>
            <w:vAlign w:val="center"/>
            <w:textDirection w:val="lrTb"/>
            <w:noWrap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1100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7" w:type="dxa"/>
            <w:vAlign w:val="center"/>
            <w:textDirection w:val="lrTb"/>
            <w:noWrap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200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96" w:type="dxa"/>
            <w:vAlign w:val="center"/>
            <w:textDirection w:val="lrTb"/>
            <w:noWrap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9900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6" w:type="dxa"/>
            <w:vAlign w:val="center"/>
            <w:textDirection w:val="lrTb"/>
            <w:noWrap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5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  <w:textDirection w:val="lrTb"/>
            <w:noWrap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34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338"/>
        </w:trPr>
        <w:tc>
          <w:tcPr>
            <w:gridSpan w:val="2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18" w:type="dxa"/>
            <w:vAlign w:val="center"/>
            <w:textDirection w:val="lrTb"/>
            <w:noWrap w:val="false"/>
          </w:tcPr>
          <w:p>
            <w:pPr>
              <w:ind w:firstLine="0"/>
              <w:jc w:val="left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Прикладная зона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2" w:type="dxa"/>
            <w:vAlign w:val="center"/>
            <w:textDirection w:val="lrTb"/>
            <w:noWrap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43" w:type="dxa"/>
            <w:vAlign w:val="center"/>
            <w:textDirection w:val="lrTb"/>
            <w:noWrap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43" w:type="dxa"/>
            <w:vAlign w:val="center"/>
            <w:textDirection w:val="lrTb"/>
            <w:noWrap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400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6" w:type="dxa"/>
            <w:vAlign w:val="center"/>
            <w:textDirection w:val="lrTb"/>
            <w:noWrap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58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0" w:type="dxa"/>
            <w:vAlign w:val="center"/>
            <w:textDirection w:val="lrTb"/>
            <w:noWrap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196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71" w:type="dxa"/>
            <w:vAlign w:val="center"/>
            <w:textDirection w:val="lrTb"/>
            <w:noWrap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500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7" w:type="dxa"/>
            <w:vAlign w:val="center"/>
            <w:textDirection w:val="lrTb"/>
            <w:noWrap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200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96" w:type="dxa"/>
            <w:vAlign w:val="center"/>
            <w:textDirection w:val="lrTb"/>
            <w:noWrap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2100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6" w:type="dxa"/>
            <w:vAlign w:val="center"/>
            <w:textDirection w:val="lrTb"/>
            <w:noWrap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  <w:textDirection w:val="lrTb"/>
            <w:noWrap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22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33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98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left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Нода БГУ 1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20" w:type="dxa"/>
            <w:vAlign w:val="center"/>
            <w:textDirection w:val="lrTb"/>
            <w:noWrap w:val="false"/>
          </w:tcPr>
          <w:p>
            <w:pPr>
              <w:ind w:firstLine="0"/>
              <w:jc w:val="left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веб-сервер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2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43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 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43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 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6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71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50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7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96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6" w:type="dxa"/>
            <w:vAlign w:val="bottom"/>
            <w:textDirection w:val="lrTb"/>
            <w:noWrap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bottom"/>
            <w:textDirection w:val="lrTb"/>
            <w:noWrap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33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98" w:type="dxa"/>
            <w:vAlign w:val="center"/>
            <w:vMerge w:val="continue"/>
            <w:textDirection w:val="lrTb"/>
            <w:noWrap w:val="false"/>
          </w:tcPr>
          <w:p>
            <w:pP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20" w:type="dxa"/>
            <w:vAlign w:val="center"/>
            <w:textDirection w:val="lrTb"/>
            <w:noWrap w:val="false"/>
          </w:tcPr>
          <w:p>
            <w:pPr>
              <w:ind w:firstLine="0"/>
              <w:jc w:val="left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сервер 1С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2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43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43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 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6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8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32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71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50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7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96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300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6" w:type="dxa"/>
            <w:vAlign w:val="bottom"/>
            <w:textDirection w:val="lrTb"/>
            <w:noWrap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bottom"/>
            <w:textDirection w:val="lrTb"/>
            <w:noWrap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338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98" w:type="dxa"/>
            <w:vAlign w:val="center"/>
            <w:vMerge w:val="continue"/>
            <w:textDirection w:val="lrTb"/>
            <w:noWrap w:val="false"/>
          </w:tcPr>
          <w:p>
            <w:pP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20" w:type="dxa"/>
            <w:vAlign w:val="center"/>
            <w:textDirection w:val="lrTb"/>
            <w:noWrap w:val="false"/>
          </w:tcPr>
          <w:p>
            <w:pPr>
              <w:ind w:firstLine="0"/>
              <w:jc w:val="left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СУБД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2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43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 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43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 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6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8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32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71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50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7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100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96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500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6" w:type="dxa"/>
            <w:vAlign w:val="bottom"/>
            <w:textDirection w:val="lrTb"/>
            <w:noWrap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bottom"/>
            <w:textDirection w:val="lrTb"/>
            <w:noWrap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8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33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98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left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Нода ЗГУ 1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20" w:type="dxa"/>
            <w:vAlign w:val="center"/>
            <w:textDirection w:val="lrTb"/>
            <w:noWrap w:val="false"/>
          </w:tcPr>
          <w:p>
            <w:pPr>
              <w:ind w:firstLine="0"/>
              <w:jc w:val="left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веб-сервер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2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43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 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43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 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6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71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50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7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96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6" w:type="dxa"/>
            <w:vAlign w:val="bottom"/>
            <w:textDirection w:val="lrTb"/>
            <w:noWrap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bottom"/>
            <w:textDirection w:val="lrTb"/>
            <w:noWrap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33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98" w:type="dxa"/>
            <w:vAlign w:val="center"/>
            <w:vMerge w:val="continue"/>
            <w:textDirection w:val="lrTb"/>
            <w:noWrap w:val="false"/>
          </w:tcPr>
          <w:p>
            <w:pP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20" w:type="dxa"/>
            <w:vAlign w:val="center"/>
            <w:textDirection w:val="lrTb"/>
            <w:noWrap w:val="false"/>
          </w:tcPr>
          <w:p>
            <w:pPr>
              <w:ind w:firstLine="0"/>
              <w:jc w:val="left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сервер 1С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2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43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43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 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6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8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32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71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50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7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96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300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6" w:type="dxa"/>
            <w:vAlign w:val="bottom"/>
            <w:textDirection w:val="lrTb"/>
            <w:noWrap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bottom"/>
            <w:textDirection w:val="lrTb"/>
            <w:noWrap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338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98" w:type="dxa"/>
            <w:vAlign w:val="center"/>
            <w:vMerge w:val="continue"/>
            <w:textDirection w:val="lrTb"/>
            <w:noWrap w:val="false"/>
          </w:tcPr>
          <w:p>
            <w:pP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20" w:type="dxa"/>
            <w:vAlign w:val="center"/>
            <w:textDirection w:val="lrTb"/>
            <w:noWrap w:val="false"/>
          </w:tcPr>
          <w:p>
            <w:pPr>
              <w:ind w:firstLine="0"/>
              <w:jc w:val="left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СУБД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2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43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 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43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 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6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8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32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71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50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7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100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96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500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6" w:type="dxa"/>
            <w:vAlign w:val="bottom"/>
            <w:textDirection w:val="lrTb"/>
            <w:noWrap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bottom"/>
            <w:textDirection w:val="lrTb"/>
            <w:noWrap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8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33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98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left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Нода ОЦО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20" w:type="dxa"/>
            <w:vAlign w:val="center"/>
            <w:textDirection w:val="lrTb"/>
            <w:noWrap w:val="false"/>
          </w:tcPr>
          <w:p>
            <w:pPr>
              <w:ind w:firstLine="0"/>
              <w:jc w:val="left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веб-сервер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2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43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 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43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 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6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71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50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7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96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6" w:type="dxa"/>
            <w:vAlign w:val="bottom"/>
            <w:textDirection w:val="lrTb"/>
            <w:noWrap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bottom"/>
            <w:textDirection w:val="lrTb"/>
            <w:noWrap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33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98" w:type="dxa"/>
            <w:vAlign w:val="center"/>
            <w:vMerge w:val="continue"/>
            <w:textDirection w:val="lrTb"/>
            <w:noWrap w:val="false"/>
          </w:tcPr>
          <w:p>
            <w:pP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20" w:type="dxa"/>
            <w:vAlign w:val="center"/>
            <w:textDirection w:val="lrTb"/>
            <w:noWrap w:val="false"/>
          </w:tcPr>
          <w:p>
            <w:pPr>
              <w:ind w:firstLine="0"/>
              <w:jc w:val="left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сервер 1С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2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43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43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 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6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71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50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7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96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150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6" w:type="dxa"/>
            <w:vAlign w:val="bottom"/>
            <w:textDirection w:val="lrTb"/>
            <w:noWrap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bottom"/>
            <w:textDirection w:val="lrTb"/>
            <w:noWrap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338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98" w:type="dxa"/>
            <w:vAlign w:val="center"/>
            <w:vMerge w:val="continue"/>
            <w:textDirection w:val="lrTb"/>
            <w:noWrap w:val="false"/>
          </w:tcPr>
          <w:p>
            <w:pP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20" w:type="dxa"/>
            <w:vAlign w:val="center"/>
            <w:textDirection w:val="lrTb"/>
            <w:noWrap w:val="false"/>
          </w:tcPr>
          <w:p>
            <w:pPr>
              <w:ind w:firstLine="0"/>
              <w:jc w:val="left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СУБД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2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43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 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43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 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6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71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50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7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96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300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6" w:type="dxa"/>
            <w:vAlign w:val="bottom"/>
            <w:textDirection w:val="lrTb"/>
            <w:noWrap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bottom"/>
            <w:textDirection w:val="lrTb"/>
            <w:noWrap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338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98" w:type="dxa"/>
            <w:vAlign w:val="center"/>
            <w:textDirection w:val="lrTb"/>
            <w:noWrap w:val="false"/>
          </w:tcPr>
          <w:p>
            <w:pPr>
              <w:ind w:firstLine="0"/>
              <w:jc w:val="left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1С Сервер лицензирования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20" w:type="dxa"/>
            <w:vAlign w:val="center"/>
            <w:textDirection w:val="lrTb"/>
            <w:noWrap w:val="false"/>
          </w:tcPr>
          <w:p>
            <w:pPr>
              <w:ind w:firstLine="0"/>
              <w:jc w:val="left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сервер 1С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2" w:type="dxa"/>
            <w:vAlign w:val="center"/>
            <w:textDirection w:val="lrTb"/>
            <w:noWrap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43" w:type="dxa"/>
            <w:vAlign w:val="center"/>
            <w:textDirection w:val="lrTb"/>
            <w:noWrap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 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43" w:type="dxa"/>
            <w:vAlign w:val="center"/>
            <w:textDirection w:val="lrTb"/>
            <w:noWrap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400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6" w:type="dxa"/>
            <w:vAlign w:val="center"/>
            <w:textDirection w:val="lrTb"/>
            <w:noWrap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8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0" w:type="dxa"/>
            <w:vAlign w:val="center"/>
            <w:textDirection w:val="lrTb"/>
            <w:noWrap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24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71" w:type="dxa"/>
            <w:vAlign w:val="center"/>
            <w:textDirection w:val="lrTb"/>
            <w:noWrap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50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7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96" w:type="dxa"/>
            <w:vAlign w:val="center"/>
            <w:textDirection w:val="lrTb"/>
            <w:noWrap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50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6" w:type="dxa"/>
            <w:vAlign w:val="bottom"/>
            <w:textDirection w:val="lrTb"/>
            <w:noWrap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bottom"/>
            <w:textDirection w:val="lrTb"/>
            <w:noWrap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93"/>
        </w:trPr>
        <w:tc>
          <w:tcPr>
            <w:gridSpan w:val="2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18" w:type="dxa"/>
            <w:vAlign w:val="center"/>
            <w:textDirection w:val="lrTb"/>
            <w:noWrap w:val="false"/>
          </w:tcPr>
          <w:p>
            <w:pPr>
              <w:ind w:firstLine="0"/>
              <w:jc w:val="left"/>
              <w:spacing w:line="240" w:lineRule="auto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Управляющая зона</w:t>
            </w:r>
            <w:r>
              <w:rPr>
                <w:b/>
                <w:bCs/>
                <w:color w:val="000000"/>
                <w:sz w:val="24"/>
                <w:szCs w:val="24"/>
              </w:rPr>
            </w:r>
            <w:r>
              <w:rPr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2" w:type="dxa"/>
            <w:vAlign w:val="center"/>
            <w:textDirection w:val="lrTb"/>
            <w:noWrap/>
          </w:tcPr>
          <w:p>
            <w:pPr>
              <w:ind w:firstLine="0"/>
              <w:jc w:val="center"/>
              <w:spacing w:line="240" w:lineRule="auto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12</w:t>
            </w:r>
            <w:r>
              <w:rPr>
                <w:b/>
                <w:bCs/>
                <w:color w:val="000000"/>
                <w:sz w:val="24"/>
                <w:szCs w:val="24"/>
              </w:rPr>
            </w:r>
            <w:r>
              <w:rPr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43" w:type="dxa"/>
            <w:vAlign w:val="center"/>
            <w:textDirection w:val="lrTb"/>
            <w:noWrap/>
          </w:tcPr>
          <w:p>
            <w:pPr>
              <w:ind w:firstLine="0"/>
              <w:jc w:val="center"/>
              <w:spacing w:line="240" w:lineRule="auto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2</w:t>
            </w:r>
            <w:r>
              <w:rPr>
                <w:b/>
                <w:bCs/>
                <w:color w:val="000000"/>
                <w:sz w:val="24"/>
                <w:szCs w:val="24"/>
              </w:rPr>
            </w:r>
            <w:r>
              <w:rPr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43" w:type="dxa"/>
            <w:vAlign w:val="center"/>
            <w:textDirection w:val="lrTb"/>
            <w:noWrap/>
          </w:tcPr>
          <w:p>
            <w:pPr>
              <w:ind w:firstLine="0"/>
              <w:jc w:val="center"/>
              <w:spacing w:line="240" w:lineRule="auto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26</w:t>
            </w:r>
            <w:r>
              <w:rPr>
                <w:b/>
                <w:bCs/>
                <w:color w:val="000000"/>
                <w:sz w:val="24"/>
                <w:szCs w:val="24"/>
              </w:rPr>
            </w:r>
            <w:r>
              <w:rPr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6" w:type="dxa"/>
            <w:vAlign w:val="center"/>
            <w:textDirection w:val="lrTb"/>
            <w:noWrap/>
          </w:tcPr>
          <w:p>
            <w:pPr>
              <w:ind w:firstLine="0"/>
              <w:jc w:val="center"/>
              <w:spacing w:line="240" w:lineRule="auto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56</w:t>
            </w:r>
            <w:r>
              <w:rPr>
                <w:b/>
                <w:bCs/>
                <w:color w:val="000000"/>
                <w:sz w:val="24"/>
                <w:szCs w:val="24"/>
              </w:rPr>
            </w:r>
            <w:r>
              <w:rPr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0" w:type="dxa"/>
            <w:vAlign w:val="center"/>
            <w:textDirection w:val="lrTb"/>
            <w:noWrap/>
          </w:tcPr>
          <w:p>
            <w:pPr>
              <w:ind w:firstLine="0"/>
              <w:jc w:val="center"/>
              <w:spacing w:line="240" w:lineRule="auto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140</w:t>
            </w:r>
            <w:r>
              <w:rPr>
                <w:b/>
                <w:bCs/>
                <w:color w:val="000000"/>
                <w:sz w:val="24"/>
                <w:szCs w:val="24"/>
              </w:rPr>
            </w:r>
            <w:r>
              <w:rPr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71" w:type="dxa"/>
            <w:vAlign w:val="center"/>
            <w:textDirection w:val="lrTb"/>
            <w:noWrap/>
          </w:tcPr>
          <w:p>
            <w:pPr>
              <w:ind w:firstLine="0"/>
              <w:jc w:val="center"/>
              <w:spacing w:line="240" w:lineRule="auto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600</w:t>
            </w:r>
            <w:r>
              <w:rPr>
                <w:b/>
                <w:bCs/>
                <w:color w:val="000000"/>
                <w:sz w:val="24"/>
                <w:szCs w:val="24"/>
              </w:rPr>
            </w:r>
            <w:r>
              <w:rPr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7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0</w:t>
            </w:r>
            <w:r>
              <w:rPr>
                <w:b/>
                <w:bCs/>
                <w:color w:val="000000"/>
                <w:sz w:val="24"/>
                <w:szCs w:val="24"/>
              </w:rPr>
            </w:r>
            <w:r>
              <w:rPr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96" w:type="dxa"/>
            <w:vAlign w:val="center"/>
            <w:textDirection w:val="lrTb"/>
            <w:noWrap/>
          </w:tcPr>
          <w:p>
            <w:pPr>
              <w:ind w:firstLine="0"/>
              <w:jc w:val="center"/>
              <w:spacing w:line="240" w:lineRule="auto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7800</w:t>
            </w:r>
            <w:r>
              <w:rPr>
                <w:b/>
                <w:bCs/>
                <w:color w:val="000000"/>
                <w:sz w:val="24"/>
                <w:szCs w:val="24"/>
              </w:rPr>
            </w:r>
            <w:r>
              <w:rPr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6" w:type="dxa"/>
            <w:vAlign w:val="center"/>
            <w:textDirection w:val="lrTb"/>
            <w:noWrap/>
          </w:tcPr>
          <w:p>
            <w:pPr>
              <w:ind w:firstLine="0"/>
              <w:jc w:val="center"/>
              <w:spacing w:line="240" w:lineRule="auto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2</w:t>
            </w:r>
            <w:r>
              <w:rPr>
                <w:b/>
                <w:bCs/>
                <w:color w:val="000000"/>
                <w:sz w:val="24"/>
                <w:szCs w:val="24"/>
              </w:rPr>
            </w:r>
            <w:r>
              <w:rPr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  <w:textDirection w:val="lrTb"/>
            <w:noWrap/>
          </w:tcPr>
          <w:p>
            <w:pPr>
              <w:ind w:firstLine="0"/>
              <w:jc w:val="center"/>
              <w:spacing w:line="240" w:lineRule="auto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12</w:t>
            </w:r>
            <w:r>
              <w:rPr>
                <w:b/>
                <w:bCs/>
                <w:color w:val="000000"/>
                <w:sz w:val="24"/>
                <w:szCs w:val="24"/>
              </w:rPr>
            </w:r>
            <w:r>
              <w:rPr>
                <w:b/>
                <w:bCs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85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98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left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Нода менеджера сервиса +  управление службой </w:t>
            </w:r>
            <w:r>
              <w:rPr>
                <w:color w:val="000000"/>
                <w:sz w:val="24"/>
                <w:szCs w:val="24"/>
              </w:rPr>
              <w:t xml:space="preserve">поддержки + агент сервиса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20" w:type="dxa"/>
            <w:vAlign w:val="center"/>
            <w:textDirection w:val="lrTb"/>
            <w:noWrap w:val="false"/>
          </w:tcPr>
          <w:p>
            <w:pPr>
              <w:ind w:firstLine="0"/>
              <w:jc w:val="left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веб-сервер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2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43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 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43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 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6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71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50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7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 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96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 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6" w:type="dxa"/>
            <w:vAlign w:val="bottom"/>
            <w:textDirection w:val="lrTb"/>
            <w:noWrap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bottom"/>
            <w:textDirection w:val="lrTb"/>
            <w:noWrap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85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98" w:type="dxa"/>
            <w:vAlign w:val="center"/>
            <w:vMerge w:val="continue"/>
            <w:textDirection w:val="lrTb"/>
            <w:noWrap w:val="false"/>
          </w:tcPr>
          <w:p>
            <w:pP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20" w:type="dxa"/>
            <w:vAlign w:val="center"/>
            <w:textDirection w:val="lrTb"/>
            <w:noWrap w:val="false"/>
          </w:tcPr>
          <w:p>
            <w:pPr>
              <w:ind w:firstLine="0"/>
              <w:jc w:val="left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сервер 1С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2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43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43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6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8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24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71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50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7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 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96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200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6" w:type="dxa"/>
            <w:vAlign w:val="bottom"/>
            <w:textDirection w:val="lrTb"/>
            <w:noWrap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bottom"/>
            <w:textDirection w:val="lrTb"/>
            <w:noWrap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93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98" w:type="dxa"/>
            <w:vAlign w:val="center"/>
            <w:vMerge w:val="continue"/>
            <w:textDirection w:val="lrTb"/>
            <w:noWrap w:val="false"/>
          </w:tcPr>
          <w:p>
            <w:pP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20" w:type="dxa"/>
            <w:vAlign w:val="center"/>
            <w:textDirection w:val="lrTb"/>
            <w:noWrap w:val="false"/>
          </w:tcPr>
          <w:p>
            <w:pPr>
              <w:ind w:firstLine="0"/>
              <w:jc w:val="left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СУБД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2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43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 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43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 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6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71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50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7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 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96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200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6" w:type="dxa"/>
            <w:vAlign w:val="bottom"/>
            <w:textDirection w:val="lrTb"/>
            <w:noWrap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bottom"/>
            <w:textDirection w:val="lrTb"/>
            <w:noWrap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85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98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left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Нода КИП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20" w:type="dxa"/>
            <w:vAlign w:val="center"/>
            <w:textDirection w:val="lrTb"/>
            <w:noWrap w:val="false"/>
          </w:tcPr>
          <w:p>
            <w:pPr>
              <w:ind w:firstLine="0"/>
              <w:jc w:val="left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веб-сервер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2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43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 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43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 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6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71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50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7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 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96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 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6" w:type="dxa"/>
            <w:vAlign w:val="bottom"/>
            <w:textDirection w:val="lrTb"/>
            <w:noWrap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bottom"/>
            <w:textDirection w:val="lrTb"/>
            <w:noWrap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85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98" w:type="dxa"/>
            <w:vAlign w:val="center"/>
            <w:vMerge w:val="continue"/>
            <w:textDirection w:val="lrTb"/>
            <w:noWrap w:val="false"/>
          </w:tcPr>
          <w:p>
            <w:pP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20" w:type="dxa"/>
            <w:vAlign w:val="center"/>
            <w:textDirection w:val="lrTb"/>
            <w:noWrap w:val="false"/>
          </w:tcPr>
          <w:p>
            <w:pPr>
              <w:ind w:firstLine="0"/>
              <w:jc w:val="left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сервер 1С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2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43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43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6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71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50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7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 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96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100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6" w:type="dxa"/>
            <w:vAlign w:val="bottom"/>
            <w:textDirection w:val="lrTb"/>
            <w:noWrap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bottom"/>
            <w:textDirection w:val="lrTb"/>
            <w:noWrap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93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98" w:type="dxa"/>
            <w:vAlign w:val="center"/>
            <w:vMerge w:val="continue"/>
            <w:textDirection w:val="lrTb"/>
            <w:noWrap w:val="false"/>
          </w:tcPr>
          <w:p>
            <w:pP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20" w:type="dxa"/>
            <w:vAlign w:val="center"/>
            <w:textDirection w:val="lrTb"/>
            <w:noWrap w:val="false"/>
          </w:tcPr>
          <w:p>
            <w:pPr>
              <w:ind w:firstLine="0"/>
              <w:jc w:val="left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СУБД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2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43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 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43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 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6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71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50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7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 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96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300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6" w:type="dxa"/>
            <w:vAlign w:val="bottom"/>
            <w:textDirection w:val="lrTb"/>
            <w:noWrap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bottom"/>
            <w:textDirection w:val="lrTb"/>
            <w:noWrap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85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98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left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Службы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20" w:type="dxa"/>
            <w:vAlign w:val="center"/>
            <w:textDirection w:val="lrTb"/>
            <w:noWrap w:val="false"/>
          </w:tcPr>
          <w:p>
            <w:pPr>
              <w:ind w:firstLine="0"/>
              <w:jc w:val="left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портал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2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43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 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43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 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6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71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50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7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 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96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 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6" w:type="dxa"/>
            <w:vAlign w:val="bottom"/>
            <w:textDirection w:val="lrTb"/>
            <w:noWrap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bottom"/>
            <w:textDirection w:val="lrTb"/>
            <w:noWrap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85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98" w:type="dxa"/>
            <w:vAlign w:val="center"/>
            <w:vMerge w:val="continue"/>
            <w:textDirection w:val="lrTb"/>
            <w:noWrap w:val="false"/>
          </w:tcPr>
          <w:p>
            <w:pP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20" w:type="dxa"/>
            <w:vAlign w:val="center"/>
            <w:textDirection w:val="lrTb"/>
            <w:noWrap w:val="false"/>
          </w:tcPr>
          <w:p>
            <w:pPr>
              <w:ind w:firstLine="0"/>
              <w:jc w:val="left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файл-сервер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2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43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 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43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 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6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8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71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50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7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 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96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800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6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85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98" w:type="dxa"/>
            <w:vAlign w:val="center"/>
            <w:vMerge w:val="continue"/>
            <w:textDirection w:val="lrTb"/>
            <w:noWrap w:val="false"/>
          </w:tcPr>
          <w:p>
            <w:pP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20" w:type="dxa"/>
            <w:vAlign w:val="center"/>
            <w:textDirection w:val="lrTb"/>
            <w:noWrap w:val="false"/>
          </w:tcPr>
          <w:p>
            <w:pPr>
              <w:ind w:firstLine="0"/>
              <w:jc w:val="left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терминальный сервер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2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43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 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43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5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6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8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32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71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50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7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 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96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200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6" w:type="dxa"/>
            <w:vAlign w:val="bottom"/>
            <w:textDirection w:val="lrTb"/>
            <w:noWrap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bottom"/>
            <w:textDirection w:val="lrTb"/>
            <w:noWrap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57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98" w:type="dxa"/>
            <w:vAlign w:val="center"/>
            <w:vMerge w:val="continue"/>
            <w:textDirection w:val="lrTb"/>
            <w:noWrap w:val="false"/>
          </w:tcPr>
          <w:p>
            <w:pP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20" w:type="dxa"/>
            <w:vAlign w:val="center"/>
            <w:textDirection w:val="lrTb"/>
            <w:noWrap w:val="false"/>
          </w:tcPr>
          <w:p>
            <w:pPr>
              <w:ind w:firstLine="0"/>
              <w:jc w:val="left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маршрутизации входящего трафика http(s)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2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43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 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43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 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6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71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50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7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 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96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 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6" w:type="dxa"/>
            <w:vAlign w:val="bottom"/>
            <w:textDirection w:val="lrTb"/>
            <w:noWrap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bottom"/>
            <w:textDirection w:val="lrTb"/>
            <w:noWrap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85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98" w:type="dxa"/>
            <w:vAlign w:val="center"/>
            <w:vMerge w:val="continue"/>
            <w:textDirection w:val="lrTb"/>
            <w:noWrap w:val="false"/>
          </w:tcPr>
          <w:p>
            <w:pP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20" w:type="dxa"/>
            <w:vAlign w:val="center"/>
            <w:textDirection w:val="lrTb"/>
            <w:noWrap w:val="false"/>
          </w:tcPr>
          <w:p>
            <w:pPr>
              <w:ind w:firstLine="0"/>
              <w:jc w:val="left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Сервер времени, DNS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2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43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 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43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 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6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71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50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7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 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96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 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6" w:type="dxa"/>
            <w:vAlign w:val="bottom"/>
            <w:textDirection w:val="lrTb"/>
            <w:noWrap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bottom"/>
            <w:textDirection w:val="lrTb"/>
            <w:noWrap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191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98" w:type="dxa"/>
            <w:vAlign w:val="center"/>
            <w:vMerge w:val="continue"/>
            <w:textDirection w:val="lrTb"/>
            <w:noWrap w:val="false"/>
          </w:tcPr>
          <w:p>
            <w:pP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20" w:type="dxa"/>
            <w:vAlign w:val="center"/>
            <w:textDirection w:val="lrTb"/>
            <w:noWrap w:val="false"/>
          </w:tcPr>
          <w:p>
            <w:pPr>
              <w:ind w:firstLine="0"/>
              <w:jc w:val="left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сервер резервных копий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2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43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 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43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 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6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6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8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71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50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7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 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96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6000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6" w:type="dxa"/>
            <w:vAlign w:val="bottom"/>
            <w:textDirection w:val="lrTb"/>
            <w:noWrap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bottom"/>
            <w:textDirection w:val="lrTb"/>
            <w:noWrap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368"/>
        </w:trPr>
        <w:tc>
          <w:tcPr>
            <w:gridSpan w:val="2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18" w:type="dxa"/>
            <w:vAlign w:val="center"/>
            <w:textDirection w:val="lrTb"/>
            <w:noWrap w:val="false"/>
          </w:tcPr>
          <w:p>
            <w:pPr>
              <w:ind w:firstLine="0"/>
              <w:jc w:val="left"/>
              <w:spacing w:line="240" w:lineRule="auto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Тестовый ландшафт</w:t>
            </w:r>
            <w:r>
              <w:rPr>
                <w:b/>
                <w:bCs/>
                <w:color w:val="000000"/>
                <w:sz w:val="24"/>
                <w:szCs w:val="24"/>
              </w:rPr>
            </w:r>
            <w:r>
              <w:rPr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2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9</w:t>
            </w:r>
            <w:r>
              <w:rPr>
                <w:b/>
                <w:bCs/>
                <w:color w:val="000000"/>
                <w:sz w:val="24"/>
                <w:szCs w:val="24"/>
              </w:rPr>
            </w:r>
            <w:r>
              <w:rPr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43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2</w:t>
            </w:r>
            <w:r>
              <w:rPr>
                <w:b/>
                <w:bCs/>
                <w:color w:val="000000"/>
                <w:sz w:val="24"/>
                <w:szCs w:val="24"/>
              </w:rPr>
            </w:r>
            <w:r>
              <w:rPr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43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10</w:t>
            </w:r>
            <w:r>
              <w:rPr>
                <w:b/>
                <w:bCs/>
                <w:color w:val="000000"/>
                <w:sz w:val="24"/>
                <w:szCs w:val="24"/>
              </w:rPr>
            </w:r>
            <w:r>
              <w:rPr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6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42</w:t>
            </w:r>
            <w:r>
              <w:rPr>
                <w:b/>
                <w:bCs/>
                <w:color w:val="000000"/>
                <w:sz w:val="24"/>
                <w:szCs w:val="24"/>
              </w:rPr>
            </w:r>
            <w:r>
              <w:rPr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132</w:t>
            </w:r>
            <w:r>
              <w:rPr>
                <w:b/>
                <w:bCs/>
                <w:color w:val="000000"/>
                <w:sz w:val="24"/>
                <w:szCs w:val="24"/>
              </w:rPr>
            </w:r>
            <w:r>
              <w:rPr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71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450</w:t>
            </w:r>
            <w:r>
              <w:rPr>
                <w:b/>
                <w:bCs/>
                <w:color w:val="000000"/>
                <w:sz w:val="24"/>
                <w:szCs w:val="24"/>
              </w:rPr>
            </w:r>
            <w:r>
              <w:rPr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7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0</w:t>
            </w:r>
            <w:r>
              <w:rPr>
                <w:b/>
                <w:bCs/>
                <w:color w:val="000000"/>
                <w:sz w:val="24"/>
                <w:szCs w:val="24"/>
              </w:rPr>
            </w:r>
            <w:r>
              <w:rPr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96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2500</w:t>
            </w:r>
            <w:r>
              <w:rPr>
                <w:b/>
                <w:bCs/>
                <w:color w:val="000000"/>
                <w:sz w:val="24"/>
                <w:szCs w:val="24"/>
              </w:rPr>
            </w:r>
            <w:r>
              <w:rPr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6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2</w:t>
            </w:r>
            <w:r>
              <w:rPr>
                <w:b/>
                <w:bCs/>
                <w:color w:val="000000"/>
                <w:sz w:val="24"/>
                <w:szCs w:val="24"/>
              </w:rPr>
            </w:r>
            <w:r>
              <w:rPr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12</w:t>
            </w:r>
            <w:r>
              <w:rPr>
                <w:b/>
                <w:bCs/>
                <w:color w:val="000000"/>
                <w:sz w:val="24"/>
                <w:szCs w:val="24"/>
              </w:rPr>
            </w:r>
            <w:r>
              <w:rPr>
                <w:b/>
                <w:bCs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904"/>
        </w:trPr>
        <w:tc>
          <w:tcPr>
            <w:gridSpan w:val="2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18" w:type="dxa"/>
            <w:vAlign w:val="center"/>
            <w:textDirection w:val="lrTb"/>
            <w:noWrap w:val="false"/>
          </w:tcPr>
          <w:p>
            <w:pPr>
              <w:ind w:firstLine="0"/>
              <w:jc w:val="left"/>
              <w:spacing w:line="240" w:lineRule="auto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Зона функционального тестирования новых релизов платформы и прикладных сервисов</w:t>
            </w:r>
            <w:r>
              <w:rPr>
                <w:b/>
                <w:bCs/>
                <w:color w:val="000000"/>
                <w:sz w:val="24"/>
                <w:szCs w:val="24"/>
              </w:rPr>
            </w:r>
            <w:r>
              <w:rPr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2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3</w:t>
            </w:r>
            <w:r>
              <w:rPr>
                <w:b/>
                <w:bCs/>
                <w:color w:val="000000"/>
                <w:sz w:val="24"/>
                <w:szCs w:val="24"/>
              </w:rPr>
            </w:r>
            <w:r>
              <w:rPr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43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1</w:t>
            </w:r>
            <w:r>
              <w:rPr>
                <w:b/>
                <w:bCs/>
                <w:color w:val="000000"/>
                <w:sz w:val="24"/>
                <w:szCs w:val="24"/>
              </w:rPr>
            </w:r>
            <w:r>
              <w:rPr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43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0</w:t>
            </w:r>
            <w:r>
              <w:rPr>
                <w:b/>
                <w:bCs/>
                <w:color w:val="000000"/>
                <w:sz w:val="24"/>
                <w:szCs w:val="24"/>
              </w:rPr>
            </w:r>
            <w:r>
              <w:rPr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6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18</w:t>
            </w:r>
            <w:r>
              <w:rPr>
                <w:b/>
                <w:bCs/>
                <w:color w:val="000000"/>
                <w:sz w:val="24"/>
                <w:szCs w:val="24"/>
              </w:rPr>
            </w:r>
            <w:r>
              <w:rPr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68</w:t>
            </w:r>
            <w:r>
              <w:rPr>
                <w:b/>
                <w:bCs/>
                <w:color w:val="000000"/>
                <w:sz w:val="24"/>
                <w:szCs w:val="24"/>
              </w:rPr>
            </w:r>
            <w:r>
              <w:rPr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71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150</w:t>
            </w:r>
            <w:r>
              <w:rPr>
                <w:b/>
                <w:bCs/>
                <w:color w:val="000000"/>
                <w:sz w:val="24"/>
                <w:szCs w:val="24"/>
              </w:rPr>
            </w:r>
            <w:r>
              <w:rPr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7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0</w:t>
            </w:r>
            <w:r>
              <w:rPr>
                <w:b/>
                <w:bCs/>
                <w:color w:val="000000"/>
                <w:sz w:val="24"/>
                <w:szCs w:val="24"/>
              </w:rPr>
            </w:r>
            <w:r>
              <w:rPr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96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1200</w:t>
            </w:r>
            <w:r>
              <w:rPr>
                <w:b/>
                <w:bCs/>
                <w:color w:val="000000"/>
                <w:sz w:val="24"/>
                <w:szCs w:val="24"/>
              </w:rPr>
            </w:r>
            <w:r>
              <w:rPr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6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1</w:t>
            </w:r>
            <w:r>
              <w:rPr>
                <w:b/>
                <w:bCs/>
                <w:color w:val="000000"/>
                <w:sz w:val="24"/>
                <w:szCs w:val="24"/>
              </w:rPr>
            </w:r>
            <w:r>
              <w:rPr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8</w:t>
            </w:r>
            <w:r>
              <w:rPr>
                <w:b/>
                <w:bCs/>
                <w:color w:val="000000"/>
                <w:sz w:val="24"/>
                <w:szCs w:val="24"/>
              </w:rPr>
            </w:r>
            <w:r>
              <w:rPr>
                <w:b/>
                <w:bCs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85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98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left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Нода функционального тестирования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20" w:type="dxa"/>
            <w:vAlign w:val="center"/>
            <w:textDirection w:val="lrTb"/>
            <w:noWrap w:val="false"/>
          </w:tcPr>
          <w:p>
            <w:pPr>
              <w:ind w:firstLine="0"/>
              <w:jc w:val="left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веб-сервер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2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43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 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43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 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6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71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50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7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 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96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 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6" w:type="dxa"/>
            <w:vAlign w:val="center"/>
            <w:textDirection w:val="lrTb"/>
            <w:noWrap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  <w:textDirection w:val="lrTb"/>
            <w:noWrap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85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98" w:type="dxa"/>
            <w:vAlign w:val="center"/>
            <w:vMerge w:val="continue"/>
            <w:textDirection w:val="lrTb"/>
            <w:noWrap w:val="false"/>
          </w:tcPr>
          <w:p>
            <w:pP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20" w:type="dxa"/>
            <w:vAlign w:val="center"/>
            <w:textDirection w:val="lrTb"/>
            <w:noWrap w:val="false"/>
          </w:tcPr>
          <w:p>
            <w:pPr>
              <w:ind w:firstLine="0"/>
              <w:jc w:val="left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сервер 1С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2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43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43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 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6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8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32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71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50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7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 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96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200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6" w:type="dxa"/>
            <w:vAlign w:val="center"/>
            <w:textDirection w:val="lrTb"/>
            <w:noWrap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  <w:textDirection w:val="lrTb"/>
            <w:noWrap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93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98" w:type="dxa"/>
            <w:vAlign w:val="center"/>
            <w:vMerge w:val="continue"/>
            <w:textDirection w:val="lrTb"/>
            <w:noWrap w:val="false"/>
          </w:tcPr>
          <w:p>
            <w:pP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20" w:type="dxa"/>
            <w:vAlign w:val="center"/>
            <w:textDirection w:val="lrTb"/>
            <w:noWrap w:val="false"/>
          </w:tcPr>
          <w:p>
            <w:pPr>
              <w:ind w:firstLine="0"/>
              <w:jc w:val="left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СУБД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2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43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 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43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 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6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8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32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71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50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7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96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1000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6" w:type="dxa"/>
            <w:vAlign w:val="center"/>
            <w:textDirection w:val="lrTb"/>
            <w:noWrap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  <w:textDirection w:val="lrTb"/>
            <w:noWrap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8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93"/>
        </w:trPr>
        <w:tc>
          <w:tcPr>
            <w:gridSpan w:val="2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18" w:type="dxa"/>
            <w:vAlign w:val="center"/>
            <w:textDirection w:val="lrTb"/>
            <w:noWrap w:val="false"/>
          </w:tcPr>
          <w:p>
            <w:pPr>
              <w:ind w:firstLine="0"/>
              <w:jc w:val="left"/>
              <w:spacing w:line="240" w:lineRule="auto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Управляющая зона</w:t>
            </w:r>
            <w:r>
              <w:rPr>
                <w:b/>
                <w:bCs/>
                <w:color w:val="000000"/>
                <w:sz w:val="24"/>
                <w:szCs w:val="24"/>
              </w:rPr>
            </w:r>
            <w:r>
              <w:rPr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2" w:type="dxa"/>
            <w:vAlign w:val="center"/>
            <w:textDirection w:val="lrTb"/>
            <w:noWrap/>
          </w:tcPr>
          <w:p>
            <w:pPr>
              <w:ind w:firstLine="0"/>
              <w:jc w:val="center"/>
              <w:spacing w:line="240" w:lineRule="auto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6</w:t>
            </w:r>
            <w:r>
              <w:rPr>
                <w:b/>
                <w:bCs/>
                <w:color w:val="000000"/>
                <w:sz w:val="24"/>
                <w:szCs w:val="24"/>
              </w:rPr>
            </w:r>
            <w:r>
              <w:rPr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43" w:type="dxa"/>
            <w:vAlign w:val="center"/>
            <w:textDirection w:val="lrTb"/>
            <w:noWrap/>
          </w:tcPr>
          <w:p>
            <w:pPr>
              <w:ind w:firstLine="0"/>
              <w:jc w:val="center"/>
              <w:spacing w:line="240" w:lineRule="auto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1</w:t>
            </w:r>
            <w:r>
              <w:rPr>
                <w:b/>
                <w:bCs/>
                <w:color w:val="000000"/>
                <w:sz w:val="24"/>
                <w:szCs w:val="24"/>
              </w:rPr>
            </w:r>
            <w:r>
              <w:rPr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43" w:type="dxa"/>
            <w:vAlign w:val="center"/>
            <w:textDirection w:val="lrTb"/>
            <w:noWrap/>
          </w:tcPr>
          <w:p>
            <w:pPr>
              <w:ind w:firstLine="0"/>
              <w:jc w:val="center"/>
              <w:spacing w:line="240" w:lineRule="auto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10</w:t>
            </w:r>
            <w:r>
              <w:rPr>
                <w:b/>
                <w:bCs/>
                <w:color w:val="000000"/>
                <w:sz w:val="24"/>
                <w:szCs w:val="24"/>
              </w:rPr>
            </w:r>
            <w:r>
              <w:rPr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6" w:type="dxa"/>
            <w:vAlign w:val="center"/>
            <w:textDirection w:val="lrTb"/>
            <w:noWrap/>
          </w:tcPr>
          <w:p>
            <w:pPr>
              <w:ind w:firstLine="0"/>
              <w:jc w:val="center"/>
              <w:spacing w:line="240" w:lineRule="auto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24</w:t>
            </w:r>
            <w:r>
              <w:rPr>
                <w:b/>
                <w:bCs/>
                <w:color w:val="000000"/>
                <w:sz w:val="24"/>
                <w:szCs w:val="24"/>
              </w:rPr>
            </w:r>
            <w:r>
              <w:rPr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0" w:type="dxa"/>
            <w:vAlign w:val="center"/>
            <w:textDirection w:val="lrTb"/>
            <w:noWrap/>
          </w:tcPr>
          <w:p>
            <w:pPr>
              <w:ind w:firstLine="0"/>
              <w:jc w:val="center"/>
              <w:spacing w:line="240" w:lineRule="auto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64</w:t>
            </w:r>
            <w:r>
              <w:rPr>
                <w:b/>
                <w:bCs/>
                <w:color w:val="000000"/>
                <w:sz w:val="24"/>
                <w:szCs w:val="24"/>
              </w:rPr>
            </w:r>
            <w:r>
              <w:rPr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71" w:type="dxa"/>
            <w:vAlign w:val="center"/>
            <w:textDirection w:val="lrTb"/>
            <w:noWrap/>
          </w:tcPr>
          <w:p>
            <w:pPr>
              <w:ind w:firstLine="0"/>
              <w:jc w:val="center"/>
              <w:spacing w:line="240" w:lineRule="auto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300</w:t>
            </w:r>
            <w:r>
              <w:rPr>
                <w:b/>
                <w:bCs/>
                <w:color w:val="000000"/>
                <w:sz w:val="24"/>
                <w:szCs w:val="24"/>
              </w:rPr>
            </w:r>
            <w:r>
              <w:rPr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7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0</w:t>
            </w:r>
            <w:r>
              <w:rPr>
                <w:b/>
                <w:bCs/>
                <w:color w:val="000000"/>
                <w:sz w:val="24"/>
                <w:szCs w:val="24"/>
              </w:rPr>
            </w:r>
            <w:r>
              <w:rPr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96" w:type="dxa"/>
            <w:vAlign w:val="center"/>
            <w:textDirection w:val="lrTb"/>
            <w:noWrap/>
          </w:tcPr>
          <w:p>
            <w:pPr>
              <w:ind w:firstLine="0"/>
              <w:jc w:val="center"/>
              <w:spacing w:line="240" w:lineRule="auto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1300</w:t>
            </w:r>
            <w:r>
              <w:rPr>
                <w:b/>
                <w:bCs/>
                <w:color w:val="000000"/>
                <w:sz w:val="24"/>
                <w:szCs w:val="24"/>
              </w:rPr>
            </w:r>
            <w:r>
              <w:rPr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6" w:type="dxa"/>
            <w:vAlign w:val="center"/>
            <w:textDirection w:val="lrTb"/>
            <w:noWrap/>
          </w:tcPr>
          <w:p>
            <w:pPr>
              <w:ind w:firstLine="0"/>
              <w:jc w:val="center"/>
              <w:spacing w:line="240" w:lineRule="auto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1</w:t>
            </w:r>
            <w:r>
              <w:rPr>
                <w:b/>
                <w:bCs/>
                <w:color w:val="000000"/>
                <w:sz w:val="24"/>
                <w:szCs w:val="24"/>
              </w:rPr>
            </w:r>
            <w:r>
              <w:rPr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  <w:textDirection w:val="lrTb"/>
            <w:noWrap/>
          </w:tcPr>
          <w:p>
            <w:pPr>
              <w:ind w:firstLine="0"/>
              <w:jc w:val="center"/>
              <w:spacing w:line="240" w:lineRule="auto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4</w:t>
            </w:r>
            <w:r>
              <w:rPr>
                <w:b/>
                <w:bCs/>
                <w:color w:val="000000"/>
                <w:sz w:val="24"/>
                <w:szCs w:val="24"/>
              </w:rPr>
            </w:r>
            <w:r>
              <w:rPr>
                <w:b/>
                <w:bCs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85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98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left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Нода МС + УСП + АС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20" w:type="dxa"/>
            <w:vAlign w:val="center"/>
            <w:textDirection w:val="lrTb"/>
            <w:noWrap w:val="false"/>
          </w:tcPr>
          <w:p>
            <w:pPr>
              <w:ind w:firstLine="0"/>
              <w:jc w:val="left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веб-сервер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2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43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 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43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 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6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71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50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7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 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96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 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6" w:type="dxa"/>
            <w:vAlign w:val="center"/>
            <w:textDirection w:val="lrTb"/>
            <w:noWrap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  <w:textDirection w:val="lrTb"/>
            <w:noWrap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85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98" w:type="dxa"/>
            <w:vAlign w:val="center"/>
            <w:vMerge w:val="continue"/>
            <w:textDirection w:val="lrTb"/>
            <w:noWrap w:val="false"/>
          </w:tcPr>
          <w:p>
            <w:pP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20" w:type="dxa"/>
            <w:vAlign w:val="center"/>
            <w:textDirection w:val="lrTb"/>
            <w:noWrap w:val="false"/>
          </w:tcPr>
          <w:p>
            <w:pPr>
              <w:ind w:firstLine="0"/>
              <w:jc w:val="left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сервер 1С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2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43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43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5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6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8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71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50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7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 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96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100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6" w:type="dxa"/>
            <w:vAlign w:val="center"/>
            <w:textDirection w:val="lrTb"/>
            <w:noWrap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  <w:textDirection w:val="lrTb"/>
            <w:noWrap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93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98" w:type="dxa"/>
            <w:vAlign w:val="center"/>
            <w:vMerge w:val="continue"/>
            <w:textDirection w:val="lrTb"/>
            <w:noWrap w:val="false"/>
          </w:tcPr>
          <w:p>
            <w:pP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20" w:type="dxa"/>
            <w:vAlign w:val="center"/>
            <w:textDirection w:val="lrTb"/>
            <w:noWrap w:val="false"/>
          </w:tcPr>
          <w:p>
            <w:pPr>
              <w:ind w:firstLine="0"/>
              <w:jc w:val="left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СУБД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2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43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 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43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 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6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8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71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50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7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 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96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200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6" w:type="dxa"/>
            <w:vAlign w:val="center"/>
            <w:textDirection w:val="lrTb"/>
            <w:noWrap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  <w:textDirection w:val="lrTb"/>
            <w:noWrap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85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98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left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Службы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20" w:type="dxa"/>
            <w:vAlign w:val="center"/>
            <w:textDirection w:val="lrTb"/>
            <w:noWrap w:val="false"/>
          </w:tcPr>
          <w:p>
            <w:pPr>
              <w:ind w:firstLine="0"/>
              <w:jc w:val="left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файл-сервер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2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43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 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43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 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6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71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50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7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 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96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800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6" w:type="dxa"/>
            <w:vAlign w:val="center"/>
            <w:textDirection w:val="lrTb"/>
            <w:noWrap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  <w:textDirection w:val="lrTb"/>
            <w:noWrap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85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98" w:type="dxa"/>
            <w:vAlign w:val="center"/>
            <w:vMerge w:val="continue"/>
            <w:textDirection w:val="lrTb"/>
            <w:noWrap w:val="false"/>
          </w:tcPr>
          <w:p>
            <w:pP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20" w:type="dxa"/>
            <w:vAlign w:val="center"/>
            <w:textDirection w:val="lrTb"/>
            <w:noWrap w:val="false"/>
          </w:tcPr>
          <w:p>
            <w:pPr>
              <w:ind w:firstLine="0"/>
              <w:jc w:val="left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терминальный сервер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2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43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 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43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5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6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8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32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71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50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7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 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96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200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6" w:type="dxa"/>
            <w:vAlign w:val="center"/>
            <w:textDirection w:val="lrTb"/>
            <w:noWrap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  <w:textDirection w:val="lrTb"/>
            <w:noWrap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1148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98" w:type="dxa"/>
            <w:vAlign w:val="center"/>
            <w:vMerge w:val="continue"/>
            <w:textDirection w:val="lrTb"/>
            <w:noWrap w:val="false"/>
          </w:tcPr>
          <w:p>
            <w:pP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20" w:type="dxa"/>
            <w:vAlign w:val="center"/>
            <w:textDirection w:val="lrTb"/>
            <w:noWrap w:val="false"/>
          </w:tcPr>
          <w:p>
            <w:pPr>
              <w:ind w:firstLine="0"/>
              <w:jc w:val="left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шлюз приложений 1С + портал + маршрутизации входящего трафика http(s) + DNS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2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43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 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43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 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6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8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71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50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7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 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96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 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6" w:type="dxa"/>
            <w:vAlign w:val="center"/>
            <w:textDirection w:val="lrTb"/>
            <w:noWrap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  <w:textDirection w:val="lrTb"/>
            <w:noWrap/>
          </w:tcPr>
          <w:p>
            <w:pPr>
              <w:ind w:firstLine="0"/>
              <w:jc w:val="center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0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</w:tbl>
    <w:p>
      <w:pPr>
        <w:jc w:val="right"/>
        <w:spacing w:line="240" w:lineRule="auto"/>
        <w:sectPr>
          <w:headerReference w:type="default" r:id="rId9"/>
          <w:footnotePr/>
          <w:endnotePr/>
          <w:type w:val="nextPage"/>
          <w:pgSz w:w="16838" w:h="11906" w:orient="landscape"/>
          <w:pgMar w:top="992" w:right="992" w:bottom="1418" w:left="851" w:header="709" w:footer="709" w:gutter="0"/>
          <w:cols w:num="1" w:sep="0" w:space="720" w:equalWidth="1"/>
          <w:docGrid w:linePitch="360"/>
          <w:titlePg/>
        </w:sectPr>
      </w:pPr>
      <w:r/>
      <w:r/>
    </w:p>
    <w:p>
      <w:pPr>
        <w:jc w:val="right"/>
        <w:spacing w:line="240" w:lineRule="auto"/>
      </w:pPr>
      <w:r>
        <w:t xml:space="preserve">Приложение 3</w:t>
      </w:r>
      <w:r/>
    </w:p>
    <w:p>
      <w:pPr>
        <w:ind w:left="35" w:right="-2"/>
        <w:jc w:val="right"/>
        <w:spacing w:line="240" w:lineRule="auto"/>
        <w:widowControl w:val="off"/>
        <w:tabs>
          <w:tab w:val="center" w:pos="4677" w:leader="none"/>
          <w:tab w:val="right" w:pos="8789" w:leader="none"/>
        </w:tabs>
      </w:pPr>
      <w:r>
        <w:rPr>
          <w:bCs/>
        </w:rPr>
        <w:t xml:space="preserve">к Описанию объекта закупки</w:t>
      </w:r>
      <w:r/>
    </w:p>
    <w:p>
      <w:pPr>
        <w:ind w:left="35" w:right="-2"/>
        <w:jc w:val="center"/>
        <w:spacing w:line="240" w:lineRule="auto"/>
        <w:widowControl w:val="off"/>
        <w:tabs>
          <w:tab w:val="center" w:pos="4677" w:leader="none"/>
          <w:tab w:val="right" w:pos="8789" w:leader="none"/>
        </w:tabs>
      </w:pPr>
      <w:r/>
      <w:r/>
    </w:p>
    <w:p>
      <w:pPr>
        <w:ind w:left="35" w:right="-2"/>
        <w:jc w:val="center"/>
        <w:spacing w:line="240" w:lineRule="auto"/>
        <w:widowControl w:val="off"/>
        <w:tabs>
          <w:tab w:val="center" w:pos="4677" w:leader="none"/>
          <w:tab w:val="right" w:pos="8789" w:leader="none"/>
        </w:tabs>
      </w:pPr>
      <w:r>
        <w:t xml:space="preserve">Распределение выполнения работ по созданию Системы</w:t>
      </w:r>
      <w:r/>
    </w:p>
    <w:p>
      <w:pPr>
        <w:pStyle w:val="1210"/>
        <w:jc w:val="center"/>
      </w:pPr>
      <w:r/>
      <w:r/>
    </w:p>
    <w:p>
      <w:pPr>
        <w:pStyle w:val="1210"/>
        <w:jc w:val="center"/>
      </w:pPr>
      <w:r/>
      <w:r/>
    </w:p>
    <w:tbl>
      <w:tblPr>
        <w:tblStyle w:val="773"/>
        <w:tblW w:w="1516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017"/>
        <w:gridCol w:w="3902"/>
        <w:gridCol w:w="2306"/>
        <w:gridCol w:w="2551"/>
        <w:gridCol w:w="2693"/>
        <w:gridCol w:w="2694"/>
      </w:tblGrid>
      <w:tr>
        <w:tblPrEx/>
        <w:trPr>
          <w:jc w:val="center"/>
          <w:tblHeader/>
        </w:trPr>
        <w:tc>
          <w:tcPr>
            <w:tcW w:w="1017" w:type="dxa"/>
            <w:vAlign w:val="center"/>
            <w:textDirection w:val="lrTb"/>
            <w:noWrap w:val="false"/>
          </w:tcPr>
          <w:p>
            <w:pPr>
              <w:pStyle w:val="1232"/>
              <w:ind w:firstLine="0"/>
              <w:jc w:val="center"/>
              <w:rPr>
                <w:rFonts w:ascii="Times New Roman" w:hAnsi="Times New Roman"/>
                <w:b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Times New Roman" w:hAnsi="Times New Roman" w:eastAsia="Times New Roman"/>
                <w:b/>
              </w:rPr>
              <w:t xml:space="preserve">Стадия</w:t>
            </w:r>
            <w:r>
              <w:rPr>
                <w:rFonts w:ascii="Times New Roman" w:hAnsi="Times New Roman" w:eastAsia="Times New Roman"/>
                <w:b/>
              </w:rPr>
              <w:br/>
              <w:t xml:space="preserve"> №</w:t>
            </w: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</w:tc>
        <w:tc>
          <w:tcPr>
            <w:tcW w:w="3902" w:type="dxa"/>
            <w:vAlign w:val="center"/>
            <w:textDirection w:val="lrTb"/>
            <w:noWrap w:val="false"/>
          </w:tcPr>
          <w:p>
            <w:pPr>
              <w:pStyle w:val="1232"/>
              <w:ind w:firstLine="0"/>
              <w:jc w:val="center"/>
              <w:rPr>
                <w:rFonts w:ascii="Times New Roman" w:hAnsi="Times New Roman"/>
                <w:b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Times New Roman" w:hAnsi="Times New Roman" w:eastAsia="Times New Roman"/>
                <w:b/>
              </w:rPr>
              <w:t xml:space="preserve">Наименование стадии</w:t>
            </w: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</w:tc>
        <w:tc>
          <w:tcPr>
            <w:tcW w:w="2306" w:type="dxa"/>
            <w:vAlign w:val="center"/>
            <w:textDirection w:val="lrTb"/>
            <w:noWrap w:val="false"/>
          </w:tcPr>
          <w:p>
            <w:pPr>
              <w:pStyle w:val="1232"/>
              <w:ind w:firstLine="0"/>
              <w:jc w:val="center"/>
              <w:rPr>
                <w:rFonts w:ascii="Times New Roman" w:hAnsi="Times New Roman"/>
                <w:b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Times New Roman" w:hAnsi="Times New Roman" w:eastAsia="Times New Roman"/>
                <w:b/>
              </w:rPr>
              <w:t xml:space="preserve">Состав и содержание работ стадии</w:t>
            </w: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</w:tc>
        <w:tc>
          <w:tcPr>
            <w:tcW w:w="2551" w:type="dxa"/>
            <w:vAlign w:val="center"/>
            <w:textDirection w:val="lrTb"/>
            <w:noWrap w:val="false"/>
          </w:tcPr>
          <w:p>
            <w:pPr>
              <w:pStyle w:val="1232"/>
              <w:ind w:firstLine="0"/>
              <w:jc w:val="center"/>
              <w:rPr>
                <w:rFonts w:ascii="Times New Roman" w:hAnsi="Times New Roman"/>
                <w:b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Times New Roman" w:hAnsi="Times New Roman" w:eastAsia="Times New Roman"/>
                <w:b/>
              </w:rPr>
              <w:t xml:space="preserve">Срок выполнения работ</w:t>
            </w: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</w:tc>
        <w:tc>
          <w:tcPr>
            <w:tcW w:w="2693" w:type="dxa"/>
            <w:vAlign w:val="center"/>
            <w:textDirection w:val="lrTb"/>
            <w:noWrap w:val="false"/>
          </w:tcPr>
          <w:p>
            <w:pPr>
              <w:pStyle w:val="1232"/>
              <w:ind w:firstLine="0"/>
              <w:jc w:val="center"/>
              <w:rPr>
                <w:rFonts w:ascii="Times New Roman" w:hAnsi="Times New Roman"/>
                <w:b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Times New Roman" w:hAnsi="Times New Roman" w:eastAsia="Times New Roman"/>
                <w:b/>
              </w:rPr>
              <w:t xml:space="preserve">Ожидаемый результат</w:t>
            </w: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</w:tc>
        <w:tc>
          <w:tcPr>
            <w:tcW w:w="2694" w:type="dxa"/>
            <w:vAlign w:val="center"/>
            <w:textDirection w:val="lrTb"/>
            <w:noWrap w:val="false"/>
          </w:tcPr>
          <w:p>
            <w:pPr>
              <w:pStyle w:val="1232"/>
              <w:ind w:firstLine="0"/>
              <w:jc w:val="center"/>
              <w:rPr>
                <w:rFonts w:ascii="Times New Roman" w:hAnsi="Times New Roman"/>
                <w:b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Times New Roman" w:hAnsi="Times New Roman" w:eastAsia="Times New Roman"/>
                <w:b/>
              </w:rPr>
              <w:t xml:space="preserve">Отчетные документы</w:t>
            </w: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</w:tc>
      </w:tr>
      <w:tr>
        <w:tblPrEx/>
        <w:trPr>
          <w:jc w:val="center"/>
        </w:trPr>
        <w:tc>
          <w:tcPr>
            <w:gridSpan w:val="6"/>
            <w:tcW w:w="15163" w:type="dxa"/>
            <w:textDirection w:val="lrTb"/>
            <w:noWrap w:val="false"/>
          </w:tcPr>
          <w:p>
            <w:pPr>
              <w:pStyle w:val="1232"/>
              <w:ind w:firstLine="0"/>
              <w:rPr>
                <w:rFonts w:ascii="Times New Roman" w:hAnsi="Times New Roman"/>
                <w:b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Times New Roman" w:hAnsi="Times New Roman" w:eastAsia="Times New Roman"/>
                <w:b/>
              </w:rPr>
              <w:t xml:space="preserve">1 Этап: Предоставление программ для ЭВМ (и прав на их использование)</w:t>
            </w: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</w:tc>
      </w:tr>
      <w:tr>
        <w:tblPrEx/>
        <w:trPr>
          <w:jc w:val="center"/>
        </w:trPr>
        <w:tc>
          <w:tcPr>
            <w:tcW w:w="1017" w:type="dxa"/>
            <w:textDirection w:val="lrTb"/>
            <w:noWrap w:val="false"/>
          </w:tcPr>
          <w:p>
            <w:pPr>
              <w:pStyle w:val="1232"/>
              <w:ind w:firstLine="0"/>
              <w:jc w:val="center"/>
              <w:rPr>
                <w:rFonts w:ascii="Times New Roman" w:hAnsi="Times New Roman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3902" w:type="dxa"/>
            <w:textDirection w:val="lrTb"/>
            <w:noWrap w:val="false"/>
          </w:tcPr>
          <w:p>
            <w:pPr>
              <w:ind w:firstLine="0"/>
              <w:spacing w:line="240" w:lineRule="auto"/>
              <w:widowControl w:val="off"/>
              <w:rPr>
                <w:rFonts w:ascii="Times New Roman" w:hAnsi="Times New Roman" w:eastAsia="Times New Roman"/>
                <w:sz w:val="24"/>
                <w:szCs w:val="24"/>
                <w14:ligatures w14:val="none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редоставление права использования программного обеспечения на условиях простой (неисключительной) лицензии</w:t>
            </w:r>
            <w:r>
              <w:rPr>
                <w:rFonts w:ascii="Times New Roman" w:hAnsi="Times New Roman" w:eastAsia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14:ligatures w14:val="none"/>
              </w:rPr>
            </w:r>
          </w:p>
        </w:tc>
        <w:tc>
          <w:tcPr>
            <w:tcW w:w="2306" w:type="dxa"/>
            <w:textDirection w:val="lrTb"/>
            <w:noWrap w:val="false"/>
          </w:tcPr>
          <w:p>
            <w:pPr>
              <w:pStyle w:val="1232"/>
              <w:ind w:firstLine="0"/>
              <w:rPr>
                <w:rFonts w:ascii="Times New Roman" w:hAnsi="Times New Roman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Times New Roman" w:hAnsi="Times New Roman" w:eastAsia="Times New Roman"/>
              </w:rPr>
              <w:t xml:space="preserve">В соответствии с п. 5 ООЗ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pStyle w:val="1232"/>
              <w:ind w:firstLine="0"/>
              <w:rPr>
                <w:rFonts w:ascii="Times New Roman" w:hAnsi="Times New Roman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1232"/>
              <w:ind w:firstLine="0"/>
              <w:jc w:val="left"/>
              <w:rPr>
                <w:rFonts w:ascii="Times New Roman" w:hAnsi="Times New Roman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Times New Roman" w:hAnsi="Times New Roman" w:eastAsia="Times New Roman"/>
              </w:rPr>
              <w:t xml:space="preserve">До 25.11.2026.</w:t>
              <w:br/>
              <w:t xml:space="preserve">Допускается досрочное выполнение работ по этапу.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pStyle w:val="1232"/>
              <w:ind w:firstLine="0"/>
              <w:jc w:val="left"/>
              <w:rPr>
                <w:rFonts w:ascii="Times New Roman" w:hAnsi="Times New Roman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Times New Roman" w:hAnsi="Times New Roman" w:eastAsia="Times New Roman"/>
              </w:rPr>
              <w:t xml:space="preserve">Неисключительные (пользовательские) права для развертывания ПО переданы Заказчику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694" w:type="dxa"/>
            <w:textDirection w:val="lrTb"/>
            <w:noWrap w:val="false"/>
          </w:tcPr>
          <w:p>
            <w:pPr>
              <w:ind w:firstLine="0"/>
              <w:spacing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Лицензионный (сублицензионный) договор;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232"/>
              <w:ind w:firstLine="0"/>
              <w:jc w:val="left"/>
              <w:rPr>
                <w:rFonts w:ascii="Times New Roman" w:hAnsi="Times New Roman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Times New Roman" w:hAnsi="Times New Roman" w:eastAsia="Times New Roman"/>
              </w:rPr>
              <w:t xml:space="preserve">Документ о приемке по 1 этапу, размещенный в ЕИС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/>
        <w:trPr>
          <w:jc w:val="center"/>
          <w:trHeight w:val="283"/>
        </w:trPr>
        <w:tc>
          <w:tcPr>
            <w:gridSpan w:val="6"/>
            <w:tcW w:w="15163" w:type="dxa"/>
            <w:textDirection w:val="lrTb"/>
            <w:noWrap w:val="false"/>
          </w:tcPr>
          <w:p>
            <w:pPr>
              <w:pStyle w:val="1232"/>
              <w:ind w:firstLine="0"/>
              <w:rPr>
                <w:rFonts w:ascii="Times New Roman" w:hAnsi="Times New Roman"/>
                <w:b/>
                <w:bCs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Times New Roman" w:hAnsi="Times New Roman" w:eastAsia="Times New Roman"/>
                <w:b/>
                <w:bCs/>
              </w:rPr>
              <w:t xml:space="preserve">2 ЭТАП: </w:t>
            </w:r>
            <w:r>
              <w:rPr>
                <w:rFonts w:ascii="Times New Roman" w:hAnsi="Times New Roman" w:eastAsia="Times New Roman"/>
                <w:b/>
                <w:bCs/>
              </w:rPr>
              <w:t xml:space="preserve">Проведение мероприятий по установке и настройке Системы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</w:tc>
      </w:tr>
      <w:tr>
        <w:tblPrEx/>
        <w:trPr>
          <w:jc w:val="center"/>
          <w:trHeight w:val="2572"/>
        </w:trPr>
        <w:tc>
          <w:tcPr>
            <w:tcW w:w="1017" w:type="dxa"/>
            <w:textDirection w:val="lrTb"/>
            <w:noWrap w:val="false"/>
          </w:tcPr>
          <w:p>
            <w:r/>
            <w:r/>
          </w:p>
        </w:tc>
        <w:tc>
          <w:tcPr>
            <w:tcW w:w="3902" w:type="dxa"/>
            <w:textDirection w:val="lrTb"/>
            <w:noWrap w:val="false"/>
          </w:tcPr>
          <w:p>
            <w:pPr>
              <w:ind w:firstLine="0"/>
              <w:spacing w:line="240" w:lineRule="auto"/>
              <w:widowControl w:val="off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Проведение мероприятий по установке и настройке Системы, в том числе: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  <w:p>
            <w:pPr>
              <w:ind w:firstLine="0"/>
              <w:spacing w:line="240" w:lineRule="auto"/>
              <w:widowControl w:val="off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подсистема «Администрирование»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;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  <w:p>
            <w:pPr>
              <w:ind w:firstLine="0"/>
              <w:spacing w:line="240" w:lineRule="auto"/>
              <w:widowControl w:val="off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подсистема «Бухгалтерский учет»;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ind w:firstLine="0"/>
              <w:spacing w:line="240" w:lineRule="auto"/>
              <w:widowControl w:val="off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подсистема «Кадровый учет и расчет заработной платы»;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ind w:firstLine="0"/>
              <w:spacing w:line="240" w:lineRule="auto"/>
              <w:widowControl w:val="off"/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подсистема регламентированной сводной отчетности.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</w:r>
          </w:p>
          <w:p>
            <w:pPr>
              <w:pStyle w:val="1232"/>
              <w:ind w:firstLine="0"/>
              <w:jc w:val="left"/>
              <w:rPr>
                <w:rFonts w:ascii="Times New Roman" w:hAnsi="Times New Roman" w:eastAsia="Times New Roman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Times New Roman" w:hAnsi="Times New Roman"/>
              </w:rPr>
              <w:t xml:space="preserve">Разработка блоков расширенной функциональности: тарификация, муниципальные пенсионеры.</w:t>
            </w:r>
            <w:r>
              <w:rPr>
                <w:rFonts w:ascii="Times New Roman" w:hAnsi="Times New Roman" w:eastAsia="Times New Roman"/>
              </w:rPr>
            </w:r>
            <w:r>
              <w:rPr>
                <w:rFonts w:ascii="Times New Roman" w:hAnsi="Times New Roman" w:eastAsia="Times New Roman"/>
              </w:rPr>
            </w:r>
          </w:p>
        </w:tc>
        <w:tc>
          <w:tcPr>
            <w:tcW w:w="2306" w:type="dxa"/>
            <w:textDirection w:val="lrTb"/>
            <w:noWrap w:val="false"/>
          </w:tcPr>
          <w:p>
            <w:pPr>
              <w:pStyle w:val="1232"/>
              <w:ind w:firstLine="0"/>
              <w:rPr>
                <w:rFonts w:ascii="Times New Roman" w:hAnsi="Times New Roman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Times New Roman" w:hAnsi="Times New Roman" w:eastAsia="Times New Roman"/>
              </w:rPr>
              <w:t xml:space="preserve">В соответствии с п. 7.1., 7.2, 7.3, 7.4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1232"/>
              <w:ind w:firstLine="0"/>
              <w:jc w:val="left"/>
              <w:rPr>
                <w:rFonts w:ascii="Times New Roman" w:hAnsi="Times New Roman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Times New Roman" w:hAnsi="Times New Roman" w:eastAsia="Times New Roman"/>
              </w:rPr>
              <w:t xml:space="preserve">До 05</w:t>
            </w:r>
            <w:r>
              <w:rPr>
                <w:rFonts w:ascii="Times New Roman" w:hAnsi="Times New Roman" w:eastAsia="Times New Roman"/>
              </w:rPr>
              <w:t xml:space="preserve">.12.2026 г.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pStyle w:val="1232"/>
              <w:ind w:firstLine="0"/>
              <w:rPr>
                <w:rFonts w:ascii="Times New Roman" w:hAnsi="Times New Roman"/>
                <w:highlight w:val="none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Times New Roman" w:hAnsi="Times New Roman" w:eastAsia="Times New Roman"/>
                <w:highlight w:val="none"/>
              </w:rPr>
              <w:t xml:space="preserve">Установленная и настроенная в соответствии с ООЗ Система</w:t>
            </w:r>
            <w:r>
              <w:rPr>
                <w:rFonts w:ascii="Times New Roman" w:hAnsi="Times New Roman"/>
                <w:highlight w:val="none"/>
              </w:rPr>
            </w:r>
            <w:r>
              <w:rPr>
                <w:rFonts w:ascii="Times New Roman" w:hAnsi="Times New Roman"/>
                <w:highlight w:val="none"/>
              </w:rPr>
            </w:r>
          </w:p>
        </w:tc>
        <w:tc>
          <w:tcPr>
            <w:tcW w:w="2694" w:type="dxa"/>
            <w:textDirection w:val="lrTb"/>
            <w:noWrap w:val="false"/>
          </w:tcPr>
          <w:p>
            <w:pPr>
              <w:pStyle w:val="1232"/>
              <w:ind w:firstLine="0"/>
              <w:rPr>
                <w:rFonts w:ascii="Times New Roman" w:hAnsi="Times New Roman"/>
                <w:highlight w:val="none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Times New Roman" w:hAnsi="Times New Roman" w:eastAsia="Times New Roman"/>
                <w:highlight w:val="none"/>
              </w:rPr>
              <w:t xml:space="preserve">Протокол выполненных мероприятий</w:t>
            </w:r>
            <w:r>
              <w:rPr>
                <w:rFonts w:ascii="Times New Roman" w:hAnsi="Times New Roman" w:eastAsia="Times New Roman"/>
                <w:highlight w:val="none"/>
              </w:rPr>
              <w:t xml:space="preserve">;</w:t>
            </w:r>
            <w:r>
              <w:rPr>
                <w:rFonts w:ascii="Times New Roman" w:hAnsi="Times New Roman"/>
                <w:highlight w:val="none"/>
              </w:rPr>
            </w:r>
            <w:r>
              <w:rPr>
                <w:rFonts w:ascii="Times New Roman" w:hAnsi="Times New Roman"/>
                <w:highlight w:val="none"/>
              </w:rPr>
            </w:r>
          </w:p>
          <w:p>
            <w:pPr>
              <w:pStyle w:val="1232"/>
              <w:ind w:firstLine="0"/>
              <w:rPr>
                <w:rFonts w:ascii="Times New Roman" w:hAnsi="Times New Roman"/>
                <w:highlight w:val="none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Times New Roman" w:hAnsi="Times New Roman" w:eastAsia="Times New Roman"/>
                <w:highlight w:val="none"/>
              </w:rPr>
              <w:t xml:space="preserve">Документ о приемке по 2 этапу, размещенный в ЕИС</w:t>
            </w:r>
            <w:r>
              <w:rPr>
                <w:rFonts w:ascii="Times New Roman" w:hAnsi="Times New Roman"/>
                <w:highlight w:val="none"/>
              </w:rPr>
            </w:r>
            <w:r>
              <w:rPr>
                <w:rFonts w:ascii="Times New Roman" w:hAnsi="Times New Roman"/>
                <w:highlight w:val="none"/>
              </w:rPr>
            </w:r>
          </w:p>
        </w:tc>
      </w:tr>
      <w:tr>
        <w:tblPrEx/>
        <w:trPr>
          <w:trHeight w:val="355"/>
        </w:trPr>
        <w:tc>
          <w:tcPr>
            <w:gridSpan w:val="6"/>
            <w:tcW w:w="15163" w:type="dxa"/>
            <w:vMerge w:val="restart"/>
            <w:textDirection w:val="lrTb"/>
            <w:noWrap w:val="false"/>
          </w:tcPr>
          <w:p>
            <w:pPr>
              <w:pStyle w:val="1232"/>
              <w:ind w:firstLine="0"/>
              <w:rPr>
                <w:rFonts w:ascii="Times New Roman" w:hAnsi="Times New Roman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Times New Roman" w:hAnsi="Times New Roman" w:eastAsia="Times New Roman"/>
                <w:b/>
              </w:rPr>
              <w:t xml:space="preserve">3 ЭТАП: </w:t>
            </w:r>
            <w:r>
              <w:rPr>
                <w:rFonts w:ascii="Times New Roman" w:hAnsi="Times New Roman" w:eastAsia="Times New Roman"/>
                <w:b/>
              </w:rPr>
              <w:t xml:space="preserve">Разработка блоков расширенной функциональности: </w:t>
            </w:r>
            <w:r>
              <w:rPr>
                <w:rFonts w:ascii="Times New Roman" w:hAnsi="Times New Roman" w:eastAsia="Times New Roman"/>
                <w:b/>
              </w:rPr>
              <w:t xml:space="preserve">род. плата, web-исполнение, имущество: доходы, казна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/>
        <w:trPr>
          <w:trHeight w:val="20"/>
        </w:trPr>
        <w:tc>
          <w:tcPr>
            <w:tcW w:w="1017" w:type="dxa"/>
            <w:vMerge w:val="restart"/>
            <w:textDirection w:val="lrTb"/>
            <w:noWrap w:val="false"/>
          </w:tcPr>
          <w:p>
            <w:r/>
            <w:r/>
          </w:p>
        </w:tc>
        <w:tc>
          <w:tcPr>
            <w:tcW w:w="3902" w:type="dxa"/>
            <w:vMerge w:val="restart"/>
            <w:textDirection w:val="lrTb"/>
            <w:noWrap w:val="false"/>
          </w:tcPr>
          <w:p>
            <w:pPr>
              <w:pStyle w:val="1232"/>
              <w:ind w:firstLine="0"/>
              <w:jc w:val="left"/>
              <w:rPr>
                <w:rFonts w:ascii="Times New Roman" w:hAnsi="Times New Roman"/>
                <w14:ligatures w14:val="none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Times New Roman" w:hAnsi="Times New Roman"/>
              </w:rPr>
              <w:t xml:space="preserve">Разработка блоков расширенной функциональности: </w:t>
            </w:r>
            <w:r>
              <w:rPr>
                <w:rFonts w:ascii="Times New Roman" w:hAnsi="Times New Roman"/>
              </w:rPr>
              <w:t xml:space="preserve">род. плата, web-исполнение, имущество: доходы, казна</w:t>
            </w:r>
            <w:r>
              <w:rPr>
                <w:rFonts w:ascii="Times New Roman" w:hAnsi="Times New Roman"/>
                <w14:ligatures w14:val="none"/>
              </w:rPr>
            </w:r>
            <w:r>
              <w:rPr>
                <w:rFonts w:ascii="Times New Roman" w:hAnsi="Times New Roman"/>
                <w14:ligatures w14:val="none"/>
              </w:rPr>
            </w:r>
          </w:p>
        </w:tc>
        <w:tc>
          <w:tcPr>
            <w:tcW w:w="2306" w:type="dxa"/>
            <w:vMerge w:val="restart"/>
            <w:textDirection w:val="lrTb"/>
            <w:noWrap w:val="false"/>
          </w:tcPr>
          <w:p>
            <w:pPr>
              <w:pStyle w:val="1232"/>
              <w:ind w:firstLine="0"/>
              <w:rPr>
                <w:rFonts w:ascii="Times New Roman" w:hAnsi="Times New Roman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Times New Roman" w:hAnsi="Times New Roman" w:eastAsia="Times New Roman"/>
              </w:rPr>
              <w:t xml:space="preserve">Разработка блоков</w:t>
            </w:r>
            <w:r>
              <w:rPr>
                <w:rFonts w:ascii="Times New Roman" w:hAnsi="Times New Roman"/>
              </w:rPr>
              <w:t xml:space="preserve"> расширенной функциональности</w:t>
            </w:r>
            <w:r>
              <w:rPr>
                <w:rFonts w:ascii="Times New Roman" w:hAnsi="Times New Roman"/>
              </w:rPr>
              <w:t xml:space="preserve"> в соответствии с п. 7.2 и 7.3.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551" w:type="dxa"/>
            <w:vMerge w:val="restart"/>
            <w:textDirection w:val="lrTb"/>
            <w:noWrap w:val="false"/>
          </w:tcPr>
          <w:p>
            <w:pPr>
              <w:pStyle w:val="1232"/>
              <w:ind w:firstLine="0"/>
              <w:rPr>
                <w:rFonts w:ascii="Times New Roman" w:hAnsi="Times New Roman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Times New Roman" w:hAnsi="Times New Roman" w:eastAsia="Times New Roman"/>
              </w:rPr>
              <w:t xml:space="preserve">До 31.01.2027 г.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693" w:type="dxa"/>
            <w:vMerge w:val="restart"/>
            <w:textDirection w:val="lrTb"/>
            <w:noWrap w:val="false"/>
          </w:tcPr>
          <w:p>
            <w:pPr>
              <w:ind w:firstLine="0"/>
              <w:spacing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Разработка выполнена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694" w:type="dxa"/>
            <w:vMerge w:val="restart"/>
            <w:textDirection w:val="lrTb"/>
            <w:noWrap w:val="false"/>
          </w:tcPr>
          <w:p>
            <w:pPr>
              <w:pStyle w:val="1232"/>
              <w:ind w:firstLine="0"/>
              <w:rPr>
                <w:rFonts w:ascii="Times New Roman" w:hAnsi="Times New Roman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Times New Roman" w:hAnsi="Times New Roman" w:eastAsia="Times New Roman"/>
              </w:rPr>
              <w:t xml:space="preserve">Протокол выполненных мероприятий</w:t>
            </w:r>
            <w:r>
              <w:rPr>
                <w:rFonts w:ascii="Times New Roman" w:hAnsi="Times New Roman" w:eastAsia="Times New Roman"/>
              </w:rPr>
              <w:t xml:space="preserve">;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pStyle w:val="1232"/>
              <w:ind w:firstLine="0"/>
              <w:rPr>
                <w:rFonts w:ascii="Times New Roman" w:hAnsi="Times New Roman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Times New Roman" w:hAnsi="Times New Roman" w:eastAsia="Times New Roman"/>
              </w:rPr>
              <w:t xml:space="preserve">Документ о приемке по 3 этапу, размещенный в ЕИС.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/>
        <w:trPr>
          <w:trHeight w:val="174"/>
        </w:trPr>
        <w:tc>
          <w:tcPr>
            <w:gridSpan w:val="6"/>
            <w:tcW w:w="15163" w:type="dxa"/>
            <w:vMerge w:val="restart"/>
            <w:textDirection w:val="lrTb"/>
            <w:noWrap w:val="false"/>
          </w:tcPr>
          <w:p>
            <w:pPr>
              <w:pStyle w:val="1232"/>
              <w:ind w:firstLine="0"/>
              <w:rPr>
                <w:rFonts w:ascii="Times New Roman" w:hAnsi="Times New Roman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Times New Roman" w:hAnsi="Times New Roman" w:eastAsia="Times New Roman"/>
                <w:b/>
              </w:rPr>
              <w:t xml:space="preserve">4 ЭТАП: </w:t>
            </w:r>
            <w:r>
              <w:rPr>
                <w:rFonts w:ascii="Times New Roman" w:hAnsi="Times New Roman" w:eastAsia="Times New Roman"/>
                <w:b/>
              </w:rPr>
              <w:t xml:space="preserve">Внедрение </w:t>
            </w:r>
            <w:r>
              <w:rPr>
                <w:rFonts w:ascii="Times New Roman" w:hAnsi="Times New Roman" w:eastAsia="Times New Roman"/>
                <w:b/>
                <w:bCs/>
                <w:lang w:eastAsia="ru-RU"/>
              </w:rPr>
              <w:t xml:space="preserve">подсистемы</w:t>
            </w:r>
            <w:r>
              <w:rPr>
                <w:rFonts w:ascii="Times New Roman" w:hAnsi="Times New Roman" w:eastAsia="Times New Roman"/>
                <w:b/>
                <w:bCs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b/>
                <w:bCs/>
                <w:lang w:eastAsia="ru-RU"/>
              </w:rPr>
              <w:t xml:space="preserve">централизованного обслуживания</w:t>
            </w:r>
            <w:r>
              <w:rPr>
                <w:rFonts w:ascii="Times New Roman" w:hAnsi="Times New Roman" w:eastAsia="Times New Roman"/>
                <w:b/>
              </w:rPr>
              <w:t xml:space="preserve">, разработка отчетов, администрирование Системы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/>
        <w:trPr>
          <w:jc w:val="center"/>
          <w:trHeight w:val="20"/>
        </w:trPr>
        <w:tc>
          <w:tcPr>
            <w:tcW w:w="1017" w:type="dxa"/>
            <w:textDirection w:val="lrTb"/>
            <w:noWrap w:val="false"/>
          </w:tcPr>
          <w:p>
            <w:pPr>
              <w:pStyle w:val="1232"/>
              <w:ind w:firstLine="0"/>
              <w:jc w:val="center"/>
              <w:rPr>
                <w:rFonts w:ascii="Times New Roman" w:hAnsi="Times New Roman"/>
                <w:b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Times New Roman" w:hAnsi="Times New Roman"/>
              </w:rPr>
              <w:t xml:space="preserve">4.1..</w:t>
            </w: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</w:tc>
        <w:tc>
          <w:tcPr>
            <w:tcW w:w="3902" w:type="dxa"/>
            <w:textDirection w:val="lrTb"/>
            <w:noWrap w:val="false"/>
          </w:tcPr>
          <w:p>
            <w:pPr>
              <w:pStyle w:val="1232"/>
              <w:ind w:firstLine="0"/>
              <w:jc w:val="left"/>
              <w:rPr>
                <w:rFonts w:ascii="Times New Roman" w:hAnsi="Times New Roman"/>
                <w:bCs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Times New Roman" w:hAnsi="Times New Roman" w:eastAsia="Times New Roman"/>
                <w:bCs/>
              </w:rPr>
              <w:t xml:space="preserve">Внедрение 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подсистемы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централизованного обслуживания</w:t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2306" w:type="dxa"/>
            <w:textDirection w:val="lrTb"/>
            <w:noWrap w:val="false"/>
          </w:tcPr>
          <w:p>
            <w:pPr>
              <w:pStyle w:val="1232"/>
              <w:ind w:firstLine="0"/>
              <w:rPr>
                <w:rFonts w:ascii="Times New Roman" w:hAnsi="Times New Roman"/>
                <w:b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Times New Roman" w:hAnsi="Times New Roman"/>
                <w:bCs/>
              </w:rPr>
              <w:t xml:space="preserve">В соответствии с п.</w:t>
            </w:r>
            <w:r>
              <w:rPr>
                <w:rFonts w:ascii="Times New Roman" w:hAnsi="Times New Roman"/>
                <w:bCs/>
              </w:rPr>
              <w:t xml:space="preserve"> 7.5.</w:t>
            </w: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</w:tc>
        <w:tc>
          <w:tcPr>
            <w:tcW w:w="2551" w:type="dxa"/>
            <w:vMerge w:val="restart"/>
            <w:textDirection w:val="lrTb"/>
            <w:noWrap w:val="false"/>
          </w:tcPr>
          <w:p>
            <w:pPr>
              <w:pStyle w:val="1232"/>
              <w:ind w:firstLine="0"/>
              <w:rPr>
                <w:rFonts w:ascii="Times New Roman" w:hAnsi="Times New Roman"/>
                <w:b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Times New Roman" w:hAnsi="Times New Roman" w:eastAsia="Times New Roman"/>
              </w:rPr>
              <w:t xml:space="preserve">До </w:t>
            </w:r>
            <w:r>
              <w:rPr>
                <w:rFonts w:ascii="Times New Roman" w:hAnsi="Times New Roman" w:eastAsia="Times New Roman"/>
              </w:rPr>
              <w:t xml:space="preserve">30.04.2027</w:t>
            </w:r>
            <w:r>
              <w:rPr>
                <w:rFonts w:ascii="Times New Roman" w:hAnsi="Times New Roman" w:eastAsia="Times New Roman"/>
              </w:rPr>
              <w:t xml:space="preserve"> г.</w:t>
            </w: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  <w:p>
            <w:pPr>
              <w:pStyle w:val="1232"/>
              <w:ind w:firstLine="0"/>
              <w:rPr>
                <w:rFonts w:ascii="Times New Roman" w:hAnsi="Times New Roman"/>
                <w:b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Times New Roman" w:hAnsi="Times New Roman" w:eastAsia="Times New Roman"/>
              </w:rPr>
            </w: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ind w:firstLine="0"/>
              <w:spacing w:line="240" w:lineRule="auto"/>
              <w:widowControl w:val="off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Внедрена подсистема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централизованного обслуживания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r>
          </w:p>
        </w:tc>
        <w:tc>
          <w:tcPr>
            <w:tcW w:w="2694" w:type="dxa"/>
            <w:vMerge w:val="restart"/>
            <w:textDirection w:val="lrTb"/>
            <w:noWrap w:val="false"/>
          </w:tcPr>
          <w:p>
            <w:pPr>
              <w:pStyle w:val="1232"/>
              <w:ind w:firstLine="0"/>
              <w:rPr>
                <w:rFonts w:ascii="Times New Roman" w:hAnsi="Times New Roman" w:eastAsia="Times New Roman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Times New Roman" w:hAnsi="Times New Roman" w:eastAsia="Times New Roman"/>
              </w:rPr>
              <w:t xml:space="preserve">Протокол выполненных мероприятий</w:t>
            </w:r>
            <w:r>
              <w:rPr>
                <w:rFonts w:ascii="Times New Roman" w:hAnsi="Times New Roman" w:eastAsia="Times New Roman"/>
              </w:rPr>
              <w:t xml:space="preserve">;</w:t>
            </w:r>
            <w:r>
              <w:rPr>
                <w:rFonts w:ascii="Times New Roman" w:hAnsi="Times New Roman" w:eastAsia="Times New Roman"/>
              </w:rPr>
            </w:r>
            <w:r>
              <w:rPr>
                <w:rFonts w:ascii="Times New Roman" w:hAnsi="Times New Roman" w:eastAsia="Times New Roman"/>
              </w:rPr>
            </w:r>
          </w:p>
          <w:p>
            <w:pPr>
              <w:pStyle w:val="1232"/>
              <w:ind w:firstLine="0"/>
              <w:rPr>
                <w:rFonts w:ascii="Times New Roman" w:hAnsi="Times New Roman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Times New Roman" w:hAnsi="Times New Roman" w:eastAsia="Times New Roman"/>
                <w:highlight w:val="none"/>
              </w:rPr>
            </w:r>
            <w:r>
              <w:rPr>
                <w:rFonts w:ascii="Times New Roman" w:hAnsi="Times New Roman" w:eastAsia="Times New Roman"/>
              </w:rPr>
              <w:t xml:space="preserve">Отчет по администрированию </w:t>
            </w:r>
            <w:r>
              <w:rPr>
                <w:rFonts w:ascii="Times New Roman" w:hAnsi="Times New Roman" w:eastAsia="Times New Roman"/>
                <w:bCs/>
              </w:rPr>
              <w:t xml:space="preserve">ЕЦСУ ФХД и 3я линия поддержки;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pStyle w:val="1232"/>
              <w:ind w:firstLine="0"/>
              <w:rPr>
                <w:rFonts w:ascii="Times New Roman" w:hAnsi="Times New Roman" w:eastAsia="Times New Roman"/>
                <w:highlight w:val="none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Times New Roman" w:hAnsi="Times New Roman" w:eastAsia="Times New Roman"/>
              </w:rPr>
              <w:t xml:space="preserve">Документ о приемке по 4</w:t>
            </w:r>
            <w:r>
              <w:rPr>
                <w:rFonts w:ascii="Times New Roman" w:hAnsi="Times New Roman" w:eastAsia="Times New Roman"/>
              </w:rPr>
              <w:t xml:space="preserve"> этапу, размещенный в ЕИС.</w:t>
            </w:r>
            <w:r>
              <w:rPr>
                <w:rFonts w:ascii="Times New Roman" w:hAnsi="Times New Roman" w:eastAsia="Times New Roman"/>
                <w:highlight w:val="none"/>
              </w:rPr>
            </w:r>
            <w:r>
              <w:rPr>
                <w:rFonts w:ascii="Times New Roman" w:hAnsi="Times New Roman" w:eastAsia="Times New Roman"/>
                <w:highlight w:val="none"/>
              </w:rPr>
            </w:r>
          </w:p>
        </w:tc>
      </w:tr>
      <w:tr>
        <w:tblPrEx/>
        <w:trPr>
          <w:jc w:val="center"/>
          <w:trHeight w:val="20"/>
        </w:trPr>
        <w:tc>
          <w:tcPr>
            <w:tcW w:w="1017" w:type="dxa"/>
            <w:textDirection w:val="lrTb"/>
            <w:noWrap w:val="false"/>
          </w:tcPr>
          <w:p>
            <w:pPr>
              <w:pStyle w:val="1232"/>
              <w:ind w:firstLine="0"/>
              <w:jc w:val="center"/>
              <w:rPr>
                <w:rFonts w:ascii="Times New Roman" w:hAnsi="Times New Roman"/>
                <w14:ligatures w14:val="none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Times New Roman" w:hAnsi="Times New Roman"/>
              </w:rPr>
              <w:t xml:space="preserve">4.2.</w:t>
            </w:r>
            <w:r>
              <w:rPr>
                <w:rFonts w:ascii="Times New Roman" w:hAnsi="Times New Roman"/>
                <w14:ligatures w14:val="none"/>
              </w:rPr>
            </w:r>
            <w:r>
              <w:rPr>
                <w:rFonts w:ascii="Times New Roman" w:hAnsi="Times New Roman"/>
                <w14:ligatures w14:val="none"/>
              </w:rPr>
            </w:r>
          </w:p>
        </w:tc>
        <w:tc>
          <w:tcPr>
            <w:tcW w:w="3902" w:type="dxa"/>
            <w:textDirection w:val="lrTb"/>
            <w:noWrap w:val="false"/>
          </w:tcPr>
          <w:p>
            <w:pPr>
              <w:pStyle w:val="1232"/>
              <w:ind w:firstLine="0"/>
              <w:rPr>
                <w:rFonts w:ascii="Times New Roman" w:hAnsi="Times New Roman"/>
                <w:bCs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Times New Roman" w:hAnsi="Times New Roman" w:eastAsia="Times New Roman"/>
                <w:bCs/>
              </w:rPr>
              <w:t xml:space="preserve">Разработка отчетов в 1С:БГУ и 1С:ЗКГУ (30 шт)</w:t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2306" w:type="dxa"/>
            <w:textDirection w:val="lrTb"/>
            <w:noWrap w:val="false"/>
          </w:tcPr>
          <w:p>
            <w:pPr>
              <w:pStyle w:val="1232"/>
              <w:ind w:firstLine="0"/>
              <w:rPr>
                <w:rFonts w:ascii="Times New Roman" w:hAnsi="Times New Roman"/>
                <w:b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Times New Roman" w:hAnsi="Times New Roman"/>
                <w:bCs/>
              </w:rPr>
              <w:t xml:space="preserve">Разработка отчетов в </w:t>
            </w:r>
            <w:r>
              <w:rPr>
                <w:rFonts w:ascii="Times New Roman" w:hAnsi="Times New Roman" w:eastAsia="Times New Roman"/>
                <w:bCs/>
              </w:rPr>
              <w:t xml:space="preserve">1С:БГУ и 1С:ЗКГУ (30 шт)</w:t>
            </w:r>
            <w:r>
              <w:rPr>
                <w:rFonts w:ascii="Times New Roman" w:hAnsi="Times New Roman" w:eastAsia="Times New Roman"/>
                <w:bCs/>
              </w:rPr>
              <w:t xml:space="preserve"> по предоставленным шаблонам</w:t>
            </w: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</w:tc>
        <w:tc>
          <w:tcPr>
            <w:tcW w:w="255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ind w:firstLine="0"/>
              <w:spacing w:line="240" w:lineRule="auto"/>
              <w:widowControl w:val="off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Разработаны отчеты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r>
          </w:p>
        </w:tc>
        <w:tc>
          <w:tcPr>
            <w:tcW w:w="2694" w:type="dxa"/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>
          <w:jc w:val="center"/>
          <w:trHeight w:val="20"/>
        </w:trPr>
        <w:tc>
          <w:tcPr>
            <w:tcW w:w="1017" w:type="dxa"/>
            <w:textDirection w:val="lrTb"/>
            <w:noWrap w:val="false"/>
          </w:tcPr>
          <w:p>
            <w:pPr>
              <w:pStyle w:val="1232"/>
              <w:ind w:firstLine="0"/>
              <w:jc w:val="center"/>
              <w:rPr>
                <w:rFonts w:ascii="Times New Roman" w:hAnsi="Times New Roman"/>
                <w14:ligatures w14:val="none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Times New Roman" w:hAnsi="Times New Roman"/>
              </w:rPr>
              <w:t xml:space="preserve">4.3.</w:t>
            </w:r>
            <w:r>
              <w:rPr>
                <w:rFonts w:ascii="Times New Roman" w:hAnsi="Times New Roman"/>
                <w14:ligatures w14:val="none"/>
              </w:rPr>
            </w:r>
            <w:r>
              <w:rPr>
                <w:rFonts w:ascii="Times New Roman" w:hAnsi="Times New Roman"/>
                <w14:ligatures w14:val="none"/>
              </w:rPr>
            </w:r>
          </w:p>
        </w:tc>
        <w:tc>
          <w:tcPr>
            <w:tcW w:w="3902" w:type="dxa"/>
            <w:textDirection w:val="lrTb"/>
            <w:noWrap w:val="false"/>
          </w:tcPr>
          <w:p>
            <w:pPr>
              <w:pStyle w:val="1232"/>
              <w:ind w:firstLine="0"/>
              <w:rPr>
                <w:rFonts w:ascii="Times New Roman" w:hAnsi="Times New Roman"/>
                <w:bCs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Times New Roman" w:hAnsi="Times New Roman" w:eastAsia="Times New Roman"/>
                <w:bCs/>
              </w:rPr>
              <w:t xml:space="preserve">Администрирование ЕЦСУ ФХД и 3я линия поддержки</w:t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2306" w:type="dxa"/>
            <w:textDirection w:val="lrTb"/>
            <w:noWrap w:val="false"/>
          </w:tcPr>
          <w:p>
            <w:pPr>
              <w:pStyle w:val="1232"/>
              <w:ind w:firstLine="0"/>
              <w:rPr>
                <w:rFonts w:ascii="Times New Roman" w:hAnsi="Times New Roman"/>
                <w:b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Times New Roman" w:hAnsi="Times New Roman"/>
                <w:bCs/>
              </w:rPr>
              <w:t xml:space="preserve">В соответствии с п.</w:t>
            </w:r>
            <w:r>
              <w:rPr>
                <w:rFonts w:ascii="Times New Roman" w:hAnsi="Times New Roman"/>
                <w:bCs/>
              </w:rPr>
              <w:t xml:space="preserve"> 7.6.</w:t>
            </w: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</w:tc>
        <w:tc>
          <w:tcPr>
            <w:tcW w:w="255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ind w:firstLine="0"/>
              <w:spacing w:line="240" w:lineRule="auto"/>
              <w:widowControl w:val="off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Выполнены работы по администрированию и 3й линии поддержки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r>
          </w:p>
        </w:tc>
        <w:tc>
          <w:tcPr>
            <w:tcW w:w="2694" w:type="dxa"/>
            <w:vMerge w:val="continue"/>
            <w:textDirection w:val="lrTb"/>
            <w:noWrap w:val="false"/>
          </w:tcPr>
          <w:p>
            <w:r/>
            <w:r/>
          </w:p>
        </w:tc>
      </w:tr>
    </w:tbl>
    <w:p>
      <w:pPr>
        <w:pStyle w:val="1210"/>
        <w:jc w:val="center"/>
      </w:pPr>
      <w:r/>
      <w:r/>
    </w:p>
    <w:p>
      <w:pPr>
        <w:ind w:left="284"/>
        <w:jc w:val="center"/>
        <w:rPr>
          <w:b/>
          <w:color w:val="000000"/>
          <w:sz w:val="25"/>
          <w:szCs w:val="25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b/>
          <w:color w:val="000000"/>
          <w:sz w:val="25"/>
          <w:szCs w:val="25"/>
        </w:rPr>
      </w:r>
      <w:r>
        <w:rPr>
          <w:b/>
          <w:color w:val="000000"/>
          <w:sz w:val="25"/>
          <w:szCs w:val="25"/>
        </w:rPr>
      </w:r>
      <w:r>
        <w:rPr>
          <w:b/>
          <w:color w:val="000000"/>
          <w:sz w:val="25"/>
          <w:szCs w:val="25"/>
        </w:rPr>
      </w:r>
    </w:p>
    <w:p>
      <w:pPr>
        <w:ind w:firstLine="851"/>
        <w:spacing w:after="120"/>
        <w:rPr>
          <w:color w:val="000000"/>
          <w:sz w:val="25"/>
          <w:szCs w:val="25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6" w:name="_heading=h.23ckvvd"/>
      <w:r/>
      <w:bookmarkEnd w:id="6"/>
      <w:r>
        <w:rPr>
          <w:color w:val="000000"/>
          <w:sz w:val="25"/>
          <w:szCs w:val="25"/>
        </w:rPr>
      </w:r>
      <w:r>
        <w:rPr>
          <w:color w:val="000000"/>
          <w:sz w:val="25"/>
          <w:szCs w:val="25"/>
        </w:rPr>
      </w:r>
    </w:p>
    <w:p>
      <w:pPr>
        <w:ind w:firstLine="851"/>
        <w:spacing w:after="120"/>
        <w:rPr>
          <w:color w:val="000000"/>
          <w:sz w:val="25"/>
          <w:szCs w:val="25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ectPr>
          <w:footnotePr/>
          <w:endnotePr/>
          <w:type w:val="continuous"/>
          <w:pgSz w:w="16838" w:h="11906" w:orient="landscape"/>
          <w:pgMar w:top="1276" w:right="992" w:bottom="992" w:left="851" w:header="0" w:footer="709" w:gutter="0"/>
          <w:cols w:num="1" w:sep="0" w:space="720" w:equalWidth="1"/>
          <w:docGrid w:linePitch="360"/>
          <w:titlePg/>
        </w:sectPr>
      </w:pPr>
      <w:r>
        <w:rPr>
          <w:color w:val="000000"/>
          <w:sz w:val="25"/>
          <w:szCs w:val="25"/>
        </w:rPr>
      </w:r>
      <w:r>
        <w:rPr>
          <w:color w:val="000000"/>
          <w:sz w:val="25"/>
          <w:szCs w:val="25"/>
        </w:rPr>
      </w:r>
      <w:r>
        <w:rPr>
          <w:color w:val="000000"/>
          <w:sz w:val="25"/>
          <w:szCs w:val="25"/>
        </w:rPr>
      </w:r>
    </w:p>
    <w:p>
      <w:pPr>
        <w:jc w:val="right"/>
        <w:spacing w:line="240" w:lineRule="auto"/>
      </w:pPr>
      <w:r>
        <w:t xml:space="preserve">Приложение 4 </w:t>
      </w:r>
      <w:r/>
    </w:p>
    <w:p>
      <w:pPr>
        <w:jc w:val="right"/>
        <w:spacing w:line="240" w:lineRule="auto"/>
      </w:pPr>
      <w:r>
        <w:rPr>
          <w:bCs/>
        </w:rPr>
        <w:t xml:space="preserve">к Описанию объекта закупки</w:t>
      </w:r>
      <w:r/>
    </w:p>
    <w:p>
      <w:pPr>
        <w:ind w:firstLine="0"/>
        <w:jc w:val="center"/>
        <w:spacing w:before="120" w:after="12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/>
      <w:r/>
    </w:p>
    <w:p>
      <w:pPr>
        <w:ind w:firstLine="0"/>
        <w:jc w:val="center"/>
        <w:spacing w:before="120" w:after="120"/>
        <w:rPr>
          <w:color w:val="000000"/>
          <w:highlight w:val="yellow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highlight w:val="yellow"/>
        </w:rPr>
      </w:r>
      <w:r>
        <w:rPr>
          <w:highlight w:val="none"/>
        </w:rPr>
        <w:t xml:space="preserve">Перечень</w:t>
      </w:r>
      <w:r>
        <w:rPr>
          <w:highlight w:val="none"/>
        </w:rPr>
        <w:t xml:space="preserve"> </w:t>
      </w:r>
      <w:r>
        <w:rPr>
          <w:rFonts w:eastAsia="Arial"/>
          <w:highlight w:val="none"/>
        </w:rPr>
        <w:t xml:space="preserve">прав использования программного обеспечения на условиях простой (неисключительной) лицензии</w:t>
      </w:r>
      <w:r>
        <w:rPr>
          <w:highlight w:val="none"/>
        </w:rPr>
        <w:t xml:space="preserve">, имеющихся в наличии у Заказчика</w:t>
      </w:r>
      <w:r>
        <w:rPr>
          <w:color w:val="000000"/>
          <w:highlight w:val="yellow"/>
        </w:rPr>
      </w:r>
      <w:r>
        <w:rPr>
          <w:color w:val="000000"/>
          <w:highlight w:val="yellow"/>
        </w:rPr>
      </w:r>
    </w:p>
    <w:tbl>
      <w:tblPr>
        <w:tblStyle w:val="773"/>
        <w:tblW w:w="0" w:type="auto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717"/>
        <w:gridCol w:w="2685"/>
        <w:gridCol w:w="5468"/>
        <w:gridCol w:w="837"/>
      </w:tblGrid>
      <w:tr>
        <w:tblPrEx/>
        <w:trPr>
          <w:trHeight w:val="60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17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57" w:lineRule="atLeast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24"/>
                <w:szCs w:val="24"/>
                <w:highlight w:val="none"/>
              </w:rPr>
              <w:t xml:space="preserve">№ п/п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685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57" w:lineRule="atLeast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24"/>
                <w:szCs w:val="24"/>
                <w:highlight w:val="none"/>
              </w:rPr>
              <w:t xml:space="preserve">Наименование 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468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57" w:lineRule="atLeast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24"/>
                <w:szCs w:val="24"/>
                <w:highlight w:val="none"/>
              </w:rPr>
              <w:t xml:space="preserve">Примечание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37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57" w:lineRule="atLeast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24"/>
                <w:szCs w:val="24"/>
                <w:highlight w:val="none"/>
              </w:rPr>
              <w:t xml:space="preserve">Кол-во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600"/>
        </w:trPr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17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57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685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57" w:lineRule="atLeast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highlight w:val="none"/>
              </w:rPr>
              <w:t xml:space="preserve">1С:Предприятие 8 КОРП. Кли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highlight w:val="none"/>
              </w:rPr>
              <w:t xml:space="preserve">ентская лицензия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highlight w:val="none"/>
              </w:rPr>
              <w:t xml:space="preserve">на 100 рабочих мест. Электронная поставка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468" w:type="dxa"/>
            <w:vAlign w:val="center"/>
            <w:textDirection w:val="lrTb"/>
            <w:noWrap w:val="false"/>
          </w:tcPr>
          <w:p>
            <w:pPr>
              <w:ind w:firstLine="0"/>
              <w:spacing w:line="57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  <w:t xml:space="preserve">Продукт является имущественным правом (лицензие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  <w:t xml:space="preserve">й), предоставляющей возможность использования одной из одновременно или ранее приобретенных пользователем (и включенной в Реестр) основной программы на большем количестве компьютеров или рабочих мест – расширение объема прав. Срок действия прав: бессрочно.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  <w:br/>
              <w:t xml:space="preserve">Номер основного продукта в Реестре – 171.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37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57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600"/>
        </w:trPr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17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57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685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57" w:lineRule="atLeast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highlight w:val="none"/>
              </w:rPr>
              <w:t xml:space="preserve">1С:Предприятие 8 КОРП. Клиентская лицензия на 10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highlight w:val="none"/>
              </w:rPr>
              <w:t xml:space="preserve"> рабочих мест. Электронная пост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highlight w:val="none"/>
              </w:rPr>
              <w:t xml:space="preserve">авка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468" w:type="dxa"/>
            <w:vAlign w:val="center"/>
            <w:textDirection w:val="lrTb"/>
            <w:noWrap w:val="false"/>
          </w:tcPr>
          <w:p>
            <w:pPr>
              <w:ind w:firstLine="0"/>
              <w:spacing w:line="57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  <w:t xml:space="preserve">Продукт является имущественным правом (лицензие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  <w:t xml:space="preserve">й), предоставляющей возможность использования одной из одновременно или ранее приобретенных пользователем (и включенной в Реестр) основной программы на большем количестве компьютеров или рабочих мест – расширение объема прав. Срок действия прав: бессрочно.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  <w:br/>
              <w:t xml:space="preserve">Номер основного продукта в Реестре – 171.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37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57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600"/>
        </w:trPr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17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57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685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57" w:lineRule="atLeast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highlight w:val="none"/>
              </w:rPr>
              <w:t xml:space="preserve">1С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highlight w:val="none"/>
              </w:rPr>
              <w:t xml:space="preserve">:Предприя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highlight w:val="none"/>
              </w:rPr>
              <w:t xml:space="preserve">тие 8 КОРП. Клиентская лицензия на 5 рабочих мест. Электронная поставка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468" w:type="dxa"/>
            <w:vAlign w:val="center"/>
            <w:textDirection w:val="lrTb"/>
            <w:noWrap w:val="false"/>
          </w:tcPr>
          <w:p>
            <w:pPr>
              <w:ind w:firstLine="0"/>
              <w:spacing w:line="57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  <w:t xml:space="preserve">Продукт является имущественным правом (лицензие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  <w:t xml:space="preserve">й), предоставляющей возможность использования одной из одновременно или ранее приобретенных пользователем (и включенной в Реестр) основной программы на большем количестве компьютеров или рабочих мест – расширение объема прав. Срок действия прав: бессрочно.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  <w:br/>
              <w:t xml:space="preserve">Номер основного продукта в Реестре – 171.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37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57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600"/>
        </w:trPr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17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57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685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57" w:lineRule="atLeast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highlight w:val="none"/>
              </w:rPr>
              <w:t xml:space="preserve">1С:Предприятие 8.3 КО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highlight w:val="none"/>
              </w:rPr>
              <w:t xml:space="preserve">РП. Лицензия на сервер (x86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highlight w:val="none"/>
              </w:rPr>
              <w:t xml:space="preserve">-64). Электронная поставка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468" w:type="dxa"/>
            <w:vAlign w:val="center"/>
            <w:textDirection w:val="lrTb"/>
            <w:noWrap w:val="false"/>
          </w:tcPr>
          <w:p>
            <w:pPr>
              <w:ind w:firstLine="0"/>
              <w:spacing w:line="57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  <w:t xml:space="preserve">Продукт является имущественным правом (лицензие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  <w:t xml:space="preserve">й), предоставляющей возможность использования одной из одновременно или ранее приобретенных пользователем (и включенной в Реестр) основной программы на большем количестве компьютеров или рабочих мест – расширение объема прав. Срок действия прав: бессрочно.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  <w:br/>
              <w:t xml:space="preserve">Номер основного продукта в Реестре – 171.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37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57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600"/>
        </w:trPr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17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57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685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57" w:lineRule="atLeast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highlight w:val="none"/>
              </w:rPr>
              <w:t xml:space="preserve">Защищенный программный комплекс 1С:Предприятие 8.3z (x86-64). Исполнение 1. Коробочная поставка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468" w:type="dxa"/>
            <w:vAlign w:val="center"/>
            <w:textDirection w:val="lrTb"/>
            <w:noWrap w:val="false"/>
          </w:tcPr>
          <w:p>
            <w:pPr>
              <w:ind w:firstLine="0"/>
              <w:spacing w:line="57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  <w:t xml:space="preserve">Продукт является имущественным правом (лицензией), предоставляющей возможность использова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  <w:t xml:space="preserve">ния одной из одновременно или ранее приобретенных пользователем (и включенной в Реестр) основной программы на большем количестве компьютеров или рабочих мест – расширение объема прав. Срок действия прав: бессрочно. Номер основного продукта в Реестре – 171.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37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57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600"/>
        </w:trPr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17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57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685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57" w:lineRule="atLeast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highlight w:val="none"/>
              </w:rPr>
              <w:t xml:space="preserve">1С: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highlight w:val="none"/>
              </w:rPr>
              <w:t xml:space="preserve">Предп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highlight w:val="none"/>
              </w:rPr>
              <w:t xml:space="preserve">риятие. Облачная подсистема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highlight w:val="none"/>
              </w:rPr>
              <w:t xml:space="preserve">Фреш. Электронная поставка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468" w:type="dxa"/>
            <w:vAlign w:val="center"/>
            <w:textDirection w:val="lrTb"/>
            <w:noWrap w:val="false"/>
          </w:tcPr>
          <w:p>
            <w:pPr>
              <w:ind w:firstLine="0"/>
              <w:spacing w:line="57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  <w:t xml:space="preserve">Продукт является имущественным правом (лицензией)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  <w:t xml:space="preserve">Срок действия прав: бессрочно. Номер основного продукта в Реестре – 7456.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37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57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1984"/>
        </w:trPr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17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57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  <w:t xml:space="preserve">7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685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57" w:lineRule="atLeast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highlight w:val="none"/>
              </w:rPr>
              <w:t xml:space="preserve">1С:Корпоративный инстр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highlight w:val="none"/>
              </w:rPr>
              <w:t xml:space="preserve">ументальный п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highlight w:val="none"/>
              </w:rPr>
              <w:t xml:space="preserve">акет 8. Электронная поставка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468" w:type="dxa"/>
            <w:vAlign w:val="center"/>
            <w:textDirection w:val="lrTb"/>
            <w:noWrap w:val="false"/>
          </w:tcPr>
          <w:p>
            <w:pPr>
              <w:ind w:firstLine="0"/>
              <w:spacing w:line="57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  <w:t xml:space="preserve">Продукт является имущественным правом (лицензией), предоставляющей возможность использования одной из одновременно или ранее приобретенных пользователем (и включенной в Реестр) основной программы в расширенном функционале – расширение объема прав.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  <w:br/>
              <w:t xml:space="preserve">Срок действия прав: бессрочно. Номер основного продукта в Реестре – 5510.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37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57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600"/>
        </w:trPr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17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57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  <w:t xml:space="preserve">8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685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57" w:lineRule="atLeast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highlight w:val="none"/>
              </w:rPr>
              <w:t xml:space="preserve">1С:З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highlight w:val="none"/>
              </w:rPr>
              <w:t xml:space="preserve">арпл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highlight w:val="none"/>
              </w:rPr>
              <w:t xml:space="preserve">ата и кадры государственного учреждения 8 КОРП для централизованно обслуживаемых учреждений. Дополнительная лицензия к версии ПРОФ. Электронная поставка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468" w:type="dxa"/>
            <w:vAlign w:val="center"/>
            <w:textDirection w:val="lrTb"/>
            <w:noWrap w:val="false"/>
          </w:tcPr>
          <w:p>
            <w:pPr>
              <w:ind w:firstLine="0"/>
              <w:spacing w:line="57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  <w:t xml:space="preserve">Продукт является имущественным правом (лицензией). Срок действия прав: бессрочно. Номер в Реестре – 2740.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37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57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  <w:t xml:space="preserve">91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600"/>
        </w:trPr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717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57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  <w:t xml:space="preserve">9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2685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57" w:lineRule="atLeast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highlight w:val="none"/>
              </w:rPr>
              <w:t xml:space="preserve">«Модус:Управление корпоративным хранилищем данных (ETL), версия корп.»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5468" w:type="dxa"/>
            <w:vAlign w:val="center"/>
            <w:textDirection w:val="lrTb"/>
            <w:noWrap w:val="false"/>
          </w:tcPr>
          <w:p>
            <w:pPr>
              <w:ind w:firstLine="0"/>
              <w:spacing w:line="57" w:lineRule="atLeast"/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  <w:t xml:space="preserve">Продукт является имущественны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  <w:t xml:space="preserve">м правом (лицензией), предоставляющей возможность получения доступа к обновлениямм - одной из одновременно или ранее приобретенных пользователем (и включенной в Реестр) основной программы – расширение объема прав. Номер основного продукта в Реестре – 5500.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0" w:type="dxa"/>
            </w:tcMar>
            <w:tcW w:w="837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57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ind w:firstLine="0"/>
        <w:jc w:val="left"/>
        <w:spacing w:line="240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shd w:val="nil" w:color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232"/>
        <w:contextualSpacing w:val="0"/>
        <w:ind w:firstLine="720"/>
        <w:jc w:val="both"/>
        <w:rPr>
          <w:sz w:val="28"/>
          <w:szCs w:val="28"/>
        </w:rPr>
        <w:suppressLineNumbers w:val="0"/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232"/>
        <w:contextualSpacing w:val="0"/>
        <w:ind w:firstLine="720"/>
        <w:jc w:val="both"/>
        <w:rPr>
          <w:sz w:val="28"/>
          <w:szCs w:val="28"/>
        </w:rPr>
        <w:suppressLineNumbers w:val="0"/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232"/>
        <w:contextualSpacing w:val="0"/>
        <w:ind w:firstLine="720"/>
        <w:jc w:val="both"/>
        <w:rPr>
          <w:sz w:val="28"/>
          <w:szCs w:val="28"/>
        </w:rPr>
        <w:suppressLineNumbers w:val="0"/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0"/>
        <w:jc w:val="left"/>
        <w:spacing w:line="240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0"/>
        <w:jc w:val="left"/>
        <w:spacing w:line="240" w:lineRule="auto"/>
        <w:rPr>
          <w:sz w:val="24"/>
          <w:szCs w:val="24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sectPr>
      <w:footnotePr/>
      <w:endnotePr/>
      <w:type w:val="nextPage"/>
      <w:pgSz w:w="11906" w:h="16838" w:orient="portrait"/>
      <w:pgMar w:top="992" w:right="993" w:bottom="851" w:left="1275" w:header="0" w:footer="709" w:gutter="0"/>
      <w:cols w:num="1" w:sep="0" w:space="720" w:equalWidth="1"/>
      <w:docGrid w:linePitch="360"/>
      <w:titlePg/>
    </w:sectPr>
  </w:body>
</w:document>
</file>

<file path=word/commentsDocument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0" w:date="2026-07-01T14:30:00Z">
    <w:p w14:paraId="00000001" w14:textId="00000001">
      <w:pPr>
        <w:spacing w:line="240" w:after="0" w:lineRule="auto" w:before="0"/>
        <w:ind w:firstLine="0" w:left="0" w:right="0"/>
        <w:jc w:val="left"/>
      </w:pPr>
      <w:r>
        <w:rPr>
          <w:rFonts w:eastAsia="Arial" w:ascii="Arial" w:hAnsi="Arial" w:cs="Arial"/>
          <w:sz w:val="22"/>
        </w:rPr>
        <w:t xml:space="preserve"/>
      </w:r>
    </w:p>
  </w:comment>
</w:comments>
</file>

<file path=word/commentsExtendedDocument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00000001" w15:done="0"/>
</w15:commentsEx>
</file>

<file path=word/commentsIdsDocument.xml><?xml version="1.0" encoding="utf-8"?>
<w16cid:commentsIds xmlns:mc="http://schemas.openxmlformats.org/markup-compatibility/2006" xmlns:w16cid="http://schemas.microsoft.com/office/word/2016/wordml/cid" mc:Ignorable="w16cid">
  <w16cid:commentId w16cid:paraId="00000001" w16cid:durableId="4A4F261C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="240" w:lineRule="auto"/>
      </w:pPr>
      <w:r>
        <w:separator/>
      </w:r>
      <w:r/>
    </w:p>
  </w:endnote>
  <w:endnote w:type="continuationSeparator" w:id="0">
    <w:p>
      <w:pPr>
        <w:spacing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imSun">
    <w:panose1 w:val="02010600030101010101"/>
  </w:font>
  <w:font w:name="Noto Sans">
    <w:panose1 w:val="020B0502040504020204"/>
  </w:font>
  <w:font w:name="Garamond">
    <w:panose1 w:val="02020404030301010803"/>
  </w:font>
  <w:font w:name="Verdana">
    <w:panose1 w:val="020B0604030504040204"/>
  </w:font>
  <w:font w:name="TimesDL">
    <w:panose1 w:val="02000603000000000000"/>
  </w:font>
  <w:font w:name="Courier">
    <w:panose1 w:val="02070309020205020404"/>
  </w:font>
  <w:font w:name="Liberation Sans">
    <w:panose1 w:val="020B0604020202020204"/>
  </w:font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Arial Narrow">
    <w:panose1 w:val="020B0606020202030204"/>
  </w:font>
  <w:font w:name="Times New Roman">
    <w:panose1 w:val="02020603050405020304"/>
  </w:font>
  <w:font w:name="Droid Sans Devanagari">
    <w:panose1 w:val="02000603000000000000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="240" w:lineRule="auto"/>
      </w:pPr>
      <w:r>
        <w:separator/>
      </w:r>
      <w:r/>
    </w:p>
  </w:footnote>
  <w:footnote w:type="continuationSeparator" w:id="0">
    <w:p>
      <w:pPr>
        <w:spacing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67"/>
      <w:tabs>
        <w:tab w:val="left" w:pos="2145" w:leader="none"/>
        <w:tab w:val="clear" w:pos="4153" w:leader="none"/>
        <w:tab w:val="clear" w:pos="8306" w:leader="none"/>
      </w:tabs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992" w:hanging="360"/>
      </w:pPr>
    </w:lvl>
    <w:lvl w:ilvl="1">
      <w:start w:val="1"/>
      <w:numFmt w:val="bullet"/>
      <w:isLgl w:val="false"/>
      <w:suff w:val="tab"/>
      <w:lvlText w:val="o"/>
      <w:lvlJc w:val="left"/>
      <w:pPr>
        <w:ind w:left="1712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432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152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872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592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312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032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752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upperRoman"/>
      <w:pStyle w:val="1131"/>
      <w:isLgl w:val="false"/>
      <w:suff w:val="tab"/>
      <w:lvlText w:val="ЧАСТЬ %1."/>
      <w:lvlJc w:val="left"/>
      <w:pPr>
        <w:ind w:left="720" w:hanging="720"/>
        <w:tabs>
          <w:tab w:val="num" w:pos="2160" w:leader="none"/>
        </w:tabs>
      </w:pPr>
      <w:rPr>
        <w:rFonts w:cs="Times New Roman"/>
        <w:sz w:val="40"/>
        <w:szCs w:val="40"/>
      </w:rPr>
    </w:lvl>
    <w:lvl w:ilvl="1">
      <w:start w:val="1"/>
      <w:numFmt w:val="decimal"/>
      <w:isLgl w:val="false"/>
      <w:suff w:val="tab"/>
      <w:lvlText w:val="РАЗДЕЛ %1.%2"/>
      <w:lvlJc w:val="left"/>
      <w:pPr>
        <w:ind w:left="720" w:hanging="720"/>
        <w:tabs>
          <w:tab w:val="num" w:pos="1440" w:leader="none"/>
        </w:tabs>
      </w:pPr>
      <w:rPr>
        <w:rFonts w:cs="Times New Roman"/>
      </w:rPr>
    </w:lvl>
    <w:lvl w:ilvl="2">
      <w:start w:val="1"/>
      <w:numFmt w:val="decimal"/>
      <w:isLgl w:val="false"/>
      <w:suff w:val="tab"/>
      <w:lvlText w:val="%1.%2.%3"/>
      <w:lvlJc w:val="left"/>
      <w:pPr>
        <w:ind w:left="720" w:hanging="720"/>
        <w:tabs>
          <w:tab w:val="num" w:pos="72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720" w:hanging="720"/>
        <w:tabs>
          <w:tab w:val="num" w:pos="720" w:leader="none"/>
        </w:tabs>
      </w:pPr>
      <w:rPr>
        <w:rFonts w:cs="Times New Roman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1080" w:hanging="1080"/>
        <w:tabs>
          <w:tab w:val="num" w:pos="1080" w:leader="none"/>
        </w:tabs>
      </w:pPr>
      <w:rPr>
        <w:rFonts w:cs="Times New Roman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1080" w:hanging="1080"/>
        <w:tabs>
          <w:tab w:val="num" w:pos="108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440" w:hanging="1440"/>
        <w:tabs>
          <w:tab w:val="num" w:pos="1440" w:leader="none"/>
        </w:tabs>
      </w:pPr>
      <w:rPr>
        <w:rFonts w:cs="Times New Roman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  <w:tabs>
          <w:tab w:val="num" w:pos="1440" w:leader="none"/>
        </w:tabs>
      </w:pPr>
      <w:rPr>
        <w:rFonts w:cs="Times New Roman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800" w:hanging="1800"/>
        <w:tabs>
          <w:tab w:val="num" w:pos="1800" w:leader="none"/>
        </w:tabs>
      </w:pPr>
      <w:rPr>
        <w:rFonts w:cs="Times New Roman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928" w:hanging="360"/>
      </w:pPr>
      <w:rPr>
        <w:rFonts w:ascii="Symbol" w:hAnsi="Symbol"/>
        <w:b/>
        <w:bCs/>
        <w:color w:val="0f1115"/>
        <w:sz w:val="20"/>
        <w:szCs w:val="20"/>
        <w:highlight w:val="none"/>
      </w:rPr>
    </w:lvl>
    <w:lvl w:ilvl="1">
      <w:start w:val="1"/>
      <w:numFmt w:val="bullet"/>
      <w:isLgl w:val="false"/>
      <w:suff w:val="tab"/>
      <w:lvlText w:val="o"/>
      <w:lvlJc w:val="left"/>
      <w:pPr>
        <w:ind w:left="1648" w:hanging="360"/>
      </w:pPr>
      <w:rPr>
        <w:rFonts w:ascii="Courier New" w:hAnsi="Courier New" w:eastAsia="Courier New" w:cs="Courier New"/>
        <w:sz w:val="20"/>
        <w:szCs w:val="20"/>
      </w:rPr>
    </w:lvl>
    <w:lvl w:ilvl="2">
      <w:start w:val="1"/>
      <w:numFmt w:val="bullet"/>
      <w:isLgl w:val="false"/>
      <w:suff w:val="tab"/>
      <w:lvlText w:val="▪"/>
      <w:lvlJc w:val="left"/>
      <w:pPr>
        <w:ind w:left="2368" w:hanging="360"/>
      </w:pPr>
      <w:rPr>
        <w:rFonts w:ascii="Noto Sans" w:hAnsi="Noto Sans" w:eastAsia="Noto Sans" w:cs="Noto Sans"/>
        <w:sz w:val="20"/>
        <w:szCs w:val="20"/>
      </w:rPr>
    </w:lvl>
    <w:lvl w:ilvl="3">
      <w:start w:val="1"/>
      <w:numFmt w:val="bullet"/>
      <w:isLgl w:val="false"/>
      <w:suff w:val="tab"/>
      <w:lvlText w:val="▪"/>
      <w:lvlJc w:val="left"/>
      <w:pPr>
        <w:ind w:left="3088" w:hanging="360"/>
      </w:pPr>
      <w:rPr>
        <w:rFonts w:ascii="Noto Sans" w:hAnsi="Noto Sans" w:eastAsia="Noto Sans" w:cs="Noto Sans"/>
        <w:sz w:val="20"/>
        <w:szCs w:val="20"/>
      </w:rPr>
    </w:lvl>
    <w:lvl w:ilvl="4">
      <w:start w:val="1"/>
      <w:numFmt w:val="bullet"/>
      <w:isLgl w:val="false"/>
      <w:suff w:val="tab"/>
      <w:lvlText w:val="▪"/>
      <w:lvlJc w:val="left"/>
      <w:pPr>
        <w:ind w:left="3808" w:hanging="360"/>
      </w:pPr>
      <w:rPr>
        <w:rFonts w:ascii="Noto Sans" w:hAnsi="Noto Sans" w:eastAsia="Noto Sans" w:cs="Noto Sans"/>
        <w:sz w:val="20"/>
        <w:szCs w:val="20"/>
      </w:rPr>
    </w:lvl>
    <w:lvl w:ilvl="5">
      <w:start w:val="1"/>
      <w:numFmt w:val="bullet"/>
      <w:isLgl w:val="false"/>
      <w:suff w:val="tab"/>
      <w:lvlText w:val="▪"/>
      <w:lvlJc w:val="left"/>
      <w:pPr>
        <w:ind w:left="4528" w:hanging="360"/>
      </w:pPr>
      <w:rPr>
        <w:rFonts w:ascii="Noto Sans" w:hAnsi="Noto Sans" w:eastAsia="Noto Sans" w:cs="Noto Sans"/>
        <w:sz w:val="20"/>
        <w:szCs w:val="20"/>
      </w:rPr>
    </w:lvl>
    <w:lvl w:ilvl="6">
      <w:start w:val="1"/>
      <w:numFmt w:val="bullet"/>
      <w:isLgl w:val="false"/>
      <w:suff w:val="tab"/>
      <w:lvlText w:val="▪"/>
      <w:lvlJc w:val="left"/>
      <w:pPr>
        <w:ind w:left="5248" w:hanging="360"/>
      </w:pPr>
      <w:rPr>
        <w:rFonts w:ascii="Noto Sans" w:hAnsi="Noto Sans" w:eastAsia="Noto Sans" w:cs="Noto Sans"/>
        <w:sz w:val="20"/>
        <w:szCs w:val="20"/>
      </w:rPr>
    </w:lvl>
    <w:lvl w:ilvl="7">
      <w:start w:val="1"/>
      <w:numFmt w:val="bullet"/>
      <w:isLgl w:val="false"/>
      <w:suff w:val="tab"/>
      <w:lvlText w:val="▪"/>
      <w:lvlJc w:val="left"/>
      <w:pPr>
        <w:ind w:left="5968" w:hanging="360"/>
      </w:pPr>
      <w:rPr>
        <w:rFonts w:ascii="Noto Sans" w:hAnsi="Noto Sans" w:eastAsia="Noto Sans" w:cs="Noto Sans"/>
        <w:sz w:val="20"/>
        <w:szCs w:val="20"/>
      </w:rPr>
    </w:lvl>
    <w:lvl w:ilvl="8">
      <w:start w:val="1"/>
      <w:numFmt w:val="bullet"/>
      <w:isLgl w:val="false"/>
      <w:suff w:val="tab"/>
      <w:lvlText w:val="▪"/>
      <w:lvlJc w:val="left"/>
      <w:pPr>
        <w:ind w:left="6688" w:hanging="360"/>
      </w:pPr>
      <w:rPr>
        <w:rFonts w:ascii="Noto Sans" w:hAnsi="Noto Sans" w:eastAsia="Noto Sans" w:cs="Noto Sans"/>
        <w:sz w:val="20"/>
        <w:szCs w:val="20"/>
      </w:rPr>
    </w:lvl>
  </w:abstractNum>
  <w:abstractNum w:abstractNumId="3">
    <w:multiLevelType w:val="hybridMultilevel"/>
    <w:lvl w:ilvl="0">
      <w:start w:val="1"/>
      <w:numFmt w:val="decimal"/>
      <w:pStyle w:val="1133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4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0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6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decimal"/>
      <w:pStyle w:val="1199"/>
      <w:isLgl w:val="false"/>
      <w:suff w:val="tab"/>
      <w:lvlText w:val="%1."/>
      <w:lvlJc w:val="center"/>
      <w:pPr>
        <w:ind w:left="0" w:firstLine="0"/>
        <w:tabs>
          <w:tab w:val="num" w:pos="0" w:leader="none"/>
        </w:tabs>
      </w:pPr>
      <w:rPr>
        <w:rFonts w:cs="Times New Roman"/>
        <w:b/>
        <w:i w:val="0"/>
      </w:rPr>
    </w:lvl>
    <w:lvl w:ilvl="1">
      <w:start w:val="1"/>
      <w:numFmt w:val="decimal"/>
      <w:isLgl w:val="false"/>
      <w:suff w:val="tab"/>
      <w:lvlText w:val="%1.%2"/>
      <w:lvlJc w:val="left"/>
      <w:pPr>
        <w:ind w:left="851" w:hanging="851"/>
        <w:tabs>
          <w:tab w:val="num" w:pos="851" w:leader="none"/>
        </w:tabs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isLgl w:val="false"/>
      <w:suff w:val="tab"/>
      <w:lvlText w:val="%1.%2.%3"/>
      <w:lvlJc w:val="left"/>
      <w:pPr>
        <w:ind w:left="851" w:hanging="851"/>
        <w:tabs>
          <w:tab w:val="num" w:pos="851" w:leader="none"/>
        </w:tabs>
      </w:pPr>
      <w:rPr>
        <w:rFonts w:cs="Times New Roman"/>
        <w:b w:val="0"/>
        <w:bCs w:val="0"/>
        <w:i w:val="0"/>
        <w:iCs w:val="0"/>
      </w:rPr>
    </w:lvl>
    <w:lvl w:ilvl="3">
      <w:start w:val="1"/>
      <w:numFmt w:val="lowerLetter"/>
      <w:isLgl w:val="false"/>
      <w:suff w:val="tab"/>
      <w:lvlText w:val="%4)"/>
      <w:lvlJc w:val="left"/>
      <w:pPr>
        <w:ind w:left="1418" w:hanging="567"/>
        <w:tabs>
          <w:tab w:val="num" w:pos="1418" w:leader="none"/>
        </w:tabs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24"/>
        <w:u w:val="none"/>
        <w:vertAlign w:val="baseline"/>
      </w:rPr>
    </w:lvl>
    <w:lvl w:ilvl="4">
      <w:start w:val="1"/>
      <w:numFmt w:val="lowerLetter"/>
      <w:isLgl w:val="false"/>
      <w:suff w:val="tab"/>
      <w:lvlText w:val="%5)"/>
      <w:lvlJc w:val="left"/>
      <w:pPr>
        <w:ind w:left="1134" w:hanging="567"/>
        <w:tabs>
          <w:tab w:val="num" w:pos="1134" w:leader="none"/>
        </w:tabs>
      </w:pPr>
      <w:rPr>
        <w:rFonts w:cs="Times New Roman"/>
      </w:rPr>
    </w:lvl>
    <w:lvl w:ilvl="5">
      <w:start w:val="1"/>
      <w:numFmt w:val="bullet"/>
      <w:isLgl w:val="false"/>
      <w:suff w:val="tab"/>
      <w:lvlText w:val=""/>
      <w:lvlJc w:val="left"/>
      <w:pPr>
        <w:ind w:left="1701" w:hanging="567"/>
        <w:tabs>
          <w:tab w:val="num" w:pos="1701" w:leader="none"/>
        </w:tabs>
      </w:pPr>
      <w:rPr>
        <w:rFonts w:ascii="Symbol" w:hAnsi="Symbol" w:cs="Symbol"/>
      </w:rPr>
    </w:lvl>
    <w:lvl w:ilvl="6">
      <w:start w:val="1"/>
      <w:numFmt w:val="lowerLetter"/>
      <w:isLgl w:val="false"/>
      <w:suff w:val="tab"/>
      <w:lvlText w:val="%5.%6.%7)"/>
      <w:lvlJc w:val="left"/>
      <w:pPr>
        <w:ind w:left="2268" w:hanging="567"/>
        <w:tabs>
          <w:tab w:val="num" w:pos="2268" w:leader="none"/>
        </w:tabs>
      </w:pPr>
      <w:rPr>
        <w:rFonts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322" w:hanging="1224"/>
        <w:tabs>
          <w:tab w:val="num" w:pos="3978" w:leader="none"/>
        </w:tabs>
      </w:pPr>
      <w:rPr>
        <w:rFonts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898" w:hanging="1440"/>
        <w:tabs>
          <w:tab w:val="num" w:pos="4698" w:leader="none"/>
        </w:tabs>
      </w:pPr>
      <w:rPr>
        <w:rFonts w:cs="Times New Roman"/>
      </w:rPr>
    </w:lvl>
  </w:abstractNum>
  <w:abstractNum w:abstractNumId="6">
    <w:multiLevelType w:val="hybridMultilevel"/>
    <w:lvl w:ilvl="0">
      <w:start w:val="1"/>
      <w:numFmt w:val="bullet"/>
      <w:pStyle w:val="1193"/>
      <w:isLgl w:val="false"/>
      <w:suff w:val="tab"/>
      <w:lvlText w:val=""/>
      <w:lvlJc w:val="left"/>
      <w:pPr>
        <w:ind w:left="0" w:firstLine="0"/>
        <w:tabs>
          <w:tab w:val="num" w:pos="0" w:leader="none"/>
        </w:tabs>
      </w:pPr>
      <w:rPr>
        <w:rFonts w:ascii="Symbol" w:hAnsi="Symbol" w:cs="Symbol"/>
        <w:sz w:val="24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decimal"/>
      <w:isLgl w:val="false"/>
      <w:suff w:val="tab"/>
      <w:lvlText w:val="%3"/>
      <w:lvlJc w:val="left"/>
      <w:pPr>
        <w:ind w:left="1701" w:hanging="1134"/>
        <w:tabs>
          <w:tab w:val="num" w:pos="1701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3.%4"/>
      <w:lvlJc w:val="left"/>
      <w:pPr>
        <w:ind w:left="3834" w:hanging="1134"/>
        <w:tabs>
          <w:tab w:val="num" w:pos="3834" w:leader="none"/>
        </w:tabs>
      </w:pPr>
      <w:rPr>
        <w:rFonts w:cs="Times New Roman"/>
      </w:rPr>
    </w:lvl>
    <w:lvl w:ilvl="4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18" w:hanging="360"/>
      </w:pPr>
      <w:rPr>
        <w:rFonts w:ascii="Symbol" w:hAnsi="Symbol"/>
        <w:b/>
        <w:bCs/>
        <w:color w:val="0f1115"/>
        <w:highlight w:val="none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18" w:hanging="360"/>
      </w:pPr>
      <w:rPr>
        <w:rFonts w:ascii="Symbol" w:hAnsi="Symbol"/>
        <w:b/>
        <w:bCs/>
        <w:color w:val="0f1115"/>
        <w:highlight w:val="none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</w:pPr>
      <w:rPr>
        <w:rFonts w:hint="default" w:ascii="Wingdings" w:hAnsi="Wingdings" w:eastAsia="Wingdings" w:cs="Wingdings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</w:pPr>
      <w:rPr>
        <w:rFonts w:hint="default" w:ascii="Wingdings" w:hAnsi="Wingdings" w:eastAsia="Wingdings" w:cs="Wingdings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</w:pPr>
      <w:rPr>
        <w:rFonts w:hint="default" w:ascii="Wingdings" w:hAnsi="Wingdings" w:eastAsia="Wingdings" w:cs="Wingdings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</w:pPr>
      <w:rPr>
        <w:rFonts w:hint="default" w:ascii="Wingdings" w:hAnsi="Wingdings" w:eastAsia="Wingdings" w:cs="Wingdings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1">
    <w:multiLevelType w:val="hybridMultilevel"/>
    <w:lvl w:ilvl="0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decimal"/>
      <w:pStyle w:val="722"/>
      <w:isLgl w:val="false"/>
      <w:suff w:val="tab"/>
      <w:lvlText w:val="%3"/>
      <w:lvlJc w:val="left"/>
      <w:pPr>
        <w:ind w:left="1701" w:hanging="1134"/>
        <w:tabs>
          <w:tab w:val="num" w:pos="1701" w:leader="none"/>
        </w:tabs>
      </w:pPr>
      <w:rPr>
        <w:rFonts w:cs="Times New Roman"/>
      </w:rPr>
    </w:lvl>
    <w:lvl w:ilvl="3">
      <w:start w:val="1"/>
      <w:numFmt w:val="decimal"/>
      <w:pStyle w:val="723"/>
      <w:isLgl w:val="false"/>
      <w:suff w:val="tab"/>
      <w:lvlText w:val="%3.%4"/>
      <w:lvlJc w:val="left"/>
      <w:pPr>
        <w:ind w:left="3834" w:hanging="1134"/>
        <w:tabs>
          <w:tab w:val="num" w:pos="3834" w:leader="none"/>
        </w:tabs>
      </w:pPr>
      <w:rPr>
        <w:rFonts w:cs="Times New Roman"/>
      </w:rPr>
    </w:lvl>
    <w:lvl w:ilvl="4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12">
    <w:multiLevelType w:val="hybridMultilevel"/>
    <w:lvl w:ilvl="0">
      <w:start w:val="1"/>
      <w:numFmt w:val="decimal"/>
      <w:pStyle w:val="1120"/>
      <w:isLgl w:val="false"/>
      <w:suff w:val="tab"/>
      <w:lvlText w:val="%1."/>
      <w:lvlJc w:val="left"/>
      <w:pPr>
        <w:ind w:left="567" w:hanging="567"/>
        <w:tabs>
          <w:tab w:val="num" w:pos="567" w:leader="none"/>
        </w:tabs>
      </w:pPr>
      <w:rPr>
        <w:rFonts w:cs="Times New Roman"/>
      </w:rPr>
    </w:lvl>
    <w:lvl w:ilvl="1">
      <w:start w:val="1"/>
      <w:numFmt w:val="decimal"/>
      <w:isLgl w:val="false"/>
      <w:suff w:val="tab"/>
      <w:lvlText w:val="%1.%2"/>
      <w:lvlJc w:val="left"/>
      <w:pPr>
        <w:ind w:left="567" w:hanging="567"/>
        <w:tabs>
          <w:tab w:val="num" w:pos="567" w:leader="none"/>
        </w:tabs>
      </w:pPr>
      <w:rPr>
        <w:rFonts w:cs="Times New Roman"/>
      </w:rPr>
    </w:lvl>
    <w:lvl w:ilvl="2">
      <w:start w:val="1"/>
      <w:numFmt w:val="decimal"/>
      <w:isLgl w:val="false"/>
      <w:suff w:val="nothing"/>
      <w:lvlText w:val=""/>
      <w:lvlJc w:val="left"/>
      <w:pPr>
        <w:ind w:left="720" w:hanging="720"/>
        <w:tabs>
          <w:tab w:val="num" w:pos="72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1.%2.%4"/>
      <w:lvlJc w:val="left"/>
      <w:pPr>
        <w:ind w:left="864" w:hanging="864"/>
        <w:tabs>
          <w:tab w:val="num" w:pos="864" w:leader="none"/>
        </w:tabs>
      </w:pPr>
      <w:rPr>
        <w:rFonts w:cs="Times New Roman"/>
      </w:rPr>
    </w:lvl>
    <w:lvl w:ilvl="4">
      <w:start w:val="1"/>
      <w:numFmt w:val="decimal"/>
      <w:isLgl w:val="false"/>
      <w:suff w:val="tab"/>
      <w:lvlText w:val="%1.%2.%4.%5"/>
      <w:lvlJc w:val="left"/>
      <w:pPr>
        <w:ind w:left="1008" w:hanging="1008"/>
        <w:tabs>
          <w:tab w:val="num" w:pos="1008" w:leader="none"/>
        </w:tabs>
      </w:pPr>
      <w:rPr>
        <w:rFonts w:cs="Times New Roman"/>
      </w:rPr>
    </w:lvl>
    <w:lvl w:ilvl="5">
      <w:start w:val="1"/>
      <w:numFmt w:val="decimal"/>
      <w:isLgl w:val="false"/>
      <w:suff w:val="tab"/>
      <w:lvlText w:val="%1.%2.%4.%5.%6"/>
      <w:lvlJc w:val="left"/>
      <w:pPr>
        <w:ind w:left="1152" w:hanging="1152"/>
        <w:tabs>
          <w:tab w:val="num" w:pos="1152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1.%2.%4.%5.%6.%7"/>
      <w:lvlJc w:val="left"/>
      <w:pPr>
        <w:ind w:left="1296" w:hanging="1296"/>
        <w:tabs>
          <w:tab w:val="num" w:pos="1296" w:leader="none"/>
        </w:tabs>
      </w:pPr>
      <w:rPr>
        <w:rFonts w:cs="Times New Roman"/>
      </w:rPr>
    </w:lvl>
    <w:lvl w:ilvl="7">
      <w:start w:val="1"/>
      <w:numFmt w:val="decimal"/>
      <w:isLgl w:val="false"/>
      <w:suff w:val="tab"/>
      <w:lvlText w:val="%1.%2.%4.%5.%6.%7.%8"/>
      <w:lvlJc w:val="left"/>
      <w:pPr>
        <w:ind w:left="1440" w:hanging="1440"/>
        <w:tabs>
          <w:tab w:val="num" w:pos="1440" w:leader="none"/>
        </w:tabs>
      </w:pPr>
      <w:rPr>
        <w:rFonts w:cs="Times New Roman"/>
      </w:rPr>
    </w:lvl>
    <w:lvl w:ilvl="8">
      <w:start w:val="1"/>
      <w:numFmt w:val="decimal"/>
      <w:isLgl w:val="false"/>
      <w:suff w:val="tab"/>
      <w:lvlText w:val="%1.%2.%4.%5.%6.%7.%8.%9"/>
      <w:lvlJc w:val="left"/>
      <w:pPr>
        <w:ind w:left="1584" w:hanging="1584"/>
        <w:tabs>
          <w:tab w:val="num" w:pos="1584" w:leader="none"/>
        </w:tabs>
      </w:pPr>
      <w:rPr>
        <w:rFonts w:cs="Times New Roman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1701" w:hanging="360"/>
      </w:pPr>
      <w:rPr>
        <w:rFonts w:hint="default" w:ascii="Symbol" w:hAnsi="Symbol" w:eastAsia="Symbol" w:cs="Symbol"/>
        <w:sz w:val="24"/>
      </w:rPr>
    </w:lvl>
    <w:lvl w:ilvl="1">
      <w:start w:val="1"/>
      <w:numFmt w:val="bullet"/>
      <w:isLgl w:val="false"/>
      <w:suff w:val="tab"/>
      <w:lvlText w:val="o"/>
      <w:lvlJc w:val="left"/>
      <w:pPr>
        <w:ind w:left="2421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3141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861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581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301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6021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741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461" w:hanging="360"/>
      </w:pPr>
      <w:rPr>
        <w:rFonts w:hint="default" w:ascii="Wingdings" w:hAnsi="Wingdings" w:eastAsia="Wingdings" w:cs="Wingdings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18" w:hanging="360"/>
      </w:pPr>
      <w:rPr>
        <w:rFonts w:ascii="Symbol" w:hAnsi="Symbol"/>
        <w:b/>
        <w:bCs/>
        <w:color w:val="0f1115"/>
        <w:highlight w:val="none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</w:pPr>
      <w:rPr>
        <w:rFonts w:hint="default" w:ascii="Wingdings" w:hAnsi="Wingdings" w:eastAsia="Wingdings" w:cs="Wingdings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</w:pPr>
      <w:rPr>
        <w:rFonts w:hint="default" w:ascii="Wingdings" w:hAnsi="Wingdings" w:eastAsia="Wingdings" w:cs="Wingdings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</w:pPr>
      <w:rPr>
        <w:rFonts w:hint="default" w:ascii="Wingdings" w:hAnsi="Wingdings" w:eastAsia="Wingdings" w:cs="Wingdings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</w:pPr>
      <w:rPr>
        <w:rFonts w:hint="default" w:ascii="Wingdings" w:hAnsi="Wingdings" w:eastAsia="Wingdings" w:cs="Wingdings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4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0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6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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1701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992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1712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432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152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872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592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312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032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752" w:hanging="360"/>
      </w:pPr>
      <w:rPr>
        <w:rFonts w:hint="default" w:ascii="Wingdings" w:hAnsi="Wingdings" w:eastAsia="Wingdings" w:cs="Wingdings"/>
      </w:r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  <w:rPr>
        <w:rFonts w:ascii="Times New Roman" w:hAnsi="Times New Roman" w:cs="Times New Roman"/>
        <w:b w:val="0"/>
        <w:sz w:val="28"/>
        <w:szCs w:val="28"/>
      </w:rPr>
    </w:lvl>
    <w:lvl w:ilvl="1">
      <w:start w:val="1"/>
      <w:numFmt w:val="decimal"/>
      <w:isLgl w:val="false"/>
      <w:suff w:val="tab"/>
      <w:lvlText w:val="%1.%2."/>
      <w:lvlJc w:val="left"/>
      <w:pPr>
        <w:ind w:left="1283" w:hanging="432"/>
      </w:pPr>
      <w:rPr>
        <w:rFonts w:ascii="Times New Roman" w:hAnsi="Times New Roman"/>
        <w:b w:val="0"/>
        <w:sz w:val="28"/>
        <w:szCs w:val="28"/>
        <w:highlight w:val="white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497" w:hanging="504"/>
      </w:pPr>
      <w:rPr>
        <w:rFonts w:ascii="Times New Roman" w:hAnsi="Times New Roman"/>
        <w:b w:val="0"/>
        <w:bCs/>
        <w:highlight w:val="none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4760" w:hanging="648"/>
      </w:pPr>
      <w:rPr>
        <w:b w:val="0"/>
        <w:color w:val="000000" w:themeColor="text1"/>
        <w:sz w:val="28"/>
        <w:highlight w:val="white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360" w:hanging="792"/>
      </w:pPr>
      <w:rPr>
        <w:color w:val="000000" w:themeColor="text1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445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949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453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029" w:hanging="144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311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0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9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71" w:hanging="180"/>
      </w:pPr>
    </w:lvl>
  </w:abstractNum>
  <w:abstractNum w:abstractNumId="2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2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1701" w:hanging="360"/>
      </w:pPr>
      <w:rPr>
        <w:rFonts w:hint="default" w:ascii="Symbol" w:hAnsi="Symbol" w:eastAsia="Symbol" w:cs="Symbol"/>
        <w:sz w:val="24"/>
      </w:rPr>
    </w:lvl>
    <w:lvl w:ilvl="1">
      <w:start w:val="1"/>
      <w:numFmt w:val="bullet"/>
      <w:isLgl w:val="false"/>
      <w:suff w:val="tab"/>
      <w:lvlText w:val="o"/>
      <w:lvlJc w:val="left"/>
      <w:pPr>
        <w:ind w:left="2421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3141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861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581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301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6021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741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461" w:hanging="360"/>
      </w:pPr>
      <w:rPr>
        <w:rFonts w:hint="default" w:ascii="Wingdings" w:hAnsi="Wingdings" w:eastAsia="Wingdings" w:cs="Wingdings"/>
      </w:rPr>
    </w:lvl>
  </w:abstractNum>
  <w:abstractNum w:abstractNumId="26">
    <w:multiLevelType w:val="hybridMultilevel"/>
    <w:lvl w:ilvl="0">
      <w:start w:val="1"/>
      <w:numFmt w:val="decimal"/>
      <w:pStyle w:val="1170"/>
      <w:isLgl w:val="false"/>
      <w:suff w:val="tab"/>
      <w:lvlText w:val="%1."/>
      <w:lvlJc w:val="left"/>
      <w:pPr>
        <w:ind w:left="432" w:hanging="432"/>
        <w:tabs>
          <w:tab w:val="num" w:pos="432" w:leader="none"/>
        </w:tabs>
      </w:pPr>
      <w:rPr>
        <w:rFonts w:cs="Times New Roman"/>
      </w:rPr>
    </w:lvl>
    <w:lvl w:ilvl="1">
      <w:start w:val="1"/>
      <w:numFmt w:val="decimal"/>
      <w:isLgl w:val="false"/>
      <w:suff w:val="tab"/>
      <w:lvlText w:val="%1.%2"/>
      <w:lvlJc w:val="left"/>
      <w:pPr>
        <w:ind w:left="576" w:hanging="576"/>
        <w:tabs>
          <w:tab w:val="num" w:pos="576" w:leader="none"/>
        </w:tabs>
      </w:pPr>
      <w:rPr>
        <w:rFonts w:cs="Times New Roman"/>
      </w:rPr>
    </w:lvl>
    <w:lvl w:ilvl="2">
      <w:start w:val="1"/>
      <w:numFmt w:val="decimal"/>
      <w:isLgl w:val="false"/>
      <w:suff w:val="tab"/>
      <w:lvlText w:val="%1.%2.%3"/>
      <w:lvlJc w:val="left"/>
      <w:pPr>
        <w:ind w:left="0" w:firstLine="0"/>
        <w:tabs>
          <w:tab w:val="num" w:pos="227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864" w:hanging="864"/>
        <w:tabs>
          <w:tab w:val="num" w:pos="864" w:leader="none"/>
        </w:tabs>
      </w:pPr>
      <w:rPr>
        <w:rFonts w:cs="Times New Roman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1008" w:hanging="1008"/>
        <w:tabs>
          <w:tab w:val="num" w:pos="1008" w:leader="none"/>
        </w:tabs>
      </w:pPr>
      <w:rPr>
        <w:rFonts w:cs="Times New Roman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1152" w:hanging="1152"/>
        <w:tabs>
          <w:tab w:val="num" w:pos="1152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296" w:hanging="1296"/>
        <w:tabs>
          <w:tab w:val="num" w:pos="1296" w:leader="none"/>
        </w:tabs>
      </w:pPr>
      <w:rPr>
        <w:rFonts w:cs="Times New Roman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  <w:tabs>
          <w:tab w:val="num" w:pos="1440" w:leader="none"/>
        </w:tabs>
      </w:pPr>
      <w:rPr>
        <w:rFonts w:cs="Times New Roman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584" w:hanging="1584"/>
        <w:tabs>
          <w:tab w:val="num" w:pos="1584" w:leader="none"/>
        </w:tabs>
      </w:pPr>
      <w:rPr>
        <w:rFonts w:cs="Times New Roman"/>
      </w:rPr>
    </w:lvl>
  </w:abstractNum>
  <w:num w:numId="1">
    <w:abstractNumId w:val="11"/>
  </w:num>
  <w:num w:numId="2">
    <w:abstractNumId w:val="12"/>
  </w:num>
  <w:num w:numId="3">
    <w:abstractNumId w:val="5"/>
  </w:num>
  <w:num w:numId="4">
    <w:abstractNumId w:val="3"/>
  </w:num>
  <w:num w:numId="5">
    <w:abstractNumId w:val="6"/>
  </w:num>
  <w:num w:numId="6">
    <w:abstractNumId w:val="26"/>
  </w:num>
  <w:num w:numId="7">
    <w:abstractNumId w:val="1"/>
  </w:num>
  <w:num w:numId="8">
    <w:abstractNumId w:val="7"/>
  </w:num>
  <w:num w:numId="9">
    <w:abstractNumId w:val="21"/>
  </w:num>
  <w:num w:numId="10">
    <w:abstractNumId w:val="18"/>
  </w:num>
  <w:num w:numId="11">
    <w:abstractNumId w:val="20"/>
  </w:num>
  <w:num w:numId="12">
    <w:abstractNumId w:val="25"/>
  </w:num>
  <w:num w:numId="13">
    <w:abstractNumId w:val="19"/>
  </w:num>
  <w:num w:numId="14">
    <w:abstractNumId w:val="22"/>
  </w:num>
  <w:num w:numId="15">
    <w:abstractNumId w:val="23"/>
  </w:num>
  <w:num w:numId="16">
    <w:abstractNumId w:val="2"/>
  </w:num>
  <w:num w:numId="17">
    <w:abstractNumId w:val="14"/>
  </w:num>
  <w:num w:numId="18">
    <w:abstractNumId w:val="8"/>
  </w:num>
  <w:num w:numId="19">
    <w:abstractNumId w:val="0"/>
  </w:num>
  <w:num w:numId="20">
    <w:abstractNumId w:val="13"/>
  </w:num>
  <w:num w:numId="21">
    <w:abstractNumId w:val="9"/>
  </w:num>
  <w:num w:numId="22">
    <w:abstractNumId w:val="10"/>
  </w:num>
  <w:num w:numId="23">
    <w:abstractNumId w:val="15"/>
  </w:num>
  <w:num w:numId="24">
    <w:abstractNumId w:val="24"/>
  </w:num>
  <w:num w:numId="25">
    <w:abstractNumId w:val="4"/>
  </w:num>
  <w:num w:numId="26">
    <w:abstractNumId w:val="16"/>
  </w:num>
  <w:num w:numId="2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9" w:default="1">
    <w:name w:val="Normal"/>
    <w:qFormat/>
    <w:pPr>
      <w:ind w:firstLine="567"/>
      <w:jc w:val="both"/>
      <w:spacing w:line="288" w:lineRule="auto"/>
    </w:pPr>
    <w:rPr>
      <w:sz w:val="28"/>
      <w:szCs w:val="28"/>
    </w:rPr>
  </w:style>
  <w:style w:type="paragraph" w:styleId="720">
    <w:name w:val="Heading 1"/>
    <w:basedOn w:val="719"/>
    <w:next w:val="719"/>
    <w:link w:val="748"/>
    <w:qFormat/>
    <w:pPr>
      <w:keepNext/>
      <w:spacing w:before="240" w:after="60"/>
      <w:outlineLvl w:val="0"/>
    </w:pPr>
    <w:rPr>
      <w:rFonts w:ascii="Cambria" w:hAnsi="Cambria" w:cs="Cambria"/>
      <w:b/>
      <w:bCs/>
      <w:sz w:val="32"/>
      <w:szCs w:val="32"/>
      <w:lang w:val="en-US"/>
    </w:rPr>
  </w:style>
  <w:style w:type="paragraph" w:styleId="721">
    <w:name w:val="Heading 2"/>
    <w:basedOn w:val="719"/>
    <w:next w:val="719"/>
    <w:link w:val="749"/>
    <w:qFormat/>
    <w:pPr>
      <w:ind w:firstLine="0"/>
      <w:jc w:val="center"/>
      <w:keepNext/>
      <w:spacing w:after="60" w:line="240" w:lineRule="auto"/>
      <w:outlineLvl w:val="1"/>
    </w:pPr>
    <w:rPr>
      <w:rFonts w:ascii="Cambria" w:hAnsi="Cambria" w:cs="Cambria"/>
      <w:b/>
      <w:bCs/>
      <w:i/>
      <w:iCs/>
      <w:lang w:val="en-US"/>
    </w:rPr>
  </w:style>
  <w:style w:type="paragraph" w:styleId="722">
    <w:name w:val="Heading 3"/>
    <w:basedOn w:val="719"/>
    <w:next w:val="719"/>
    <w:link w:val="750"/>
    <w:qFormat/>
    <w:pPr>
      <w:numPr>
        <w:ilvl w:val="2"/>
        <w:numId w:val="1"/>
      </w:numPr>
      <w:keepNext/>
      <w:spacing w:before="120" w:after="120"/>
      <w:outlineLvl w:val="2"/>
    </w:pPr>
    <w:rPr>
      <w:b/>
      <w:bCs/>
    </w:rPr>
  </w:style>
  <w:style w:type="paragraph" w:styleId="723">
    <w:name w:val="Heading 4"/>
    <w:basedOn w:val="719"/>
    <w:next w:val="719"/>
    <w:link w:val="751"/>
    <w:qFormat/>
    <w:pPr>
      <w:numPr>
        <w:ilvl w:val="3"/>
        <w:numId w:val="1"/>
      </w:numPr>
      <w:keepNext/>
      <w:spacing w:before="240" w:after="60"/>
      <w:outlineLvl w:val="3"/>
    </w:pPr>
    <w:rPr>
      <w:b/>
      <w:bCs/>
      <w:i/>
      <w:iCs/>
    </w:rPr>
  </w:style>
  <w:style w:type="paragraph" w:styleId="724">
    <w:name w:val="Heading 5"/>
    <w:basedOn w:val="719"/>
    <w:next w:val="719"/>
    <w:link w:val="752"/>
    <w:qFormat/>
    <w:pPr>
      <w:ind w:left="1008" w:hanging="1008"/>
      <w:spacing w:before="240" w:after="60" w:line="240" w:lineRule="auto"/>
      <w:tabs>
        <w:tab w:val="left" w:pos="1008" w:leader="none"/>
      </w:tabs>
      <w:outlineLvl w:val="4"/>
    </w:pPr>
    <w:rPr>
      <w:rFonts w:ascii="Calibri" w:hAnsi="Calibri" w:cs="Calibri"/>
      <w:b/>
      <w:bCs/>
      <w:i/>
      <w:iCs/>
      <w:sz w:val="26"/>
      <w:szCs w:val="26"/>
      <w:lang w:val="en-US"/>
    </w:rPr>
  </w:style>
  <w:style w:type="paragraph" w:styleId="725">
    <w:name w:val="Heading 6"/>
    <w:basedOn w:val="719"/>
    <w:next w:val="719"/>
    <w:link w:val="753"/>
    <w:qFormat/>
    <w:pPr>
      <w:ind w:left="1152" w:hanging="1152"/>
      <w:spacing w:before="240" w:after="60" w:line="240" w:lineRule="auto"/>
      <w:tabs>
        <w:tab w:val="left" w:pos="1152" w:leader="none"/>
      </w:tabs>
      <w:outlineLvl w:val="5"/>
    </w:pPr>
    <w:rPr>
      <w:rFonts w:ascii="Calibri" w:hAnsi="Calibri" w:cs="Calibri"/>
      <w:b/>
      <w:bCs/>
      <w:sz w:val="20"/>
      <w:szCs w:val="20"/>
      <w:lang w:val="en-US"/>
    </w:rPr>
  </w:style>
  <w:style w:type="paragraph" w:styleId="726">
    <w:name w:val="Heading 7"/>
    <w:basedOn w:val="719"/>
    <w:next w:val="719"/>
    <w:link w:val="754"/>
    <w:qFormat/>
    <w:pPr>
      <w:ind w:left="1296" w:hanging="1296"/>
      <w:spacing w:before="240" w:after="60" w:line="240" w:lineRule="auto"/>
      <w:tabs>
        <w:tab w:val="left" w:pos="1296" w:leader="none"/>
      </w:tabs>
      <w:outlineLvl w:val="6"/>
    </w:pPr>
    <w:rPr>
      <w:rFonts w:ascii="Calibri" w:hAnsi="Calibri" w:cs="Calibri"/>
      <w:sz w:val="24"/>
      <w:szCs w:val="24"/>
      <w:lang w:val="en-US"/>
    </w:rPr>
  </w:style>
  <w:style w:type="paragraph" w:styleId="727">
    <w:name w:val="Heading 8"/>
    <w:basedOn w:val="719"/>
    <w:next w:val="719"/>
    <w:link w:val="755"/>
    <w:qFormat/>
    <w:pPr>
      <w:ind w:left="1440" w:hanging="1440"/>
      <w:spacing w:before="240" w:after="60" w:line="240" w:lineRule="auto"/>
      <w:tabs>
        <w:tab w:val="left" w:pos="1440" w:leader="none"/>
      </w:tabs>
      <w:outlineLvl w:val="7"/>
    </w:pPr>
    <w:rPr>
      <w:rFonts w:ascii="Calibri" w:hAnsi="Calibri" w:cs="Calibri"/>
      <w:i/>
      <w:iCs/>
      <w:sz w:val="24"/>
      <w:szCs w:val="24"/>
      <w:lang w:val="en-US"/>
    </w:rPr>
  </w:style>
  <w:style w:type="paragraph" w:styleId="728">
    <w:name w:val="Heading 9"/>
    <w:basedOn w:val="719"/>
    <w:next w:val="719"/>
    <w:link w:val="756"/>
    <w:qFormat/>
    <w:pPr>
      <w:ind w:left="1584" w:hanging="1584"/>
      <w:spacing w:before="240" w:after="60" w:line="240" w:lineRule="auto"/>
      <w:tabs>
        <w:tab w:val="left" w:pos="1584" w:leader="none"/>
      </w:tabs>
      <w:outlineLvl w:val="8"/>
    </w:pPr>
    <w:rPr>
      <w:rFonts w:ascii="Cambria" w:hAnsi="Cambria" w:cs="Cambria"/>
      <w:sz w:val="20"/>
      <w:szCs w:val="20"/>
      <w:lang w:val="en-US"/>
    </w:rPr>
  </w:style>
  <w:style w:type="character" w:styleId="729" w:default="1">
    <w:name w:val="Default Paragraph Font"/>
    <w:uiPriority w:val="1"/>
    <w:semiHidden/>
    <w:unhideWhenUsed/>
  </w:style>
  <w:style w:type="table" w:styleId="73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31" w:default="1">
    <w:name w:val="No List"/>
    <w:uiPriority w:val="99"/>
    <w:semiHidden/>
    <w:unhideWhenUsed/>
  </w:style>
  <w:style w:type="character" w:styleId="732" w:customStyle="1">
    <w:name w:val="Caption Char"/>
    <w:uiPriority w:val="99"/>
  </w:style>
  <w:style w:type="character" w:styleId="733" w:customStyle="1">
    <w:name w:val="Heading 1 Char"/>
    <w:basedOn w:val="729"/>
    <w:uiPriority w:val="9"/>
    <w:rPr>
      <w:rFonts w:ascii="Arial" w:hAnsi="Arial" w:eastAsia="Arial" w:cs="Arial"/>
      <w:sz w:val="40"/>
      <w:szCs w:val="40"/>
    </w:rPr>
  </w:style>
  <w:style w:type="character" w:styleId="734" w:customStyle="1">
    <w:name w:val="Heading 2 Char"/>
    <w:basedOn w:val="729"/>
    <w:uiPriority w:val="9"/>
    <w:rPr>
      <w:rFonts w:ascii="Arial" w:hAnsi="Arial" w:eastAsia="Arial" w:cs="Arial"/>
      <w:sz w:val="34"/>
    </w:rPr>
  </w:style>
  <w:style w:type="character" w:styleId="735" w:customStyle="1">
    <w:name w:val="Heading 3 Char"/>
    <w:basedOn w:val="729"/>
    <w:uiPriority w:val="9"/>
    <w:rPr>
      <w:rFonts w:ascii="Arial" w:hAnsi="Arial" w:eastAsia="Arial" w:cs="Arial"/>
      <w:sz w:val="30"/>
      <w:szCs w:val="30"/>
    </w:rPr>
  </w:style>
  <w:style w:type="character" w:styleId="736" w:customStyle="1">
    <w:name w:val="Heading 4 Char"/>
    <w:basedOn w:val="729"/>
    <w:uiPriority w:val="9"/>
    <w:rPr>
      <w:rFonts w:ascii="Arial" w:hAnsi="Arial" w:eastAsia="Arial" w:cs="Arial"/>
      <w:b/>
      <w:bCs/>
      <w:sz w:val="26"/>
      <w:szCs w:val="26"/>
    </w:rPr>
  </w:style>
  <w:style w:type="character" w:styleId="737" w:customStyle="1">
    <w:name w:val="Heading 5 Char"/>
    <w:basedOn w:val="729"/>
    <w:uiPriority w:val="9"/>
    <w:rPr>
      <w:rFonts w:ascii="Arial" w:hAnsi="Arial" w:eastAsia="Arial" w:cs="Arial"/>
      <w:b/>
      <w:bCs/>
      <w:sz w:val="24"/>
      <w:szCs w:val="24"/>
    </w:rPr>
  </w:style>
  <w:style w:type="character" w:styleId="738" w:customStyle="1">
    <w:name w:val="Heading 6 Char"/>
    <w:basedOn w:val="729"/>
    <w:uiPriority w:val="9"/>
    <w:rPr>
      <w:rFonts w:ascii="Arial" w:hAnsi="Arial" w:eastAsia="Arial" w:cs="Arial"/>
      <w:b/>
      <w:bCs/>
      <w:sz w:val="22"/>
      <w:szCs w:val="22"/>
    </w:rPr>
  </w:style>
  <w:style w:type="character" w:styleId="739" w:customStyle="1">
    <w:name w:val="Heading 7 Char"/>
    <w:basedOn w:val="72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40" w:customStyle="1">
    <w:name w:val="Heading 8 Char"/>
    <w:basedOn w:val="729"/>
    <w:uiPriority w:val="9"/>
    <w:rPr>
      <w:rFonts w:ascii="Arial" w:hAnsi="Arial" w:eastAsia="Arial" w:cs="Arial"/>
      <w:i/>
      <w:iCs/>
      <w:sz w:val="22"/>
      <w:szCs w:val="22"/>
    </w:rPr>
  </w:style>
  <w:style w:type="character" w:styleId="741" w:customStyle="1">
    <w:name w:val="Heading 9 Char"/>
    <w:basedOn w:val="729"/>
    <w:uiPriority w:val="9"/>
    <w:rPr>
      <w:rFonts w:ascii="Arial" w:hAnsi="Arial" w:eastAsia="Arial" w:cs="Arial"/>
      <w:i/>
      <w:iCs/>
      <w:sz w:val="21"/>
      <w:szCs w:val="21"/>
    </w:rPr>
  </w:style>
  <w:style w:type="character" w:styleId="742" w:customStyle="1">
    <w:name w:val="Title Char"/>
    <w:basedOn w:val="729"/>
    <w:uiPriority w:val="10"/>
    <w:rPr>
      <w:sz w:val="48"/>
      <w:szCs w:val="48"/>
    </w:rPr>
  </w:style>
  <w:style w:type="character" w:styleId="743" w:customStyle="1">
    <w:name w:val="Subtitle Char"/>
    <w:basedOn w:val="729"/>
    <w:uiPriority w:val="11"/>
    <w:rPr>
      <w:sz w:val="24"/>
      <w:szCs w:val="24"/>
    </w:rPr>
  </w:style>
  <w:style w:type="character" w:styleId="744" w:customStyle="1">
    <w:name w:val="Quote Char"/>
    <w:uiPriority w:val="29"/>
    <w:rPr>
      <w:i/>
    </w:rPr>
  </w:style>
  <w:style w:type="character" w:styleId="745" w:customStyle="1">
    <w:name w:val="Intense Quote Char"/>
    <w:uiPriority w:val="30"/>
    <w:rPr>
      <w:i/>
    </w:rPr>
  </w:style>
  <w:style w:type="character" w:styleId="746" w:customStyle="1">
    <w:name w:val="Footnote Text Char"/>
    <w:uiPriority w:val="99"/>
    <w:rPr>
      <w:sz w:val="18"/>
    </w:rPr>
  </w:style>
  <w:style w:type="character" w:styleId="747" w:customStyle="1">
    <w:name w:val="Endnote Text Char"/>
    <w:uiPriority w:val="99"/>
    <w:rPr>
      <w:sz w:val="20"/>
    </w:rPr>
  </w:style>
  <w:style w:type="character" w:styleId="748" w:customStyle="1">
    <w:name w:val="Заголовок 1 Знак2"/>
    <w:link w:val="720"/>
    <w:uiPriority w:val="9"/>
    <w:rPr>
      <w:rFonts w:ascii="Arial" w:hAnsi="Arial" w:eastAsia="Arial" w:cs="Arial"/>
      <w:sz w:val="40"/>
      <w:szCs w:val="40"/>
    </w:rPr>
  </w:style>
  <w:style w:type="character" w:styleId="749" w:customStyle="1">
    <w:name w:val="Заголовок 2 Знак2"/>
    <w:link w:val="721"/>
    <w:uiPriority w:val="9"/>
    <w:rPr>
      <w:rFonts w:ascii="Arial" w:hAnsi="Arial" w:eastAsia="Arial" w:cs="Arial"/>
      <w:sz w:val="34"/>
    </w:rPr>
  </w:style>
  <w:style w:type="character" w:styleId="750" w:customStyle="1">
    <w:name w:val="Заголовок 3 Знак1"/>
    <w:link w:val="722"/>
    <w:rPr>
      <w:b/>
      <w:bCs/>
      <w:sz w:val="28"/>
      <w:szCs w:val="28"/>
    </w:rPr>
  </w:style>
  <w:style w:type="character" w:styleId="751" w:customStyle="1">
    <w:name w:val="Заголовок 4 Знак1"/>
    <w:link w:val="723"/>
    <w:rPr>
      <w:b/>
      <w:bCs/>
      <w:i/>
      <w:iCs/>
      <w:sz w:val="28"/>
      <w:szCs w:val="28"/>
    </w:rPr>
  </w:style>
  <w:style w:type="character" w:styleId="752" w:customStyle="1">
    <w:name w:val="Заголовок 5 Знак1"/>
    <w:link w:val="724"/>
    <w:uiPriority w:val="9"/>
    <w:rPr>
      <w:rFonts w:ascii="Arial" w:hAnsi="Arial" w:eastAsia="Arial" w:cs="Arial"/>
      <w:b/>
      <w:bCs/>
      <w:sz w:val="24"/>
      <w:szCs w:val="24"/>
    </w:rPr>
  </w:style>
  <w:style w:type="character" w:styleId="753" w:customStyle="1">
    <w:name w:val="Заголовок 6 Знак1"/>
    <w:link w:val="725"/>
    <w:uiPriority w:val="9"/>
    <w:rPr>
      <w:rFonts w:ascii="Arial" w:hAnsi="Arial" w:eastAsia="Arial" w:cs="Arial"/>
      <w:b/>
      <w:bCs/>
      <w:sz w:val="22"/>
      <w:szCs w:val="22"/>
    </w:rPr>
  </w:style>
  <w:style w:type="character" w:styleId="754" w:customStyle="1">
    <w:name w:val="Заголовок 7 Знак1"/>
    <w:link w:val="72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55" w:customStyle="1">
    <w:name w:val="Заголовок 8 Знак1"/>
    <w:link w:val="727"/>
    <w:uiPriority w:val="9"/>
    <w:rPr>
      <w:rFonts w:ascii="Arial" w:hAnsi="Arial" w:eastAsia="Arial" w:cs="Arial"/>
      <w:i/>
      <w:iCs/>
      <w:sz w:val="22"/>
      <w:szCs w:val="22"/>
    </w:rPr>
  </w:style>
  <w:style w:type="character" w:styleId="756" w:customStyle="1">
    <w:name w:val="Заголовок 9 Знак1"/>
    <w:link w:val="728"/>
    <w:uiPriority w:val="9"/>
    <w:rPr>
      <w:rFonts w:ascii="Arial" w:hAnsi="Arial" w:eastAsia="Arial" w:cs="Arial"/>
      <w:i/>
      <w:iCs/>
      <w:sz w:val="21"/>
      <w:szCs w:val="21"/>
    </w:rPr>
  </w:style>
  <w:style w:type="paragraph" w:styleId="757">
    <w:name w:val="List Paragraph"/>
    <w:basedOn w:val="719"/>
    <w:uiPriority w:val="34"/>
    <w:qFormat/>
    <w:pPr>
      <w:contextualSpacing/>
      <w:ind w:left="720"/>
    </w:pPr>
  </w:style>
  <w:style w:type="paragraph" w:styleId="758">
    <w:name w:val="No Spacing"/>
    <w:uiPriority w:val="1"/>
    <w:qFormat/>
  </w:style>
  <w:style w:type="paragraph" w:styleId="759">
    <w:name w:val="Title"/>
    <w:basedOn w:val="719"/>
    <w:next w:val="719"/>
    <w:link w:val="76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60" w:customStyle="1">
    <w:name w:val="Заголовок Знак"/>
    <w:link w:val="759"/>
    <w:uiPriority w:val="10"/>
    <w:rPr>
      <w:sz w:val="48"/>
      <w:szCs w:val="48"/>
    </w:rPr>
  </w:style>
  <w:style w:type="paragraph" w:styleId="761">
    <w:name w:val="Subtitle"/>
    <w:basedOn w:val="719"/>
    <w:next w:val="719"/>
    <w:link w:val="762"/>
    <w:qFormat/>
    <w:pPr>
      <w:ind w:firstLine="0"/>
      <w:jc w:val="center"/>
      <w:spacing w:after="60" w:line="240" w:lineRule="auto"/>
    </w:pPr>
    <w:rPr>
      <w:rFonts w:ascii="Cambria" w:hAnsi="Cambria" w:cs="Cambria"/>
      <w:sz w:val="24"/>
      <w:szCs w:val="24"/>
      <w:lang w:val="en-US"/>
    </w:rPr>
  </w:style>
  <w:style w:type="character" w:styleId="762" w:customStyle="1">
    <w:name w:val="Подзаголовок Знак1"/>
    <w:link w:val="761"/>
    <w:uiPriority w:val="11"/>
    <w:rPr>
      <w:sz w:val="24"/>
      <w:szCs w:val="24"/>
    </w:rPr>
  </w:style>
  <w:style w:type="paragraph" w:styleId="763">
    <w:name w:val="Quote"/>
    <w:basedOn w:val="719"/>
    <w:next w:val="719"/>
    <w:link w:val="764"/>
    <w:uiPriority w:val="29"/>
    <w:qFormat/>
    <w:pPr>
      <w:ind w:left="720" w:right="720"/>
    </w:pPr>
    <w:rPr>
      <w:i/>
    </w:rPr>
  </w:style>
  <w:style w:type="character" w:styleId="764" w:customStyle="1">
    <w:name w:val="Цитата 2 Знак"/>
    <w:link w:val="763"/>
    <w:uiPriority w:val="29"/>
    <w:rPr>
      <w:i/>
    </w:rPr>
  </w:style>
  <w:style w:type="paragraph" w:styleId="765">
    <w:name w:val="Intense Quote"/>
    <w:basedOn w:val="719"/>
    <w:next w:val="719"/>
    <w:link w:val="766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66" w:customStyle="1">
    <w:name w:val="Выделенная цитата Знак"/>
    <w:link w:val="765"/>
    <w:uiPriority w:val="30"/>
    <w:rPr>
      <w:i/>
    </w:rPr>
  </w:style>
  <w:style w:type="paragraph" w:styleId="767">
    <w:name w:val="Header"/>
    <w:basedOn w:val="719"/>
    <w:link w:val="1211"/>
    <w:pPr>
      <w:ind w:firstLine="0"/>
      <w:spacing w:before="120" w:after="120" w:line="240" w:lineRule="auto"/>
      <w:tabs>
        <w:tab w:val="center" w:pos="4153" w:leader="none"/>
        <w:tab w:val="right" w:pos="8306" w:leader="none"/>
      </w:tabs>
    </w:pPr>
    <w:rPr>
      <w:lang w:val="en-US"/>
    </w:rPr>
  </w:style>
  <w:style w:type="character" w:styleId="768" w:customStyle="1">
    <w:name w:val="Header Char"/>
    <w:uiPriority w:val="99"/>
  </w:style>
  <w:style w:type="paragraph" w:styleId="769">
    <w:name w:val="Footer"/>
    <w:basedOn w:val="719"/>
    <w:link w:val="1214"/>
    <w:pPr>
      <w:ind w:firstLine="0"/>
      <w:jc w:val="left"/>
      <w:spacing w:line="240" w:lineRule="auto"/>
      <w:widowControl w:val="off"/>
      <w:tabs>
        <w:tab w:val="center" w:pos="4153" w:leader="none"/>
        <w:tab w:val="right" w:pos="8306" w:leader="none"/>
      </w:tabs>
    </w:pPr>
    <w:rPr>
      <w:sz w:val="20"/>
      <w:szCs w:val="20"/>
      <w:lang w:val="en-US"/>
    </w:rPr>
  </w:style>
  <w:style w:type="character" w:styleId="770" w:customStyle="1">
    <w:name w:val="Footer Char"/>
    <w:uiPriority w:val="99"/>
  </w:style>
  <w:style w:type="paragraph" w:styleId="771">
    <w:name w:val="Caption"/>
    <w:basedOn w:val="719"/>
    <w:link w:val="772"/>
    <w:qFormat/>
    <w:pPr>
      <w:spacing w:before="120" w:after="120"/>
      <w:suppressLineNumbers/>
    </w:pPr>
    <w:rPr>
      <w:rFonts w:cs="Droid Sans Devanagari"/>
      <w:i/>
      <w:iCs/>
      <w:sz w:val="24"/>
      <w:szCs w:val="24"/>
    </w:rPr>
  </w:style>
  <w:style w:type="character" w:styleId="772" w:customStyle="1">
    <w:name w:val="Название объекта Знак"/>
    <w:link w:val="771"/>
    <w:uiPriority w:val="99"/>
  </w:style>
  <w:style w:type="table" w:styleId="773">
    <w:name w:val="Table Grid"/>
    <w:basedOn w:val="730"/>
    <w:uiPriority w:val="39"/>
    <w:rPr>
      <w:rFonts w:ascii="Calibri" w:hAnsi="Calibri" w:eastAsia="Calibri"/>
      <w:sz w:val="22"/>
      <w:szCs w:val="22"/>
      <w:lang w:eastAsia="en-US"/>
    </w:rPr>
    <w:tblPr/>
  </w:style>
  <w:style w:type="table" w:styleId="774" w:customStyle="1">
    <w:name w:val="Table Grid Light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75">
    <w:name w:val="Plain Table 1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76">
    <w:name w:val="Plain Table 2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77">
    <w:name w:val="Plain Table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8">
    <w:name w:val="Plain Table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Plain Table 5"/>
    <w:link w:val="1227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80">
    <w:name w:val="Grid Table 1 Light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 w:customStyle="1">
    <w:name w:val="Grid Table 1 Light - Accent 1"/>
    <w:link w:val="1228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 w:customStyle="1">
    <w:name w:val="Grid Table 1 Light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 w:customStyle="1">
    <w:name w:val="Grid Table 1 Light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 w:customStyle="1">
    <w:name w:val="Grid Table 1 Light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 w:customStyle="1">
    <w:name w:val="Grid Table 1 Light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 w:customStyle="1">
    <w:name w:val="Grid Table 1 Light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Grid Table 2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 w:customStyle="1">
    <w:name w:val="Grid Table 2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 w:customStyle="1">
    <w:name w:val="Grid Table 2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 w:customStyle="1">
    <w:name w:val="Grid Table 2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 w:customStyle="1">
    <w:name w:val="Grid Table 2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 w:customStyle="1">
    <w:name w:val="Grid Table 2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 w:customStyle="1">
    <w:name w:val="Grid Table 2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Grid Table 3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 w:customStyle="1">
    <w:name w:val="Grid Table 3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 w:customStyle="1">
    <w:name w:val="Grid Table 3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 w:customStyle="1">
    <w:name w:val="Grid Table 3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 w:customStyle="1">
    <w:name w:val="Grid Table 3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 w:customStyle="1">
    <w:name w:val="Grid Table 3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 w:customStyle="1">
    <w:name w:val="Grid Table 3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Grid Table 4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02" w:customStyle="1">
    <w:name w:val="Grid Table 4 - Accent 1"/>
    <w:uiPriority w:val="5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803" w:customStyle="1">
    <w:name w:val="Grid Table 4 - Accent 2"/>
    <w:uiPriority w:val="5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804" w:customStyle="1">
    <w:name w:val="Grid Table 4 - Accent 3"/>
    <w:uiPriority w:val="5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805" w:customStyle="1">
    <w:name w:val="Grid Table 4 - Accent 4"/>
    <w:uiPriority w:val="5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806" w:customStyle="1">
    <w:name w:val="Grid Table 4 - Accent 5"/>
    <w:uiPriority w:val="5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807" w:customStyle="1">
    <w:name w:val="Grid Table 4 - Accent 6"/>
    <w:uiPriority w:val="5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808">
    <w:name w:val="Grid Table 5 Dark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09" w:customStyle="1">
    <w:name w:val="Grid Table 5 Dark- Accent 1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810" w:customStyle="1">
    <w:name w:val="Grid Table 5 Dark - Accent 2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811" w:customStyle="1">
    <w:name w:val="Grid Table 5 Dark - Accent 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812" w:customStyle="1">
    <w:name w:val="Grid Table 5 Dark- Accent 4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813" w:customStyle="1">
    <w:name w:val="Grid Table 5 Dark - Accent 5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814" w:customStyle="1">
    <w:name w:val="Grid Table 5 Dark - Accent 6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815">
    <w:name w:val="Grid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16" w:customStyle="1">
    <w:name w:val="Grid Table 6 Colorful - Accent 1"/>
    <w:uiPriority w:val="99"/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17" w:customStyle="1">
    <w:name w:val="Grid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18" w:customStyle="1">
    <w:name w:val="Grid Table 6 Colorful - Accent 3"/>
    <w:uiPriority w:val="99"/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19" w:customStyle="1">
    <w:name w:val="Grid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20" w:customStyle="1">
    <w:name w:val="Grid Table 6 Colorful - Accent 5"/>
    <w:uiPriority w:val="99"/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21" w:customStyle="1">
    <w:name w:val="Grid Table 6 Colorful - Accent 6"/>
    <w:uiPriority w:val="99"/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22">
    <w:name w:val="Grid Table 7 Colorful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 w:customStyle="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 w:customStyle="1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 w:customStyle="1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 w:customStyle="1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 w:customStyle="1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 w:customStyle="1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>
    <w:name w:val="List Table 1 Light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 w:customStyle="1">
    <w:name w:val="List Table 1 Light - Accent 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 w:customStyle="1">
    <w:name w:val="List Table 1 Light - Accent 2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 w:customStyle="1">
    <w:name w:val="List Table 1 Light - Accent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 w:customStyle="1">
    <w:name w:val="List Table 1 Light - Accent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 w:customStyle="1">
    <w:name w:val="List Table 1 Light - Accent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 w:customStyle="1">
    <w:name w:val="List Table 1 Light - Accent 6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>
    <w:name w:val="List Table 2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37" w:customStyle="1">
    <w:name w:val="List Table 2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38" w:customStyle="1">
    <w:name w:val="List Table 2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39" w:customStyle="1">
    <w:name w:val="List Table 2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40" w:customStyle="1">
    <w:name w:val="List Table 2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41" w:customStyle="1">
    <w:name w:val="List Table 2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42" w:customStyle="1">
    <w:name w:val="List Table 2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43">
    <w:name w:val="List Table 3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3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3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3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3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3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3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>
    <w:name w:val="List Table 4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 w:customStyle="1">
    <w:name w:val="List Table 4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 w:customStyle="1">
    <w:name w:val="List Table 4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 w:customStyle="1">
    <w:name w:val="List Table 4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4" w:customStyle="1">
    <w:name w:val="List Table 4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5" w:customStyle="1">
    <w:name w:val="List Table 4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6" w:customStyle="1">
    <w:name w:val="List Table 4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7">
    <w:name w:val="List Table 5 Dark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8" w:customStyle="1">
    <w:name w:val="List Table 5 Dark - Accent 1"/>
    <w:uiPriority w:val="99"/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9" w:customStyle="1">
    <w:name w:val="List Table 5 Dark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0" w:customStyle="1">
    <w:name w:val="List Table 5 Dark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1" w:customStyle="1">
    <w:name w:val="List Table 5 Dark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2" w:customStyle="1">
    <w:name w:val="List Table 5 Dark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3" w:customStyle="1">
    <w:name w:val="List Table 5 Dark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4">
    <w:name w:val="List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65" w:customStyle="1">
    <w:name w:val="List Table 6 Colorful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66" w:customStyle="1">
    <w:name w:val="List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67" w:customStyle="1">
    <w:name w:val="List Table 6 Colorful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68" w:customStyle="1">
    <w:name w:val="List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69" w:customStyle="1">
    <w:name w:val="List Table 6 Colorful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70" w:customStyle="1">
    <w:name w:val="List Table 6 Colorful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71">
    <w:name w:val="List Table 7 Colorful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2" w:customStyle="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3" w:customStyle="1">
    <w:name w:val="List Table 7 Colorful - Accent 2"/>
    <w:uiPriority w:val="99"/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4" w:customStyle="1">
    <w:name w:val="List Table 7 Colorful - Accent 3"/>
    <w:uiPriority w:val="99"/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5" w:customStyle="1">
    <w:name w:val="List Table 7 Colorful - Accent 4"/>
    <w:uiPriority w:val="99"/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6" w:customStyle="1">
    <w:name w:val="List Table 7 Colorful - Accent 5"/>
    <w:uiPriority w:val="99"/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7" w:customStyle="1">
    <w:name w:val="List Table 7 Colorful - Accent 6"/>
    <w:uiPriority w:val="99"/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8" w:customStyle="1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79" w:customStyle="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80" w:customStyle="1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81" w:customStyle="1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82" w:customStyle="1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83" w:customStyle="1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84" w:customStyle="1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85" w:customStyle="1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86" w:customStyle="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87" w:customStyle="1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88" w:customStyle="1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89" w:customStyle="1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90" w:customStyle="1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91" w:customStyle="1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92" w:customStyle="1">
    <w:name w:val="Bordered"/>
    <w:uiPriority w:val="99"/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93" w:customStyle="1">
    <w:name w:val="Bordered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94" w:customStyle="1">
    <w:name w:val="Bordered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95" w:customStyle="1">
    <w:name w:val="Bordered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96" w:customStyle="1">
    <w:name w:val="Bordered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97" w:customStyle="1">
    <w:name w:val="Bordered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98" w:customStyle="1">
    <w:name w:val="Bordered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899">
    <w:name w:val="Hyperlink"/>
    <w:rPr>
      <w:rFonts w:cs="Times New Roman"/>
      <w:color w:val="0000ff"/>
      <w:u w:val="single"/>
    </w:rPr>
  </w:style>
  <w:style w:type="paragraph" w:styleId="900">
    <w:name w:val="footnote text"/>
    <w:basedOn w:val="719"/>
    <w:link w:val="901"/>
    <w:pPr>
      <w:ind w:firstLine="0"/>
      <w:spacing w:after="60" w:line="240" w:lineRule="auto"/>
    </w:pPr>
    <w:rPr>
      <w:sz w:val="20"/>
      <w:szCs w:val="20"/>
      <w:lang w:val="en-US"/>
    </w:rPr>
  </w:style>
  <w:style w:type="character" w:styleId="901" w:customStyle="1">
    <w:name w:val="Текст сноски Знак1"/>
    <w:link w:val="900"/>
    <w:uiPriority w:val="99"/>
    <w:rPr>
      <w:sz w:val="18"/>
    </w:rPr>
  </w:style>
  <w:style w:type="character" w:styleId="902">
    <w:name w:val="footnote reference"/>
    <w:rPr>
      <w:vertAlign w:val="superscript"/>
    </w:rPr>
  </w:style>
  <w:style w:type="paragraph" w:styleId="903">
    <w:name w:val="endnote text"/>
    <w:basedOn w:val="719"/>
    <w:link w:val="904"/>
    <w:rPr>
      <w:sz w:val="20"/>
      <w:szCs w:val="20"/>
    </w:rPr>
  </w:style>
  <w:style w:type="character" w:styleId="904" w:customStyle="1">
    <w:name w:val="Текст концевой сноски Знак1"/>
    <w:link w:val="903"/>
    <w:uiPriority w:val="99"/>
    <w:rPr>
      <w:sz w:val="20"/>
    </w:rPr>
  </w:style>
  <w:style w:type="character" w:styleId="905">
    <w:name w:val="endnote reference"/>
    <w:rPr>
      <w:vertAlign w:val="superscript"/>
    </w:rPr>
  </w:style>
  <w:style w:type="paragraph" w:styleId="906">
    <w:name w:val="toc 1"/>
    <w:basedOn w:val="719"/>
    <w:next w:val="719"/>
    <w:pPr>
      <w:ind w:firstLine="0"/>
      <w:jc w:val="left"/>
      <w:spacing w:before="100" w:line="240" w:lineRule="auto"/>
      <w:tabs>
        <w:tab w:val="left" w:pos="1440" w:leader="none"/>
        <w:tab w:val="right" w:pos="9720" w:leader="dot"/>
      </w:tabs>
    </w:pPr>
    <w:rPr>
      <w:rFonts w:ascii="Arial" w:hAnsi="Arial" w:cs="Arial"/>
      <w:b/>
      <w:bCs/>
      <w:caps/>
      <w:sz w:val="24"/>
      <w:szCs w:val="24"/>
    </w:rPr>
  </w:style>
  <w:style w:type="paragraph" w:styleId="907">
    <w:name w:val="toc 2"/>
    <w:basedOn w:val="719"/>
    <w:next w:val="719"/>
    <w:pPr>
      <w:ind w:left="360" w:firstLine="0"/>
      <w:jc w:val="left"/>
      <w:spacing w:before="20" w:line="240" w:lineRule="auto"/>
      <w:tabs>
        <w:tab w:val="left" w:pos="960" w:leader="none"/>
        <w:tab w:val="right" w:pos="9720" w:leader="dot"/>
      </w:tabs>
    </w:pPr>
    <w:rPr>
      <w:b/>
      <w:bCs/>
      <w:sz w:val="20"/>
      <w:szCs w:val="20"/>
    </w:rPr>
  </w:style>
  <w:style w:type="paragraph" w:styleId="908">
    <w:name w:val="toc 3"/>
    <w:basedOn w:val="719"/>
    <w:next w:val="719"/>
    <w:pPr>
      <w:ind w:left="252" w:hanging="12"/>
      <w:jc w:val="left"/>
      <w:spacing w:before="100" w:line="240" w:lineRule="auto"/>
      <w:tabs>
        <w:tab w:val="left" w:pos="1680" w:leader="none"/>
        <w:tab w:val="right" w:pos="10148" w:leader="dot"/>
      </w:tabs>
    </w:pPr>
    <w:rPr>
      <w:sz w:val="20"/>
      <w:szCs w:val="20"/>
    </w:rPr>
  </w:style>
  <w:style w:type="paragraph" w:styleId="909">
    <w:name w:val="toc 4"/>
    <w:basedOn w:val="719"/>
    <w:next w:val="719"/>
    <w:pPr>
      <w:ind w:left="480" w:firstLine="0"/>
      <w:jc w:val="left"/>
      <w:spacing w:line="240" w:lineRule="auto"/>
    </w:pPr>
    <w:rPr>
      <w:sz w:val="20"/>
      <w:szCs w:val="20"/>
    </w:rPr>
  </w:style>
  <w:style w:type="paragraph" w:styleId="910">
    <w:name w:val="toc 5"/>
    <w:basedOn w:val="719"/>
    <w:next w:val="719"/>
    <w:pPr>
      <w:ind w:left="720" w:firstLine="0"/>
      <w:jc w:val="left"/>
      <w:spacing w:line="240" w:lineRule="auto"/>
    </w:pPr>
    <w:rPr>
      <w:sz w:val="20"/>
      <w:szCs w:val="20"/>
    </w:rPr>
  </w:style>
  <w:style w:type="paragraph" w:styleId="911">
    <w:name w:val="toc 6"/>
    <w:basedOn w:val="719"/>
    <w:next w:val="719"/>
    <w:pPr>
      <w:ind w:left="960" w:firstLine="0"/>
      <w:jc w:val="left"/>
      <w:spacing w:line="240" w:lineRule="auto"/>
    </w:pPr>
    <w:rPr>
      <w:sz w:val="20"/>
      <w:szCs w:val="20"/>
    </w:rPr>
  </w:style>
  <w:style w:type="paragraph" w:styleId="912">
    <w:name w:val="toc 7"/>
    <w:basedOn w:val="719"/>
    <w:next w:val="719"/>
    <w:pPr>
      <w:ind w:left="1200" w:firstLine="0"/>
      <w:jc w:val="left"/>
      <w:spacing w:line="240" w:lineRule="auto"/>
    </w:pPr>
    <w:rPr>
      <w:sz w:val="20"/>
      <w:szCs w:val="20"/>
    </w:rPr>
  </w:style>
  <w:style w:type="paragraph" w:styleId="913">
    <w:name w:val="toc 8"/>
    <w:basedOn w:val="719"/>
    <w:next w:val="719"/>
    <w:pPr>
      <w:ind w:left="1440" w:firstLine="0"/>
      <w:jc w:val="left"/>
      <w:spacing w:line="240" w:lineRule="auto"/>
    </w:pPr>
    <w:rPr>
      <w:sz w:val="20"/>
      <w:szCs w:val="20"/>
    </w:rPr>
  </w:style>
  <w:style w:type="paragraph" w:styleId="914">
    <w:name w:val="toc 9"/>
    <w:basedOn w:val="719"/>
    <w:next w:val="719"/>
    <w:pPr>
      <w:ind w:left="1680" w:firstLine="0"/>
      <w:jc w:val="left"/>
      <w:spacing w:line="240" w:lineRule="auto"/>
    </w:pPr>
    <w:rPr>
      <w:sz w:val="20"/>
      <w:szCs w:val="20"/>
    </w:rPr>
  </w:style>
  <w:style w:type="paragraph" w:styleId="915">
    <w:name w:val="TOC Heading"/>
    <w:uiPriority w:val="39"/>
    <w:unhideWhenUsed/>
  </w:style>
  <w:style w:type="paragraph" w:styleId="916">
    <w:name w:val="table of figures"/>
    <w:basedOn w:val="719"/>
    <w:next w:val="719"/>
    <w:uiPriority w:val="99"/>
    <w:unhideWhenUsed/>
  </w:style>
  <w:style w:type="character" w:styleId="917" w:customStyle="1">
    <w:name w:val="WW8Num1z0"/>
    <w:rPr>
      <w:rFonts w:cs="Times New Roman"/>
    </w:rPr>
  </w:style>
  <w:style w:type="character" w:styleId="918" w:customStyle="1">
    <w:name w:val="WW8Num2z0"/>
    <w:rPr>
      <w:rFonts w:cs="Times New Roman"/>
    </w:rPr>
  </w:style>
  <w:style w:type="character" w:styleId="919" w:customStyle="1">
    <w:name w:val="WW8Num3z0"/>
    <w:rPr>
      <w:rFonts w:cs="Times New Roman"/>
    </w:rPr>
  </w:style>
  <w:style w:type="character" w:styleId="920" w:customStyle="1">
    <w:name w:val="WW8Num4z0"/>
    <w:rPr>
      <w:rFonts w:cs="Times New Roman"/>
    </w:rPr>
  </w:style>
  <w:style w:type="character" w:styleId="921" w:customStyle="1">
    <w:name w:val="WW8Num5z0"/>
    <w:rPr>
      <w:rFonts w:ascii="Symbol" w:hAnsi="Symbol" w:cs="Symbol"/>
    </w:rPr>
  </w:style>
  <w:style w:type="character" w:styleId="922" w:customStyle="1">
    <w:name w:val="WW8Num6z0"/>
    <w:rPr>
      <w:rFonts w:ascii="Symbol" w:hAnsi="Symbol" w:cs="Symbol"/>
    </w:rPr>
  </w:style>
  <w:style w:type="character" w:styleId="923" w:customStyle="1">
    <w:name w:val="WW8Num7z0"/>
    <w:rPr>
      <w:rFonts w:ascii="Symbol" w:hAnsi="Symbol" w:cs="Symbol"/>
    </w:rPr>
  </w:style>
  <w:style w:type="character" w:styleId="924" w:customStyle="1">
    <w:name w:val="WW8Num8z0"/>
    <w:rPr>
      <w:rFonts w:ascii="Symbol" w:hAnsi="Symbol" w:cs="Symbol"/>
    </w:rPr>
  </w:style>
  <w:style w:type="character" w:styleId="925" w:customStyle="1">
    <w:name w:val="WW8Num9z0"/>
    <w:rPr>
      <w:rFonts w:cs="Times New Roman"/>
    </w:rPr>
  </w:style>
  <w:style w:type="character" w:styleId="926" w:customStyle="1">
    <w:name w:val="WW8Num10z0"/>
    <w:rPr>
      <w:rFonts w:ascii="Symbol" w:hAnsi="Symbol" w:cs="Symbol"/>
    </w:rPr>
  </w:style>
  <w:style w:type="character" w:styleId="927" w:customStyle="1">
    <w:name w:val="WW8Num11z0"/>
  </w:style>
  <w:style w:type="character" w:styleId="928" w:customStyle="1">
    <w:name w:val="WW8Num12z0"/>
  </w:style>
  <w:style w:type="character" w:styleId="929" w:customStyle="1">
    <w:name w:val="WW8Num12z1"/>
  </w:style>
  <w:style w:type="character" w:styleId="930" w:customStyle="1">
    <w:name w:val="WW8Num12z2"/>
  </w:style>
  <w:style w:type="character" w:styleId="931" w:customStyle="1">
    <w:name w:val="WW8Num12z3"/>
  </w:style>
  <w:style w:type="character" w:styleId="932" w:customStyle="1">
    <w:name w:val="WW8Num12z4"/>
  </w:style>
  <w:style w:type="character" w:styleId="933" w:customStyle="1">
    <w:name w:val="WW8Num12z5"/>
  </w:style>
  <w:style w:type="character" w:styleId="934" w:customStyle="1">
    <w:name w:val="WW8Num12z6"/>
  </w:style>
  <w:style w:type="character" w:styleId="935" w:customStyle="1">
    <w:name w:val="WW8Num12z7"/>
  </w:style>
  <w:style w:type="character" w:styleId="936" w:customStyle="1">
    <w:name w:val="WW8Num12z8"/>
  </w:style>
  <w:style w:type="character" w:styleId="937" w:customStyle="1">
    <w:name w:val="WW8Num13z0"/>
    <w:rPr>
      <w:rFonts w:cs="Times New Roman"/>
    </w:rPr>
  </w:style>
  <w:style w:type="character" w:styleId="938" w:customStyle="1">
    <w:name w:val="WW8Num14z0"/>
    <w:rPr>
      <w:rFonts w:cs="Times New Roman"/>
      <w:b/>
      <w:i w:val="0"/>
    </w:rPr>
  </w:style>
  <w:style w:type="character" w:styleId="939" w:customStyle="1">
    <w:name w:val="WW8Num14z1"/>
    <w:rPr>
      <w:rFonts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4"/>
      <w:u w:val="none"/>
      <w:vertAlign w:val="baseline"/>
    </w:rPr>
  </w:style>
  <w:style w:type="character" w:styleId="940" w:customStyle="1">
    <w:name w:val="WW8Num14z2"/>
    <w:rPr>
      <w:rFonts w:cs="Times New Roman"/>
      <w:b w:val="0"/>
      <w:bCs w:val="0"/>
      <w:i w:val="0"/>
      <w:iCs w:val="0"/>
    </w:rPr>
  </w:style>
  <w:style w:type="character" w:styleId="941" w:customStyle="1">
    <w:name w:val="WW8Num14z3"/>
    <w:rPr>
      <w:rFonts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u w:val="none"/>
      <w:vertAlign w:val="baseline"/>
    </w:rPr>
  </w:style>
  <w:style w:type="character" w:styleId="942" w:customStyle="1">
    <w:name w:val="WW8Num14z4"/>
    <w:rPr>
      <w:rFonts w:cs="Times New Roman"/>
    </w:rPr>
  </w:style>
  <w:style w:type="character" w:styleId="943" w:customStyle="1">
    <w:name w:val="WW8Num14z5"/>
    <w:rPr>
      <w:rFonts w:ascii="Symbol" w:hAnsi="Symbol" w:cs="Symbol"/>
    </w:rPr>
  </w:style>
  <w:style w:type="character" w:styleId="944" w:customStyle="1">
    <w:name w:val="WW8Num15z0"/>
    <w:rPr>
      <w:rFonts w:cs="Times New Roman"/>
    </w:rPr>
  </w:style>
  <w:style w:type="character" w:styleId="945" w:customStyle="1">
    <w:name w:val="WW8Num16z0"/>
  </w:style>
  <w:style w:type="character" w:styleId="946" w:customStyle="1">
    <w:name w:val="WW8Num16z1"/>
    <w:link w:val="1230"/>
  </w:style>
  <w:style w:type="character" w:styleId="947" w:customStyle="1">
    <w:name w:val="WW8Num16z2"/>
  </w:style>
  <w:style w:type="character" w:styleId="948" w:customStyle="1">
    <w:name w:val="WW8Num16z3"/>
  </w:style>
  <w:style w:type="character" w:styleId="949" w:customStyle="1">
    <w:name w:val="WW8Num16z4"/>
  </w:style>
  <w:style w:type="character" w:styleId="950" w:customStyle="1">
    <w:name w:val="WW8Num16z5"/>
  </w:style>
  <w:style w:type="character" w:styleId="951" w:customStyle="1">
    <w:name w:val="WW8Num16z6"/>
  </w:style>
  <w:style w:type="character" w:styleId="952" w:customStyle="1">
    <w:name w:val="WW8Num16z7"/>
  </w:style>
  <w:style w:type="character" w:styleId="953" w:customStyle="1">
    <w:name w:val="WW8Num16z8"/>
  </w:style>
  <w:style w:type="character" w:styleId="954" w:customStyle="1">
    <w:name w:val="WW8Num17z0"/>
    <w:rPr>
      <w:color w:val="000000"/>
    </w:rPr>
  </w:style>
  <w:style w:type="character" w:styleId="955" w:customStyle="1">
    <w:name w:val="WW8Num17z1"/>
    <w:rPr>
      <w:color w:val="000000"/>
    </w:rPr>
  </w:style>
  <w:style w:type="character" w:styleId="956" w:customStyle="1">
    <w:name w:val="WW8Num18z0"/>
  </w:style>
  <w:style w:type="character" w:styleId="957" w:customStyle="1">
    <w:name w:val="WW8Num19z0"/>
    <w:rPr>
      <w:rFonts w:cs="Times New Roman"/>
    </w:rPr>
  </w:style>
  <w:style w:type="character" w:styleId="958" w:customStyle="1">
    <w:name w:val="WW8Num19z1"/>
    <w:rPr>
      <w:rFonts w:cs="Times New Roman"/>
    </w:rPr>
  </w:style>
  <w:style w:type="character" w:styleId="959" w:customStyle="1">
    <w:name w:val="WW8Num20z0"/>
  </w:style>
  <w:style w:type="character" w:styleId="960" w:customStyle="1">
    <w:name w:val="WW8Num20z1"/>
  </w:style>
  <w:style w:type="character" w:styleId="961" w:customStyle="1">
    <w:name w:val="WW8Num20z2"/>
  </w:style>
  <w:style w:type="character" w:styleId="962" w:customStyle="1">
    <w:name w:val="WW8Num20z3"/>
  </w:style>
  <w:style w:type="character" w:styleId="963" w:customStyle="1">
    <w:name w:val="WW8Num20z4"/>
  </w:style>
  <w:style w:type="character" w:styleId="964" w:customStyle="1">
    <w:name w:val="WW8Num20z5"/>
  </w:style>
  <w:style w:type="character" w:styleId="965" w:customStyle="1">
    <w:name w:val="WW8Num20z6"/>
  </w:style>
  <w:style w:type="character" w:styleId="966" w:customStyle="1">
    <w:name w:val="WW8Num20z7"/>
  </w:style>
  <w:style w:type="character" w:styleId="967" w:customStyle="1">
    <w:name w:val="WW8Num20z8"/>
  </w:style>
  <w:style w:type="character" w:styleId="968" w:customStyle="1">
    <w:name w:val="WW8Num21z0"/>
    <w:rPr>
      <w:rFonts w:cs="Times New Roman"/>
    </w:rPr>
  </w:style>
  <w:style w:type="character" w:styleId="969" w:customStyle="1">
    <w:name w:val="WW8Num21z1"/>
    <w:rPr>
      <w:rFonts w:cs="Times New Roman"/>
    </w:rPr>
  </w:style>
  <w:style w:type="character" w:styleId="970" w:customStyle="1">
    <w:name w:val="WW8Num22z0"/>
    <w:rPr>
      <w:color w:val="000000"/>
    </w:rPr>
  </w:style>
  <w:style w:type="character" w:styleId="971" w:customStyle="1">
    <w:name w:val="WW8Num22z1"/>
  </w:style>
  <w:style w:type="character" w:styleId="972" w:customStyle="1">
    <w:name w:val="WW8Num22z2"/>
  </w:style>
  <w:style w:type="character" w:styleId="973" w:customStyle="1">
    <w:name w:val="WW8Num22z3"/>
  </w:style>
  <w:style w:type="character" w:styleId="974" w:customStyle="1">
    <w:name w:val="WW8Num22z4"/>
  </w:style>
  <w:style w:type="character" w:styleId="975" w:customStyle="1">
    <w:name w:val="WW8Num22z5"/>
  </w:style>
  <w:style w:type="character" w:styleId="976" w:customStyle="1">
    <w:name w:val="WW8Num22z6"/>
  </w:style>
  <w:style w:type="character" w:styleId="977" w:customStyle="1">
    <w:name w:val="WW8Num22z7"/>
  </w:style>
  <w:style w:type="character" w:styleId="978" w:customStyle="1">
    <w:name w:val="WW8Num22z8"/>
  </w:style>
  <w:style w:type="character" w:styleId="979" w:customStyle="1">
    <w:name w:val="WW8Num23z0"/>
    <w:rPr>
      <w:color w:val="000000"/>
    </w:rPr>
  </w:style>
  <w:style w:type="character" w:styleId="980" w:customStyle="1">
    <w:name w:val="WW8Num24z0"/>
  </w:style>
  <w:style w:type="character" w:styleId="981" w:customStyle="1">
    <w:name w:val="WW8Num25z0"/>
    <w:rPr>
      <w:rFonts w:cs="Times New Roman"/>
    </w:rPr>
  </w:style>
  <w:style w:type="character" w:styleId="982" w:customStyle="1">
    <w:name w:val="WW8Num26z0"/>
  </w:style>
  <w:style w:type="character" w:styleId="983" w:customStyle="1">
    <w:name w:val="WW8Num26z1"/>
  </w:style>
  <w:style w:type="character" w:styleId="984" w:customStyle="1">
    <w:name w:val="WW8Num26z2"/>
  </w:style>
  <w:style w:type="character" w:styleId="985" w:customStyle="1">
    <w:name w:val="WW8Num26z3"/>
  </w:style>
  <w:style w:type="character" w:styleId="986" w:customStyle="1">
    <w:name w:val="WW8Num26z4"/>
  </w:style>
  <w:style w:type="character" w:styleId="987" w:customStyle="1">
    <w:name w:val="WW8Num26z5"/>
  </w:style>
  <w:style w:type="character" w:styleId="988" w:customStyle="1">
    <w:name w:val="WW8Num26z6"/>
  </w:style>
  <w:style w:type="character" w:styleId="989" w:customStyle="1">
    <w:name w:val="WW8Num26z7"/>
  </w:style>
  <w:style w:type="character" w:styleId="990" w:customStyle="1">
    <w:name w:val="WW8Num26z8"/>
  </w:style>
  <w:style w:type="character" w:styleId="991" w:customStyle="1">
    <w:name w:val="WW8Num27z0"/>
  </w:style>
  <w:style w:type="character" w:styleId="992" w:customStyle="1">
    <w:name w:val="WW8Num28z0"/>
    <w:rPr>
      <w:rFonts w:ascii="Times New Roman" w:hAnsi="Times New Roman" w:cs="Times New Roman"/>
    </w:rPr>
  </w:style>
  <w:style w:type="character" w:styleId="993" w:customStyle="1">
    <w:name w:val="WW8Num28z1"/>
    <w:rPr>
      <w:rFonts w:ascii="Courier New" w:hAnsi="Courier New" w:cs="Courier New"/>
    </w:rPr>
  </w:style>
  <w:style w:type="character" w:styleId="994" w:customStyle="1">
    <w:name w:val="WW8Num28z2"/>
    <w:rPr>
      <w:rFonts w:ascii="Wingdings" w:hAnsi="Wingdings" w:cs="Wingdings"/>
    </w:rPr>
  </w:style>
  <w:style w:type="character" w:styleId="995" w:customStyle="1">
    <w:name w:val="WW8Num28z3"/>
    <w:rPr>
      <w:rFonts w:ascii="Symbol" w:hAnsi="Symbol" w:cs="Symbol"/>
    </w:rPr>
  </w:style>
  <w:style w:type="character" w:styleId="996" w:customStyle="1">
    <w:name w:val="WW8Num29z0"/>
    <w:rPr>
      <w:rFonts w:cs="Times New Roman"/>
    </w:rPr>
  </w:style>
  <w:style w:type="character" w:styleId="997" w:customStyle="1">
    <w:name w:val="WW8Num30z0"/>
    <w:rPr>
      <w:rFonts w:ascii="Symbol" w:hAnsi="Symbol" w:cs="Symbol"/>
      <w:sz w:val="24"/>
    </w:rPr>
  </w:style>
  <w:style w:type="character" w:styleId="998" w:customStyle="1">
    <w:name w:val="WW8Num30z1"/>
    <w:rPr>
      <w:rFonts w:cs="Times New Roman"/>
    </w:rPr>
  </w:style>
  <w:style w:type="character" w:styleId="999" w:customStyle="1">
    <w:name w:val="WW8Num31z0"/>
  </w:style>
  <w:style w:type="character" w:styleId="1000" w:customStyle="1">
    <w:name w:val="WW8Num31z1"/>
  </w:style>
  <w:style w:type="character" w:styleId="1001" w:customStyle="1">
    <w:name w:val="WW8Num31z2"/>
  </w:style>
  <w:style w:type="character" w:styleId="1002" w:customStyle="1">
    <w:name w:val="WW8Num31z3"/>
  </w:style>
  <w:style w:type="character" w:styleId="1003" w:customStyle="1">
    <w:name w:val="WW8Num31z4"/>
  </w:style>
  <w:style w:type="character" w:styleId="1004" w:customStyle="1">
    <w:name w:val="WW8Num31z5"/>
  </w:style>
  <w:style w:type="character" w:styleId="1005" w:customStyle="1">
    <w:name w:val="WW8Num31z6"/>
  </w:style>
  <w:style w:type="character" w:styleId="1006" w:customStyle="1">
    <w:name w:val="WW8Num31z7"/>
  </w:style>
  <w:style w:type="character" w:styleId="1007" w:customStyle="1">
    <w:name w:val="WW8Num31z8"/>
  </w:style>
  <w:style w:type="character" w:styleId="1008" w:customStyle="1">
    <w:name w:val="WW8Num32z0"/>
  </w:style>
  <w:style w:type="character" w:styleId="1009" w:customStyle="1">
    <w:name w:val="WW8Num32z1"/>
  </w:style>
  <w:style w:type="character" w:styleId="1010" w:customStyle="1">
    <w:name w:val="WW8Num32z2"/>
  </w:style>
  <w:style w:type="character" w:styleId="1011" w:customStyle="1">
    <w:name w:val="WW8Num32z3"/>
  </w:style>
  <w:style w:type="character" w:styleId="1012" w:customStyle="1">
    <w:name w:val="WW8Num32z4"/>
  </w:style>
  <w:style w:type="character" w:styleId="1013" w:customStyle="1">
    <w:name w:val="WW8Num32z5"/>
  </w:style>
  <w:style w:type="character" w:styleId="1014" w:customStyle="1">
    <w:name w:val="WW8Num32z6"/>
  </w:style>
  <w:style w:type="character" w:styleId="1015" w:customStyle="1">
    <w:name w:val="WW8Num32z7"/>
  </w:style>
  <w:style w:type="character" w:styleId="1016" w:customStyle="1">
    <w:name w:val="WW8Num32z8"/>
  </w:style>
  <w:style w:type="character" w:styleId="1017" w:customStyle="1">
    <w:name w:val="WW8Num33z0"/>
  </w:style>
  <w:style w:type="character" w:styleId="1018" w:customStyle="1">
    <w:name w:val="WW8Num33z1"/>
  </w:style>
  <w:style w:type="character" w:styleId="1019" w:customStyle="1">
    <w:name w:val="WW8Num33z2"/>
  </w:style>
  <w:style w:type="character" w:styleId="1020" w:customStyle="1">
    <w:name w:val="WW8Num33z3"/>
  </w:style>
  <w:style w:type="character" w:styleId="1021" w:customStyle="1">
    <w:name w:val="WW8Num33z4"/>
  </w:style>
  <w:style w:type="character" w:styleId="1022" w:customStyle="1">
    <w:name w:val="WW8Num33z5"/>
  </w:style>
  <w:style w:type="character" w:styleId="1023" w:customStyle="1">
    <w:name w:val="WW8Num33z6"/>
  </w:style>
  <w:style w:type="character" w:styleId="1024" w:customStyle="1">
    <w:name w:val="WW8Num33z7"/>
  </w:style>
  <w:style w:type="character" w:styleId="1025" w:customStyle="1">
    <w:name w:val="WW8Num33z8"/>
  </w:style>
  <w:style w:type="character" w:styleId="1026" w:customStyle="1">
    <w:name w:val="WW8Num34z0"/>
    <w:rPr>
      <w:rFonts w:cs="Times New Roman"/>
    </w:rPr>
  </w:style>
  <w:style w:type="character" w:styleId="1027" w:customStyle="1">
    <w:name w:val="WW8Num35z0"/>
  </w:style>
  <w:style w:type="character" w:styleId="1028" w:customStyle="1">
    <w:name w:val="WW8Num35z1"/>
  </w:style>
  <w:style w:type="character" w:styleId="1029" w:customStyle="1">
    <w:name w:val="WW8Num35z2"/>
  </w:style>
  <w:style w:type="character" w:styleId="1030" w:customStyle="1">
    <w:name w:val="WW8Num35z3"/>
  </w:style>
  <w:style w:type="character" w:styleId="1031" w:customStyle="1">
    <w:name w:val="WW8Num35z4"/>
  </w:style>
  <w:style w:type="character" w:styleId="1032" w:customStyle="1">
    <w:name w:val="WW8Num35z5"/>
  </w:style>
  <w:style w:type="character" w:styleId="1033" w:customStyle="1">
    <w:name w:val="WW8Num35z6"/>
  </w:style>
  <w:style w:type="character" w:styleId="1034" w:customStyle="1">
    <w:name w:val="WW8Num35z7"/>
  </w:style>
  <w:style w:type="character" w:styleId="1035" w:customStyle="1">
    <w:name w:val="WW8Num35z8"/>
  </w:style>
  <w:style w:type="character" w:styleId="1036" w:customStyle="1">
    <w:name w:val="WW8Num36z0"/>
    <w:rPr>
      <w:rFonts w:cs="Times New Roman"/>
      <w:sz w:val="40"/>
      <w:szCs w:val="40"/>
    </w:rPr>
  </w:style>
  <w:style w:type="character" w:styleId="1037" w:customStyle="1">
    <w:name w:val="WW8Num36z1"/>
    <w:rPr>
      <w:rFonts w:cs="Times New Roman"/>
    </w:rPr>
  </w:style>
  <w:style w:type="character" w:styleId="1038" w:customStyle="1">
    <w:name w:val="WW8Num37z0"/>
    <w:rPr>
      <w:color w:val="000000"/>
    </w:rPr>
  </w:style>
  <w:style w:type="character" w:styleId="1039" w:customStyle="1">
    <w:name w:val="Основной шрифт абзаца1"/>
  </w:style>
  <w:style w:type="character" w:styleId="1040" w:customStyle="1">
    <w:name w:val="Заголовок 1 Знак1"/>
    <w:rPr>
      <w:rFonts w:ascii="Cambria" w:hAnsi="Cambria" w:cs="Times New Roman"/>
      <w:b/>
      <w:bCs/>
      <w:sz w:val="32"/>
      <w:szCs w:val="32"/>
    </w:rPr>
  </w:style>
  <w:style w:type="character" w:styleId="1041" w:customStyle="1">
    <w:name w:val="Заголовок 2 Знак1"/>
    <w:rPr>
      <w:rFonts w:ascii="Cambria" w:hAnsi="Cambria" w:cs="Times New Roman"/>
      <w:b/>
      <w:bCs/>
      <w:i/>
      <w:iCs/>
      <w:sz w:val="28"/>
      <w:szCs w:val="28"/>
    </w:rPr>
  </w:style>
  <w:style w:type="character" w:styleId="1042" w:customStyle="1">
    <w:name w:val="Заголовок 3 Знак"/>
    <w:rPr>
      <w:b/>
      <w:bCs/>
      <w:sz w:val="28"/>
      <w:szCs w:val="28"/>
      <w:lang w:val="ru-RU" w:bidi="ar-SA"/>
    </w:rPr>
  </w:style>
  <w:style w:type="character" w:styleId="1043" w:customStyle="1">
    <w:name w:val="Заголовок 4 Знак"/>
    <w:rPr>
      <w:b/>
      <w:bCs/>
      <w:i/>
      <w:iCs/>
      <w:sz w:val="28"/>
      <w:szCs w:val="28"/>
      <w:lang w:val="ru-RU" w:bidi="ar-SA"/>
    </w:rPr>
  </w:style>
  <w:style w:type="character" w:styleId="1044" w:customStyle="1">
    <w:name w:val="Заголовок 5 Знак"/>
    <w:rPr>
      <w:rFonts w:ascii="Calibri" w:hAnsi="Calibri" w:cs="Times New Roman"/>
      <w:b/>
      <w:bCs/>
      <w:i/>
      <w:iCs/>
      <w:sz w:val="26"/>
      <w:szCs w:val="26"/>
    </w:rPr>
  </w:style>
  <w:style w:type="character" w:styleId="1045" w:customStyle="1">
    <w:name w:val="Заголовок 6 Знак"/>
    <w:rPr>
      <w:rFonts w:ascii="Calibri" w:hAnsi="Calibri" w:cs="Times New Roman"/>
      <w:b/>
      <w:bCs/>
    </w:rPr>
  </w:style>
  <w:style w:type="character" w:styleId="1046" w:customStyle="1">
    <w:name w:val="Заголовок 7 Знак"/>
    <w:rPr>
      <w:rFonts w:ascii="Calibri" w:hAnsi="Calibri" w:cs="Times New Roman"/>
      <w:sz w:val="24"/>
      <w:szCs w:val="24"/>
    </w:rPr>
  </w:style>
  <w:style w:type="character" w:styleId="1047" w:customStyle="1">
    <w:name w:val="Заголовок 8 Знак"/>
    <w:rPr>
      <w:rFonts w:ascii="Calibri" w:hAnsi="Calibri" w:cs="Times New Roman"/>
      <w:i/>
      <w:iCs/>
      <w:sz w:val="24"/>
      <w:szCs w:val="24"/>
    </w:rPr>
  </w:style>
  <w:style w:type="character" w:styleId="1048" w:customStyle="1">
    <w:name w:val="Заголовок 9 Знак"/>
    <w:rPr>
      <w:rFonts w:ascii="Cambria" w:hAnsi="Cambria" w:cs="Times New Roman"/>
    </w:rPr>
  </w:style>
  <w:style w:type="character" w:styleId="1049" w:customStyle="1">
    <w:name w:val="Гипертекстовая ссылка"/>
    <w:rPr>
      <w:b/>
      <w:color w:val="008000"/>
      <w:sz w:val="20"/>
      <w:u w:val="single"/>
    </w:rPr>
  </w:style>
  <w:style w:type="character" w:styleId="1050" w:customStyle="1">
    <w:name w:val="Заголовок 1 Знак"/>
    <w:rPr>
      <w:b/>
      <w:sz w:val="36"/>
      <w:lang w:val="ru-RU"/>
    </w:rPr>
  </w:style>
  <w:style w:type="character" w:styleId="1051" w:customStyle="1">
    <w:name w:val="Сильное выделение1"/>
    <w:rPr>
      <w:rFonts w:cs="Times New Roman"/>
      <w:b/>
      <w:i/>
      <w:color w:val="4f81bd"/>
    </w:rPr>
  </w:style>
  <w:style w:type="character" w:styleId="1052" w:customStyle="1">
    <w:name w:val="Основной текст с отступом Знак"/>
    <w:rPr>
      <w:rFonts w:cs="Times New Roman"/>
      <w:sz w:val="28"/>
      <w:szCs w:val="28"/>
    </w:rPr>
  </w:style>
  <w:style w:type="character" w:styleId="1053" w:customStyle="1">
    <w:name w:val="Основной текст с отступом 2 Знак"/>
    <w:rPr>
      <w:rFonts w:cs="Times New Roman"/>
      <w:sz w:val="28"/>
      <w:szCs w:val="28"/>
    </w:rPr>
  </w:style>
  <w:style w:type="character" w:styleId="1054" w:customStyle="1">
    <w:name w:val="Основной текст Знак"/>
    <w:rPr>
      <w:rFonts w:cs="Times New Roman"/>
      <w:sz w:val="28"/>
    </w:rPr>
  </w:style>
  <w:style w:type="character" w:styleId="1055" w:customStyle="1">
    <w:name w:val="Нижний колонтитул Знак"/>
    <w:rPr>
      <w:rFonts w:cs="Times New Roman"/>
    </w:rPr>
  </w:style>
  <w:style w:type="character" w:styleId="1056" w:customStyle="1">
    <w:name w:val="Знак примечания1"/>
    <w:rPr>
      <w:rFonts w:cs="Times New Roman"/>
      <w:sz w:val="16"/>
    </w:rPr>
  </w:style>
  <w:style w:type="character" w:styleId="1057" w:customStyle="1">
    <w:name w:val="Текст примечания Знак"/>
    <w:rPr>
      <w:rFonts w:cs="Times New Roman"/>
      <w:sz w:val="20"/>
      <w:szCs w:val="20"/>
    </w:rPr>
  </w:style>
  <w:style w:type="character" w:styleId="1058" w:customStyle="1">
    <w:name w:val="Тема примечания Знак"/>
    <w:rPr>
      <w:rFonts w:cs="Times New Roman"/>
      <w:b/>
      <w:bCs/>
      <w:sz w:val="20"/>
      <w:szCs w:val="20"/>
    </w:rPr>
  </w:style>
  <w:style w:type="character" w:styleId="1059" w:customStyle="1">
    <w:name w:val="Текст выноски Знак"/>
    <w:rPr>
      <w:rFonts w:cs="Times New Roman"/>
      <w:sz w:val="2"/>
    </w:rPr>
  </w:style>
  <w:style w:type="character" w:styleId="1060" w:customStyle="1">
    <w:name w:val="Основной текст 2 Знак"/>
    <w:rPr>
      <w:sz w:val="24"/>
      <w:lang w:val="ru-RU" w:bidi="ar-SA"/>
    </w:rPr>
  </w:style>
  <w:style w:type="character" w:styleId="1061" w:customStyle="1">
    <w:name w:val="Название Знак"/>
    <w:rPr>
      <w:rFonts w:ascii="Cambria" w:hAnsi="Cambria" w:cs="Times New Roman"/>
      <w:b/>
      <w:bCs/>
      <w:sz w:val="32"/>
      <w:szCs w:val="32"/>
    </w:rPr>
  </w:style>
  <w:style w:type="character" w:styleId="1062" w:customStyle="1">
    <w:name w:val="Подзаголовок Знак"/>
    <w:rPr>
      <w:rFonts w:ascii="Cambria" w:hAnsi="Cambria" w:cs="Times New Roman"/>
      <w:sz w:val="24"/>
      <w:szCs w:val="24"/>
    </w:rPr>
  </w:style>
  <w:style w:type="character" w:styleId="1063" w:customStyle="1">
    <w:name w:val="Дата Знак"/>
    <w:rPr>
      <w:rFonts w:cs="Times New Roman"/>
      <w:sz w:val="28"/>
      <w:szCs w:val="28"/>
    </w:rPr>
  </w:style>
  <w:style w:type="character" w:styleId="1064" w:customStyle="1">
    <w:name w:val="Основной текст с отступом 3 Знак"/>
    <w:rPr>
      <w:rFonts w:cs="Times New Roman"/>
      <w:sz w:val="16"/>
      <w:szCs w:val="16"/>
    </w:rPr>
  </w:style>
  <w:style w:type="character" w:styleId="1065" w:customStyle="1">
    <w:name w:val="Верхний колонтитул Знак"/>
    <w:rPr>
      <w:rFonts w:cs="Times New Roman"/>
      <w:sz w:val="28"/>
      <w:szCs w:val="28"/>
    </w:rPr>
  </w:style>
  <w:style w:type="character" w:styleId="1066" w:customStyle="1">
    <w:name w:val="Символ сноски"/>
    <w:rPr>
      <w:rFonts w:ascii="Times New Roman" w:hAnsi="Times New Roman" w:cs="Times New Roman"/>
      <w:vertAlign w:val="superscript"/>
    </w:rPr>
  </w:style>
  <w:style w:type="character" w:styleId="1067" w:customStyle="1">
    <w:name w:val="Текст сноски Знак"/>
    <w:rPr>
      <w:rFonts w:ascii="Times New Roman" w:hAnsi="Times New Roman" w:cs="Times New Roman"/>
      <w:sz w:val="24"/>
    </w:rPr>
  </w:style>
  <w:style w:type="character" w:styleId="1068">
    <w:name w:val="page number"/>
    <w:rPr>
      <w:rFonts w:ascii="Times New Roman" w:hAnsi="Times New Roman" w:cs="Times New Roman"/>
    </w:rPr>
  </w:style>
  <w:style w:type="character" w:styleId="1069" w:customStyle="1">
    <w:name w:val="Основной текст 3 Знак"/>
    <w:rPr>
      <w:rFonts w:cs="Times New Roman"/>
      <w:sz w:val="16"/>
      <w:szCs w:val="16"/>
    </w:rPr>
  </w:style>
  <w:style w:type="character" w:styleId="1070" w:customStyle="1">
    <w:name w:val="Текст Знак"/>
    <w:rPr>
      <w:rFonts w:ascii="Courier New" w:hAnsi="Courier New" w:cs="Courier New"/>
      <w:sz w:val="20"/>
      <w:szCs w:val="20"/>
    </w:rPr>
  </w:style>
  <w:style w:type="character" w:styleId="1071" w:customStyle="1">
    <w:name w:val="Знак Знак"/>
    <w:rPr>
      <w:rFonts w:ascii="Arial" w:hAnsi="Arial" w:cs="Arial"/>
      <w:sz w:val="24"/>
      <w:lang w:val="ru-RU"/>
    </w:rPr>
  </w:style>
  <w:style w:type="character" w:styleId="1072" w:customStyle="1">
    <w:name w:val="Основной шрифт"/>
  </w:style>
  <w:style w:type="character" w:styleId="1073" w:customStyle="1">
    <w:name w:val="Адрес HTML Знак"/>
    <w:rPr>
      <w:rFonts w:cs="Times New Roman"/>
      <w:i/>
      <w:iCs/>
      <w:sz w:val="28"/>
      <w:szCs w:val="28"/>
    </w:rPr>
  </w:style>
  <w:style w:type="character" w:styleId="1074">
    <w:name w:val="HTML Acronym"/>
    <w:rPr>
      <w:rFonts w:cs="Times New Roman"/>
    </w:rPr>
  </w:style>
  <w:style w:type="character" w:styleId="1075">
    <w:name w:val="Emphasis"/>
    <w:qFormat/>
    <w:rPr>
      <w:rFonts w:cs="Times New Roman"/>
      <w:i/>
    </w:rPr>
  </w:style>
  <w:style w:type="character" w:styleId="1076" w:customStyle="1">
    <w:name w:val="Заголовок записки Знак"/>
    <w:rPr>
      <w:rFonts w:cs="Times New Roman"/>
      <w:sz w:val="28"/>
      <w:szCs w:val="28"/>
    </w:rPr>
  </w:style>
  <w:style w:type="character" w:styleId="1077">
    <w:name w:val="HTML Keyboard"/>
    <w:rPr>
      <w:rFonts w:ascii="Courier New" w:hAnsi="Courier New" w:cs="Times New Roman"/>
      <w:sz w:val="20"/>
    </w:rPr>
  </w:style>
  <w:style w:type="character" w:styleId="1078">
    <w:name w:val="HTML Code"/>
    <w:rPr>
      <w:rFonts w:ascii="Courier New" w:hAnsi="Courier New" w:cs="Times New Roman"/>
      <w:sz w:val="20"/>
    </w:rPr>
  </w:style>
  <w:style w:type="character" w:styleId="1079" w:customStyle="1">
    <w:name w:val="Красная строка Знак"/>
    <w:rPr>
      <w:rFonts w:cs="Times New Roman"/>
      <w:sz w:val="28"/>
      <w:szCs w:val="28"/>
    </w:rPr>
  </w:style>
  <w:style w:type="character" w:styleId="1080" w:customStyle="1">
    <w:name w:val="Красная строка 2 Знак"/>
    <w:basedOn w:val="1052"/>
    <w:rPr>
      <w:rFonts w:cs="Times New Roman"/>
      <w:sz w:val="28"/>
      <w:szCs w:val="28"/>
    </w:rPr>
  </w:style>
  <w:style w:type="character" w:styleId="1081">
    <w:name w:val="line number"/>
    <w:rPr>
      <w:rFonts w:cs="Times New Roman"/>
    </w:rPr>
  </w:style>
  <w:style w:type="character" w:styleId="1082">
    <w:name w:val="HTML Sample"/>
    <w:rPr>
      <w:rFonts w:ascii="Courier New" w:hAnsi="Courier New" w:cs="Times New Roman"/>
    </w:rPr>
  </w:style>
  <w:style w:type="character" w:styleId="1083">
    <w:name w:val="HTML Definition"/>
    <w:rPr>
      <w:rFonts w:cs="Times New Roman"/>
      <w:i/>
    </w:rPr>
  </w:style>
  <w:style w:type="character" w:styleId="1084">
    <w:name w:val="HTML Variable"/>
    <w:rPr>
      <w:rFonts w:cs="Times New Roman"/>
      <w:i/>
    </w:rPr>
  </w:style>
  <w:style w:type="character" w:styleId="1085">
    <w:name w:val="HTML Typewriter"/>
    <w:rPr>
      <w:rFonts w:ascii="Courier New" w:hAnsi="Courier New" w:cs="Times New Roman"/>
      <w:sz w:val="20"/>
    </w:rPr>
  </w:style>
  <w:style w:type="character" w:styleId="1086" w:customStyle="1">
    <w:name w:val="Подпись Знак"/>
    <w:rPr>
      <w:rFonts w:cs="Times New Roman"/>
      <w:sz w:val="28"/>
      <w:szCs w:val="28"/>
    </w:rPr>
  </w:style>
  <w:style w:type="character" w:styleId="1087" w:customStyle="1">
    <w:name w:val="Приветствие Знак"/>
    <w:rPr>
      <w:rFonts w:cs="Times New Roman"/>
      <w:sz w:val="28"/>
      <w:szCs w:val="28"/>
    </w:rPr>
  </w:style>
  <w:style w:type="character" w:styleId="1088">
    <w:name w:val="FollowedHyperlink"/>
    <w:rPr>
      <w:rFonts w:cs="Times New Roman"/>
      <w:color w:val="800080"/>
      <w:u w:val="single"/>
    </w:rPr>
  </w:style>
  <w:style w:type="character" w:styleId="1089" w:customStyle="1">
    <w:name w:val="Прощание Знак"/>
    <w:rPr>
      <w:rFonts w:cs="Times New Roman"/>
      <w:sz w:val="28"/>
      <w:szCs w:val="28"/>
    </w:rPr>
  </w:style>
  <w:style w:type="character" w:styleId="1090" w:customStyle="1">
    <w:name w:val="Стандартный HTML Знак"/>
    <w:rPr>
      <w:rFonts w:ascii="Courier New" w:hAnsi="Courier New" w:cs="Courier New"/>
      <w:sz w:val="20"/>
      <w:szCs w:val="20"/>
    </w:rPr>
  </w:style>
  <w:style w:type="character" w:styleId="1091">
    <w:name w:val="Strong"/>
    <w:qFormat/>
    <w:rPr>
      <w:rFonts w:cs="Times New Roman"/>
      <w:b/>
    </w:rPr>
  </w:style>
  <w:style w:type="character" w:styleId="1092">
    <w:name w:val="HTML Cite"/>
    <w:rPr>
      <w:rFonts w:cs="Times New Roman"/>
      <w:i/>
    </w:rPr>
  </w:style>
  <w:style w:type="character" w:styleId="1093" w:customStyle="1">
    <w:name w:val="Шапка Знак"/>
    <w:rPr>
      <w:rFonts w:ascii="Cambria" w:hAnsi="Cambria" w:cs="Times New Roman"/>
      <w:sz w:val="24"/>
      <w:szCs w:val="24"/>
      <w:shd w:val="clear" w:color="auto" w:fill="cccccc"/>
    </w:rPr>
  </w:style>
  <w:style w:type="character" w:styleId="1094" w:customStyle="1">
    <w:name w:val="Электронная подпись Знак"/>
    <w:rPr>
      <w:rFonts w:cs="Times New Roman"/>
      <w:sz w:val="28"/>
      <w:szCs w:val="28"/>
    </w:rPr>
  </w:style>
  <w:style w:type="character" w:styleId="1095" w:customStyle="1">
    <w:name w:val="Знак Знак1"/>
    <w:rPr>
      <w:sz w:val="24"/>
      <w:lang w:val="ru-RU"/>
    </w:rPr>
  </w:style>
  <w:style w:type="character" w:styleId="1096" w:customStyle="1">
    <w:name w:val="Стиль3 Знак Знак"/>
    <w:rPr>
      <w:rFonts w:cs="Times New Roman"/>
      <w:sz w:val="24"/>
      <w:lang w:val="ru-RU" w:bidi="ar-SA"/>
    </w:rPr>
  </w:style>
  <w:style w:type="character" w:styleId="1097" w:customStyle="1">
    <w:name w:val="Стиль3 Знак Знак Знак"/>
    <w:rPr>
      <w:rFonts w:cs="Times New Roman"/>
      <w:sz w:val="24"/>
      <w:lang w:val="ru-RU" w:bidi="ar-SA"/>
    </w:rPr>
  </w:style>
  <w:style w:type="character" w:styleId="1098" w:customStyle="1">
    <w:name w:val="Стиль3 Знак Знак Знак Знак"/>
    <w:rPr>
      <w:rFonts w:cs="Times New Roman"/>
      <w:sz w:val="24"/>
      <w:lang w:val="ru-RU" w:bidi="ar-SA"/>
    </w:rPr>
  </w:style>
  <w:style w:type="character" w:styleId="1099" w:customStyle="1">
    <w:name w:val="Стиль3 Знак Знак1"/>
    <w:rPr>
      <w:sz w:val="24"/>
      <w:lang w:val="ru-RU"/>
    </w:rPr>
  </w:style>
  <w:style w:type="character" w:styleId="1100" w:customStyle="1">
    <w:name w:val="Заголовок 2 Знак"/>
    <w:rPr>
      <w:b/>
      <w:sz w:val="30"/>
      <w:lang w:val="ru-RU"/>
    </w:rPr>
  </w:style>
  <w:style w:type="character" w:styleId="1101" w:customStyle="1">
    <w:name w:val="maintext"/>
    <w:rPr>
      <w:rFonts w:cs="Times New Roman"/>
    </w:rPr>
  </w:style>
  <w:style w:type="character" w:styleId="1102" w:customStyle="1">
    <w:name w:val="Василий"/>
    <w:rPr>
      <w:rFonts w:ascii="Arial" w:hAnsi="Arial" w:cs="Arial"/>
      <w:color w:val="000000"/>
      <w:sz w:val="20"/>
    </w:rPr>
  </w:style>
  <w:style w:type="character" w:styleId="1103" w:customStyle="1">
    <w:name w:val="Схема документа Знак"/>
    <w:rPr>
      <w:rFonts w:cs="Times New Roman"/>
      <w:sz w:val="2"/>
    </w:rPr>
  </w:style>
  <w:style w:type="character" w:styleId="1104" w:customStyle="1">
    <w:name w:val="Абзац списка Знак"/>
    <w:uiPriority w:val="34"/>
    <w:qFormat/>
    <w:rPr>
      <w:sz w:val="24"/>
      <w:szCs w:val="28"/>
      <w:lang w:val="en-US"/>
    </w:rPr>
  </w:style>
  <w:style w:type="character" w:styleId="1105" w:customStyle="1">
    <w:name w:val="SL_Заголовок документа 2 часть Знак"/>
    <w:rPr>
      <w:rFonts w:ascii="Arial" w:hAnsi="Arial" w:cs="Arial"/>
      <w:b/>
      <w:sz w:val="28"/>
      <w:szCs w:val="36"/>
    </w:rPr>
  </w:style>
  <w:style w:type="character" w:styleId="1106" w:customStyle="1">
    <w:name w:val="Текст концевой сноски Знак"/>
    <w:basedOn w:val="1039"/>
  </w:style>
  <w:style w:type="character" w:styleId="1107" w:customStyle="1">
    <w:name w:val="Символ концевой сноски"/>
    <w:rPr>
      <w:vertAlign w:val="superscript"/>
    </w:rPr>
  </w:style>
  <w:style w:type="paragraph" w:styleId="1108" w:customStyle="1">
    <w:name w:val="Заголовок1"/>
    <w:basedOn w:val="719"/>
    <w:next w:val="1109"/>
    <w:pPr>
      <w:ind w:firstLine="0"/>
      <w:jc w:val="center"/>
      <w:spacing w:before="240" w:after="60" w:line="240" w:lineRule="auto"/>
    </w:pPr>
    <w:rPr>
      <w:rFonts w:ascii="Cambria" w:hAnsi="Cambria" w:cs="Cambria"/>
      <w:b/>
      <w:bCs/>
      <w:sz w:val="32"/>
      <w:szCs w:val="32"/>
      <w:lang w:val="en-US"/>
    </w:rPr>
  </w:style>
  <w:style w:type="paragraph" w:styleId="1109">
    <w:name w:val="Body Text"/>
    <w:basedOn w:val="719"/>
    <w:pPr>
      <w:spacing w:after="120"/>
    </w:pPr>
    <w:rPr>
      <w:szCs w:val="20"/>
      <w:lang w:val="en-US"/>
    </w:rPr>
  </w:style>
  <w:style w:type="paragraph" w:styleId="1110">
    <w:name w:val="List"/>
    <w:basedOn w:val="719"/>
    <w:pPr>
      <w:ind w:left="283" w:hanging="283"/>
      <w:spacing w:after="60" w:line="240" w:lineRule="auto"/>
    </w:pPr>
    <w:rPr>
      <w:sz w:val="24"/>
      <w:szCs w:val="24"/>
    </w:rPr>
  </w:style>
  <w:style w:type="paragraph" w:styleId="1111" w:customStyle="1">
    <w:name w:val="Указатель1"/>
    <w:basedOn w:val="719"/>
    <w:pPr>
      <w:suppressLineNumbers/>
    </w:pPr>
    <w:rPr>
      <w:rFonts w:cs="Droid Sans Devanagari"/>
    </w:rPr>
  </w:style>
  <w:style w:type="paragraph" w:styleId="1112" w:customStyle="1">
    <w:name w:val="ConsPlusNormal"/>
    <w:pPr>
      <w:ind w:firstLine="720"/>
      <w:widowControl w:val="off"/>
    </w:pPr>
    <w:rPr>
      <w:rFonts w:ascii="Arial" w:hAnsi="Arial" w:cs="Arial"/>
    </w:rPr>
  </w:style>
  <w:style w:type="paragraph" w:styleId="1113">
    <w:name w:val="Body Text Indent"/>
    <w:basedOn w:val="719"/>
    <w:pPr>
      <w:spacing w:line="240" w:lineRule="auto"/>
    </w:pPr>
    <w:rPr>
      <w:lang w:val="en-US"/>
    </w:rPr>
  </w:style>
  <w:style w:type="paragraph" w:styleId="1114" w:customStyle="1">
    <w:name w:val="Основной текст с отступом 21"/>
    <w:basedOn w:val="719"/>
    <w:pPr>
      <w:ind w:left="283"/>
      <w:spacing w:after="120" w:line="480" w:lineRule="auto"/>
    </w:pPr>
    <w:rPr>
      <w:lang w:val="en-US"/>
    </w:rPr>
  </w:style>
  <w:style w:type="paragraph" w:styleId="1115" w:customStyle="1">
    <w:name w:val="Основной текст 21"/>
    <w:basedOn w:val="719"/>
    <w:pPr>
      <w:spacing w:line="240" w:lineRule="auto"/>
    </w:pPr>
    <w:rPr>
      <w:sz w:val="24"/>
      <w:szCs w:val="20"/>
    </w:rPr>
  </w:style>
  <w:style w:type="paragraph" w:styleId="1116" w:customStyle="1">
    <w:name w:val="Обычный + по ширине"/>
    <w:basedOn w:val="719"/>
    <w:pPr>
      <w:ind w:firstLine="0"/>
      <w:spacing w:line="240" w:lineRule="auto"/>
    </w:pPr>
    <w:rPr>
      <w:sz w:val="24"/>
      <w:szCs w:val="24"/>
    </w:rPr>
  </w:style>
  <w:style w:type="paragraph" w:styleId="1117" w:customStyle="1">
    <w:name w:val="Текст примечания1"/>
    <w:basedOn w:val="719"/>
    <w:pPr>
      <w:ind w:firstLine="0"/>
      <w:jc w:val="left"/>
      <w:spacing w:line="240" w:lineRule="auto"/>
    </w:pPr>
    <w:rPr>
      <w:sz w:val="20"/>
      <w:szCs w:val="20"/>
      <w:lang w:val="en-US"/>
    </w:rPr>
  </w:style>
  <w:style w:type="paragraph" w:styleId="1118">
    <w:name w:val="annotation subject"/>
    <w:basedOn w:val="1117"/>
    <w:next w:val="1117"/>
    <w:rPr>
      <w:b/>
      <w:bCs/>
    </w:rPr>
  </w:style>
  <w:style w:type="paragraph" w:styleId="1119">
    <w:name w:val="Balloon Text"/>
    <w:basedOn w:val="719"/>
    <w:pPr>
      <w:ind w:firstLine="0"/>
      <w:jc w:val="left"/>
      <w:spacing w:line="240" w:lineRule="auto"/>
    </w:pPr>
    <w:rPr>
      <w:sz w:val="24"/>
      <w:szCs w:val="20"/>
      <w:lang w:val="en-US"/>
    </w:rPr>
  </w:style>
  <w:style w:type="paragraph" w:styleId="1120" w:customStyle="1">
    <w:name w:val="Основной текст 22"/>
    <w:basedOn w:val="719"/>
    <w:pPr>
      <w:numPr>
        <w:ilvl w:val="0"/>
        <w:numId w:val="2"/>
      </w:numPr>
      <w:spacing w:after="60" w:line="240" w:lineRule="auto"/>
    </w:pPr>
    <w:rPr>
      <w:sz w:val="24"/>
      <w:szCs w:val="20"/>
    </w:rPr>
  </w:style>
  <w:style w:type="paragraph" w:styleId="1121" w:customStyle="1">
    <w:name w:val="Маркированный список1"/>
    <w:basedOn w:val="719"/>
    <w:pPr>
      <w:ind w:firstLine="0"/>
      <w:spacing w:after="60" w:line="240" w:lineRule="auto"/>
      <w:widowControl w:val="off"/>
    </w:pPr>
    <w:rPr>
      <w:sz w:val="24"/>
      <w:szCs w:val="24"/>
    </w:rPr>
  </w:style>
  <w:style w:type="paragraph" w:styleId="1122">
    <w:name w:val="List Bullet 2"/>
    <w:basedOn w:val="719"/>
    <w:pPr>
      <w:ind w:left="643" w:hanging="360"/>
      <w:spacing w:after="60" w:line="240" w:lineRule="auto"/>
      <w:tabs>
        <w:tab w:val="left" w:pos="643" w:leader="none"/>
        <w:tab w:val="left" w:pos="1209" w:leader="none"/>
      </w:tabs>
    </w:pPr>
    <w:rPr>
      <w:sz w:val="24"/>
      <w:szCs w:val="20"/>
    </w:rPr>
  </w:style>
  <w:style w:type="paragraph" w:styleId="1123">
    <w:name w:val="List Bullet 3"/>
    <w:basedOn w:val="719"/>
    <w:pPr>
      <w:ind w:left="926" w:hanging="360"/>
      <w:spacing w:after="60" w:line="240" w:lineRule="auto"/>
      <w:tabs>
        <w:tab w:val="left" w:pos="926" w:leader="none"/>
        <w:tab w:val="left" w:pos="1492" w:leader="none"/>
      </w:tabs>
    </w:pPr>
    <w:rPr>
      <w:sz w:val="24"/>
      <w:szCs w:val="20"/>
    </w:rPr>
  </w:style>
  <w:style w:type="paragraph" w:styleId="1124">
    <w:name w:val="List Bullet 4"/>
    <w:basedOn w:val="719"/>
    <w:pPr>
      <w:ind w:left="1209" w:hanging="360"/>
      <w:spacing w:after="60" w:line="240" w:lineRule="auto"/>
      <w:tabs>
        <w:tab w:val="left" w:pos="1209" w:leader="none"/>
      </w:tabs>
    </w:pPr>
    <w:rPr>
      <w:sz w:val="24"/>
      <w:szCs w:val="20"/>
    </w:rPr>
  </w:style>
  <w:style w:type="paragraph" w:styleId="1125">
    <w:name w:val="List Bullet 5"/>
    <w:basedOn w:val="719"/>
    <w:pPr>
      <w:ind w:left="1492" w:hanging="360"/>
      <w:spacing w:after="60" w:line="240" w:lineRule="auto"/>
      <w:tabs>
        <w:tab w:val="left" w:pos="643" w:leader="none"/>
        <w:tab w:val="left" w:pos="1492" w:leader="none"/>
      </w:tabs>
    </w:pPr>
    <w:rPr>
      <w:sz w:val="24"/>
      <w:szCs w:val="20"/>
    </w:rPr>
  </w:style>
  <w:style w:type="paragraph" w:styleId="1126" w:customStyle="1">
    <w:name w:val="Нумерованный список1"/>
    <w:basedOn w:val="719"/>
    <w:pPr>
      <w:ind w:left="360" w:hanging="360"/>
      <w:spacing w:after="60" w:line="240" w:lineRule="auto"/>
      <w:tabs>
        <w:tab w:val="left" w:pos="926" w:leader="none"/>
      </w:tabs>
    </w:pPr>
    <w:rPr>
      <w:sz w:val="24"/>
      <w:szCs w:val="20"/>
    </w:rPr>
  </w:style>
  <w:style w:type="paragraph" w:styleId="1127">
    <w:name w:val="List Number 2"/>
    <w:basedOn w:val="719"/>
    <w:pPr>
      <w:ind w:left="643" w:hanging="360"/>
      <w:spacing w:after="60" w:line="240" w:lineRule="auto"/>
      <w:tabs>
        <w:tab w:val="left" w:pos="643" w:leader="none"/>
        <w:tab w:val="left" w:pos="1209" w:leader="none"/>
      </w:tabs>
    </w:pPr>
    <w:rPr>
      <w:sz w:val="24"/>
      <w:szCs w:val="20"/>
    </w:rPr>
  </w:style>
  <w:style w:type="paragraph" w:styleId="1128">
    <w:name w:val="List Number 3"/>
    <w:basedOn w:val="719"/>
    <w:pPr>
      <w:ind w:left="926" w:hanging="360"/>
      <w:spacing w:after="60" w:line="240" w:lineRule="auto"/>
      <w:tabs>
        <w:tab w:val="left" w:pos="926" w:leader="none"/>
      </w:tabs>
    </w:pPr>
    <w:rPr>
      <w:sz w:val="24"/>
      <w:szCs w:val="20"/>
    </w:rPr>
  </w:style>
  <w:style w:type="paragraph" w:styleId="1129">
    <w:name w:val="List Number 4"/>
    <w:basedOn w:val="719"/>
    <w:pPr>
      <w:ind w:left="1209" w:hanging="360"/>
      <w:spacing w:after="60" w:line="240" w:lineRule="auto"/>
      <w:tabs>
        <w:tab w:val="left" w:pos="1209" w:leader="none"/>
      </w:tabs>
    </w:pPr>
    <w:rPr>
      <w:sz w:val="24"/>
      <w:szCs w:val="20"/>
    </w:rPr>
  </w:style>
  <w:style w:type="paragraph" w:styleId="1130">
    <w:name w:val="List Number 5"/>
    <w:basedOn w:val="719"/>
    <w:pPr>
      <w:ind w:left="1492" w:hanging="360"/>
      <w:spacing w:after="60" w:line="240" w:lineRule="auto"/>
      <w:tabs>
        <w:tab w:val="left" w:pos="643" w:leader="none"/>
        <w:tab w:val="left" w:pos="1492" w:leader="none"/>
      </w:tabs>
    </w:pPr>
    <w:rPr>
      <w:sz w:val="24"/>
      <w:szCs w:val="20"/>
    </w:rPr>
  </w:style>
  <w:style w:type="paragraph" w:styleId="1131" w:customStyle="1">
    <w:name w:val="Раздел"/>
    <w:basedOn w:val="719"/>
    <w:pPr>
      <w:numPr>
        <w:ilvl w:val="0"/>
        <w:numId w:val="7"/>
      </w:numPr>
      <w:jc w:val="center"/>
      <w:spacing w:before="120" w:after="120" w:line="240" w:lineRule="auto"/>
    </w:pPr>
    <w:rPr>
      <w:rFonts w:ascii="Arial Narrow" w:hAnsi="Arial Narrow" w:cs="Arial Narrow"/>
      <w:b/>
      <w:szCs w:val="20"/>
    </w:rPr>
  </w:style>
  <w:style w:type="paragraph" w:styleId="1132" w:customStyle="1">
    <w:name w:val="Часть"/>
    <w:basedOn w:val="719"/>
    <w:pPr>
      <w:ind w:firstLine="0"/>
      <w:jc w:val="center"/>
      <w:spacing w:after="60" w:line="240" w:lineRule="auto"/>
    </w:pPr>
    <w:rPr>
      <w:rFonts w:ascii="Arial" w:hAnsi="Arial" w:cs="Arial"/>
      <w:b/>
      <w:caps/>
      <w:sz w:val="32"/>
      <w:szCs w:val="20"/>
    </w:rPr>
  </w:style>
  <w:style w:type="paragraph" w:styleId="1133" w:customStyle="1">
    <w:name w:val="Раздел 3"/>
    <w:basedOn w:val="719"/>
    <w:pPr>
      <w:numPr>
        <w:ilvl w:val="0"/>
        <w:numId w:val="4"/>
      </w:numPr>
      <w:jc w:val="center"/>
      <w:spacing w:before="120" w:after="120" w:line="240" w:lineRule="auto"/>
    </w:pPr>
    <w:rPr>
      <w:b/>
      <w:sz w:val="24"/>
      <w:szCs w:val="20"/>
    </w:rPr>
  </w:style>
  <w:style w:type="paragraph" w:styleId="1134" w:customStyle="1">
    <w:name w:val="Условия контракта"/>
    <w:basedOn w:val="719"/>
    <w:pPr>
      <w:ind w:left="567" w:hanging="567"/>
      <w:spacing w:before="240" w:after="120" w:line="240" w:lineRule="auto"/>
      <w:tabs>
        <w:tab w:val="num" w:pos="567" w:leader="none"/>
      </w:tabs>
    </w:pPr>
    <w:rPr>
      <w:b/>
      <w:sz w:val="24"/>
      <w:szCs w:val="20"/>
    </w:rPr>
  </w:style>
  <w:style w:type="paragraph" w:styleId="1135" w:customStyle="1">
    <w:name w:val="Instruction"/>
    <w:basedOn w:val="1120"/>
    <w:pPr>
      <w:numPr>
        <w:ilvl w:val="0"/>
        <w:numId w:val="0"/>
      </w:numPr>
      <w:ind w:left="360" w:hanging="360"/>
      <w:spacing w:before="180"/>
      <w:tabs>
        <w:tab w:val="left" w:pos="360" w:leader="none"/>
      </w:tabs>
    </w:pPr>
    <w:rPr>
      <w:b/>
    </w:rPr>
  </w:style>
  <w:style w:type="paragraph" w:styleId="1136" w:customStyle="1">
    <w:name w:val="Тендерные данные"/>
    <w:basedOn w:val="719"/>
    <w:pPr>
      <w:ind w:firstLine="0"/>
      <w:spacing w:before="120" w:after="60" w:line="240" w:lineRule="auto"/>
      <w:tabs>
        <w:tab w:val="left" w:pos="1985" w:leader="none"/>
      </w:tabs>
    </w:pPr>
    <w:rPr>
      <w:b/>
      <w:sz w:val="24"/>
      <w:szCs w:val="20"/>
    </w:rPr>
  </w:style>
  <w:style w:type="paragraph" w:styleId="1137" w:customStyle="1">
    <w:name w:val="Дата1"/>
    <w:basedOn w:val="719"/>
    <w:next w:val="719"/>
    <w:pPr>
      <w:ind w:firstLine="0"/>
      <w:spacing w:after="60" w:line="240" w:lineRule="auto"/>
    </w:pPr>
    <w:rPr>
      <w:lang w:val="en-US"/>
    </w:rPr>
  </w:style>
  <w:style w:type="paragraph" w:styleId="1138" w:customStyle="1">
    <w:name w:val="Îáû÷íûé"/>
  </w:style>
  <w:style w:type="paragraph" w:styleId="1139" w:customStyle="1">
    <w:name w:val="Íîðìàëüíûé"/>
    <w:rPr>
      <w:rFonts w:ascii="Courier" w:hAnsi="Courier" w:cs="Courier"/>
      <w:sz w:val="24"/>
      <w:lang w:val="en-GB"/>
    </w:rPr>
  </w:style>
  <w:style w:type="paragraph" w:styleId="1140" w:customStyle="1">
    <w:name w:val="Подраздел"/>
    <w:basedOn w:val="719"/>
    <w:pPr>
      <w:ind w:firstLine="0"/>
      <w:jc w:val="center"/>
      <w:spacing w:before="240" w:after="120" w:line="240" w:lineRule="auto"/>
    </w:pPr>
    <w:rPr>
      <w:rFonts w:ascii="TimesDL" w:hAnsi="TimesDL" w:cs="TimesDL"/>
      <w:b/>
      <w:smallCaps/>
      <w:spacing w:val="-2"/>
      <w:sz w:val="24"/>
      <w:szCs w:val="20"/>
    </w:rPr>
  </w:style>
  <w:style w:type="paragraph" w:styleId="1141" w:customStyle="1">
    <w:name w:val="Основной текст с отступом 31"/>
    <w:basedOn w:val="719"/>
    <w:pPr>
      <w:ind w:left="283" w:firstLine="0"/>
      <w:spacing w:after="120" w:line="240" w:lineRule="auto"/>
    </w:pPr>
    <w:rPr>
      <w:sz w:val="16"/>
      <w:szCs w:val="16"/>
      <w:lang w:val="en-US"/>
    </w:rPr>
  </w:style>
  <w:style w:type="paragraph" w:styleId="1142" w:customStyle="1">
    <w:name w:val="Цитата1"/>
    <w:basedOn w:val="719"/>
    <w:pPr>
      <w:ind w:left="1440" w:right="1440" w:firstLine="0"/>
      <w:spacing w:after="120" w:line="240" w:lineRule="auto"/>
    </w:pPr>
    <w:rPr>
      <w:sz w:val="24"/>
      <w:szCs w:val="20"/>
    </w:rPr>
  </w:style>
  <w:style w:type="paragraph" w:styleId="1143" w:customStyle="1">
    <w:name w:val="Основной текст 31"/>
    <w:basedOn w:val="719"/>
    <w:pPr>
      <w:ind w:firstLine="0"/>
      <w:keepLines/>
      <w:keepNext/>
      <w:spacing w:before="148" w:after="112" w:line="240" w:lineRule="auto"/>
      <w:widowControl w:val="off"/>
      <w:tabs>
        <w:tab w:val="left" w:pos="0" w:leader="none"/>
        <w:tab w:val="left" w:pos="567" w:leader="none"/>
        <w:tab w:val="left" w:pos="1133" w:leader="none"/>
        <w:tab w:val="left" w:pos="1699" w:leader="none"/>
        <w:tab w:val="left" w:pos="2266" w:leader="none"/>
        <w:tab w:val="left" w:pos="2832" w:leader="none"/>
        <w:tab w:val="left" w:pos="3399" w:leader="none"/>
        <w:tab w:val="left" w:pos="3965" w:leader="none"/>
        <w:tab w:val="left" w:pos="4531" w:leader="none"/>
        <w:tab w:val="left" w:pos="5098" w:leader="none"/>
        <w:tab w:val="left" w:pos="5664" w:leader="none"/>
        <w:tab w:val="left" w:pos="6231" w:leader="none"/>
        <w:tab w:val="left" w:pos="6797" w:leader="none"/>
        <w:tab w:val="left" w:pos="7363" w:leader="none"/>
        <w:tab w:val="left" w:pos="7930" w:leader="none"/>
        <w:tab w:val="left" w:pos="8496" w:leader="none"/>
        <w:tab w:val="left" w:pos="9063" w:leader="none"/>
      </w:tabs>
      <w:suppressLineNumbers/>
    </w:pPr>
    <w:rPr>
      <w:sz w:val="16"/>
      <w:szCs w:val="16"/>
      <w:lang w:val="en-US"/>
    </w:rPr>
  </w:style>
  <w:style w:type="paragraph" w:styleId="1144" w:customStyle="1">
    <w:name w:val="Текст1"/>
    <w:basedOn w:val="719"/>
    <w:pPr>
      <w:ind w:firstLine="0"/>
      <w:jc w:val="left"/>
      <w:spacing w:line="240" w:lineRule="auto"/>
    </w:pPr>
    <w:rPr>
      <w:rFonts w:ascii="Courier New" w:hAnsi="Courier New" w:cs="Courier New"/>
      <w:sz w:val="20"/>
      <w:szCs w:val="20"/>
      <w:lang w:val="en-US"/>
    </w:rPr>
  </w:style>
  <w:style w:type="paragraph" w:styleId="1145" w:customStyle="1">
    <w:name w:val="ConsNormal"/>
    <w:pPr>
      <w:ind w:right="19772" w:firstLine="720"/>
      <w:widowControl w:val="off"/>
    </w:pPr>
    <w:rPr>
      <w:rFonts w:ascii="Arial" w:hAnsi="Arial" w:cs="Arial"/>
    </w:rPr>
  </w:style>
  <w:style w:type="paragraph" w:styleId="1146">
    <w:name w:val="Normal (Web)"/>
    <w:basedOn w:val="719"/>
    <w:uiPriority w:val="99"/>
    <w:pPr>
      <w:ind w:firstLine="0"/>
      <w:jc w:val="left"/>
      <w:spacing w:before="280" w:after="280" w:line="240" w:lineRule="auto"/>
    </w:pPr>
    <w:rPr>
      <w:sz w:val="24"/>
      <w:szCs w:val="24"/>
    </w:rPr>
  </w:style>
  <w:style w:type="paragraph" w:styleId="1147" w:customStyle="1">
    <w:name w:val="ConsNonformat"/>
    <w:pPr>
      <w:ind w:right="19772"/>
      <w:widowControl w:val="off"/>
    </w:pPr>
    <w:rPr>
      <w:rFonts w:ascii="Courier New" w:hAnsi="Courier New" w:cs="Courier New"/>
    </w:rPr>
  </w:style>
  <w:style w:type="paragraph" w:styleId="1148">
    <w:name w:val="HTML Address"/>
    <w:basedOn w:val="719"/>
    <w:pPr>
      <w:ind w:firstLine="0"/>
      <w:spacing w:after="60" w:line="240" w:lineRule="auto"/>
    </w:pPr>
    <w:rPr>
      <w:i/>
      <w:iCs/>
      <w:lang w:val="en-US"/>
    </w:rPr>
  </w:style>
  <w:style w:type="paragraph" w:styleId="1149">
    <w:name w:val="envelope address"/>
    <w:basedOn w:val="719"/>
    <w:pPr>
      <w:ind w:left="2880" w:firstLine="0"/>
      <w:spacing w:after="60" w:line="240" w:lineRule="auto"/>
    </w:pPr>
    <w:rPr>
      <w:rFonts w:ascii="Arial" w:hAnsi="Arial" w:cs="Arial"/>
      <w:sz w:val="24"/>
      <w:szCs w:val="24"/>
    </w:rPr>
  </w:style>
  <w:style w:type="paragraph" w:styleId="1150" w:customStyle="1">
    <w:name w:val="Заголовок записки1"/>
    <w:basedOn w:val="719"/>
    <w:next w:val="719"/>
    <w:pPr>
      <w:ind w:firstLine="0"/>
      <w:spacing w:after="60" w:line="240" w:lineRule="auto"/>
    </w:pPr>
    <w:rPr>
      <w:lang w:val="en-US"/>
    </w:rPr>
  </w:style>
  <w:style w:type="paragraph" w:styleId="1151" w:customStyle="1">
    <w:name w:val="Красная строка1"/>
    <w:basedOn w:val="1109"/>
    <w:pPr>
      <w:ind w:firstLine="210"/>
      <w:spacing w:line="240" w:lineRule="auto"/>
    </w:pPr>
    <w:rPr>
      <w:szCs w:val="28"/>
    </w:rPr>
  </w:style>
  <w:style w:type="paragraph" w:styleId="1152" w:customStyle="1">
    <w:name w:val="Красная строка 21"/>
    <w:basedOn w:val="1113"/>
    <w:pPr>
      <w:ind w:left="283" w:firstLine="210"/>
      <w:spacing w:after="120"/>
    </w:pPr>
    <w:rPr>
      <w:sz w:val="24"/>
      <w:szCs w:val="24"/>
    </w:rPr>
  </w:style>
  <w:style w:type="paragraph" w:styleId="1153">
    <w:name w:val="envelope return"/>
    <w:basedOn w:val="719"/>
    <w:pPr>
      <w:ind w:firstLine="0"/>
      <w:spacing w:after="60" w:line="240" w:lineRule="auto"/>
    </w:pPr>
    <w:rPr>
      <w:rFonts w:ascii="Arial" w:hAnsi="Arial" w:cs="Arial"/>
      <w:sz w:val="20"/>
      <w:szCs w:val="20"/>
    </w:rPr>
  </w:style>
  <w:style w:type="paragraph" w:styleId="1154" w:customStyle="1">
    <w:name w:val="Обычный отступ1"/>
    <w:basedOn w:val="719"/>
    <w:pPr>
      <w:ind w:left="708" w:firstLine="0"/>
      <w:spacing w:after="60" w:line="240" w:lineRule="auto"/>
    </w:pPr>
    <w:rPr>
      <w:sz w:val="24"/>
      <w:szCs w:val="24"/>
    </w:rPr>
  </w:style>
  <w:style w:type="paragraph" w:styleId="1155">
    <w:name w:val="Signature"/>
    <w:basedOn w:val="719"/>
    <w:pPr>
      <w:ind w:left="4252" w:firstLine="0"/>
      <w:spacing w:after="60" w:line="240" w:lineRule="auto"/>
    </w:pPr>
    <w:rPr>
      <w:lang w:val="en-US"/>
    </w:rPr>
  </w:style>
  <w:style w:type="paragraph" w:styleId="1156" w:customStyle="1">
    <w:name w:val="Приветствие1"/>
    <w:basedOn w:val="719"/>
    <w:next w:val="719"/>
    <w:pPr>
      <w:ind w:firstLine="0"/>
      <w:spacing w:after="60" w:line="240" w:lineRule="auto"/>
    </w:pPr>
    <w:rPr>
      <w:lang w:val="en-US"/>
    </w:rPr>
  </w:style>
  <w:style w:type="paragraph" w:styleId="1157" w:customStyle="1">
    <w:name w:val="Продолжение списка1"/>
    <w:basedOn w:val="719"/>
    <w:pPr>
      <w:ind w:left="283" w:firstLine="0"/>
      <w:spacing w:after="120" w:line="240" w:lineRule="auto"/>
    </w:pPr>
    <w:rPr>
      <w:sz w:val="24"/>
      <w:szCs w:val="24"/>
    </w:rPr>
  </w:style>
  <w:style w:type="paragraph" w:styleId="1158" w:customStyle="1">
    <w:name w:val="Продолжение списка 21"/>
    <w:basedOn w:val="719"/>
    <w:pPr>
      <w:ind w:left="566" w:firstLine="0"/>
      <w:spacing w:after="120" w:line="240" w:lineRule="auto"/>
    </w:pPr>
    <w:rPr>
      <w:sz w:val="24"/>
      <w:szCs w:val="24"/>
    </w:rPr>
  </w:style>
  <w:style w:type="paragraph" w:styleId="1159" w:customStyle="1">
    <w:name w:val="Продолжение списка 31"/>
    <w:basedOn w:val="719"/>
    <w:pPr>
      <w:ind w:left="849" w:firstLine="0"/>
      <w:spacing w:after="120" w:line="240" w:lineRule="auto"/>
    </w:pPr>
    <w:rPr>
      <w:sz w:val="24"/>
      <w:szCs w:val="24"/>
    </w:rPr>
  </w:style>
  <w:style w:type="paragraph" w:styleId="1160" w:customStyle="1">
    <w:name w:val="Продолжение списка 41"/>
    <w:basedOn w:val="719"/>
    <w:pPr>
      <w:ind w:left="1132" w:firstLine="0"/>
      <w:spacing w:after="120" w:line="240" w:lineRule="auto"/>
    </w:pPr>
    <w:rPr>
      <w:sz w:val="24"/>
      <w:szCs w:val="24"/>
    </w:rPr>
  </w:style>
  <w:style w:type="paragraph" w:styleId="1161" w:customStyle="1">
    <w:name w:val="Продолжение списка 51"/>
    <w:basedOn w:val="719"/>
    <w:pPr>
      <w:ind w:left="1415" w:firstLine="0"/>
      <w:spacing w:after="120" w:line="240" w:lineRule="auto"/>
    </w:pPr>
    <w:rPr>
      <w:sz w:val="24"/>
      <w:szCs w:val="24"/>
    </w:rPr>
  </w:style>
  <w:style w:type="paragraph" w:styleId="1162" w:customStyle="1">
    <w:name w:val="Прощание1"/>
    <w:basedOn w:val="719"/>
    <w:pPr>
      <w:ind w:left="4252" w:firstLine="0"/>
      <w:spacing w:after="60" w:line="240" w:lineRule="auto"/>
    </w:pPr>
    <w:rPr>
      <w:lang w:val="en-US"/>
    </w:rPr>
  </w:style>
  <w:style w:type="paragraph" w:styleId="1163" w:customStyle="1">
    <w:name w:val="Список 21"/>
    <w:basedOn w:val="719"/>
    <w:pPr>
      <w:ind w:left="566" w:hanging="283"/>
      <w:spacing w:after="60" w:line="240" w:lineRule="auto"/>
    </w:pPr>
    <w:rPr>
      <w:sz w:val="24"/>
      <w:szCs w:val="24"/>
    </w:rPr>
  </w:style>
  <w:style w:type="paragraph" w:styleId="1164" w:customStyle="1">
    <w:name w:val="Список 31"/>
    <w:basedOn w:val="719"/>
    <w:pPr>
      <w:ind w:left="849" w:hanging="283"/>
      <w:spacing w:after="60" w:line="240" w:lineRule="auto"/>
    </w:pPr>
    <w:rPr>
      <w:sz w:val="24"/>
      <w:szCs w:val="24"/>
    </w:rPr>
  </w:style>
  <w:style w:type="paragraph" w:styleId="1165" w:customStyle="1">
    <w:name w:val="Список 41"/>
    <w:basedOn w:val="719"/>
    <w:pPr>
      <w:ind w:left="1132" w:hanging="283"/>
      <w:spacing w:after="60" w:line="240" w:lineRule="auto"/>
    </w:pPr>
    <w:rPr>
      <w:sz w:val="24"/>
      <w:szCs w:val="24"/>
    </w:rPr>
  </w:style>
  <w:style w:type="paragraph" w:styleId="1166" w:customStyle="1">
    <w:name w:val="Список 51"/>
    <w:basedOn w:val="719"/>
    <w:pPr>
      <w:ind w:left="1415" w:hanging="283"/>
      <w:spacing w:after="60" w:line="240" w:lineRule="auto"/>
    </w:pPr>
    <w:rPr>
      <w:sz w:val="24"/>
      <w:szCs w:val="24"/>
    </w:rPr>
  </w:style>
  <w:style w:type="paragraph" w:styleId="1167">
    <w:name w:val="HTML Preformatted"/>
    <w:basedOn w:val="719"/>
    <w:pPr>
      <w:ind w:firstLine="0"/>
      <w:spacing w:after="60" w:line="240" w:lineRule="auto"/>
    </w:pPr>
    <w:rPr>
      <w:rFonts w:ascii="Courier New" w:hAnsi="Courier New" w:cs="Courier New"/>
      <w:sz w:val="20"/>
      <w:szCs w:val="20"/>
      <w:lang w:val="en-US"/>
    </w:rPr>
  </w:style>
  <w:style w:type="paragraph" w:styleId="1168" w:customStyle="1">
    <w:name w:val="Шапка1"/>
    <w:basedOn w:val="719"/>
    <w:pPr>
      <w:ind w:left="1134" w:hanging="1134"/>
      <w:spacing w:after="60" w:line="240" w:lineRule="auto"/>
      <w:shd w:val="clear" w:color="auto" w:fill="cccccc"/>
      <w:pBdr>
        <w:top w:val="single" w:color="000000" w:sz="6" w:space="1"/>
        <w:left w:val="single" w:color="000000" w:sz="6" w:space="1"/>
        <w:bottom w:val="single" w:color="000000" w:sz="6" w:space="1"/>
        <w:right w:val="single" w:color="000000" w:sz="6" w:space="1"/>
      </w:pBdr>
    </w:pPr>
    <w:rPr>
      <w:rFonts w:ascii="Cambria" w:hAnsi="Cambria" w:cs="Cambria"/>
      <w:sz w:val="24"/>
      <w:szCs w:val="24"/>
      <w:lang w:val="en-US"/>
    </w:rPr>
  </w:style>
  <w:style w:type="paragraph" w:styleId="1169">
    <w:name w:val="E-mail Signature"/>
    <w:basedOn w:val="719"/>
    <w:pPr>
      <w:ind w:firstLine="0"/>
      <w:spacing w:after="60" w:line="240" w:lineRule="auto"/>
    </w:pPr>
    <w:rPr>
      <w:lang w:val="en-US"/>
    </w:rPr>
  </w:style>
  <w:style w:type="paragraph" w:styleId="1170" w:customStyle="1">
    <w:name w:val="Стиль1"/>
    <w:basedOn w:val="719"/>
    <w:pPr>
      <w:numPr>
        <w:ilvl w:val="0"/>
        <w:numId w:val="6"/>
      </w:numPr>
      <w:jc w:val="left"/>
      <w:keepLines/>
      <w:keepNext/>
      <w:spacing w:after="60" w:line="240" w:lineRule="auto"/>
      <w:widowControl w:val="off"/>
      <w:suppressLineNumbers/>
    </w:pPr>
    <w:rPr>
      <w:b/>
      <w:szCs w:val="24"/>
    </w:rPr>
  </w:style>
  <w:style w:type="paragraph" w:styleId="1171" w:customStyle="1">
    <w:name w:val="содержание2-1"/>
    <w:basedOn w:val="722"/>
    <w:next w:val="719"/>
    <w:pPr>
      <w:numPr>
        <w:ilvl w:val="0"/>
        <w:numId w:val="0"/>
      </w:numPr>
      <w:ind w:left="926" w:hanging="360"/>
      <w:spacing w:before="240" w:after="60" w:line="240" w:lineRule="auto"/>
      <w:tabs>
        <w:tab w:val="left" w:pos="926" w:leader="none"/>
        <w:tab w:val="left" w:pos="1492" w:leader="none"/>
      </w:tabs>
    </w:pPr>
    <w:rPr>
      <w:rFonts w:ascii="Arial" w:hAnsi="Arial" w:cs="Arial"/>
      <w:bCs w:val="0"/>
      <w:sz w:val="24"/>
      <w:szCs w:val="20"/>
    </w:rPr>
  </w:style>
  <w:style w:type="paragraph" w:styleId="1172" w:customStyle="1">
    <w:name w:val="Заголовок 2.1"/>
    <w:basedOn w:val="720"/>
    <w:pPr>
      <w:ind w:firstLine="0"/>
      <w:jc w:val="center"/>
      <w:keepLines/>
      <w:spacing w:line="240" w:lineRule="auto"/>
      <w:widowControl w:val="off"/>
      <w:suppressLineNumbers/>
    </w:pPr>
    <w:rPr>
      <w:rFonts w:ascii="Times New Roman" w:hAnsi="Times New Roman" w:cs="Times New Roman"/>
      <w:bCs w:val="0"/>
      <w:caps/>
      <w:sz w:val="36"/>
      <w:szCs w:val="28"/>
    </w:rPr>
  </w:style>
  <w:style w:type="paragraph" w:styleId="1173" w:customStyle="1">
    <w:name w:val="Стиль2"/>
    <w:basedOn w:val="1127"/>
    <w:pPr>
      <w:ind w:left="576" w:hanging="576"/>
      <w:keepLines/>
      <w:keepNext/>
      <w:widowControl w:val="off"/>
      <w:tabs>
        <w:tab w:val="left" w:pos="576" w:leader="none"/>
        <w:tab w:val="clear" w:pos="643" w:leader="none"/>
      </w:tabs>
      <w:suppressLineNumbers/>
    </w:pPr>
    <w:rPr>
      <w:b/>
    </w:rPr>
  </w:style>
  <w:style w:type="paragraph" w:styleId="1174" w:customStyle="1">
    <w:name w:val="Стиль3 Знак"/>
    <w:basedOn w:val="1114"/>
    <w:pPr>
      <w:ind w:left="0" w:firstLine="0"/>
      <w:spacing w:after="0" w:line="240" w:lineRule="auto"/>
      <w:widowControl w:val="off"/>
      <w:tabs>
        <w:tab w:val="num" w:pos="432" w:leader="none"/>
      </w:tabs>
    </w:pPr>
    <w:rPr>
      <w:sz w:val="24"/>
      <w:szCs w:val="20"/>
    </w:rPr>
  </w:style>
  <w:style w:type="paragraph" w:styleId="1175" w:customStyle="1">
    <w:name w:val="содержание2-11"/>
    <w:basedOn w:val="719"/>
    <w:pPr>
      <w:ind w:firstLine="0"/>
      <w:spacing w:after="60" w:line="240" w:lineRule="auto"/>
    </w:pPr>
    <w:rPr>
      <w:sz w:val="24"/>
      <w:szCs w:val="24"/>
    </w:rPr>
  </w:style>
  <w:style w:type="paragraph" w:styleId="1176" w:customStyle="1">
    <w:name w:val="Стиль4"/>
    <w:basedOn w:val="721"/>
    <w:next w:val="719"/>
    <w:pPr>
      <w:ind w:firstLine="567"/>
      <w:keepLines/>
      <w:widowControl w:val="off"/>
      <w:suppressLineNumbers/>
    </w:pPr>
  </w:style>
  <w:style w:type="paragraph" w:styleId="1177" w:customStyle="1">
    <w:name w:val="Таблица заголовок"/>
    <w:basedOn w:val="719"/>
    <w:pPr>
      <w:ind w:firstLine="0"/>
      <w:jc w:val="right"/>
      <w:spacing w:before="120" w:after="120" w:line="360" w:lineRule="auto"/>
    </w:pPr>
    <w:rPr>
      <w:b/>
    </w:rPr>
  </w:style>
  <w:style w:type="paragraph" w:styleId="1178" w:customStyle="1">
    <w:name w:val="текст таблицы"/>
    <w:basedOn w:val="719"/>
    <w:pPr>
      <w:ind w:right="-102" w:firstLine="0"/>
      <w:jc w:val="left"/>
      <w:spacing w:before="120" w:line="240" w:lineRule="auto"/>
    </w:pPr>
    <w:rPr>
      <w:sz w:val="24"/>
      <w:szCs w:val="24"/>
    </w:rPr>
  </w:style>
  <w:style w:type="paragraph" w:styleId="1179" w:customStyle="1">
    <w:name w:val="Стиль3"/>
    <w:basedOn w:val="1114"/>
    <w:pPr>
      <w:ind w:left="1080" w:firstLine="0"/>
      <w:spacing w:after="0" w:line="240" w:lineRule="auto"/>
      <w:widowControl w:val="off"/>
      <w:tabs>
        <w:tab w:val="left" w:pos="1307" w:leader="none"/>
      </w:tabs>
    </w:pPr>
    <w:rPr>
      <w:sz w:val="24"/>
      <w:szCs w:val="20"/>
    </w:rPr>
  </w:style>
  <w:style w:type="paragraph" w:styleId="1180" w:customStyle="1">
    <w:name w:val="Мой"/>
    <w:basedOn w:val="719"/>
    <w:pPr>
      <w:ind w:firstLine="708"/>
      <w:spacing w:line="240" w:lineRule="auto"/>
    </w:pPr>
    <w:rPr>
      <w:color w:val="000000"/>
      <w:sz w:val="24"/>
      <w:szCs w:val="20"/>
    </w:rPr>
  </w:style>
  <w:style w:type="paragraph" w:styleId="1181" w:customStyle="1">
    <w:name w:val="ConsTitle"/>
    <w:pPr>
      <w:ind w:right="19772"/>
      <w:widowControl w:val="off"/>
    </w:pPr>
    <w:rPr>
      <w:rFonts w:ascii="Arial" w:hAnsi="Arial" w:cs="Arial"/>
      <w:b/>
      <w:bCs/>
      <w:sz w:val="16"/>
      <w:szCs w:val="16"/>
    </w:rPr>
  </w:style>
  <w:style w:type="paragraph" w:styleId="1182" w:customStyle="1">
    <w:name w:val="Обычный1"/>
  </w:style>
  <w:style w:type="paragraph" w:styleId="1183" w:customStyle="1">
    <w:name w:val="11"/>
    <w:basedOn w:val="719"/>
    <w:pPr>
      <w:ind w:firstLine="0"/>
      <w:jc w:val="center"/>
      <w:keepNext/>
      <w:spacing w:line="240" w:lineRule="auto"/>
    </w:pPr>
    <w:rPr>
      <w:sz w:val="24"/>
      <w:szCs w:val="24"/>
    </w:rPr>
  </w:style>
  <w:style w:type="paragraph" w:styleId="1184" w:customStyle="1">
    <w:name w:val="xl80"/>
    <w:basedOn w:val="719"/>
    <w:pPr>
      <w:ind w:firstLine="0"/>
      <w:jc w:val="right"/>
      <w:spacing w:before="280" w:after="280" w:line="240" w:lineRule="auto"/>
    </w:pPr>
    <w:rPr>
      <w:rFonts w:ascii="Garamond" w:hAnsi="Garamond" w:cs="Garamond"/>
      <w:sz w:val="24"/>
      <w:szCs w:val="24"/>
    </w:rPr>
  </w:style>
  <w:style w:type="paragraph" w:styleId="1185" w:customStyle="1">
    <w:name w:val="заголовок 11"/>
    <w:basedOn w:val="719"/>
    <w:next w:val="719"/>
    <w:pPr>
      <w:ind w:firstLine="0"/>
      <w:jc w:val="center"/>
      <w:keepNext/>
      <w:spacing w:line="240" w:lineRule="auto"/>
    </w:pPr>
    <w:rPr>
      <w:sz w:val="24"/>
      <w:szCs w:val="20"/>
    </w:rPr>
  </w:style>
  <w:style w:type="paragraph" w:styleId="1186" w:customStyle="1">
    <w:name w:val="xl28"/>
    <w:basedOn w:val="719"/>
    <w:pPr>
      <w:ind w:firstLine="0"/>
      <w:jc w:val="center"/>
      <w:spacing w:before="280" w:after="280" w:line="240" w:lineRule="auto"/>
      <w:pBdr>
        <w:top w:val="none" w:color="000000" w:sz="0" w:space="0"/>
        <w:left w:val="single" w:color="000000" w:sz="8" w:space="0"/>
        <w:bottom w:val="none" w:color="000000" w:sz="0" w:space="0"/>
        <w:right w:val="none" w:color="000000" w:sz="0" w:space="0"/>
      </w:pBdr>
    </w:pPr>
    <w:rPr>
      <w:rFonts w:ascii="Arial Narrow" w:hAnsi="Arial Narrow" w:cs="Arial Narrow"/>
      <w:b/>
      <w:bCs/>
      <w:sz w:val="24"/>
      <w:szCs w:val="24"/>
    </w:rPr>
  </w:style>
  <w:style w:type="paragraph" w:styleId="1187" w:customStyle="1">
    <w:name w:val="Заголовок 31"/>
    <w:basedOn w:val="719"/>
    <w:next w:val="719"/>
    <w:pPr>
      <w:ind w:firstLine="0"/>
      <w:keepNext/>
      <w:spacing w:line="240" w:lineRule="auto"/>
    </w:pPr>
    <w:rPr>
      <w:sz w:val="24"/>
      <w:szCs w:val="20"/>
    </w:rPr>
  </w:style>
  <w:style w:type="paragraph" w:styleId="1188" w:customStyle="1">
    <w:name w:val="Схема документа1"/>
    <w:basedOn w:val="719"/>
    <w:pPr>
      <w:ind w:firstLine="0"/>
      <w:spacing w:after="60" w:line="240" w:lineRule="auto"/>
      <w:shd w:val="clear" w:color="auto" w:fill="000080"/>
    </w:pPr>
    <w:rPr>
      <w:sz w:val="2"/>
      <w:szCs w:val="20"/>
      <w:lang w:val="en-US"/>
    </w:rPr>
  </w:style>
  <w:style w:type="paragraph" w:styleId="1189" w:customStyle="1">
    <w:name w:val="Heading"/>
    <w:pPr>
      <w:widowControl w:val="off"/>
    </w:pPr>
    <w:rPr>
      <w:rFonts w:ascii="Arial" w:hAnsi="Arial" w:cs="Arial"/>
      <w:b/>
      <w:bCs/>
      <w:sz w:val="22"/>
      <w:szCs w:val="22"/>
    </w:rPr>
  </w:style>
  <w:style w:type="paragraph" w:styleId="1190" w:customStyle="1">
    <w:name w:val="Обычный + 13 pt"/>
    <w:basedOn w:val="719"/>
    <w:pPr>
      <w:ind w:left="34" w:firstLine="0"/>
      <w:jc w:val="center"/>
      <w:spacing w:line="240" w:lineRule="auto"/>
      <w:shd w:val="clear" w:color="auto" w:fill="ffffff"/>
      <w:widowControl w:val="off"/>
    </w:pPr>
    <w:rPr>
      <w:b/>
      <w:color w:val="000000"/>
      <w:spacing w:val="14"/>
      <w:sz w:val="26"/>
      <w:szCs w:val="26"/>
    </w:rPr>
  </w:style>
  <w:style w:type="paragraph" w:styleId="1191" w:customStyle="1">
    <w:name w:val="Основной текст + 13 pt"/>
    <w:basedOn w:val="1109"/>
    <w:pPr>
      <w:ind w:right="312" w:firstLine="0"/>
      <w:jc w:val="center"/>
      <w:spacing w:after="0" w:line="240" w:lineRule="auto"/>
      <w:shd w:val="clear" w:color="auto" w:fill="ffffff"/>
      <w:widowControl w:val="off"/>
    </w:pPr>
    <w:rPr>
      <w:b/>
      <w:sz w:val="26"/>
      <w:szCs w:val="26"/>
    </w:rPr>
  </w:style>
  <w:style w:type="paragraph" w:styleId="1192" w:customStyle="1">
    <w:name w:val="ListBull1"/>
    <w:basedOn w:val="719"/>
    <w:pPr>
      <w:ind w:left="1984" w:hanging="425"/>
      <w:jc w:val="left"/>
      <w:spacing w:before="60" w:after="40" w:line="240" w:lineRule="auto"/>
      <w:tabs>
        <w:tab w:val="left" w:pos="0" w:leader="none"/>
        <w:tab w:val="left" w:pos="1985" w:leader="none"/>
      </w:tabs>
    </w:pPr>
    <w:rPr>
      <w:sz w:val="24"/>
      <w:szCs w:val="24"/>
    </w:rPr>
  </w:style>
  <w:style w:type="paragraph" w:styleId="1193" w:customStyle="1">
    <w:name w:val="Табличный список"/>
    <w:basedOn w:val="719"/>
    <w:pPr>
      <w:numPr>
        <w:ilvl w:val="0"/>
        <w:numId w:val="5"/>
      </w:numPr>
      <w:jc w:val="left"/>
      <w:spacing w:line="240" w:lineRule="auto"/>
    </w:pPr>
    <w:rPr>
      <w:sz w:val="18"/>
      <w:szCs w:val="24"/>
    </w:rPr>
  </w:style>
  <w:style w:type="paragraph" w:styleId="1194" w:customStyle="1">
    <w:name w:val="ConsPlusNonformat"/>
    <w:pPr>
      <w:widowControl w:val="off"/>
    </w:pPr>
    <w:rPr>
      <w:rFonts w:ascii="Courier New" w:hAnsi="Courier New" w:cs="Courier New"/>
    </w:rPr>
  </w:style>
  <w:style w:type="paragraph" w:styleId="1195" w:customStyle="1">
    <w:name w:val="Стиль"/>
    <w:pPr>
      <w:widowControl w:val="off"/>
    </w:pPr>
    <w:rPr>
      <w:rFonts w:ascii="Arial" w:hAnsi="Arial" w:cs="Arial"/>
      <w:sz w:val="24"/>
      <w:szCs w:val="24"/>
    </w:rPr>
  </w:style>
  <w:style w:type="paragraph" w:styleId="1196" w:customStyle="1">
    <w:name w:val="Пункт"/>
    <w:basedOn w:val="719"/>
    <w:pPr>
      <w:ind w:left="1404" w:hanging="504"/>
      <w:spacing w:line="240" w:lineRule="auto"/>
      <w:tabs>
        <w:tab w:val="left" w:pos="1980" w:leader="none"/>
      </w:tabs>
    </w:pPr>
    <w:rPr>
      <w:sz w:val="24"/>
    </w:rPr>
  </w:style>
  <w:style w:type="paragraph" w:styleId="1197" w:customStyle="1">
    <w:name w:val="Абзац списка;SL_Абзац списка;Bullet List;FooterText;numbered;Bullet 1;Use Case List Paragraph;ТЗ список;Булет1;1Булет;асз.Списка;Paragraphe de liste1;lp1;Абзац;Содержание. 2 уровень;маркированный;Heading1;Colorful List - Accent 11;Маркер;H1-1"/>
    <w:basedOn w:val="719"/>
    <w:uiPriority w:val="34"/>
    <w:qFormat/>
    <w:pPr>
      <w:contextualSpacing/>
      <w:ind w:left="720" w:firstLine="0"/>
      <w:spacing w:line="276" w:lineRule="auto"/>
    </w:pPr>
    <w:rPr>
      <w:sz w:val="24"/>
      <w:lang w:val="en-US"/>
    </w:rPr>
  </w:style>
  <w:style w:type="paragraph" w:styleId="1198" w:customStyle="1">
    <w:name w:val="Знак Знак Знак Знак Знак Знак Знак"/>
    <w:basedOn w:val="719"/>
    <w:pPr>
      <w:ind w:firstLine="0"/>
      <w:jc w:val="left"/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1199" w:customStyle="1">
    <w:name w:val="Контракт-раздел"/>
    <w:basedOn w:val="719"/>
    <w:next w:val="1200"/>
    <w:pPr>
      <w:numPr>
        <w:ilvl w:val="0"/>
        <w:numId w:val="3"/>
      </w:numPr>
      <w:jc w:val="center"/>
      <w:keepNext/>
      <w:spacing w:before="360" w:after="120" w:line="240" w:lineRule="auto"/>
      <w:tabs>
        <w:tab w:val="left" w:pos="540" w:leader="none"/>
      </w:tabs>
    </w:pPr>
    <w:rPr>
      <w:b/>
      <w:bCs/>
      <w:caps/>
      <w:sz w:val="24"/>
      <w:szCs w:val="24"/>
    </w:rPr>
  </w:style>
  <w:style w:type="paragraph" w:styleId="1200" w:customStyle="1">
    <w:name w:val="Контракт-пункт"/>
    <w:basedOn w:val="719"/>
    <w:pPr>
      <w:ind w:firstLine="0"/>
      <w:spacing w:line="240" w:lineRule="auto"/>
      <w:tabs>
        <w:tab w:val="num" w:pos="0" w:leader="none"/>
      </w:tabs>
    </w:pPr>
    <w:rPr>
      <w:sz w:val="24"/>
      <w:szCs w:val="24"/>
    </w:rPr>
  </w:style>
  <w:style w:type="paragraph" w:styleId="1201" w:customStyle="1">
    <w:name w:val="Контракт-подпункт"/>
    <w:basedOn w:val="719"/>
    <w:pPr>
      <w:ind w:firstLine="0"/>
      <w:spacing w:line="240" w:lineRule="auto"/>
      <w:tabs>
        <w:tab w:val="num" w:pos="0" w:leader="none"/>
      </w:tabs>
    </w:pPr>
    <w:rPr>
      <w:sz w:val="24"/>
      <w:szCs w:val="24"/>
    </w:rPr>
  </w:style>
  <w:style w:type="paragraph" w:styleId="1202" w:customStyle="1">
    <w:name w:val="Контракт-подподпункт"/>
    <w:basedOn w:val="719"/>
    <w:pPr>
      <w:ind w:firstLine="0"/>
      <w:spacing w:line="240" w:lineRule="auto"/>
      <w:tabs>
        <w:tab w:val="num" w:pos="0" w:leader="none"/>
      </w:tabs>
    </w:pPr>
    <w:rPr>
      <w:sz w:val="24"/>
      <w:szCs w:val="24"/>
    </w:rPr>
  </w:style>
  <w:style w:type="paragraph" w:styleId="1203" w:customStyle="1">
    <w:name w:val="SL_Заголовок документа 2 часть"/>
    <w:basedOn w:val="719"/>
    <w:next w:val="719"/>
    <w:pPr>
      <w:ind w:firstLine="0"/>
      <w:jc w:val="center"/>
      <w:spacing w:line="360" w:lineRule="auto"/>
    </w:pPr>
    <w:rPr>
      <w:rFonts w:ascii="Arial" w:hAnsi="Arial" w:cs="Arial"/>
      <w:b/>
      <w:szCs w:val="36"/>
    </w:rPr>
  </w:style>
  <w:style w:type="paragraph" w:styleId="1204">
    <w:name w:val="Revision"/>
    <w:rPr>
      <w:sz w:val="28"/>
      <w:szCs w:val="28"/>
    </w:rPr>
  </w:style>
  <w:style w:type="paragraph" w:styleId="1205" w:customStyle="1">
    <w:name w:val="Содержимое таблицы"/>
    <w:basedOn w:val="719"/>
    <w:pPr>
      <w:suppressLineNumbers/>
    </w:pPr>
  </w:style>
  <w:style w:type="paragraph" w:styleId="1206" w:customStyle="1">
    <w:name w:val="Заголовок таблицы"/>
    <w:basedOn w:val="1205"/>
    <w:pPr>
      <w:jc w:val="center"/>
    </w:pPr>
    <w:rPr>
      <w:b/>
      <w:bCs/>
    </w:rPr>
  </w:style>
  <w:style w:type="character" w:styleId="1207">
    <w:name w:val="annotation reference"/>
    <w:uiPriority w:val="99"/>
    <w:semiHidden/>
    <w:unhideWhenUsed/>
    <w:rPr>
      <w:sz w:val="16"/>
      <w:szCs w:val="16"/>
    </w:rPr>
  </w:style>
  <w:style w:type="paragraph" w:styleId="1208">
    <w:name w:val="annotation text"/>
    <w:basedOn w:val="719"/>
    <w:link w:val="1209"/>
    <w:uiPriority w:val="99"/>
    <w:semiHidden/>
    <w:unhideWhenUsed/>
    <w:rPr>
      <w:sz w:val="20"/>
      <w:szCs w:val="20"/>
    </w:rPr>
  </w:style>
  <w:style w:type="character" w:styleId="1209" w:customStyle="1">
    <w:name w:val="Текст примечания Знак1"/>
    <w:link w:val="1208"/>
    <w:uiPriority w:val="99"/>
    <w:semiHidden/>
    <w:rPr>
      <w:lang w:eastAsia="zh-CN"/>
    </w:rPr>
  </w:style>
  <w:style w:type="paragraph" w:styleId="1210" w:customStyle="1">
    <w:name w:val="Абзац списка1"/>
    <w:basedOn w:val="719"/>
    <w:qFormat/>
    <w:pPr>
      <w:contextualSpacing/>
      <w:ind w:left="720" w:firstLine="709"/>
      <w:spacing w:line="240" w:lineRule="auto"/>
    </w:pPr>
    <w:rPr>
      <w:sz w:val="24"/>
      <w:szCs w:val="20"/>
      <w:lang w:eastAsia="ru-RU"/>
    </w:rPr>
  </w:style>
  <w:style w:type="character" w:styleId="1211" w:customStyle="1">
    <w:name w:val="Верхний колонтитул Знак1"/>
    <w:link w:val="767"/>
    <w:rPr>
      <w:sz w:val="28"/>
      <w:szCs w:val="28"/>
      <w:lang w:val="en-US" w:eastAsia="zh-CN"/>
    </w:rPr>
  </w:style>
  <w:style w:type="table" w:styleId="1212" w:customStyle="1">
    <w:name w:val="Сетка таблицы1"/>
    <w:basedOn w:val="730"/>
    <w:uiPriority w:val="59"/>
    <w:rPr>
      <w:rFonts w:ascii="Cambria" w:hAnsi="Cambria" w:eastAsia="Cambria"/>
      <w:sz w:val="22"/>
      <w:szCs w:val="22"/>
      <w:lang w:eastAsia="en-US"/>
    </w:rPr>
    <w:tblPr/>
  </w:style>
  <w:style w:type="paragraph" w:styleId="1213" w:customStyle="1">
    <w:name w:val="Нижний колонтитул1"/>
    <w:basedOn w:val="719"/>
    <w:uiPriority w:val="99"/>
    <w:pPr>
      <w:ind w:firstLine="0"/>
      <w:jc w:val="left"/>
      <w:spacing w:line="240" w:lineRule="auto"/>
      <w:tabs>
        <w:tab w:val="center" w:pos="4677" w:leader="none"/>
        <w:tab w:val="right" w:pos="9355" w:leader="none"/>
      </w:tabs>
    </w:pPr>
    <w:rPr>
      <w:sz w:val="20"/>
      <w:szCs w:val="20"/>
      <w:lang w:eastAsia="en-US"/>
    </w:rPr>
  </w:style>
  <w:style w:type="character" w:styleId="1214" w:customStyle="1">
    <w:name w:val="Нижний колонтитул Знак1"/>
    <w:link w:val="769"/>
    <w:rPr>
      <w:lang w:val="en-US" w:eastAsia="zh-CN"/>
    </w:rPr>
  </w:style>
  <w:style w:type="paragraph" w:styleId="1215" w:customStyle="1">
    <w:name w:val="docdata;docy;v5;4920;bqiaagaaeyqcaaagiaiaaaofegaaba0saaaaaaaaaaaaaaaaaaaaaaaaaaaaaaaaaaaaaaaaaaaaaaaaaaaaaaaaaaaaaaaaaaaaaaaaaaaaaaaaaaaaaaaaaaaaaaaaaaaaaaaaaaaaaaaaaaaaaaaaaaaaaaaaaaaaaaaaaaaaaaaaaaaaaaaaaaaaaaaaaaaaaaaaaaaaaaaaaaaaaaaaaaaaaaaaaaaaaaaa"/>
    <w:basedOn w:val="719"/>
    <w:pPr>
      <w:ind w:firstLine="0"/>
      <w:jc w:val="left"/>
      <w:spacing w:before="100" w:beforeAutospacing="1" w:after="100" w:afterAutospacing="1" w:line="240" w:lineRule="auto"/>
    </w:pPr>
    <w:rPr>
      <w:sz w:val="24"/>
      <w:szCs w:val="24"/>
      <w:lang w:eastAsia="ru-RU"/>
    </w:rPr>
  </w:style>
  <w:style w:type="paragraph" w:styleId="1216" w:customStyle="1">
    <w:name w:val="ConsPlusTitle"/>
    <w:pPr>
      <w:spacing w:after="200" w:line="276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cstheme="minorBidi"/>
      <w:b/>
      <w:bCs/>
      <w:sz w:val="28"/>
      <w:szCs w:val="28"/>
      <w:lang w:eastAsia="en-US"/>
    </w:rPr>
  </w:style>
  <w:style w:type="paragraph" w:styleId="1217" w:customStyle="1">
    <w:name w:val="+Обычный"/>
    <w:qFormat/>
    <w:pPr>
      <w:ind w:firstLine="709"/>
      <w:jc w:val="both"/>
      <w:spacing w:after="60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8"/>
      <w:szCs w:val="24"/>
      <w:lang w:eastAsia="ru-RU"/>
    </w:rPr>
  </w:style>
  <w:style w:type="paragraph" w:styleId="1218" w:customStyle="1">
    <w:name w:val="msonormal_mr_css_attr"/>
    <w:pPr>
      <w:spacing w:before="100" w:beforeAutospacing="1" w:after="100" w:afterAutospacing="1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4"/>
      <w:szCs w:val="24"/>
      <w:lang w:eastAsia="ru-RU"/>
    </w:rPr>
  </w:style>
  <w:style w:type="paragraph" w:styleId="1219" w:customStyle="1">
    <w:name w:val="заг1"/>
    <w:qFormat/>
    <w:pPr>
      <w:jc w:val="both"/>
      <w:pageBreakBefore/>
      <w:spacing w:before="120" w:after="120" w:line="360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outlineLvl w:val="0"/>
    </w:pPr>
    <w:rPr>
      <w:b/>
      <w:sz w:val="24"/>
      <w:szCs w:val="24"/>
      <w:lang w:eastAsia="ru-RU"/>
    </w:rPr>
  </w:style>
  <w:style w:type="paragraph" w:styleId="1220" w:customStyle="1">
    <w:name w:val="РМИАС"/>
    <w:uiPriority w:val="99"/>
    <w:qFormat/>
    <w:pPr>
      <w:ind w:left="284"/>
      <w:spacing w:after="120" w:line="300" w:lineRule="auto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Arial" w:hAnsi="Arial" w:eastAsia="Calibri"/>
      <w:lang w:eastAsia="en-US"/>
    </w:rPr>
  </w:style>
  <w:style w:type="paragraph" w:styleId="1221" w:customStyle="1">
    <w:name w:val="РМИАС список"/>
    <w:uiPriority w:val="99"/>
    <w:qFormat/>
    <w:pPr>
      <w:ind w:left="284"/>
      <w:spacing w:after="120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Arial" w:hAnsi="Arial" w:eastAsia="Calibri"/>
      <w:szCs w:val="22"/>
      <w:lang w:eastAsia="en-US"/>
    </w:rPr>
  </w:style>
  <w:style w:type="paragraph" w:styleId="1222" w:customStyle="1">
    <w:name w:val="Таблица_шапка"/>
    <w:qFormat/>
    <w:pPr>
      <w:jc w:val="center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color w:val="000000"/>
      <w:sz w:val="28"/>
      <w:szCs w:val="28"/>
      <w:lang w:eastAsia="ru-RU"/>
    </w:rPr>
  </w:style>
  <w:style w:type="paragraph" w:styleId="1223" w:customStyle="1">
    <w:name w:val="Обычный (веб)1"/>
    <w:pPr>
      <w:spacing w:before="280" w:after="280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4"/>
      <w:szCs w:val="24"/>
    </w:rPr>
  </w:style>
  <w:style w:type="paragraph" w:styleId="1224" w:customStyle="1">
    <w:name w:val="docdata"/>
    <w:pPr>
      <w:spacing w:before="100" w:beforeAutospacing="1" w:after="100" w:afterAutospacing="1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4"/>
      <w:szCs w:val="24"/>
      <w:lang w:eastAsia="ru-RU"/>
    </w:rPr>
  </w:style>
  <w:style w:type="paragraph" w:styleId="1225" w:customStyle="1">
    <w:name w:val="Другое"/>
    <w:pPr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color w:val="000000"/>
      <w:sz w:val="28"/>
      <w:szCs w:val="28"/>
      <w:lang w:eastAsia="ru-RU" w:bidi="ru-RU"/>
    </w:rPr>
  </w:style>
  <w:style w:type="character" w:styleId="1226" w:customStyle="1">
    <w:name w:val="Другое_"/>
    <w:rPr>
      <w:rFonts w:ascii="Times New Roman" w:hAnsi="Times New Roman" w:eastAsia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styleId="1227" w:customStyle="1">
    <w:name w:val="ТЗ Перечисление"/>
    <w:basedOn w:val="761"/>
    <w:link w:val="779"/>
    <w:uiPriority w:val="99"/>
    <w:pPr>
      <w:ind w:left="786" w:hanging="360"/>
      <w:jc w:val="both"/>
      <w:spacing w:after="0"/>
      <w:tabs>
        <w:tab w:val="left" w:pos="851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cs="Times New Roman"/>
      <w:bCs/>
      <w:iCs/>
      <w:lang w:val="ru-RU" w:eastAsia="ru-RU"/>
    </w:rPr>
  </w:style>
  <w:style w:type="paragraph" w:styleId="1228" w:customStyle="1">
    <w:name w:val="ТЗ Обычный"/>
    <w:link w:val="781"/>
    <w:uiPriority w:val="99"/>
    <w:pPr>
      <w:ind w:firstLine="567"/>
      <w:jc w:val="both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cs="Arial"/>
      <w:bCs/>
      <w:iCs/>
      <w:sz w:val="24"/>
      <w:szCs w:val="24"/>
      <w:lang w:eastAsia="ru-RU"/>
    </w:rPr>
  </w:style>
  <w:style w:type="paragraph" w:styleId="1229" w:customStyle="1">
    <w:name w:val="ТЗ Подперечисление 1"/>
    <w:basedOn w:val="761"/>
    <w:uiPriority w:val="99"/>
    <w:pPr>
      <w:ind w:left="1712" w:hanging="360"/>
      <w:jc w:val="both"/>
      <w:spacing w:after="0"/>
      <w:tabs>
        <w:tab w:val="left" w:pos="1134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cs="Arial"/>
      <w:bCs/>
      <w:iCs/>
      <w:szCs w:val="28"/>
      <w:lang w:val="ru-RU" w:eastAsia="ru-RU"/>
    </w:rPr>
  </w:style>
  <w:style w:type="paragraph" w:styleId="1230" w:customStyle="1">
    <w:name w:val="Основной текст1"/>
    <w:link w:val="946"/>
    <w:uiPriority w:val="99"/>
    <w:semiHidden/>
    <w:unhideWhenUsed/>
    <w:pPr>
      <w:spacing w:after="120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eastAsia="Arial"/>
      <w:lang w:eastAsia="en-US"/>
    </w:rPr>
  </w:style>
  <w:style w:type="table" w:styleId="1231" w:customStyle="1">
    <w:name w:val="Table Normal"/>
    <w:uiPriority w:val="2"/>
    <w:semiHidden/>
    <w:unhideWhenUsed/>
    <w:qFormat/>
    <w:pPr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Theme="minorHAnsi" w:hAnsiTheme="minorHAnsi" w:eastAsiaTheme="minorHAnsi" w:cstheme="minorBidi"/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W w:w="0" w:type="auto"/>
    </w:tcPr>
  </w:style>
  <w:style w:type="paragraph" w:styleId="1232" w:customStyle="1">
    <w:name w:val="Обычный текст"/>
    <w:link w:val="1239"/>
    <w:qFormat/>
    <w:pPr>
      <w:ind w:firstLine="567"/>
      <w:jc w:val="both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4"/>
      <w:szCs w:val="24"/>
      <w:lang w:eastAsia="ru-RU"/>
    </w:rPr>
  </w:style>
  <w:style w:type="table" w:styleId="1233" w:customStyle="1">
    <w:name w:val="StGen0"/>
    <w:pPr>
      <w:jc w:val="both"/>
      <w:spacing w:after="60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4"/>
      <w:szCs w:val="24"/>
      <w:lang w:eastAsia="ru-RU"/>
    </w:rPr>
    <w:tblPr>
      <w:tblStyleRowBandSize w:val="1"/>
      <w:tblStyleColBandSize w:val="1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CellMar>
        <w:left w:w="57" w:type="dxa"/>
        <w:top w:w="0" w:type="dxa"/>
        <w:right w:w="57" w:type="dxa"/>
        <w:bottom w:w="0" w:type="dxa"/>
      </w:tblCellMar>
    </w:tblPr>
    <w:tcPr>
      <w:tcW w:w="0" w:type="auto"/>
    </w:tcPr>
  </w:style>
  <w:style w:type="paragraph" w:styleId="1234" w:customStyle="1">
    <w:name w:val="Подзаголовок прил"/>
    <w:pPr>
      <w:ind w:left="284" w:right="284"/>
      <w:jc w:val="center"/>
      <w:spacing w:before="240" w:after="240" w:line="256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Arial" w:hAnsi="Arial" w:eastAsia="Calibri" w:cs="Calibri"/>
      <w:b/>
      <w:sz w:val="28"/>
      <w:lang w:eastAsia="ru-RU"/>
    </w:rPr>
  </w:style>
  <w:style w:type="table" w:styleId="1235" w:customStyle="1">
    <w:name w:val="StGen44"/>
    <w:basedOn w:val="730"/>
    <w:rPr>
      <w:rFonts w:ascii="Calibri" w:hAnsi="Calibri" w:eastAsia="Calibri" w:cs="Calibri"/>
      <w:lang w:val="ru" w:eastAsia="ru-RU"/>
    </w:rPr>
    <w:tblPr>
      <w:tblStyleRowBandSize w:val="1"/>
      <w:tblStyleColBandSize w:val="1"/>
      <w:tblCellMar>
        <w:left w:w="10" w:type="dxa"/>
        <w:right w:w="10" w:type="dxa"/>
      </w:tblCellMar>
    </w:tblPr>
  </w:style>
  <w:style w:type="paragraph" w:styleId="1236" w:customStyle="1">
    <w:name w:val="x_xmsonormal"/>
    <w:basedOn w:val="719"/>
    <w:uiPriority w:val="99"/>
    <w:pPr>
      <w:ind w:firstLine="0"/>
      <w:jc w:val="left"/>
      <w:spacing w:line="240" w:lineRule="auto"/>
    </w:pPr>
    <w:rPr>
      <w:rFonts w:ascii="Calibri" w:hAnsi="Calibri" w:eastAsia="Calibri" w:cs="Calibri"/>
      <w:sz w:val="22"/>
      <w:szCs w:val="22"/>
      <w:lang w:eastAsia="ru-RU"/>
    </w:rPr>
  </w:style>
  <w:style w:type="paragraph" w:styleId="1237" w:customStyle="1">
    <w:name w:val="x_msonormal"/>
    <w:basedOn w:val="719"/>
    <w:uiPriority w:val="99"/>
    <w:pPr>
      <w:ind w:firstLine="0"/>
      <w:jc w:val="left"/>
      <w:spacing w:line="240" w:lineRule="auto"/>
    </w:pPr>
    <w:rPr>
      <w:rFonts w:eastAsia="Calibri"/>
      <w:sz w:val="24"/>
      <w:szCs w:val="24"/>
      <w:lang w:eastAsia="ru-RU"/>
    </w:rPr>
  </w:style>
  <w:style w:type="paragraph" w:styleId="1238" w:customStyle="1">
    <w:name w:val="x_xxmsonormal"/>
    <w:basedOn w:val="719"/>
    <w:uiPriority w:val="99"/>
    <w:pPr>
      <w:ind w:firstLine="0"/>
      <w:jc w:val="left"/>
      <w:spacing w:line="240" w:lineRule="auto"/>
    </w:pPr>
    <w:rPr>
      <w:rFonts w:ascii="Calibri" w:hAnsi="Calibri" w:eastAsia="Calibri" w:cs="Calibri"/>
      <w:sz w:val="22"/>
      <w:szCs w:val="22"/>
      <w:lang w:eastAsia="ru-RU"/>
    </w:rPr>
  </w:style>
  <w:style w:type="character" w:styleId="1239" w:customStyle="1">
    <w:name w:val="Обычный текст Знак"/>
    <w:basedOn w:val="729"/>
    <w:link w:val="1232"/>
    <w:rPr>
      <w:sz w:val="24"/>
      <w:szCs w:val="24"/>
      <w:lang w:eastAsia="ru-RU"/>
    </w:rPr>
  </w:style>
  <w:style w:type="paragraph" w:styleId="1240" w:customStyle="1">
    <w:name w:val="Текст таблицы"/>
    <w:basedOn w:val="719"/>
    <w:pPr>
      <w:ind w:firstLine="0"/>
      <w:spacing w:before="40" w:after="40" w:line="240" w:lineRule="auto"/>
    </w:pPr>
    <w:rPr>
      <w:rFonts w:eastAsia="SimSun" w:cs="Calibri"/>
      <w:position w:val="-1"/>
      <w:sz w:val="24"/>
      <w:szCs w:val="22"/>
      <w:lang w:eastAsia="en-US"/>
    </w:rPr>
  </w:style>
  <w:style w:type="table" w:styleId="1241" w:customStyle="1">
    <w:name w:val="StGen10"/>
    <w:basedOn w:val="730"/>
    <w:rPr>
      <w:rFonts w:ascii="Calibri" w:hAnsi="Calibri" w:eastAsia="SimSun" w:cs="Calibri"/>
      <w:lang w:eastAsia="ru-RU"/>
    </w:rPr>
    <w:tblPr>
      <w:tblStyleRowBandSize w:val="1"/>
      <w:tblStyleColBandSize w:val="1"/>
      <w:tblCellMar>
        <w:left w:w="15" w:type="dxa"/>
        <w:top w:w="15" w:type="dxa"/>
        <w:right w:w="15" w:type="dxa"/>
        <w:bottom w:w="15" w:type="dxa"/>
      </w:tblCellMar>
    </w:tblPr>
  </w:style>
  <w:style w:type="table" w:styleId="1242" w:customStyle="1">
    <w:name w:val="StGen11"/>
    <w:basedOn w:val="730"/>
    <w:rPr>
      <w:rFonts w:ascii="Calibri" w:hAnsi="Calibri" w:eastAsia="SimSun" w:cs="Calibri"/>
      <w:lang w:eastAsia="ru-RU"/>
    </w:rPr>
    <w:tblPr>
      <w:tblStyleRowBandSize w:val="1"/>
      <w:tblStyleColBandSize w:val="1"/>
    </w:tblPr>
  </w:style>
  <w:style w:type="table" w:styleId="1243" w:customStyle="1">
    <w:name w:val="StGen12"/>
    <w:basedOn w:val="730"/>
    <w:rPr>
      <w:rFonts w:ascii="Calibri" w:hAnsi="Calibri" w:eastAsia="SimSun" w:cs="Calibri"/>
      <w:lang w:eastAsia="ru-RU"/>
    </w:rPr>
    <w:tblPr>
      <w:tblStyleRowBandSize w:val="1"/>
      <w:tblStyleColBandSize w:val="1"/>
    </w:tblPr>
  </w:style>
  <w:style w:type="table" w:styleId="1244" w:customStyle="1">
    <w:name w:val="StGen13"/>
    <w:basedOn w:val="730"/>
    <w:rPr>
      <w:rFonts w:ascii="Calibri" w:hAnsi="Calibri" w:eastAsia="SimSun" w:cs="Calibri"/>
      <w:lang w:eastAsia="ru-RU"/>
    </w:rPr>
    <w:tblPr>
      <w:tblStyleRowBandSize w:val="1"/>
      <w:tblStyleColBandSize w:val="1"/>
    </w:tblPr>
  </w:style>
  <w:style w:type="table" w:styleId="1245" w:customStyle="1">
    <w:name w:val="StGen14"/>
    <w:basedOn w:val="730"/>
    <w:rPr>
      <w:rFonts w:ascii="Calibri" w:hAnsi="Calibri" w:eastAsia="SimSun" w:cs="Calibri"/>
      <w:lang w:eastAsia="ru-RU"/>
    </w:rPr>
    <w:tblPr>
      <w:tblStyleRowBandSize w:val="1"/>
      <w:tblStyleColBandSize w:val="1"/>
    </w:tblPr>
  </w:style>
  <w:style w:type="table" w:styleId="1246" w:customStyle="1">
    <w:name w:val="StGen15"/>
    <w:basedOn w:val="730"/>
    <w:rPr>
      <w:rFonts w:ascii="Calibri" w:hAnsi="Calibri" w:eastAsia="SimSun" w:cs="Calibri"/>
      <w:lang w:eastAsia="ru-RU"/>
    </w:rPr>
    <w:tblPr>
      <w:tblStyleRowBandSize w:val="1"/>
      <w:tblStyleColBandSize w:val="1"/>
    </w:tblPr>
  </w:style>
  <w:style w:type="table" w:styleId="1247" w:customStyle="1">
    <w:name w:val="StGen16"/>
    <w:basedOn w:val="730"/>
    <w:rPr>
      <w:rFonts w:ascii="Calibri" w:hAnsi="Calibri" w:eastAsia="SimSun" w:cs="Calibri"/>
      <w:lang w:eastAsia="ru-RU"/>
    </w:rPr>
    <w:tblPr>
      <w:tblStyleRowBandSize w:val="1"/>
      <w:tblStyleColBandSize w:val="1"/>
    </w:tblPr>
  </w:style>
  <w:style w:type="table" w:styleId="1248" w:customStyle="1">
    <w:name w:val="StGen17"/>
    <w:basedOn w:val="730"/>
    <w:rPr>
      <w:rFonts w:ascii="Calibri" w:hAnsi="Calibri" w:eastAsia="SimSun" w:cs="Calibri"/>
      <w:lang w:eastAsia="ru-RU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paragraph" w:styleId="1249" w:customStyle="1">
    <w:name w:val="1) Перечисление"/>
    <w:uiPriority w:val="10"/>
    <w:qFormat/>
    <w:pPr>
      <w:jc w:val="both"/>
      <w:spacing w:line="360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eastAsia="Calibri"/>
      <w:sz w:val="28"/>
      <w:szCs w:val="24"/>
      <w:lang w:eastAsia="en-US"/>
    </w:rPr>
  </w:style>
  <w:style w:type="table" w:styleId="1250" w:customStyle="1">
    <w:name w:val="StGen1"/>
    <w:basedOn w:val="1231"/>
    <w:pPr>
      <w:jc w:val="both"/>
      <w:spacing w:after="60"/>
      <w:widowControl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ascii="Times New Roman" w:hAnsi="Times New Roman" w:eastAsia="Times New Roman" w:cs="Times New Roman"/>
      <w:sz w:val="24"/>
      <w:szCs w:val="24"/>
      <w:lang w:val="ru-RU" w:eastAsia="ru-RU"/>
    </w:rPr>
    <w:tblPr>
      <w:tblBorders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insideH w:val="none" w:color="000000" w:sz="0" w:space="0"/>
        <w:insideV w:val="none" w:color="000000" w:sz="0" w:space="0"/>
      </w:tblBorders>
      <w:tblCellMar>
        <w:left w:w="115" w:type="dxa"/>
        <w:right w:w="115" w:type="dxa"/>
      </w:tblCellMar>
    </w:tblPr>
    <w:tcPr>
      <w:tcW w:w="0" w:type="nil"/>
    </w:tc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Relationship Id="rId11" Type="http://schemas.openxmlformats.org/officeDocument/2006/relationships/hyperlink" Target="https://its.1c.ru/db/garant/content/400666923/hdoc/2006" TargetMode="External"/><Relationship Id="rId12" Type="http://schemas.openxmlformats.org/officeDocument/2006/relationships/hyperlink" Target="https://its.1c.ru/db/garant/content/400666923/hdoc/2017" TargetMode="External"/><Relationship Id="rId13" Type="http://schemas.openxmlformats.org/officeDocument/2006/relationships/hyperlink" Target="https://its.1c.ru/db/garant/content/400666923/hdoc/2020" TargetMode="External"/><Relationship Id="rId14" Type="http://schemas.openxmlformats.org/officeDocument/2006/relationships/hyperlink" Target="https://its.1c.ru/db/garant/content/405831009/hdoc/60000" TargetMode="External"/><Relationship Id="rId15" Type="http://schemas.openxmlformats.org/officeDocument/2006/relationships/hyperlink" Target="https://its.1c.ru/db/garant/content/480907712/hdoc" TargetMode="External"/><Relationship Id="rId16" Type="http://schemas.openxmlformats.org/officeDocument/2006/relationships/hyperlink" Target="https://its.1c.ru/db/garant/content/400666923/hdoc/2028" TargetMode="External"/><Relationship Id="rId17" Type="http://schemas.openxmlformats.org/officeDocument/2006/relationships/hyperlink" Target="https://its.1c.ru/db/garant/content/400666923/hdoc/2027" TargetMode="External"/><Relationship Id="rId18" Type="http://schemas.onlyoffice.com/commentsDocument" Target="commentsDocument.xml" /><Relationship Id="rId19" Type="http://schemas.onlyoffice.com/commentsExtendedDocument" Target="commentsExtendedDocument.xml" /><Relationship Id="rId20" Type="http://schemas.onlyoffice.com/commentsIdsDocument" Target="commentsIdsDocument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71E68E-9DDF-4D80-AFC6-B628FD358A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оказание услуг</dc:title>
  <dc:creator>ИГЗ</dc:creator>
  <cp:lastModifiedBy>SkutarNV</cp:lastModifiedBy>
  <cp:revision>30</cp:revision>
  <dcterms:created xsi:type="dcterms:W3CDTF">2026-09-07T14:35:00Z</dcterms:created>
  <dcterms:modified xsi:type="dcterms:W3CDTF">2026-10-12T06:29:30Z</dcterms:modified>
  <cp:version>983040</cp:version>
</cp:coreProperties>
</file>