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4"/>
        <w:ind w:left="5102"/>
        <w:jc w:val="left"/>
        <w:spacing w:after="0" w:line="17" w:lineRule="atLeast"/>
        <w:widowControl w:val="off"/>
        <w:rPr>
          <w:rFonts w:ascii="Liberation Sans" w:hAnsi="Liberation Sans" w:eastAsia="Liberation Sans" w:cs="Liberation Sans"/>
        </w:rPr>
      </w:pPr>
      <w:r/>
      <w:bookmarkStart w:id="0" w:name="_Hlk160557664"/>
      <w:r>
        <w:rPr>
          <w:rFonts w:ascii="Liberation Sans" w:hAnsi="Liberation Sans" w:eastAsia="Liberation Sans" w:cs="Liberation Sans"/>
          <w:color w:val="000000" w:themeColor="text1"/>
        </w:rPr>
        <w:t xml:space="preserve">Приложение № 2</w:t>
      </w:r>
      <w:r>
        <w:rPr>
          <w:rFonts w:ascii="Liberation Sans" w:hAnsi="Liberation Sans" w:eastAsia="Liberation Sans" w:cs="Liberation Sans"/>
          <w:color w:val="000000" w:themeColor="text1"/>
        </w:rPr>
        <w:br/>
      </w:r>
      <w:r>
        <w:rPr>
          <w:rFonts w:ascii="Liberation Sans" w:hAnsi="Liberation Sans" w:eastAsia="Liberation Sans" w:cs="Liberation Sans"/>
          <w:bCs/>
        </w:rPr>
        <w:t xml:space="preserve">к государственному контракту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ind w:left="5102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sz w:val="24"/>
          <w:szCs w:val="24"/>
          <w:lang w:val="ru-RU"/>
        </w:rPr>
        <w:t xml:space="preserve">№ __-2026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numPr>
          <w:ilvl w:val="1"/>
          <w:numId w:val="3"/>
        </w:numPr>
        <w:keepNext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8"/>
          <w:szCs w:val="28"/>
        </w:rPr>
      </w:pPr>
      <w:r/>
      <w:bookmarkStart w:id="1" w:name="_Toc526349314"/>
      <w:r/>
      <w:bookmarkEnd w:id="0"/>
      <w:r>
        <w:rPr>
          <w:rFonts w:ascii="Liberation Sans" w:hAnsi="Liberation Sans" w:eastAsia="Liberation Sans" w:cs="Liberation Sans"/>
          <w:b/>
          <w:bCs/>
          <w:iCs/>
          <w:sz w:val="28"/>
          <w:szCs w:val="28"/>
          <w:lang w:eastAsia="ru-RU"/>
        </w:rPr>
        <w:t xml:space="preserve">Состав услуг и их содержание</w:t>
      </w:r>
      <w:r>
        <w:rPr>
          <w:rFonts w:ascii="Liberation Sans" w:hAnsi="Liberation Sans" w:eastAsia="Liberation Sans" w:cs="Liberation Sans"/>
          <w:b/>
          <w:bCs/>
          <w:iCs/>
          <w:sz w:val="28"/>
          <w:szCs w:val="28"/>
        </w:rPr>
      </w:r>
      <w:r>
        <w:rPr>
          <w:rFonts w:ascii="Liberation Sans" w:hAnsi="Liberation Sans" w:eastAsia="Liberation Sans" w:cs="Liberation Sans"/>
          <w:b/>
          <w:bCs/>
          <w:iCs/>
          <w:sz w:val="28"/>
          <w:szCs w:val="28"/>
        </w:rPr>
      </w:r>
    </w:p>
    <w:p>
      <w:pPr>
        <w:pStyle w:val="913"/>
        <w:numPr>
          <w:ilvl w:val="1"/>
          <w:numId w:val="4"/>
        </w:numPr>
        <w:contextualSpacing w:val="0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Перечень терминов, определений и сокращений</w:t>
      </w:r>
      <w:bookmarkEnd w:id="1"/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Перечень терминов, определений и сокращений, используемых в настоящем приложении: 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Автономный округ, ЯНАО - Ямало-Ненецкий автономный округ;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Администратор - лицо, наделённое правами для осуществления деятельности в административной части ИС;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АРМ - автоматизированное рабочее место;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БД - база данных;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ВС - вид сведений;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ГИС «Жилье Ямала», Система – государственная информационная система «Жилье Ямала»;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XML - от англ.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eXtensible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Markup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Language, расширяемый язык разметки;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ГГС - государственный гражданский служащий;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ГЖС - государственный жилищный сертификат;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Контракт - гос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ударственный контракт на оказание услуг по технической поддержке государственной информационной системы «Жилье Ямала»;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ЕГИССО - единая государственная информационная система социального обеспечения;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ЕГР ЗАГС - единый государственный реестр записей актов гражданского состояния;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ЕЛК - единый личный кабинет;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ЛК УВ - личный кабинет участника взаимодействия;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ЕПГУ - федеральная государственная информационная система «Единый портал государственных и муниципальных услуг (функций)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» 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Услуга, МСП - государственная или муниципальная услуга, в соответствии с определением, указанным в Федеральном законе от 27 июля 2010 года № 210-ФЗ «Об организации предоставления государственных и муниципальных услуг»;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ЕГРН - единый государственный реестр недвижимости;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РСМЭВ - межведомственное электронное взаимодействие между ИО, ОМСУ, реализованное внутри ГИС «Жилье Ямала»;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Заказчик - департамент информационных технологий и связи Ямало-Ненецкого автономного округа;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Заявитель - физическое лицо (граждане, имеющие право на получение мер социальной поддержки на территории  автономного округа) либо их уполномоченные представители, обратившиеся в орган, оказываю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щий меры социальной поддержки гражданам в автономном округе, либо в многофункциональные центры по предоставлению государственных и муниципальных услуг, с запросом об оказании меры социальной поддержки, выраженным в устной, письменной или электронной форме;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ИО - исполнительный орган;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ИС - информационная система;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КМНС - коренные малочисленные народы Севера;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МВД - Министерство внутренних дел;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ЛК - личный кабинет;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Критерии - условия, необходимые для участия в программах ЯНАО по предоставлению социальных выплат гражданам в ЯНАО в улучшении жилищных условий;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СМЭВ - федеральная государственная информационная система «Единая система межведомственного электронного взаимодействия»;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Мероприятия - программы ЯНАО по предоставлению социальных выплат гражданам в ЯНАО;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МО - муниципальное образование;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МКД - многоквартирные дома;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МФЦ - государственное учреждение ЯНАО «Многофункциональный центр предоставления государственных и муниципальных услуг»;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ОМСУ - органы местного самоуправления;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ПО - программное обеспечение;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Поль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зоват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ели ГИС «Жилье Ямала» - сотрудники ИО ЯНАО и ОМСУ ЯНАО (в части задач оказания мер социальной поддержки на территории ЯНАО, предоставления сведений в порядке межведомственного информационного взаимодействия) на условиях предварительной авторизации доступа;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СФР - социальный фонд России;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РОИВ - региональный орган исполнительной власти;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Росреестр - Федеральная служба государственной регистрации, кадастра и картографии;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РЦОД - региональный центр обработки данных ЯНАО;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Семья (36 лет) - семья, исключенная из списка молодых семей - участников Федерального или Окружного мероприятий, по достижении предельного возраста;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СНИЛС - страховой номер индивидуального лицевого счёта;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Социальный калькулятор, Калькулятор - приложение (виджет), размещенное на официальных сайтах ИО, ОМСУ, МФЦ, позволяющее гражданам произвести оценку возможных к их участию мероприятий по оказанию МСП на территории ЯНАО по критериям;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ТЗ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- техническое задание на оказание услуг по технической поддержке государственной информационной системы «Жилье Ямала»;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ФИО - Фамилия, Имя, Отчество;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ЕИС Ямал - единая информационная система по моделированию и прогнозированию социально-экономического развития коренных малочисленных народов Севера ЯНАО;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ГИС «Кадровый учет» - государственная информационная система ведения кадрового учета и автоматизации кадровых процессов;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ТОЖ - традиционный образ жизни;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ФНС - Федеральная налоговая служба;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ФОИВ - Федеральный орган исполнительной власти;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ЭВМ - электронная вычислительная машина;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ЭЦП - электронная цифровая подпись.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13"/>
        <w:numPr>
          <w:ilvl w:val="1"/>
          <w:numId w:val="4"/>
        </w:numPr>
        <w:contextualSpacing w:val="0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Состав и содержание услуг по технической поддержке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13"/>
        <w:numPr>
          <w:ilvl w:val="2"/>
          <w:numId w:val="4"/>
        </w:numPr>
        <w:contextualSpacing w:val="0"/>
        <w:ind w:left="1418" w:hanging="709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Общие требования 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Для оказания услуг Исполнитель должен заключить в течение 5 рабочих дней с даты заключения Контракта с Заказчиком соглашение о конфиденциальности (Приложение № 7 к государственному контракту).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Состав услуг по технической поддержке должен обеспечивать поддержание в работоспособном, полнофункциональном состоянии Системы, а также содействие устранению уязвимостей, которые могут приводить к компрометации информации.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Все услуги оказываются в соответствии регламентом взаимодействия при оказании технической поддержки Системы (Приложение № 6 к государственному контракту).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13"/>
        <w:numPr>
          <w:ilvl w:val="2"/>
          <w:numId w:val="4"/>
        </w:numPr>
        <w:contextualSpacing w:val="0"/>
        <w:ind w:left="1418" w:hanging="709"/>
        <w:jc w:val="both"/>
        <w:spacing w:after="0" w:line="17" w:lineRule="atLeast"/>
        <w:rPr>
          <w:rFonts w:ascii="Liberation Sans" w:hAnsi="Liberation Sans" w:eastAsia="Liberation Sans" w:cs="Liberation Sans"/>
          <w:b/>
          <w:color w:val="000000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Ключевые направления оказания услуг Исполнителем:</w:t>
      </w:r>
      <w:r>
        <w:rPr>
          <w:rFonts w:ascii="Liberation Sans" w:hAnsi="Liberation Sans" w:eastAsia="Liberation Sans" w:cs="Liberation Sans"/>
          <w:b/>
          <w:color w:val="000000"/>
        </w:rPr>
      </w:r>
      <w:r>
        <w:rPr>
          <w:rFonts w:ascii="Liberation Sans" w:hAnsi="Liberation Sans" w:eastAsia="Liberation Sans" w:cs="Liberation Sans"/>
          <w:b/>
          <w:color w:val="000000"/>
        </w:rPr>
      </w:r>
    </w:p>
    <w:p>
      <w:pPr>
        <w:pStyle w:val="913"/>
        <w:numPr>
          <w:ilvl w:val="3"/>
          <w:numId w:val="4"/>
        </w:numPr>
        <w:contextualSpacing w:val="0"/>
        <w:ind w:left="0" w:firstLine="709"/>
        <w:jc w:val="both"/>
        <w:spacing w:after="0" w:line="17" w:lineRule="atLeast"/>
        <w:tabs>
          <w:tab w:val="left" w:pos="1134" w:leader="none"/>
          <w:tab w:val="left" w:pos="1276" w:leader="none"/>
          <w:tab w:val="left" w:pos="1418" w:leader="none"/>
          <w:tab w:val="left" w:pos="1560" w:leader="none"/>
        </w:tabs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  <w:bCs/>
          <w:iCs/>
          <w:sz w:val="24"/>
          <w:szCs w:val="24"/>
          <w:lang w:eastAsia="ru-RU"/>
        </w:rPr>
        <w:t xml:space="preserve">Предоставление персонального консультанта, обеспечивающего: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контроль и анализ качества и полноты консультационного и технического сопровождения;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круглосуточный мониторинг по количественным и качественным результатам технического сопровождения; предоставление поэтапной отчетности в соответствии с календарным планом;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подготовку предложений (постановок задач) по доработкам функциональной части Системы, их согласование и проведение оценки стоимости и сроков реализации на основании мониторинга и анализа поступающих заявок, а также прямых обращений.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-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консультирование пользователей Системы по любым каналам (телефон,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e-mail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, мессенджер, система учета обращений) по всем вопросам, связанным с использованием Системы, в том числе ошибкам и инцидентам без ограничения на количество обращений. 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В течение 5 рабочих дней с момента заключения Контракта Исполнитель предоставляет Заказчику информацию о номере телефона,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e-mail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для консультирования. 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Предложения по доработкам, направляемые на согласование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Заказчику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должны содержать, в том числе исчерпывающее описание логики работы и алгоритма прохождения процесса, проекты экранных форм, а также шаблоны документов, сценарий применения функционала, его пользователи, а также влияние на иные объекты и процессы.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13"/>
        <w:numPr>
          <w:ilvl w:val="3"/>
          <w:numId w:val="4"/>
        </w:numPr>
        <w:contextualSpacing w:val="0"/>
        <w:ind w:left="0" w:firstLine="709"/>
        <w:jc w:val="both"/>
        <w:spacing w:after="0" w:line="17" w:lineRule="atLeast"/>
        <w:tabs>
          <w:tab w:val="left" w:pos="1134" w:leader="none"/>
          <w:tab w:val="left" w:pos="1276" w:leader="none"/>
          <w:tab w:val="left" w:pos="1418" w:leader="none"/>
          <w:tab w:val="left" w:pos="1560" w:leader="none"/>
        </w:tabs>
        <w:rPr>
          <w:rFonts w:ascii="Liberation Sans" w:hAnsi="Liberation Sans" w:eastAsia="Liberation Sans" w:cs="Liberation Sans"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Cs/>
          <w:iCs/>
          <w:sz w:val="24"/>
          <w:szCs w:val="24"/>
          <w:lang w:eastAsia="ru-RU"/>
        </w:rPr>
        <w:t xml:space="preserve">Решение обращений (Инциденты) в соответствии с Регламентом взаимодействия при о</w:t>
      </w:r>
      <w:r>
        <w:rPr>
          <w:rFonts w:ascii="Liberation Sans" w:hAnsi="Liberation Sans" w:eastAsia="Liberation Sans" w:cs="Liberation Sans"/>
          <w:bCs/>
          <w:iCs/>
          <w:sz w:val="24"/>
          <w:szCs w:val="24"/>
          <w:lang w:eastAsia="ru-RU"/>
        </w:rPr>
        <w:t xml:space="preserve">казании технической поддержки Системы пользователям Системы по настройкам Системы и порядку работы с прикладным ПО (сопутствующее ПО для настройки модулей Системы), представленном в приложении № 6 к государственному контракту, включая ответы на вопросы по:</w:t>
      </w:r>
      <w:r>
        <w:rPr>
          <w:rFonts w:ascii="Liberation Sans" w:hAnsi="Liberation Sans" w:eastAsia="Liberation Sans" w:cs="Liberation Sans"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</w:rPr>
        <w:t xml:space="preserve">­</w:t>
      </w:r>
      <w:r>
        <w:rPr>
          <w:rFonts w:ascii="Liberation Sans" w:hAnsi="Liberation Sans" w:eastAsia="Liberation Sans" w:cs="Liberation Sans"/>
        </w:rPr>
        <w:tab/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функциональным возможностям Системы;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общим принципам функционирования Системы;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возможностям изменения настроек Системы;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изменениям функциональных возможностей Системы с использованием настроек;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режимам установления и ограничения доступа к объектам системы;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устранению уязвимостей информационной безопасности;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порядку регистрации и движению документов в Системе;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получению выходных форм; 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работе со справочниками, классификаторами и нумераторами;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выполненным Исполнителем настройкам Системы и порядку работы с ними; 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настройкам оптимальной работы базового и доработанного ПО; 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управлению справочниками базового и доработанного ПО; 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организации процесса обновления базового и доработанного ПО в пределах текущего релиза; 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администрированию встроенных механизмов Системы;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предоставлению уполномоченным представителям Заказчика консультаций по программному интерфейсу Системы Заказчика;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решению инцидентов и разбору ошибок;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установке и настройке внешних программ, специфичных для Системы, обеспечивающие требуемый пользователю функционал при работе с Системой;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осуществлению консультаций и предоставлению оперативных ответов в группах мессенджеров (не менее 2) с количеством уча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стников до 200 человек (не считая представителей Исполнителя) по всем вопросам, связанным с использованием Системы, в том числе ошибкам и инцидентам без ограничения на количество обращений. При этом время реакции на обращение в такой группе, должно составл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ять не более 2 часов, время предоставления решения – не более 3 часов. В случае, невозможности предоставить решение за указанное время сотрудник Исполнителя осуществляет формирование заявки в системе учета обращений с данным вопросом/инцидентом и сообщает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ссылку на зарегистрированное обращение в системе учета обращений. Дальнейшее решение такой заявки осуществляется в соответствии с Регламентом взаимодействия при оказании технической поддержки. Администрирование пользователей в группе осуществляет Заказчик.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Объём услуг неограничен.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13"/>
        <w:numPr>
          <w:ilvl w:val="3"/>
          <w:numId w:val="4"/>
        </w:numPr>
        <w:contextualSpacing w:val="0"/>
        <w:ind w:left="0" w:firstLine="709"/>
        <w:jc w:val="both"/>
        <w:spacing w:after="0" w:line="17" w:lineRule="atLeast"/>
        <w:tabs>
          <w:tab w:val="left" w:pos="1134" w:leader="none"/>
          <w:tab w:val="left" w:pos="1276" w:leader="none"/>
          <w:tab w:val="left" w:pos="1418" w:leader="none"/>
          <w:tab w:val="left" w:pos="1560" w:leader="none"/>
        </w:tabs>
        <w:rPr>
          <w:rFonts w:ascii="Liberation Sans" w:hAnsi="Liberation Sans" w:eastAsia="Liberation Sans" w:cs="Liberation Sans"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Cs/>
          <w:iCs/>
          <w:sz w:val="24"/>
          <w:szCs w:val="24"/>
          <w:lang w:eastAsia="ru-RU"/>
        </w:rPr>
        <w:t xml:space="preserve"> Предоставление консультаций в соответствии с Регламентом взаимодействия представителям Заказчика по решению технических обращений, связанных с работоспособностью Системы и ее компонентов (</w:t>
      </w:r>
      <w:r>
        <w:rPr>
          <w:rFonts w:ascii="Liberation Sans" w:hAnsi="Liberation Sans" w:eastAsia="Liberation Sans" w:cs="Liberation Sans"/>
          <w:bCs/>
          <w:iCs/>
          <w:sz w:val="24"/>
          <w:szCs w:val="24"/>
          <w:lang w:eastAsia="ru-RU"/>
        </w:rPr>
        <w:t xml:space="preserve">web-cерверы</w:t>
      </w:r>
      <w:r>
        <w:rPr>
          <w:rFonts w:ascii="Liberation Sans" w:hAnsi="Liberation Sans" w:eastAsia="Liberation Sans" w:cs="Liberation Sans"/>
          <w:bCs/>
          <w:iCs/>
          <w:sz w:val="24"/>
          <w:szCs w:val="24"/>
          <w:lang w:eastAsia="ru-RU"/>
        </w:rPr>
        <w:t xml:space="preserve">, серверы приложений, базы данных) с возможностью использования удаленного подключения к </w:t>
      </w:r>
      <w:r>
        <w:rPr>
          <w:rFonts w:ascii="Liberation Sans" w:hAnsi="Liberation Sans" w:eastAsia="Liberation Sans" w:cs="Liberation Sans"/>
          <w:bCs/>
          <w:iCs/>
          <w:sz w:val="24"/>
          <w:szCs w:val="24"/>
          <w:lang w:eastAsia="ru-RU"/>
        </w:rPr>
        <w:t xml:space="preserve">программно</w:t>
      </w:r>
      <w:r>
        <w:rPr>
          <w:rFonts w:ascii="Liberation Sans" w:hAnsi="Liberation Sans" w:eastAsia="Liberation Sans" w:cs="Liberation Sans"/>
          <w:bCs/>
          <w:iCs/>
          <w:sz w:val="24"/>
          <w:szCs w:val="24"/>
          <w:lang w:eastAsia="ru-RU"/>
        </w:rPr>
        <w:t xml:space="preserve">–аппаратным средствам Заказчика, включая ответы на вопросы по:</w:t>
      </w:r>
      <w:r>
        <w:rPr>
          <w:rFonts w:ascii="Liberation Sans" w:hAnsi="Liberation Sans" w:eastAsia="Liberation Sans" w:cs="Liberation Sans"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настройкам ПО Системы для обеспечения его функционирования и взаимодействия с интегрированными системами и модулями;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текущим настройкам служб и сервисных агентов Системы и их оптимизации;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администрированию встроенных механизмов;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настройкам оптимальной работы Системы и ее компонентов;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Объём услуг неограничен.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8"/>
        <w:spacing w:line="240" w:lineRule="auto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pStyle w:val="913"/>
        <w:numPr>
          <w:ilvl w:val="3"/>
          <w:numId w:val="4"/>
        </w:numPr>
        <w:contextualSpacing w:val="0"/>
        <w:ind w:left="0" w:firstLine="709"/>
        <w:jc w:val="both"/>
        <w:spacing w:after="0" w:line="17" w:lineRule="atLeast"/>
        <w:tabs>
          <w:tab w:val="left" w:pos="1134" w:leader="none"/>
          <w:tab w:val="left" w:pos="1276" w:leader="none"/>
          <w:tab w:val="left" w:pos="1418" w:leader="none"/>
          <w:tab w:val="left" w:pos="1560" w:leader="none"/>
        </w:tabs>
        <w:rPr>
          <w:rFonts w:ascii="Liberation Sans" w:hAnsi="Liberation Sans" w:eastAsia="Liberation Sans" w:cs="Liberation Sans"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Cs/>
          <w:iCs/>
          <w:sz w:val="24"/>
          <w:szCs w:val="24"/>
          <w:lang w:eastAsia="ru-RU"/>
        </w:rPr>
        <w:t xml:space="preserve"> Техническое сопровождение Системы и ее компонентов с использованием удаленного доступа к программно-аппаратным средствам посредством сети Интернет включает в себя:</w:t>
      </w:r>
      <w:r>
        <w:rPr>
          <w:rFonts w:ascii="Liberation Sans" w:hAnsi="Liberation Sans" w:eastAsia="Liberation Sans" w:cs="Liberation Sans"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</w:rPr>
        <w:t xml:space="preserve">­</w:t>
      </w:r>
      <w:r>
        <w:rPr>
          <w:rFonts w:ascii="Liberation Sans" w:hAnsi="Liberation Sans" w:eastAsia="Liberation Sans" w:cs="Liberation Sans"/>
        </w:rPr>
        <w:tab/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текущие проверки, мониторинг, анализ, срочные настройки и оптимизацию базового и доработанного ПО Системы;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текущие проверки, мониторинг, анализ, срочные настройки и оптимизацию сервисных функций Системы;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сбор необходимой информации для обработки и решения возникающих инцидентов;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устранение возникающих инцидентов;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обработку запросов на изменение настроек Системы в рамках текущего функционала без изменения в исходных код;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При оказании услуг по техническому сопровождению, в том числе регламентным услугам Исполнитель формирует заявку в системе учета обращений и ее закрытие с описанием оказанных услуг и их продолжительности.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Для оказания услуг по техническому сопровождению Системы и базового ПО (серверные ОС, сторонн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ее программное обеспечение, требующееся для функционирования системы, СУБД) с использованием удаленного доступа к программно-аппаратным средствам Заказчика посредством сети Интернет Исполнитель должен использовать программное средство защиты каналов связи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VipNet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Client и VPN-подключение к сети Заказчика. Заказчик предоставляет Исполнителю защищенную паролем учетную запись пользователя с необходимыми правами для оказания услуг. 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Объём услуг неограничен.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8"/>
        <w:spacing w:line="240" w:lineRule="auto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pStyle w:val="913"/>
        <w:numPr>
          <w:ilvl w:val="3"/>
          <w:numId w:val="4"/>
        </w:numPr>
        <w:contextualSpacing w:val="0"/>
        <w:ind w:left="0" w:firstLine="709"/>
        <w:jc w:val="both"/>
        <w:spacing w:after="0" w:line="17" w:lineRule="atLeast"/>
        <w:tabs>
          <w:tab w:val="left" w:pos="1134" w:leader="none"/>
          <w:tab w:val="left" w:pos="1276" w:leader="none"/>
          <w:tab w:val="left" w:pos="1418" w:leader="none"/>
          <w:tab w:val="left" w:pos="1560" w:leader="none"/>
        </w:tabs>
        <w:rPr>
          <w:rFonts w:ascii="Liberation Sans" w:hAnsi="Liberation Sans" w:eastAsia="Liberation Sans" w:cs="Liberation Sans"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</w:rPr>
        <w:t xml:space="preserve"> </w:t>
      </w:r>
      <w:r>
        <w:rPr>
          <w:rFonts w:ascii="Liberation Sans" w:hAnsi="Liberation Sans" w:eastAsia="Liberation Sans" w:cs="Liberation Sans"/>
          <w:bCs/>
          <w:iCs/>
          <w:sz w:val="24"/>
          <w:szCs w:val="24"/>
          <w:lang w:eastAsia="ru-RU"/>
        </w:rPr>
        <w:t xml:space="preserve">Предоставление технического сопровождения Системы (регламентные услуги) </w:t>
      </w:r>
      <w:r>
        <w:rPr>
          <w:rFonts w:ascii="Liberation Sans" w:hAnsi="Liberation Sans" w:eastAsia="Liberation Sans" w:cs="Liberation Sans"/>
          <w:bCs/>
          <w:iCs/>
          <w:sz w:val="24"/>
          <w:szCs w:val="24"/>
          <w:lang w:eastAsia="ru-RU"/>
        </w:rPr>
        <w:t xml:space="preserve">на территории Заказчика, а также с использованием удаленного доступа к программно-аппаратным средствам посредством сети Интернет при наличии каких-либо ограничений с предварительным согласованием с Заказчиком такого способа оказания услуг, включает в себя:</w:t>
      </w:r>
      <w:r>
        <w:rPr>
          <w:rFonts w:ascii="Liberation Sans" w:hAnsi="Liberation Sans" w:eastAsia="Liberation Sans" w:cs="Liberation Sans"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</w:rPr>
        <w:t xml:space="preserve">­</w:t>
      </w:r>
      <w:r>
        <w:rPr>
          <w:rFonts w:ascii="Liberation Sans" w:hAnsi="Liberation Sans" w:eastAsia="Liberation Sans" w:cs="Liberation Sans"/>
        </w:rPr>
        <w:tab/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выполнение настроек базового ПО и Системы, обеспечивающих оптимизацию работы Системы в текущей конфигурации сервера приложений;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оказание услуг по анализу и оптимизации базового и специального ПО (программное обеспечение Системы, включая отдельные компоненты, модули и настроечные файлы) и Системы;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подготовку и направление рекомендаций по вопросам эксплуатации базового и специального ПО и Системы; 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мониторинг, проверку и анализ настроек сервисных функций Системы в целом и ее подсистем, находящихся на техническом сопровождении; 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настройки с целью оптимизации сервисных агентов в Системе;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обучение различных категорий пользователей;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­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ab/>
        <w:t xml:space="preserve">обновление версий внешних программ Системы и доработка Системы.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8"/>
        <w:spacing w:line="240" w:lineRule="auto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pStyle w:val="913"/>
        <w:numPr>
          <w:ilvl w:val="3"/>
          <w:numId w:val="4"/>
        </w:numPr>
        <w:contextualSpacing w:val="0"/>
        <w:ind w:left="0" w:firstLine="709"/>
        <w:jc w:val="both"/>
        <w:spacing w:after="0" w:line="17" w:lineRule="atLeast"/>
        <w:tabs>
          <w:tab w:val="left" w:pos="1134" w:leader="none"/>
          <w:tab w:val="left" w:pos="1276" w:leader="none"/>
          <w:tab w:val="left" w:pos="1418" w:leader="none"/>
          <w:tab w:val="left" w:pos="1560" w:leader="none"/>
        </w:tabs>
        <w:rPr>
          <w:rFonts w:ascii="Liberation Sans" w:hAnsi="Liberation Sans" w:eastAsia="Liberation Sans" w:cs="Liberation Sans"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Cs/>
          <w:iCs/>
          <w:sz w:val="24"/>
          <w:szCs w:val="24"/>
          <w:lang w:eastAsia="ru-RU"/>
        </w:rPr>
        <w:t xml:space="preserve">Услуги по лицензированию внешнего картографического сервиса «Яндекс-карты» с учётом тарифа с расширенной лицензией для сохранения результатов ответов API, с возможностью отправки до 1000 запросов в сутки.</w:t>
      </w:r>
      <w:r>
        <w:rPr>
          <w:rFonts w:ascii="Liberation Sans" w:hAnsi="Liberation Sans" w:eastAsia="Liberation Sans" w:cs="Liberation Sans"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iCs/>
          <w:sz w:val="24"/>
          <w:szCs w:val="24"/>
        </w:rPr>
      </w:r>
    </w:p>
    <w:p>
      <w:pPr>
        <w:pStyle w:val="913"/>
        <w:contextualSpacing w:val="0"/>
        <w:ind w:left="1418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13"/>
        <w:numPr>
          <w:ilvl w:val="2"/>
          <w:numId w:val="4"/>
        </w:numPr>
        <w:contextualSpacing w:val="0"/>
        <w:ind w:left="1418" w:hanging="709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 Результаты оказанных услуг по технической поддержке Системы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  <w:lang w:eastAsia="ru-RU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Обработка запросов и их исполнение выполняется с 08:30 до 18:00 по рабочим дням, установленным федеральным законодательством, по местному времени Заказчика. Услуги по технической поддержке Системы, проводимые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Исполнителем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должны обеспечить бесперебойную работоспособность Системы с 08:30 до 18:00 по рабочим дням, установленным федеральным законодательством, по местному времени Заказчика. Плановые и технические работы в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ыполняются вне рабочего времени Заказчика. Исполнитель для обеспечения бесперебойной работоспособности и высокой производительности Системы, по согласованию с Заказчиком, может применять программные продукты сторонних производителей с обеспечением полной п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атентной (лицензионной) чистоты решения в целом, включая лицензирование системного и дополнительного программного обеспечения. Программные продукты сторонних производителей, в случае их применения, Исполнитель предоставляет без оплаты со стороны Заказчика.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5859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964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343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firstLine="360"/>
      </w:pPr>
      <w:rPr>
        <w:rFonts w:cs="Times New Roman"/>
        <w:strike w:val="0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firstLine="1080"/>
      </w:pPr>
      <w:rPr>
        <w:rFonts w:cs="Times New Roman"/>
        <w:strike w:val="0"/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firstLine="1800"/>
      </w:pPr>
      <w:rPr>
        <w:rFonts w:cs="Times New Roman"/>
        <w:strike w:val="0"/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firstLine="2520"/>
      </w:pPr>
      <w:rPr>
        <w:rFonts w:cs="Times New Roman"/>
        <w:strike w:val="0"/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firstLine="3240"/>
      </w:pPr>
      <w:rPr>
        <w:rFonts w:cs="Times New Roman"/>
        <w:strike w:val="0"/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firstLine="3960"/>
      </w:pPr>
      <w:rPr>
        <w:rFonts w:cs="Times New Roman"/>
        <w:strike w:val="0"/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firstLine="4680"/>
      </w:pPr>
      <w:rPr>
        <w:rFonts w:cs="Times New Roman"/>
        <w:strike w:val="0"/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firstLine="5400"/>
      </w:pPr>
      <w:rPr>
        <w:rFonts w:cs="Times New Roman"/>
        <w:strike w:val="0"/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firstLine="6120"/>
      </w:pPr>
      <w:rPr>
        <w:rFonts w:cs="Times New Roman"/>
        <w:strike w:val="0"/>
        <w:u w:val="none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637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4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859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793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964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171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3431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504" w:hanging="180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cs="Times New Roman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214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68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8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30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28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4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6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88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908" w:hanging="360"/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5859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964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343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637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4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859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793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964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171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3431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504" w:hanging="1800"/>
      </w:pPr>
    </w:lvl>
  </w:abstractNum>
  <w:abstractNum w:abstractNumId="17">
    <w:multiLevelType w:val="hybridMultilevel"/>
    <w:lvl w:ilvl="0">
      <w:start w:val="5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7"/>
  </w:num>
  <w:num w:numId="2">
    <w:abstractNumId w:val="14"/>
  </w:num>
  <w:num w:numId="3">
    <w:abstractNumId w:val="5"/>
  </w:num>
  <w:num w:numId="4">
    <w:abstractNumId w:val="20"/>
  </w:num>
  <w:num w:numId="5">
    <w:abstractNumId w:val="13"/>
  </w:num>
  <w:num w:numId="6">
    <w:abstractNumId w:val="4"/>
  </w:num>
  <w:num w:numId="7">
    <w:abstractNumId w:val="12"/>
  </w:num>
  <w:num w:numId="8">
    <w:abstractNumId w:val="15"/>
  </w:num>
  <w:num w:numId="9">
    <w:abstractNumId w:val="3"/>
  </w:num>
  <w:num w:numId="10">
    <w:abstractNumId w:val="1"/>
  </w:num>
  <w:num w:numId="11">
    <w:abstractNumId w:val="6"/>
  </w:num>
  <w:num w:numId="12">
    <w:abstractNumId w:val="16"/>
  </w:num>
  <w:num w:numId="13">
    <w:abstractNumId w:val="19"/>
  </w:num>
  <w:num w:numId="14">
    <w:abstractNumId w:val="8"/>
  </w:num>
  <w:num w:numId="15">
    <w:abstractNumId w:val="0"/>
  </w:num>
  <w:num w:numId="16">
    <w:abstractNumId w:val="9"/>
  </w:num>
  <w:num w:numId="17">
    <w:abstractNumId w:val="18"/>
  </w:num>
  <w:num w:numId="18">
    <w:abstractNumId w:val="2"/>
  </w:num>
  <w:num w:numId="19">
    <w:abstractNumId w:val="10"/>
  </w:num>
  <w:num w:numId="20">
    <w:abstractNumId w:val="1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68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6" w:default="1">
    <w:name w:val="Normal"/>
    <w:qFormat/>
  </w:style>
  <w:style w:type="paragraph" w:styleId="697">
    <w:name w:val="Heading 1"/>
    <w:basedOn w:val="696"/>
    <w:next w:val="696"/>
    <w:link w:val="745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8">
    <w:name w:val="Heading 2"/>
    <w:basedOn w:val="696"/>
    <w:next w:val="696"/>
    <w:link w:val="746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9">
    <w:name w:val="Heading 3"/>
    <w:basedOn w:val="696"/>
    <w:next w:val="696"/>
    <w:link w:val="747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0">
    <w:name w:val="Heading 4"/>
    <w:basedOn w:val="696"/>
    <w:next w:val="696"/>
    <w:link w:val="748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1">
    <w:name w:val="Heading 5"/>
    <w:basedOn w:val="696"/>
    <w:next w:val="696"/>
    <w:link w:val="749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696"/>
    <w:next w:val="696"/>
    <w:link w:val="750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3">
    <w:name w:val="Heading 7"/>
    <w:basedOn w:val="696"/>
    <w:next w:val="696"/>
    <w:link w:val="751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4">
    <w:name w:val="Heading 8"/>
    <w:basedOn w:val="696"/>
    <w:next w:val="696"/>
    <w:link w:val="752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5">
    <w:name w:val="Heading 9"/>
    <w:basedOn w:val="696"/>
    <w:next w:val="696"/>
    <w:link w:val="75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6" w:default="1">
    <w:name w:val="Default Paragraph Font"/>
    <w:uiPriority w:val="1"/>
    <w:semiHidden/>
    <w:unhideWhenUsed/>
  </w:style>
  <w:style w:type="table" w:styleId="70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8" w:default="1">
    <w:name w:val="No List"/>
    <w:uiPriority w:val="99"/>
    <w:semiHidden/>
    <w:unhideWhenUsed/>
  </w:style>
  <w:style w:type="table" w:styleId="709">
    <w:name w:val="Plain Table 1"/>
    <w:basedOn w:val="70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2"/>
    <w:basedOn w:val="70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3"/>
    <w:basedOn w:val="7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7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7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2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70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5 Dark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19">
    <w:name w:val="Grid Table 6 Colorful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20">
    <w:name w:val="Grid Table 7 Colorful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List Table 1 Light"/>
    <w:basedOn w:val="7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2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23">
    <w:name w:val="List Table 3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List Table 4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List Table 5 Dark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26">
    <w:name w:val="List Table 6 Colorful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27">
    <w:name w:val="List Table 7 Colorful"/>
    <w:basedOn w:val="70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28" w:customStyle="1">
    <w:name w:val="Heading 1 Char"/>
    <w:basedOn w:val="706"/>
    <w:uiPriority w:val="9"/>
    <w:rPr>
      <w:rFonts w:ascii="Arial" w:hAnsi="Arial" w:eastAsia="Arial" w:cs="Arial"/>
      <w:sz w:val="40"/>
      <w:szCs w:val="40"/>
    </w:rPr>
  </w:style>
  <w:style w:type="character" w:styleId="729" w:customStyle="1">
    <w:name w:val="Heading 2 Char"/>
    <w:basedOn w:val="706"/>
    <w:uiPriority w:val="9"/>
    <w:rPr>
      <w:rFonts w:ascii="Arial" w:hAnsi="Arial" w:eastAsia="Arial" w:cs="Arial"/>
      <w:sz w:val="34"/>
    </w:rPr>
  </w:style>
  <w:style w:type="character" w:styleId="730" w:customStyle="1">
    <w:name w:val="Heading 3 Char"/>
    <w:basedOn w:val="706"/>
    <w:uiPriority w:val="9"/>
    <w:rPr>
      <w:rFonts w:ascii="Arial" w:hAnsi="Arial" w:eastAsia="Arial" w:cs="Arial"/>
      <w:sz w:val="30"/>
      <w:szCs w:val="30"/>
    </w:rPr>
  </w:style>
  <w:style w:type="character" w:styleId="731" w:customStyle="1">
    <w:name w:val="Heading 4 Char"/>
    <w:basedOn w:val="706"/>
    <w:uiPriority w:val="9"/>
    <w:rPr>
      <w:rFonts w:ascii="Arial" w:hAnsi="Arial" w:eastAsia="Arial" w:cs="Arial"/>
      <w:b/>
      <w:bCs/>
      <w:sz w:val="26"/>
      <w:szCs w:val="26"/>
    </w:rPr>
  </w:style>
  <w:style w:type="character" w:styleId="732" w:customStyle="1">
    <w:name w:val="Heading 5 Char"/>
    <w:basedOn w:val="706"/>
    <w:uiPriority w:val="9"/>
    <w:rPr>
      <w:rFonts w:ascii="Arial" w:hAnsi="Arial" w:eastAsia="Arial" w:cs="Arial"/>
      <w:b/>
      <w:bCs/>
      <w:sz w:val="24"/>
      <w:szCs w:val="24"/>
    </w:rPr>
  </w:style>
  <w:style w:type="character" w:styleId="733" w:customStyle="1">
    <w:name w:val="Heading 6 Char"/>
    <w:basedOn w:val="706"/>
    <w:uiPriority w:val="9"/>
    <w:rPr>
      <w:rFonts w:ascii="Arial" w:hAnsi="Arial" w:eastAsia="Arial" w:cs="Arial"/>
      <w:b/>
      <w:bCs/>
      <w:sz w:val="22"/>
      <w:szCs w:val="22"/>
    </w:rPr>
  </w:style>
  <w:style w:type="character" w:styleId="734" w:customStyle="1">
    <w:name w:val="Heading 7 Char"/>
    <w:basedOn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5" w:customStyle="1">
    <w:name w:val="Heading 8 Char"/>
    <w:basedOn w:val="706"/>
    <w:uiPriority w:val="9"/>
    <w:rPr>
      <w:rFonts w:ascii="Arial" w:hAnsi="Arial" w:eastAsia="Arial" w:cs="Arial"/>
      <w:i/>
      <w:iCs/>
      <w:sz w:val="22"/>
      <w:szCs w:val="22"/>
    </w:rPr>
  </w:style>
  <w:style w:type="character" w:styleId="736" w:customStyle="1">
    <w:name w:val="Heading 9 Char"/>
    <w:basedOn w:val="706"/>
    <w:uiPriority w:val="9"/>
    <w:rPr>
      <w:rFonts w:ascii="Arial" w:hAnsi="Arial" w:eastAsia="Arial" w:cs="Arial"/>
      <w:i/>
      <w:iCs/>
      <w:sz w:val="21"/>
      <w:szCs w:val="21"/>
    </w:rPr>
  </w:style>
  <w:style w:type="character" w:styleId="737" w:customStyle="1">
    <w:name w:val="Title Char"/>
    <w:basedOn w:val="706"/>
    <w:uiPriority w:val="10"/>
    <w:rPr>
      <w:sz w:val="48"/>
      <w:szCs w:val="48"/>
    </w:rPr>
  </w:style>
  <w:style w:type="character" w:styleId="738" w:customStyle="1">
    <w:name w:val="Subtitle Char"/>
    <w:basedOn w:val="706"/>
    <w:uiPriority w:val="11"/>
    <w:rPr>
      <w:sz w:val="24"/>
      <w:szCs w:val="24"/>
    </w:rPr>
  </w:style>
  <w:style w:type="character" w:styleId="739" w:customStyle="1">
    <w:name w:val="Quote Char"/>
    <w:uiPriority w:val="29"/>
    <w:rPr>
      <w:i/>
    </w:rPr>
  </w:style>
  <w:style w:type="character" w:styleId="740" w:customStyle="1">
    <w:name w:val="Intense Quote Char"/>
    <w:uiPriority w:val="30"/>
    <w:rPr>
      <w:i/>
    </w:rPr>
  </w:style>
  <w:style w:type="character" w:styleId="741" w:customStyle="1">
    <w:name w:val="Header Char"/>
    <w:basedOn w:val="706"/>
    <w:uiPriority w:val="99"/>
  </w:style>
  <w:style w:type="character" w:styleId="742" w:customStyle="1">
    <w:name w:val="Caption Char"/>
    <w:uiPriority w:val="99"/>
  </w:style>
  <w:style w:type="character" w:styleId="743" w:customStyle="1">
    <w:name w:val="Footnote Text Char"/>
    <w:uiPriority w:val="99"/>
    <w:rPr>
      <w:sz w:val="18"/>
    </w:rPr>
  </w:style>
  <w:style w:type="character" w:styleId="744" w:customStyle="1">
    <w:name w:val="Endnote Text Char"/>
    <w:uiPriority w:val="99"/>
    <w:rPr>
      <w:sz w:val="20"/>
    </w:rPr>
  </w:style>
  <w:style w:type="character" w:styleId="745" w:customStyle="1">
    <w:name w:val="Заголовок 1 Знак"/>
    <w:link w:val="697"/>
    <w:uiPriority w:val="9"/>
    <w:rPr>
      <w:rFonts w:ascii="Arial" w:hAnsi="Arial" w:eastAsia="Arial" w:cs="Arial"/>
      <w:sz w:val="40"/>
      <w:szCs w:val="40"/>
    </w:rPr>
  </w:style>
  <w:style w:type="character" w:styleId="746" w:customStyle="1">
    <w:name w:val="Заголовок 2 Знак"/>
    <w:link w:val="698"/>
    <w:uiPriority w:val="9"/>
    <w:rPr>
      <w:rFonts w:ascii="Arial" w:hAnsi="Arial" w:eastAsia="Arial" w:cs="Arial"/>
      <w:sz w:val="34"/>
    </w:rPr>
  </w:style>
  <w:style w:type="character" w:styleId="747" w:customStyle="1">
    <w:name w:val="Заголовок 3 Знак"/>
    <w:link w:val="699"/>
    <w:uiPriority w:val="9"/>
    <w:rPr>
      <w:rFonts w:ascii="Arial" w:hAnsi="Arial" w:eastAsia="Arial" w:cs="Arial"/>
      <w:sz w:val="30"/>
      <w:szCs w:val="30"/>
    </w:rPr>
  </w:style>
  <w:style w:type="character" w:styleId="748" w:customStyle="1">
    <w:name w:val="Заголовок 4 Знак"/>
    <w:link w:val="700"/>
    <w:uiPriority w:val="9"/>
    <w:rPr>
      <w:rFonts w:ascii="Arial" w:hAnsi="Arial" w:eastAsia="Arial" w:cs="Arial"/>
      <w:b/>
      <w:bCs/>
      <w:sz w:val="26"/>
      <w:szCs w:val="26"/>
    </w:rPr>
  </w:style>
  <w:style w:type="character" w:styleId="749" w:customStyle="1">
    <w:name w:val="Заголовок 5 Знак"/>
    <w:link w:val="701"/>
    <w:uiPriority w:val="9"/>
    <w:rPr>
      <w:rFonts w:ascii="Arial" w:hAnsi="Arial" w:eastAsia="Arial" w:cs="Arial"/>
      <w:b/>
      <w:bCs/>
      <w:sz w:val="24"/>
      <w:szCs w:val="24"/>
    </w:rPr>
  </w:style>
  <w:style w:type="character" w:styleId="750" w:customStyle="1">
    <w:name w:val="Заголовок 6 Знак"/>
    <w:link w:val="702"/>
    <w:uiPriority w:val="9"/>
    <w:rPr>
      <w:rFonts w:ascii="Arial" w:hAnsi="Arial" w:eastAsia="Arial" w:cs="Arial"/>
      <w:b/>
      <w:bCs/>
      <w:sz w:val="22"/>
      <w:szCs w:val="22"/>
    </w:rPr>
  </w:style>
  <w:style w:type="character" w:styleId="751" w:customStyle="1">
    <w:name w:val="Заголовок 7 Знак"/>
    <w:link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2" w:customStyle="1">
    <w:name w:val="Заголовок 8 Знак"/>
    <w:link w:val="704"/>
    <w:uiPriority w:val="9"/>
    <w:rPr>
      <w:rFonts w:ascii="Arial" w:hAnsi="Arial" w:eastAsia="Arial" w:cs="Arial"/>
      <w:i/>
      <w:iCs/>
      <w:sz w:val="22"/>
      <w:szCs w:val="22"/>
    </w:rPr>
  </w:style>
  <w:style w:type="character" w:styleId="753" w:customStyle="1">
    <w:name w:val="Заголовок 9 Знак"/>
    <w:link w:val="705"/>
    <w:uiPriority w:val="9"/>
    <w:rPr>
      <w:rFonts w:ascii="Arial" w:hAnsi="Arial" w:eastAsia="Arial" w:cs="Arial"/>
      <w:i/>
      <w:iCs/>
      <w:sz w:val="21"/>
      <w:szCs w:val="21"/>
    </w:rPr>
  </w:style>
  <w:style w:type="paragraph" w:styleId="754">
    <w:name w:val="Title"/>
    <w:basedOn w:val="696"/>
    <w:next w:val="696"/>
    <w:link w:val="755"/>
    <w:uiPriority w:val="10"/>
    <w:qFormat/>
    <w:pPr>
      <w:contextualSpacing/>
      <w:spacing w:before="300"/>
    </w:pPr>
    <w:rPr>
      <w:sz w:val="48"/>
      <w:szCs w:val="48"/>
    </w:rPr>
  </w:style>
  <w:style w:type="character" w:styleId="755" w:customStyle="1">
    <w:name w:val="Заголовок Знак"/>
    <w:link w:val="754"/>
    <w:uiPriority w:val="10"/>
    <w:rPr>
      <w:sz w:val="48"/>
      <w:szCs w:val="48"/>
    </w:rPr>
  </w:style>
  <w:style w:type="paragraph" w:styleId="756">
    <w:name w:val="Subtitle"/>
    <w:basedOn w:val="696"/>
    <w:next w:val="696"/>
    <w:link w:val="757"/>
    <w:uiPriority w:val="11"/>
    <w:qFormat/>
    <w:pPr>
      <w:spacing w:before="200"/>
    </w:pPr>
    <w:rPr>
      <w:sz w:val="24"/>
      <w:szCs w:val="24"/>
    </w:rPr>
  </w:style>
  <w:style w:type="character" w:styleId="757" w:customStyle="1">
    <w:name w:val="Подзаголовок Знак"/>
    <w:link w:val="756"/>
    <w:uiPriority w:val="11"/>
    <w:rPr>
      <w:sz w:val="24"/>
      <w:szCs w:val="24"/>
    </w:rPr>
  </w:style>
  <w:style w:type="paragraph" w:styleId="758">
    <w:name w:val="Quote"/>
    <w:basedOn w:val="696"/>
    <w:next w:val="696"/>
    <w:link w:val="759"/>
    <w:uiPriority w:val="29"/>
    <w:qFormat/>
    <w:pPr>
      <w:ind w:left="720" w:right="720"/>
    </w:pPr>
    <w:rPr>
      <w:i/>
    </w:rPr>
  </w:style>
  <w:style w:type="character" w:styleId="759" w:customStyle="1">
    <w:name w:val="Цитата 2 Знак"/>
    <w:link w:val="758"/>
    <w:uiPriority w:val="29"/>
    <w:rPr>
      <w:i/>
    </w:rPr>
  </w:style>
  <w:style w:type="paragraph" w:styleId="760">
    <w:name w:val="Intense Quote"/>
    <w:basedOn w:val="696"/>
    <w:next w:val="696"/>
    <w:link w:val="76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1" w:customStyle="1">
    <w:name w:val="Выделенная цитата Знак"/>
    <w:link w:val="760"/>
    <w:uiPriority w:val="30"/>
    <w:rPr>
      <w:i/>
    </w:rPr>
  </w:style>
  <w:style w:type="paragraph" w:styleId="762">
    <w:name w:val="Header"/>
    <w:basedOn w:val="696"/>
    <w:link w:val="7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3" w:customStyle="1">
    <w:name w:val="Верхний колонтитул Знак"/>
    <w:link w:val="762"/>
    <w:uiPriority w:val="99"/>
  </w:style>
  <w:style w:type="paragraph" w:styleId="764">
    <w:name w:val="Footer"/>
    <w:basedOn w:val="696"/>
    <w:link w:val="7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5" w:customStyle="1">
    <w:name w:val="Footer Char"/>
    <w:uiPriority w:val="99"/>
  </w:style>
  <w:style w:type="paragraph" w:styleId="766">
    <w:name w:val="Caption"/>
    <w:basedOn w:val="696"/>
    <w:next w:val="696"/>
    <w:link w:val="742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67" w:customStyle="1">
    <w:name w:val="Нижний колонтитул Знак"/>
    <w:link w:val="764"/>
    <w:uiPriority w:val="99"/>
  </w:style>
  <w:style w:type="table" w:styleId="768">
    <w:name w:val="Table Grid"/>
    <w:basedOn w:val="70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69" w:customStyle="1">
    <w:name w:val="Table Grid Light"/>
    <w:basedOn w:val="70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0" w:customStyle="1">
    <w:name w:val="Таблица простая 11"/>
    <w:basedOn w:val="70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1" w:customStyle="1">
    <w:name w:val="Таблица простая 21"/>
    <w:basedOn w:val="70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2" w:customStyle="1">
    <w:name w:val="Таблица простая 31"/>
    <w:basedOn w:val="7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3" w:customStyle="1">
    <w:name w:val="Таблица простая 41"/>
    <w:basedOn w:val="7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Таблица простая 51"/>
    <w:basedOn w:val="7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5" w:customStyle="1">
    <w:name w:val="Таблица-сетка 1 светлая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Таблица-сетка 2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2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3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4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5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6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Таблица-сетка 3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2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3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4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5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6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Таблица-сетка 41"/>
    <w:basedOn w:val="70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7" w:customStyle="1">
    <w:name w:val="Grid Table 4 - Accent 1"/>
    <w:basedOn w:val="70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98" w:customStyle="1">
    <w:name w:val="Grid Table 4 - Accent 2"/>
    <w:basedOn w:val="70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99" w:customStyle="1">
    <w:name w:val="Grid Table 4 - Accent 3"/>
    <w:basedOn w:val="70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0" w:customStyle="1">
    <w:name w:val="Grid Table 4 - Accent 4"/>
    <w:basedOn w:val="70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1" w:customStyle="1">
    <w:name w:val="Grid Table 4 - Accent 5"/>
    <w:basedOn w:val="70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02" w:customStyle="1">
    <w:name w:val="Grid Table 4 - Accent 6"/>
    <w:basedOn w:val="70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3" w:customStyle="1">
    <w:name w:val="Таблица-сетка 5 темная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- Accent 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- Accent 4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0" w:customStyle="1">
    <w:name w:val="Таблица-сетка 6 цветная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1" w:customStyle="1">
    <w:name w:val="Grid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12" w:customStyle="1">
    <w:name w:val="Grid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3" w:customStyle="1">
    <w:name w:val="Grid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4" w:customStyle="1">
    <w:name w:val="Grid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5" w:customStyle="1">
    <w:name w:val="Grid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6" w:customStyle="1">
    <w:name w:val="Grid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7" w:customStyle="1">
    <w:name w:val="Таблица-сетка 7 цветная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Grid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Grid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Grid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Grid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Grid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Grid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Список-таблица 1 светлая1"/>
    <w:basedOn w:val="7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1"/>
    <w:basedOn w:val="7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2"/>
    <w:basedOn w:val="7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3"/>
    <w:basedOn w:val="7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4"/>
    <w:basedOn w:val="7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5"/>
    <w:basedOn w:val="7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6"/>
    <w:basedOn w:val="7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Список-таблица 2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2" w:customStyle="1">
    <w:name w:val="List Table 2 - Accent 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2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3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4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5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6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38" w:customStyle="1">
    <w:name w:val="Список-таблица 3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2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3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4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5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6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Список-таблица 4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2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3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4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5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6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Список-таблица 5 темная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3" w:customStyle="1">
    <w:name w:val="List Table 5 Dark - Accent 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 w:customStyle="1">
    <w:name w:val="List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6" w:customStyle="1">
    <w:name w:val="List Table 5 Dark - Accent 4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Список-таблица 6 цветная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0" w:customStyle="1">
    <w:name w:val="List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61" w:customStyle="1">
    <w:name w:val="List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2" w:customStyle="1">
    <w:name w:val="List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3" w:customStyle="1">
    <w:name w:val="List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4" w:customStyle="1">
    <w:name w:val="List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65" w:customStyle="1">
    <w:name w:val="List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66" w:customStyle="1">
    <w:name w:val="Список-таблица 7 цветная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7" w:customStyle="1">
    <w:name w:val="List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8" w:customStyle="1">
    <w:name w:val="List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9" w:customStyle="1">
    <w:name w:val="List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0" w:customStyle="1">
    <w:name w:val="List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1" w:customStyle="1">
    <w:name w:val="List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2" w:customStyle="1">
    <w:name w:val="List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3" w:customStyle="1">
    <w:name w:val="Lined - Accent"/>
    <w:basedOn w:val="70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4" w:customStyle="1">
    <w:name w:val="Lined - Accent 1"/>
    <w:basedOn w:val="70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5" w:customStyle="1">
    <w:name w:val="Lined - Accent 2"/>
    <w:basedOn w:val="70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6" w:customStyle="1">
    <w:name w:val="Lined - Accent 3"/>
    <w:basedOn w:val="70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7" w:customStyle="1">
    <w:name w:val="Lined - Accent 4"/>
    <w:basedOn w:val="70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8" w:customStyle="1">
    <w:name w:val="Lined - Accent 5"/>
    <w:basedOn w:val="70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9" w:customStyle="1">
    <w:name w:val="Lined - Accent 6"/>
    <w:basedOn w:val="70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0" w:customStyle="1">
    <w:name w:val="Bordered &amp; Lined - Accent"/>
    <w:basedOn w:val="70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1" w:customStyle="1">
    <w:name w:val="Bordered &amp; Lined - Accent 1"/>
    <w:basedOn w:val="70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2" w:customStyle="1">
    <w:name w:val="Bordered &amp; Lined - Accent 2"/>
    <w:basedOn w:val="70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3" w:customStyle="1">
    <w:name w:val="Bordered &amp; Lined - Accent 3"/>
    <w:basedOn w:val="70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4" w:customStyle="1">
    <w:name w:val="Bordered &amp; Lined - Accent 4"/>
    <w:basedOn w:val="70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5" w:customStyle="1">
    <w:name w:val="Bordered &amp; Lined - Accent 5"/>
    <w:basedOn w:val="70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6" w:customStyle="1">
    <w:name w:val="Bordered &amp; Lined - Accent 6"/>
    <w:basedOn w:val="70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7" w:customStyle="1">
    <w:name w:val="Bordered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8" w:customStyle="1">
    <w:name w:val="Bordered - Accent 1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89" w:customStyle="1">
    <w:name w:val="Bordered - Accent 2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0" w:customStyle="1">
    <w:name w:val="Bordered - Accent 3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1" w:customStyle="1">
    <w:name w:val="Bordered - Accent 4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2" w:customStyle="1">
    <w:name w:val="Bordered - Accent 5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93" w:customStyle="1">
    <w:name w:val="Bordered - Accent 6"/>
    <w:basedOn w:val="7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94">
    <w:name w:val="Hyperlink"/>
    <w:uiPriority w:val="99"/>
    <w:unhideWhenUsed/>
    <w:rPr>
      <w:color w:val="0563c1" w:themeColor="hyperlink"/>
      <w:u w:val="single"/>
    </w:rPr>
  </w:style>
  <w:style w:type="paragraph" w:styleId="895">
    <w:name w:val="footnote text"/>
    <w:basedOn w:val="696"/>
    <w:link w:val="896"/>
    <w:uiPriority w:val="99"/>
    <w:semiHidden/>
    <w:unhideWhenUsed/>
    <w:pPr>
      <w:spacing w:after="40" w:line="240" w:lineRule="auto"/>
    </w:pPr>
    <w:rPr>
      <w:sz w:val="18"/>
    </w:rPr>
  </w:style>
  <w:style w:type="character" w:styleId="896" w:customStyle="1">
    <w:name w:val="Текст сноски Знак"/>
    <w:link w:val="895"/>
    <w:uiPriority w:val="99"/>
    <w:rPr>
      <w:sz w:val="18"/>
    </w:rPr>
  </w:style>
  <w:style w:type="character" w:styleId="897">
    <w:name w:val="footnote reference"/>
    <w:uiPriority w:val="99"/>
    <w:unhideWhenUsed/>
    <w:rPr>
      <w:vertAlign w:val="superscript"/>
    </w:rPr>
  </w:style>
  <w:style w:type="paragraph" w:styleId="898">
    <w:name w:val="endnote text"/>
    <w:basedOn w:val="696"/>
    <w:link w:val="899"/>
    <w:uiPriority w:val="99"/>
    <w:semiHidden/>
    <w:unhideWhenUsed/>
    <w:pPr>
      <w:spacing w:after="0" w:line="240" w:lineRule="auto"/>
    </w:pPr>
    <w:rPr>
      <w:sz w:val="20"/>
    </w:rPr>
  </w:style>
  <w:style w:type="character" w:styleId="899" w:customStyle="1">
    <w:name w:val="Текст концевой сноски Знак"/>
    <w:link w:val="898"/>
    <w:uiPriority w:val="99"/>
    <w:rPr>
      <w:sz w:val="20"/>
    </w:rPr>
  </w:style>
  <w:style w:type="character" w:styleId="900">
    <w:name w:val="endnote reference"/>
    <w:uiPriority w:val="99"/>
    <w:semiHidden/>
    <w:unhideWhenUsed/>
    <w:rPr>
      <w:vertAlign w:val="superscript"/>
    </w:rPr>
  </w:style>
  <w:style w:type="paragraph" w:styleId="901">
    <w:name w:val="toc 1"/>
    <w:basedOn w:val="696"/>
    <w:next w:val="696"/>
    <w:uiPriority w:val="39"/>
    <w:unhideWhenUsed/>
    <w:pPr>
      <w:spacing w:after="57"/>
    </w:pPr>
  </w:style>
  <w:style w:type="paragraph" w:styleId="902">
    <w:name w:val="toc 2"/>
    <w:basedOn w:val="696"/>
    <w:next w:val="696"/>
    <w:uiPriority w:val="39"/>
    <w:unhideWhenUsed/>
    <w:pPr>
      <w:ind w:left="283"/>
      <w:spacing w:after="57"/>
    </w:pPr>
  </w:style>
  <w:style w:type="paragraph" w:styleId="903">
    <w:name w:val="toc 3"/>
    <w:basedOn w:val="696"/>
    <w:next w:val="696"/>
    <w:uiPriority w:val="39"/>
    <w:unhideWhenUsed/>
    <w:pPr>
      <w:ind w:left="567"/>
      <w:spacing w:after="57"/>
    </w:pPr>
  </w:style>
  <w:style w:type="paragraph" w:styleId="904">
    <w:name w:val="toc 4"/>
    <w:basedOn w:val="696"/>
    <w:next w:val="696"/>
    <w:uiPriority w:val="39"/>
    <w:unhideWhenUsed/>
    <w:pPr>
      <w:ind w:left="850"/>
      <w:spacing w:after="57"/>
    </w:pPr>
  </w:style>
  <w:style w:type="paragraph" w:styleId="905">
    <w:name w:val="toc 5"/>
    <w:basedOn w:val="696"/>
    <w:next w:val="696"/>
    <w:uiPriority w:val="39"/>
    <w:unhideWhenUsed/>
    <w:pPr>
      <w:ind w:left="1134"/>
      <w:spacing w:after="57"/>
    </w:pPr>
  </w:style>
  <w:style w:type="paragraph" w:styleId="906">
    <w:name w:val="toc 6"/>
    <w:basedOn w:val="696"/>
    <w:next w:val="696"/>
    <w:uiPriority w:val="39"/>
    <w:unhideWhenUsed/>
    <w:pPr>
      <w:ind w:left="1417"/>
      <w:spacing w:after="57"/>
    </w:pPr>
  </w:style>
  <w:style w:type="paragraph" w:styleId="907">
    <w:name w:val="toc 7"/>
    <w:basedOn w:val="696"/>
    <w:next w:val="696"/>
    <w:uiPriority w:val="39"/>
    <w:unhideWhenUsed/>
    <w:pPr>
      <w:ind w:left="1701"/>
      <w:spacing w:after="57"/>
    </w:pPr>
  </w:style>
  <w:style w:type="paragraph" w:styleId="908">
    <w:name w:val="toc 8"/>
    <w:basedOn w:val="696"/>
    <w:next w:val="696"/>
    <w:uiPriority w:val="39"/>
    <w:unhideWhenUsed/>
    <w:pPr>
      <w:ind w:left="1984"/>
      <w:spacing w:after="57"/>
    </w:pPr>
  </w:style>
  <w:style w:type="paragraph" w:styleId="909">
    <w:name w:val="toc 9"/>
    <w:basedOn w:val="696"/>
    <w:next w:val="696"/>
    <w:uiPriority w:val="39"/>
    <w:unhideWhenUsed/>
    <w:pPr>
      <w:ind w:left="2268"/>
      <w:spacing w:after="57"/>
    </w:pPr>
  </w:style>
  <w:style w:type="paragraph" w:styleId="910">
    <w:name w:val="TOC Heading"/>
    <w:uiPriority w:val="39"/>
    <w:unhideWhenUsed/>
  </w:style>
  <w:style w:type="paragraph" w:styleId="911">
    <w:name w:val="table of figures"/>
    <w:basedOn w:val="696"/>
    <w:next w:val="696"/>
    <w:uiPriority w:val="99"/>
    <w:unhideWhenUsed/>
    <w:pPr>
      <w:spacing w:after="0"/>
    </w:pPr>
  </w:style>
  <w:style w:type="paragraph" w:styleId="912">
    <w:name w:val="No Spacing"/>
    <w:basedOn w:val="696"/>
    <w:uiPriority w:val="1"/>
    <w:qFormat/>
    <w:pPr>
      <w:spacing w:after="0" w:line="240" w:lineRule="auto"/>
    </w:pPr>
  </w:style>
  <w:style w:type="paragraph" w:styleId="913">
    <w:name w:val="List Paragraph"/>
    <w:basedOn w:val="696"/>
    <w:link w:val="915"/>
    <w:qFormat/>
    <w:pPr>
      <w:contextualSpacing/>
      <w:ind w:left="720"/>
    </w:pPr>
  </w:style>
  <w:style w:type="paragraph" w:styleId="914" w:customStyle="1">
    <w:name w:val="Обычный1"/>
    <w:pPr>
      <w:jc w:val="both"/>
      <w:spacing w:after="6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915" w:customStyle="1">
    <w:name w:val="Абзац списка Знак"/>
    <w:link w:val="913"/>
    <w:qFormat/>
  </w:style>
  <w:style w:type="paragraph" w:styleId="916">
    <w:name w:val="annotation text"/>
    <w:basedOn w:val="696"/>
    <w:link w:val="917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917" w:customStyle="1">
    <w:name w:val="Текст примечания Знак"/>
    <w:basedOn w:val="706"/>
    <w:link w:val="916"/>
    <w:uiPriority w:val="99"/>
    <w:semiHidden/>
    <w:rPr>
      <w:sz w:val="20"/>
      <w:szCs w:val="20"/>
    </w:rPr>
  </w:style>
  <w:style w:type="character" w:styleId="918">
    <w:name w:val="annotation reference"/>
    <w:basedOn w:val="706"/>
    <w:uiPriority w:val="99"/>
    <w:semiHidden/>
    <w:unhideWhenUsed/>
    <w:rPr>
      <w:sz w:val="16"/>
      <w:szCs w:val="16"/>
    </w:rPr>
  </w:style>
  <w:style w:type="paragraph" w:styleId="919">
    <w:name w:val="Balloon Text"/>
    <w:basedOn w:val="696"/>
    <w:link w:val="92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20" w:customStyle="1">
    <w:name w:val="Текст выноски Знак"/>
    <w:basedOn w:val="706"/>
    <w:link w:val="919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Селютина Анастасия Робертовна</dc:creator>
  <cp:lastModifiedBy>ravershinin</cp:lastModifiedBy>
  <cp:revision>13</cp:revision>
  <dcterms:created xsi:type="dcterms:W3CDTF">2024-10-24T19:23:00Z</dcterms:created>
  <dcterms:modified xsi:type="dcterms:W3CDTF">2026-09-28T11:34:25Z</dcterms:modified>
</cp:coreProperties>
</file>