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3"/>
        <w:ind w:left="4820"/>
        <w:jc w:val="left"/>
        <w:spacing w:after="0" w:line="17" w:lineRule="atLeast"/>
        <w:widowControl w:val="off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color w:val="000000" w:themeColor="text1"/>
        </w:rPr>
        <w:t xml:space="preserve">Приложение № 4</w:t>
      </w:r>
      <w:r>
        <w:rPr>
          <w:rFonts w:ascii="Liberation Sans" w:hAnsi="Liberation Sans" w:eastAsia="Liberation Sans" w:cs="Liberation Sans"/>
          <w:color w:val="000000" w:themeColor="text1"/>
        </w:rPr>
        <w:br/>
      </w:r>
      <w:r>
        <w:rPr>
          <w:rFonts w:ascii="Liberation Sans" w:hAnsi="Liberation Sans" w:eastAsia="Liberation Sans" w:cs="Liberation Sans"/>
          <w:bCs/>
        </w:rPr>
        <w:t xml:space="preserve">к государственному контракту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4819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  <w:lang w:val="ru-RU"/>
        </w:rPr>
        <w:t xml:space="preserve">№ __-2026</w:t>
      </w: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p>
      <w:pPr>
        <w:ind w:left="4820"/>
        <w:spacing w:after="0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  <w:lang w:eastAsia="ru-RU"/>
        </w:rPr>
        <w:t xml:space="preserve">Описание Системы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/>
      <w:bookmarkStart w:id="0" w:name="_Toc527114369"/>
      <w:r/>
      <w:bookmarkStart w:id="1" w:name="_Toc472065582"/>
      <w:r/>
      <w:bookmarkStart w:id="2" w:name="_Toc70469135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9"/>
        </w:numPr>
        <w:jc w:val="center"/>
        <w:keepNext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8"/>
          <w:lang w:eastAsia="ru-RU"/>
        </w:rPr>
        <w:t xml:space="preserve">Перечень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 терминов, определений и сокращений, используемых в настоящем приложении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  <w:t xml:space="preserve">Перечень терминов, определений и сокращений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указан в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приложении №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2 </w:t>
      </w:r>
      <w:r>
        <w:rPr>
          <w:rFonts w:ascii="Liberation Sans" w:hAnsi="Liberation Sans" w:eastAsia="Liberation Sans" w:cs="Liberation Sans"/>
          <w:bCs/>
          <w:iCs/>
          <w:sz w:val="24"/>
          <w:szCs w:val="24"/>
        </w:rPr>
        <w:t xml:space="preserve">к государственному контракту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9"/>
        </w:numPr>
        <w:jc w:val="center"/>
        <w:keepNext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pP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  <w:lang w:eastAsia="ru-RU"/>
        </w:rPr>
        <w:t xml:space="preserve">Функциональное описание Системы</w:t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  <w:r>
        <w:rPr>
          <w:rFonts w:ascii="Liberation Sans" w:hAnsi="Liberation Sans" w:eastAsia="Liberation Sans" w:cs="Liberation Sans"/>
          <w:b/>
          <w:bCs/>
          <w:iCs/>
          <w:sz w:val="28"/>
          <w:szCs w:val="28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Процессы</w:t>
      </w:r>
      <w:bookmarkEnd w:id="0"/>
      <w:r/>
      <w:bookmarkEnd w:id="1"/>
      <w:r/>
      <w:bookmarkEnd w:id="2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ГИС «Жилье Ямала» процессы для следующих административных процедур: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ввод заявлений и загрузка предоставляемых заявителем документов в Систему;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обеспечение механизма приема заявлений и прилагаемых документов от внешних порталов;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проверка комплектности документов, предоставленных заявителем;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внесение сведений по итогам корректировки комплекта документов заявителем;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подготовка данных для направления межведомственных запросов;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автоматическая отправка межведомственных запросов и получение ответов от поставщиков данных;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проведение документарных проверок;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принятие решения о признании/отказе заявителя участником мероприятия по результатам проверки оснований на участие в мероприятии;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внесение сумм лимитов доведенных бюджетных ассигнований на реализацию мероприятий по каждому МО, в том числе указание суммы средств окружного бюджета;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формирование реестра претендентов на получение МСП на очередной год: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автоматическое формирование списка участников мероприятия по реестру заявлений на предоставление МСП с учетом признака заявителя «участник мероприятия»;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просмотр списка участников мероприятия по предоставлению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автоматическое формирование списка претендентов на получение МСП с учетом не превышения выделенной суммы лимитов доведенных бюджетных ассигнований на реализацию мероприятий по каждому МО с учетом даты социального обеспечения;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просмотр реестра претендентов на получение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автоматическое оповещение о смене статуса заявителя: о выдаче МСП/ исключении из реестра претендентов/ исключении из списка участников;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принятие решения и уведомление заявителя об исключении из списка очередников данного мероприятия по следующим причинам: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наличие в Системе заявлений на другие МСП заявителя/ члена его семьи, где он признан участником мероприятия/ претендентом на получение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заявитель/член его семьи включен в реестр граждан, получивших финансовую или имущественную помощь в улучшении жилищных условий (далее – реестр граждан, получивших МСП);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заявителю предложены иные МСП, по которым он проходит в соответствии с критериями (в таком случае заявитель должен подписать форму отказа, а сотрудник ведомства инициирует новое заявление по выбранной МСП).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уведомление заявителя о принятом решении;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предоставление результата оказания МСП (сертификат на получение МСП);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формирование реестров граждан, получивших МСП/ получивших отказ в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обеспечение механизма передачи промежуточных статусов и результатов рассмотрения заявлений на оказание МСП во внешние порталы;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обеспечение механизма автоматизированного расчета размера субсидии;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обеспечение механизма работы с бюджетами;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обеспечение механизма работы с реестрами средней стоимости жилья.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Ввод заявлений и загрузка предоставляемых заявителем документов в Систему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36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Ввод заявлений осуществляется при помощи предварительно настроенных форм заявлений оказания МСП. Настройка заявлений и производственного процесса оказания МСП осуществляется под ролью Администратора в системе ГИС «Жилье Ямала».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процессах рассмотрения заявлений на оказание МСП предусмотрены следующие функции: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автоматизированный анализ наличия у каждого участника мероприятия по предоставлению МСП/ чле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нов его семьи заявлений на другие МСП, где он также признан участником, с целью последующего аннулирования дубликатов заявлений, а также наличия заявителя/члена его семьи в реестре граждан, получивших МСП, с целью последующего отказа по текущему заявлению;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автоматизированный анализ возможности предоставления иных МСП на основании соответствия критериям мероприятий, в том числе в других МО;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отслеживание факта превышения возраста 35 лет вторым заявителем в рамках мероприятия оказания МСП молодым семьям.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отслеживание факта превышения возраста 36 лет вторым заявителем в рамках мероприятия оказания МСП семьям в ЯНАО (36 лет).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принятие решения о прекращении процесса предоставления МСП в связи с обновленными данными заявителя и членов его семьи, полученными в рамках процедуры отправки автоматических запросов Системой и повлекшими несоответствия критериям.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17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отправка автоматических запросов Системой (1 раз в квартал) получения сведений из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ЕГИССО, а также в рамках межведомственного взаимодействия, обновление данных по заявлениям граждан, включенных в реестры участников мероприятий и претендентов на получение МСП, а также оповещение пользователей о полученных сведениях, в случае их изменений.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contextualSpacing w:val="0"/>
        <w:ind w:left="144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Обеспечение механизма приема заявлений и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br/>
        <w:t xml:space="preserve">прилагаемых документов от внешних порталов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Для обеспечения предоставления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услу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г в электронном виде с ЕПГУ, разработан и зарегистрирован вид сведений «Прием заявлений в ГИС «Жилье Ямала» на предоставление мер социальной поддержки жителям ЯНАО» (URI http://x-artefacts-yanao-aismsp/epgu/application), реализованный в соответствии Методи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ческими рекомендациями по работе с СМЭВ версии 3.х и соответствующим руководствам пользователя, опубликованными на Технологическом портале СМЭВ https://lkuv.gosuslugi.ru. Вид сведений также используется для приёма и обработки заявлений, поступивших из МФЦ.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Приём и обмен статусами по заявлениям, полученным по массовым социально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значимым услугам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осуществляется посредством ВС, указанных в единых функциональных технических требованиях к интеграции региональных ведомственных информационных систем с формой-концентратором ЕПГУ.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Вне зависимости от способа подачи обращения, заявитель информируется о смене статусов, для заявлений, поступивших не через ЕПГУ — посредством вида сведений СМЭВ: «Передача статусов и результатов предоставления государственных и муниципальных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услуг»  (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URI http://epgu.gosuslugi.ru/elk/status).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Проверка комплектности документов, предоставленных заявителем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Проверка комплектно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сти документов производится на основании настроек заявлений МСП, где указывается обязательность предоставления того или иного документа. Контроль за качеством предоставляемых документов находится в зоне ответственности Операторов, работающих с заявлениями.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Внесение сведений по итогам корректировки комплекта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br/>
        <w:t xml:space="preserve">документов заявителем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Корректировка документов осуществляется силами Операторов, работающих с Системой на любом этапе до внесения заявления в реестры претендентов и участников.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Подготовка данных для направления межведомственных запросов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Для межведомственного взаимодействия используются данные, внесенные Операторами в заявление, а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так же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служебные данные, содержащиеся в настройках заявлений.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Автоматическая отправка межведомственных запросов и получение ответов от поставщиков данных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Система содержит в себе механизмы межведомственного взаимодействия по протоколам СМЭВ версии 3, а также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 регламентированных запросов к витринам поставщиков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. Реализованы СМЭВ-адаптеры, необходимые для оказания МСП.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tbl>
      <w:tblPr>
        <w:tblW w:w="9542" w:type="dxa"/>
        <w:tblInd w:w="-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"/>
        <w:gridCol w:w="4112"/>
        <w:gridCol w:w="1692"/>
        <w:gridCol w:w="3269"/>
      </w:tblGrid>
      <w:tr>
        <w:tblPrEx/>
        <w:trPr>
          <w:trHeight w:val="3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№ п/п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Наименование ВС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Владелец ВС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Ссылка на ЛК УВ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страховом стаже застрахованного лица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9" w:tooltip="https://lkuv.gosuslugi.ru/paip-portal/#/inquiries/dd08b43a-d9cd-11eb-87f2-6dd2d98a56b1/versions/56ac2b89-6f3f-48e3-8c0d-d0b5beda53d4?area=PROD" w:anchor="/inquiries/dd08b43a-d9cd-11eb-87f2-6dd2d98a56b1/versions/56ac2b89-6f3f-48e3-8c0d-d0b5beda53d4?area=PROD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https://lkuv.gosuslugi.ru/paip-portal/#/inquiries/dd08b43a-d9cd-11eb-87f2-6dd2d98a56b1/versions/56ac2b89-6f3f-48e3-8c0d-d0b5beda53d4?area=PROD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Проверка соответствия фамильно-именной группы, даты рождения, пола и СНИЛС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0" w:tooltip="https://lkuv.gosuslugi.ru/paip-portal/#/inquiries/63730126-ff80-11eb-ba23-33408f10c8dc/versions/6592c8d7-6698-419c-88c9-7bdcfd58d942?area=PROD" w:anchor="/inquiries/63730126-ff80-11eb-ba23-33408f10c8dc/versions/6592c8d7-6698-419c-88c9-7bdcfd58d942?area=PROD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https://lkuv.gosuslugi.ru/paip-portal/#/inquiries/63730126-ff80-11eb-ba23-33408f10c8dc/versions/6592c8d7-6698-419c-88c9-7bdcfd58d942?area=PROD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ЕГРИП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1" w:tooltip="https://lkuv.gosuslugi.ru/#/inquiries/63780a85-ff80-11eb-ba23-33408f10c8dc/versions/718dfb49-919b-4049-ba7f-5ec64425ba50?area=PROD" w:anchor="/inquiries/63780a85-ff80-11eb-ba23-33408f10c8dc/versions/718dfb49-919b-4049-ba7f-5ec64425ba50?area=PROD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https://lkuv.gosuslugi.ru/#/inquiries/63780a85-ff80-11eb-ba23-</w:t>
              </w:r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33408f10c8dc/versions/718dfb49-919b-4049-ba7f-5ec64425ba50?area=PROD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ЕГРЮЛ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2" w:tooltip="https://lkuv.gosuslugi.ru/#/inquiries/63780a87-ff80-11eb-ba23-33408f10c8dc/versions/490c0fb2-b556-40fb-80ec-d9b7ffe9a6bf?area=PROD" w:anchor="/inquiries/63780a87-ff80-11eb-ba23-33408f10c8dc/versions/490c0fb2-b556-40fb-80ec-d9b7ffe9a6bf?area=PROD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https://lkuv.gosuslugi.ru/#/inquiries/63780a87-ff80-11eb-ba23-33408f10c8dc/versions/490c0fb2-b556-40fb-80ec-d9b7ffe9a6bf?area=PROD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реабилитации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3" w:tooltip="https://lkuv.gosuslugi.ru/paip-portal/#/inquiries/dd0ad64b-d9cd-11eb-87f2-6dd2d98a56b1/versions/5e12ac28-f998-49d1-81cf-61a5adfd0d2e?area=PROD" w:anchor="/inquiries/dd0ad64b-d9cd-11eb-87f2-6dd2d98a56b1/versions/5e12ac28-f998-49d1-81cf-61a5adfd0d2e?area=PROD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https://lkuv.gosuslugi.ru/paip-portal/#/inquiries/dd0ad64b-d9cd-11eb-87f2-6dd2d98a56b1/versions/5e12ac28-f998-49d1-81cf-61a5adfd0d2e?area=PROD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сведений об установлении отцовства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4" w:tooltip="https://lkuv.gosuslugi.ru/paip-portal/#/inquiries/card/637a0594-ff80-11eb-ba23-33408f10c8dc" w:anchor="/inquiries/card/637a0594-ff80-11eb-ba23-33408f10c8dc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https://lkuv.gosuslugi.ru/paip-portal/#/inquiries/card/637a0594-ff80-11eb-ba23-33408f10c8dc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по запросу сведений о заключении брака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5" w:tooltip="https://lkuv.gosuslugi.ru/paip-portal/#/inquiries/card/637a056a-ff80-11eb-ba23-33408f10c8dc" w:anchor="/inquiries/card/637a056a-ff80-11eb-ba23-33408f10c8dc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https://lkuv.gosuslugi.ru/paip-portal/#/inquiries/card/637a056a-ff80-11eb-ba23-33408f10c8dc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по запросу сведений о смерти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6" w:tooltip="https://lkuv.gosuslugi.ru/paip-portal/#/inquiries/card/637a0579-ff80-11eb-ba23-33408f10c8dc" w:anchor="/inquiries/card/637a0579-ff80-11eb-ba23-33408f10c8dc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https://lkuv.gosuslugi.ru/paip-portal/#/inquiries/card/637a0579-ff80-11eb-ba23-33408f10c8dc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по запросу сведений о перемене имени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7" w:tooltip="https://lkuv.gosuslugi.ru/paip-portal/#/inquiries/card/637a0597-ff80-11eb-ba23-33408f10c8dc" w:anchor="/inquiries/card/637a0597-ff80-11eb-ba23-33408f10c8dc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https://lkuv.gosuslugi.ru/paip-portal/#/inquiries/card/637a0597-ff80-11eb-ba23-33408f10c8dc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признании жилого помещения непригодным для проживания, а также многоквартирного дома аварийным и подлежащим сносу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принятии на учет в качестве нуждающихся в жилых помещениях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наличии жилых помещений, занимаемых на условиях социального найма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Сведения о получении финансовой или имущественной помощи в улучшении жилищных условий в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ЯНАО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Региональное межведомственное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Участие в мероприятиях по финансовой или имущественной помощи в улучшении жилищных условий в ЯНАО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Факт прохождения ГГС ЯНАО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Сведения о стаже ГГС ЯНАО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Региональное межведомственное взаимодействие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zh-CN"/>
              </w:rPr>
              <w:t xml:space="preserve">ГИС «Жилье Ямала»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по запросу сведений о расторжении брака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8" w:tooltip="https://lkuv.gosuslugi.ru/paip-portal/#/inquiries/card/637a0564-ff80-11eb-ba23-33408f10c8dc" w:anchor="/inquiries/card/637a0564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https://lkuv.gosuslugi.ru/paip-portal/#/inquiries/card/637a0564-ff80-11eb-ba23-33408f10c8dc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из ЕГР ЗАГС по запросу сведений о рождении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19" w:tooltip="https://lkuv.gosuslugi.ru/paip-portal/#/inquiries/card/637a059f-ff80-11eb-ba23-33408f10c8dc" w:anchor="/inquiries/card/637a059f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https://lkuv.gosuslugi.ru/paip-portal/#/inquiries/card/637a059f-ff80-11eb-ba23-33408f10c8dc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Проверка действительности паспорта (расширенная)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  <w:t xml:space="preserve">https://lkuv.gosuslugi.ru/paip-portal/#/inquiries/63757247-ff80-11eb-ba23-33408f10c8dc/versions/ebef91ae-32fa-4699-ac9f-bcd1f30bf1eb?area=PROD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доходах физических лиц по справкам 2-НДФЛ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0" w:tooltip="https://lkuv.gosuslugi.ru/paip-portal/#/inquiries/card/dd0a3aa0-d9cd-11eb-87f2-6dd2d98a56b1" w:anchor="/inquiries/card/dd0a3aa0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https://lkuv.gosuslugi.ru/paip-portal/#/inquiries/card/dd0a3aa0-d9cd-11eb-87f2-6dd2d98a56b1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Актуальная версия классификатора ЕГИССО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1" w:tooltip="https://lkuv.gosuslugi.ru/paip-portal/#/inquiries/card/dd08da8b-d9cd-11eb-87f2-6dd2d98a56b1" w:anchor="/inquiries/card/dd08da8b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https://lkuv.gosuslugi.ru/paip-portal/#/inquiries/card/dd08da8b-d9cd-11eb-87f2-6dd2d98a56b1</w:t>
              </w:r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br/>
              </w:r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br/>
                <w:t xml:space="preserve">https://lkuv.gosuslugi.ru/paip-portal/#/inquiries/dd08da8b-d9cd-11eb-87f2-6dd2d98a56b1/versions/35916edd-357b-4d47-8661-d44e69cbd711?area=PROD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Информирование из ЕГИССО по СНИЛС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2" w:tooltip="https://lkuv.gosuslugi.ru/paip-portal/#/inquiries/card/6374af19-ff80-11eb-ba23-33408f10c8dc" w:anchor="/inquiries/card/6374af19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https://lkuv.gosuslugi.ru/paip-portal/#/inquiries/card/6374af19-ff80-11eb-ba23-33408f10c8dc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Запрос справки о продолжительности трудового стажа в РКС и приравненных к нему местностям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br/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br/>
              <w:t xml:space="preserve">Предоставление сведений о трудовой деятельности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3" w:tooltip="https://lkuv.gosuslugi.ru/paip-portal/#/inquiries/card/63726502-ff80-11eb-ba23-33408f10c8dc" w:anchor="/inquiries/card/63726502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https://lkuv.gosuslugi.ru/paip-portal/#/inquiries/card/63726502-ff80-11eb-ba23-33408f10c8dc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Запрос сведений из ЕГРН о наличии или отсутствии жилых помещений на праве собственности на территории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4" w:tooltip="https://lkuv.gosuslugi.ru/paip-portal/#/inquiries/dd0b99d3-d9cd-11eb-87f2-6dd2d98a56b1/versions/de65183f-0280-11ed-baa3-b94984eb8179?area=PROD" w:anchor="/inquiries/dd0b99d3-d9cd-11eb-87f2-6dd2d98a56b1/versions/de65183f-0280-11ed-baa3-b94984eb8179?area=PROD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https://lkuv.gosuslugi.ru/paip-portal/#/inquiries/dd0b99d3-d9cd-11eb-87f2-6dd2d98a56b1/versions/de65183f-0280-11ed-baa3-b94984eb8179?area=PROD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ЕГРН о правах отдельного лица на имевшиеся (имеющиеся) у него объекты недвижимого имущества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5" w:tooltip="https://lkuv.gosuslugi.ru/paip-portal/#/inquiries/dd0b99d3-d9cd-11eb-87f2-6dd2d98a56b1/versions/de65183f-0280-11ed-baa3-b94984eb8179?area=PROD" w:anchor="/inquiries/dd0b99d3-d9cd-11eb-87f2-6dd2d98a56b1/versions/de65183f-0280-11ed-baa3-b94984eb8179?area=PROD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https://lkuv.gosuslugi.ru/paip-portal/#/inquiries/dd0b99d3-d9cd-11eb-87f2-6dd2d98a56b1/versions/de65183f-0280-11ed-baa3-b94984eb8179?area=PROD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Запрос выписки из ЕГРН об основных характеристиках и зарегистрированных правах на жилое помещение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6" w:tooltip="https://lkuv.gosuslugi.ru/paip-portal/#/inquiries/card/dd0b99d3-d9cd-11eb-87f2-6dd2d98a56b1" w:anchor="/inquiries/card/dd0b99d3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https://lkuv.gosuslugi.ru/paip-portal/#/inquiries/card/dd0b99d3-d9cd-11eb-87f2-6dd2d98a56b1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Запрос выписки из ЕГРН о наличии (отсутствии), отчуждении жилых помещений на праве собственности на территории РФ у заявителя и членов его семьи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7" w:tooltip="https://lkuv.gosuslugi.ru/paip-portal/#/inquiries/card/dd0b99d3-d9cd-11eb-87f2-6dd2d98a56b1" w:anchor="/inquiries/card/dd0b99d3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https://lkuv.gosuslugi.ru/paip-portal/#/inquiries/card/dd0b99d3-d9cd-11eb-87f2-6dd2d98a56b1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ЕГИССО о ранее реализованном праве на получение МСП по улучшению жилищных условий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8" w:tooltip="https://lkuv.gosuslugi.ru/paip-portal/#/inquiries/card/6374af19-ff80-11eb-ba23-33408f10c8dc" w:anchor="/inquiries/card/6374af19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https://lkuv.gosuslugi.ru/paip-portal/#/inquiries/card/6374af19-ff80-11eb-ba23-33408f10c8dc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размере ежемесячных страховых выплат по обязательному социальному страхованию от несчастных случаев на производстве и профессиональных заболеваний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29" w:tooltip="https://lkuv.gosuslugi.ru/paip-portal/#/inquiries/card/dd08b410-d9cd-11eb-87f2-6dd2d98a56b1" w:anchor="/inquiries/card/dd08b410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https://lkuv.gosuslugi.ru/paip-portal/#/inquiries/card/dd08b410-d9cd-11eb-87f2-6dd2d98a56b1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выплате пособий работающим гражданам в субъектах Российской Федерации, участвующих в пилотном проекте Фонда социального страхования «Прямые выплаты»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0" w:tooltip="https://lkuv.gosuslugi.ru/paip-portal/#/inquiries/card/dd08b411-d9cd-11eb-87f2-6dd2d98a56b1" w:anchor="/inquiries/card/dd08b411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https://lkuv.gosuslugi.ru/paip-portal/#/inquiries/card/dd08b411-d9cd-11eb-87f2-6dd2d98a56b1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Выписка сведений об инвалиде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1" w:tooltip="https://lkuv.gosuslugi.ru/paip-portal/#/inquiries/card/dd08b41a-d9cd-11eb-87f2-6dd2d98a56b1?tab=2" w:anchor="/inquiries/card/dd08b41a-d9cd-11eb-87f2-6dd2d98a56b1?tab=2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https://lkuv.gosuslugi.ru/paip-portal/#/inquiries/card/dd08b41a-d9cd-11eb-87f2-6dd2d98a56b1?tab=2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доходах физических лиц из налоговой декларации формы 3-НДФЛ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ФНС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2" w:tooltip="https://lkuv.gosuslugi.ru/paip-portal/#/inquiries/card/dd0a3aa2-d9cd-11eb-87f2-6dd2d98a56b1?tab=0" w:anchor="/inquiries/card/dd0a3aa2-d9cd-11eb-87f2-6dd2d98a56b1?tab=0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https://lkuv.gosuslugi.ru/paip-portal/#/inquiries/card/dd0a3aa2-d9cd-11eb-87f2-6dd2d98a56b1?tab=0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ЕГРН о праве собственности, постоянного (бессрочного) пользования или пожизненного наследуемого владения гражданином на земельный участок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3" w:tooltip="https://lkuv.gosuslugi.ru/paip-portal/#/inquiries/card/dd0b99d3-d9cd-11eb-87f2-6dd2d98a56b1" w:anchor="/inquiries/card/dd0b99d3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https://lkuv.gosuslugi.ru/paip-portal/#/inquiries/card/dd0b99d3-d9cd-11eb-87f2-6dd2d98a56b1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Копия решения о предоставлении земельного участка в собственность бесплатно в случае наличия в вы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писке из ЕГРН о правах отдельного лица на имевшиеся (имеющиеся) у него объекты недвижимости сведений о земельных участках, находящихся в собственности граждан (в целях подтверждения однократности предоставления земельного участка в собственность бесплатно)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4" w:tooltip="https://lkuv.gosuslugi.ru/paip-portal/#/inquiries/card/dd0b99d3-d9cd-11eb-87f2-6dd2d98a56b1" w:anchor="/inquiries/card/dd0b99d3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https://lkuv.gosuslugi.ru/paip-portal/#/inquiries/card/dd0b99d3-d9cd-11eb-87f2-6dd2d98a56b1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из ЕГРН о переходе и возникновении прав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Росреестр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5" w:tooltip="https://lkuv.gosuslugi.ru/paip-portal/#/inquiries/card/dd0b99d3-d9cd-11eb-87f2-6dd2d98a56b1" w:anchor="/inquiries/card/dd0b99d3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https://lkuv.gosuslugi.ru/paip-portal/#/inquiries/card/dd0b99d3-d9cd-11eb-87f2-6dd2d98a56b1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действительности регистрации по месту жительства граждан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6" w:tooltip="https://lkuv.gosuslugi.ru/paip-portal/#/inquiries/card/63757266-ff80-11eb-ba23-33408f10c8dc" w:anchor="/inquiries/card/63757266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https://lkuv.gosuslugi.ru/paip-portal/#/inquiries/card/63757266-ff80-11eb-ba23-33408f10c8dc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действительности регистрации по месту пребывания граждан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7" w:tooltip="https://lkuv.gosuslugi.ru/paip-portal/#/inquiries/card/63757266-ff80-11eb-ba23-33408f10c8dc" w:anchor="/inquiries/card/63757266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https://lkuv.gosuslugi.ru/paip-portal/#/inquiries/card/63757266-ff80-11eb-ba23-33408f10c8dc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паспортах гражданина Российской Федерации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8" w:tooltip="https://lkuv.gosuslugi.ru/paip-portal/#/inquiries/card/63757260-ff80-11eb-ba23-33408f10c8dc" w:anchor="/inquiries/card/63757260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https://lkuv.gosuslugi.ru/paip-portal/#/inquiries/card/63757260-ff80-11eb-ba23-33408f10c8dc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регистрации по месту жительства граждан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39" w:tooltip="https://lkuv.gosuslugi.ru/paip-portal/#/inquiries/card/6375725c-ff80-11eb-ba23-33408f10c8dc" w:anchor="/inquiries/card/6375725c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https://lkuv.gosuslugi.ru/paip-portal/#/inquiries/card/6375725c-ff80-11eb-ba23-33408f10c8dc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регистрации по месту пребывания граждан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0" w:tooltip="https://lkuv.gosuslugi.ru/paip-portal/#/inquiries/card/63757265-ff80-11eb-ba23-33408f10c8dc" w:anchor="/inquiries/card/63757265-ff80-11eb-ba23-33408f10c8d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https://lkuv.gosuslugi.ru/paip-portal/#/inquiries/card/63757265-ff80-11eb-ba23-33408f10c8dc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Передача статусов и результатов предоставления государственных и муниципальных услуг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МИНЦИФРЫ РФ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1" w:tooltip="https://lkuv.gosuslugi.ru/paip-portal/#/inquiries/card/c43003bd-b65c-11ec-ac8f-99837717c40c" w:anchor="/inquiries/card/c43003bd-b65c-11ec-ac8f-99837717c40c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https://lkuv.gosuslugi.ru/paip-portal/#/inquiries/card/c43003bd-b65c-11ec-ac8f-</w:t>
              </w:r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99837717c40c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2" w:tooltip="https://lkuv.gosuslugi.ru/paip-portal/#/inquiries/6374af22-ff80-11eb-ba23-33408f10c8dc/versions/417234bf-3af3-11ec-b4e2-ebe6a0ad6cbd?area=PROD" w:anchor="/inquiries/6374af22-ff80-11eb-ba23-33408f10c8dc/versions/417234bf-3af3-11ec-b4e2-ebe6a0ad6cbd?area=PROD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https://lkuv.gosuslugi.ru/paip-portal/#/inquiries/6374af22-ff80-11eb-ba23-33408f10c8dc/versions/417234bf-3af3-11ec-b4e2-ebe6a0ad6cbd?area=PROD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сведений из документа о прохождении военной (иной службы) военнослужащего (служащего)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ФТС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3" w:tooltip="https://lkuv.gosuslugi.ru/paip-portal/#/inquiries/card/dcf6b1c8-d9cd-11eb-87f2-6dd2d98a56b1" w:anchor="/inquiries/card/dcf6b1c8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https://lkuv.gosuslugi.ru/paip-portal/#/inquiries/card/dcf6b1c8-d9cd-11eb-87f2-6dd2d98a56b1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выполнении задач в условиях ЧС, при вооруженных конфликтах или боевых действиях и об интернациональном долге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Минобороны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4" w:tooltip="https://lkuv.gosuslugi.ru/paip-portal/#/inquiries/card/dd046dab-d9cd-11eb-87f2-6dd2d98a56b1" w:anchor="/inquiries/card/dd046dab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https://lkuv.gosuslugi.ru/paip-portal/#/inquiries/card/dd046dab-d9cd-11eb-87f2-6dd2d98a56b1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CCCCCC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CCCCCC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страхового номера индивидуального лицевого счёта (СНИЛС) застрахованного лица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5" w:tooltip="https://lkuv.gosuslugi.ru/paip-portal/#/inquiries/card/dd08b435-d9cd-11eb-87f2-6dd2d98a56b1" w:anchor="/inquiries/card/dd08b435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https://lkuv.gosuslugi.ru/paip-portal/#/inquiries/card/dd08b435-d9cd-11eb-87f2-6dd2d98a56b1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6" w:tooltip="https://lkuv.gosuslugi.ru/paip-portal/#/inquiries/card/dd08b436-d9cd-11eb-87f2-6dd2d98a56b1" w:anchor="/inquiries/card/dd08b436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https://lkuv.gosuslugi.ru/paip-portal/#/inquiries/card/dd08b436-d9cd-11eb-87f2-6dd2d98a56b1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CCCCCC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Сведения о лицах, зарегистрированных по месту пребывания или по месту жительства, а также состоящих на миграционном учёте, совместно по одному адресу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auto" w:sz="4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CCCCCC" w:sz="6" w:space="0"/>
              <w:left w:val="single" w:color="CCCCCC" w:sz="6" w:space="0"/>
              <w:bottom w:val="single" w:color="auto" w:sz="4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  <w:t xml:space="preserve">https://lkuv.gosuslugi.ru/paip-portal/#/inquiries/card/abe2f19c-9748-4692-930c-61b0d046ac86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9" w:type="dxa"/>
            <w:vAlign w:val="center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  <w:highlight w:val="red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Получение сведений о размере выплат за период (включая пенсию, доплаты, устанавливаемые к пенсии, социальные выплаты и выплаты по уходу)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red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highlight w:val="re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СФР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47" w:tooltip="https://lkuv.gosuslugi.ru/paip-portal/#/inquiries/card/dd08b41c-d9cd-11eb-87f2-6dd2d98a56b1" w:anchor="/inquiries/card/dd08b41c-d9cd-11eb-87f2-6dd2d98a56b1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https://lkuv.gosuslugi.ru/paip-portal/#/inquiries/card/dd08b41c-d9cd-11eb-87f2-6dd2d98a56b1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" w:type="dxa"/>
            <w:vAlign w:val="center"/>
            <w:vMerge w:val="restart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Сведения о выдаче, замене паспортов гражданина Российской Федерации, удостоверяющего личность гражданина Российской Федерации на территории Российской Федерации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МВД России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  <w:t xml:space="preserve">https://lkuv.gosuslugi.ru/paip-portal/#/podd/queries/30d9676b-1540-4bfd-9800-51a13d71c8ba?tab=1&amp;area=PROD</w:t>
            </w:r>
            <w:r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Style w:val="933"/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" w:type="dxa"/>
            <w:vAlign w:val="center"/>
            <w:vMerge w:val="restart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17" w:lineRule="atLeast"/>
              <w:rPr>
                <w:rFonts w:ascii="Liberation Sans" w:hAnsi="Liberation Sans" w:eastAsia="Liberation Sans" w:cs="Liberation Sans"/>
                <w:sz w:val="18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Предоставление сведений о наличии (отсутствии) задолженности в размере отрицательного сальдо ЕНС (Единой налоговый счет)</w:t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17" w:lineRule="atLeast"/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outlineLvl w:val="2"/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ФНС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vMerge w:val="restart"/>
            <w:textDirection w:val="lrTb"/>
            <w:noWrap w:val="false"/>
          </w:tcPr>
          <w:p>
            <w:pPr>
              <w:spacing w:line="57" w:lineRule="atLeast"/>
            </w:pPr>
            <w:r>
              <w:t xml:space="preserve">https://lkuv.gosuslugi.ru/paip-portal/#/inquiries/card/dd0a3abe-d9cd-11eb-87f2-6dd2d98a56b1</w:t>
            </w:r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" w:type="dxa"/>
            <w:vAlign w:val="center"/>
            <w:vMerge w:val="restart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17" w:lineRule="atLeast"/>
              <w:rPr>
                <w:rFonts w:ascii="Liberation Sans" w:hAnsi="Liberation Sans" w:eastAsia="Liberation Sans" w:cs="Liberation Sans"/>
                <w:sz w:val="18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Предоставление сведений о наличии (отсутствии) задолженности в размере отрицательного сальдо ЕНС, превышающего 3000 рублей</w:t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ФНС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vMerge w:val="restart"/>
            <w:textDirection w:val="lrTb"/>
            <w:noWrap w:val="false"/>
          </w:tcPr>
          <w:p>
            <w:pPr>
              <w:spacing w:line="57" w:lineRule="atLeast"/>
            </w:pPr>
            <w:r>
              <w:t xml:space="preserve">https://lkuv.gosuslugi.ru/paip-portal/#/inquiries/card/6377e348-ff80-11eb-ba23-33408f10c8dc</w:t>
            </w:r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" w:type="dxa"/>
            <w:vAlign w:val="center"/>
            <w:vMerge w:val="restart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17" w:lineRule="atLeast"/>
              <w:rPr>
                <w:rFonts w:ascii="Liberation Sans" w:hAnsi="Liberation Sans" w:eastAsia="Liberation Sans" w:cs="Liberation Sans"/>
                <w:sz w:val="18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Сведения о доходах физических лиц по справкам 2-НДФЛ</w:t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ФНС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vMerge w:val="restart"/>
            <w:textDirection w:val="lrTb"/>
            <w:noWrap w:val="false"/>
          </w:tcPr>
          <w:p>
            <w:pPr>
              <w:spacing w:line="57" w:lineRule="atLeast"/>
            </w:pPr>
            <w:r>
              <w:t xml:space="preserve">https://lkuv.gosuslugi.ru/paip-portal/#/inquiries/card/dd0a3aa0-d9cd-11eb-87f2-6dd2d98a56b1</w:t>
            </w:r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9" w:type="dxa"/>
            <w:vAlign w:val="center"/>
            <w:vMerge w:val="restart"/>
            <w:textDirection w:val="lrTb"/>
            <w:noWrap w:val="false"/>
          </w:tcPr>
          <w:p>
            <w:pPr>
              <w:pStyle w:val="952"/>
              <w:numPr>
                <w:ilvl w:val="0"/>
                <w:numId w:val="18"/>
              </w:num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4112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pacing w:line="17" w:lineRule="atLeast"/>
              <w:rPr>
                <w:rFonts w:ascii="Liberation Sans" w:hAnsi="Liberation Sans" w:eastAsia="Liberation Sans" w:cs="Liberation Sans"/>
                <w:sz w:val="18"/>
                <w:lang w:eastAsia="ru-RU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Сведения о наличии (отсутствии) судимости и (или) факта уголовного преследования либо о прекращении уголовного преследования, о нахождении в розыске</w:t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16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17" w:lineRule="atLeast"/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outlineLvl w:val="2"/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  <w:t xml:space="preserve">МВД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269" w:type="dxa"/>
            <w:vAlign w:val="center"/>
            <w:vMerge w:val="restart"/>
            <w:textDirection w:val="lrTb"/>
            <w:noWrap w:val="false"/>
          </w:tcPr>
          <w:p>
            <w:pPr>
              <w:spacing w:line="57" w:lineRule="atLeast"/>
            </w:pPr>
            <w:r>
              <w:t xml:space="preserve">https://lkuv.gosuslugi.ru/paip-portal/#/inquiries/card/dd0a132d-d9cd-11eb-87f2-6dd2d98a56b1</w:t>
            </w:r>
            <w:r/>
          </w:p>
        </w:tc>
      </w:tr>
    </w:tbl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Проведение документарных проверок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left="-360"/>
        <w:jc w:val="center"/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Документарные проверки проводятся путем анализа документов, прикрепленных к заявлению на оказание МСП, данных, полученных в результате межведомственного или внутриведомственного взаимодействия.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Принятие решения о признании/отказе заявителя участником мероприятия по результатам проверки оснований на участие в мероприятии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left="-360"/>
        <w:jc w:val="center"/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Принятие решения осуществляется Обработчиком в ручном режиме. Система сообщает Обработчику, что все необходимые данные по заявлению собраны и заявитель соответствует критериям в рамках автоматических проверок введенных данных.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отдельных МСП, функция принятия решения переходит к роли Сотрудник департамента, в соответствии с регламентом (порядком) МСП.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Внесение сумм лимитов доведенных бюджетных ассигнований на реализацию мероприятий по каждому МО, в том числе указание суммы средств федерального, окружного и местного бюджетов в зависимости от оказываемой МСП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numPr>
          <w:ilvl w:val="0"/>
          <w:numId w:val="9"/>
        </w:numPr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Настройка бюджетов, внесение бюджетных лимитов и распределение бюджетных средств с контролем выделенных сумм осуществляется Аналитиком в административной панели, разд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ел «Финансы». Резервирование средств в бюджете, производится в автоматическом режиме при переводе заявления в реестр претендентов или получателей в зависимости от выбранной МСП. Списание средств производится после заполнения сведений о платежном поручении.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360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Формирование реестра претендентов на получение МСП на очередной год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Автоматическое формирование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 просмотр списка участников мероприятия по реестру заявлений на предоставление МСП с учетом признака заявителя «участник мероприятия» осуществляется в табличном виде под ролью Обработчик для реестров МО и ролью Сотрудник департамента для сводных реестров.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20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Автоматическое формирование списка претендентов на получение МСП с учетом не превышения выделенной суммы лимитов доведенных бюджетных ассигнований на реализацию мероприятий по каждому МО с учетом даты социального обеспечения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numPr>
          <w:ilvl w:val="0"/>
          <w:numId w:val="9"/>
        </w:numPr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разделе «Активные реестры» под ролью сотрудника ведомства доступно формирование списка претендентов из заявлений, по которым принято решение о включении в список претендентов.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 формировании реестра, Система пр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оверяет, сколько денежных лимитов требуется в сумме на все заявления и есть ли лимит на их распределение. Система формирует список по принципу: первоочередности льготных категорий граждан и дате подачи заявления. Формирование завершается при распределении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всех заявлений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по которым принято решение о включении в список претендентов, либо всех денежных лимитов из бюджета. Со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стороны бюджета произойдёт процедура резерва и распределения денежных средств.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процессах формирования перечня претендентов на получение МСП предусмотрены следующие функции: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автоматизированный анализ наличия у каждого участника мероприятия по предоставлению МСП/ чле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нов его семьи заявлений на другие МСП, где он также признан участником, с целью последующего аннулирования дубликатов заявлений, а также наличия заявителя/члена его семьи в реестре граждан, получивших МСП, с целью последующего отказа по текущему заявлению;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автоматизированный анализ возможности предоставления иных МСП на основании соответствия критериям мероприятий, в том числе в других МО.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contextualSpacing w:val="0"/>
        <w:ind w:left="144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Просмотр реестра претендентов на получение МСП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2"/>
        <w:numPr>
          <w:ilvl w:val="0"/>
          <w:numId w:val="9"/>
        </w:numPr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Просмотр реестра осуществляется в табличном виде под ролью Обработчик для реестров МО и ролью Сотрудник департамента для сводных реестров.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Автоматическое оповещение о смене статуса заявителя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Оповещение (о выдаче МСП/исключении из реестра претендентов/ исключении из списка участников или внесения изменений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 указанные списки (увеличение (уменьшение) состава семьи, изменении размера социальной выплаты, установление (снятии) инвалидности ребенку и т.д.) осуществляется посредством отправки сообщения по электронной почте и/или посредством отправки SMS-сообщения.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Вне зависимости от способа подачи обращения, заявитель информируется о смене статусов, для заявлений, поступивших не через ЕПГУ — посредством вида сведений СМЭВ3: «Передача статусов и результатов предоставления государственных и муниципальных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услуг»  (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URI http://epgu.gosuslugi.ru/elk/status).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Принятие решения и уведомление заявителя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Принятие решения и уведомление заявителя об исключении/ изменении/ добавлении из списка очередников данного мероприятия, по следующим причинам, согласно регламенту (порядку) оказания МСП: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наличие в Системе заявлений на другие МСП заявителя/ члена его семьи, где он признан участником мероприятия/ претендентом на получение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заявитель/член его семьи включен в реестр граждан, получивших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несоответствие критериям заявителя или членов его семьи;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отказ заявителя от получения МСП;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numPr>
          <w:ilvl w:val="0"/>
          <w:numId w:val="5"/>
        </w:numPr>
        <w:ind w:left="0"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иные причины предусмотренные регламентом (порядком) оказания МСП.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  <w:r>
        <w:rPr>
          <w:rFonts w:ascii="Liberation Sans" w:hAnsi="Liberation Sans" w:eastAsia="Liberation Sans" w:cs="Liberation Sans"/>
          <w:bCs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Уведомление заявителя о принятом решении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Уведомление осуществляется посредством отправки сообщения по электронной почте.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Вне зависимости от способа подачи обращения, заявитель информируется о смене статусов, для заявлений, поступивших не через ЕПГУ — посредством вида сведений СМЭВ: «Передача статусов и результатов предоставления государственных и муниципальных услуг»  (URI </w:t>
      </w:r>
      <w:hyperlink r:id="rId48" w:tooltip="http://epgu.gosuslugi.ru/elk/status" w:history="1">
        <w:r>
          <w:rPr>
            <w:rFonts w:ascii="Liberation Sans" w:hAnsi="Liberation Sans" w:eastAsia="Liberation Sans" w:cs="Liberation Sans"/>
          </w:rPr>
          <w:t xml:space="preserve">http://epgu.gosuslugi.ru/elk/status</w:t>
        </w:r>
      </w:hyperlink>
      <w:r>
        <w:rPr>
          <w:rFonts w:ascii="Liberation Sans" w:hAnsi="Liberation Sans" w:eastAsia="Liberation Sans" w:cs="Liberation Sans"/>
          <w:sz w:val="24"/>
          <w:szCs w:val="24"/>
        </w:rPr>
        <w:t xml:space="preserve">), для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заявлений, поступивших через ЕПГУ используется ВС посредством которого выполнена интеграция ГИС «Жилье Ямала» и ЕПГУ.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Предоставление результата оказания МСП (перечисление социальной выплаты)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Результатом оказания МСП является перечисление социальной выплаты. Промежуточным этапом процесса оказания МСП является выдача Сертификата (Свидетельства) на получение выплаты. При реализации Сертификата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(Сви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детельства), заявитель обращается с заявлением на перечисление выплаты по данному документу. Для реализации Сертификата (Свидетельства) в ГИС «Жилье Ямала» создается платежное поручение с указанием банка и номера счета, куда будут перечислены средства МСП.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После создания платежного поручения в ГИС «Жилье Ямала» происходит списание средств на оказание МСП по заявлению из соответствующих бюджетов.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Формирование реестров граждан, получивших МСП/ получивших отказ в МСП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Просмотр реестра осуществляется в табличном виде под ролью Обработчик системы.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Обеспечение механизма передачи промежуточных статусов и результатов рассмотрения заявлений на оказание МСП во внешние порталы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редач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у результатов рассмотрения заявлений на оказание МСП на ЕПГУ также обеспечивает разработанный вид сведений «Прием заявлений в ГИС «Жилье Ямала» на предоставление мер социальной поддержки жителям ЯНАО» (URI http://x-artefacts-yanao-aismsp/epgu/application).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Вне зависимости от способа подачи обращения, заявитель информируется о смене статусов, для заявлений, поступивших не через ЕПГУ — посредством вида сведени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й СМЭ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В3: «Передача статусов и результатов предоставления государственных и муниципальных услуг»  (URI http://epgu.gosuslugi.ru/elk/status), для заявлений, поступивших через ЕПГУ используется ВС посредством которого выполнена интеграция ГИС «Жилье Ямала» и ЕПГУ.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ЕПГУ/МФЦ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Приём заявлений и передачу промежуточных и конечных результатов рассмотрения заявлений на оказание МСП на ЕПГУ/МФЦ обеспечивает разработанный вид сведений «Прием заявлений в ГИС «Жилье Ямала» на предоставление мер социальной поддержки жителям ЯНАО» (URI </w:t>
      </w:r>
      <w:hyperlink r:id="rId49" w:tooltip="http://x-artefacts-yanao-aismsp/epgu/application" w:history="1">
        <w:r>
          <w:rPr>
            <w:rStyle w:val="933"/>
            <w:rFonts w:ascii="Liberation Sans" w:hAnsi="Liberation Sans" w:eastAsia="Liberation Sans" w:cs="Liberation Sans"/>
            <w:sz w:val="24"/>
            <w:szCs w:val="24"/>
          </w:rPr>
          <w:t xml:space="preserve">http://x-artefacts-yanao-aismsp/epgu/application</w:t>
        </w:r>
      </w:hyperlink>
      <w:r>
        <w:rPr>
          <w:rFonts w:ascii="Liberation Sans" w:hAnsi="Liberation Sans" w:eastAsia="Liberation Sans" w:cs="Liberation Sans"/>
          <w:sz w:val="24"/>
          <w:szCs w:val="24"/>
        </w:rPr>
        <w:t xml:space="preserve">).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tbl>
      <w:tblPr>
        <w:tblW w:w="95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1"/>
        <w:gridCol w:w="4306"/>
      </w:tblGrid>
      <w:tr>
        <w:tblPrEx/>
        <w:trPr>
          <w:trHeight w:val="339"/>
        </w:trPr>
        <w:tc>
          <w:tcPr>
            <w:shd w:val="clear" w:color="auto" w:fill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Наименование услуги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000000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Ссылка на продуктивный контур ЕПГУ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630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информации из реестра по учету граждан, получивших финансовую или имущественную помощь в улучшении жилищных условий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0" w:tooltip="https://www.gosuslugi.ru/61343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https://www.gosuslugi.ru/613432/1/form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гражданам, проживающим в жилых помещениях, непригодных для проживания,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на приобретение жилых помещений за пределами Ямало-Ненецкого автономного округа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1" w:tooltip="https://www.gosuslugi.ru/61098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https://www.gosuslugi.ru/610982/1/form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100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Принятие решения о включении гражданина в список получателей социальн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ы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х выплат в рамках мероприятий государственной программы по реализации Договора между органами государственной власти Тюменской области, Ханты-Мансийского автономного округа-Югры и Ямало-Ненецкого автономного округа "Сотрудничество"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2" w:tooltip="https://www.gosuslugi.ru/61092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https://www.gosuslugi.ru/610922/1/form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76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индивидуальным застройщикам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3" w:tooltip="https://www.gosuslugi.ru/61092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https://www.gosuslugi.ru/609973/1/form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476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жилья гражданам, участникам Государственной программы по оказанию содействия добровольному переселению в Российскую Федерацию соотечественников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  <w:lang w:val="en-US"/>
              </w:rPr>
              <w:t xml:space="preserve">www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.gosuslugi.ru/613317/1/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5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жилья многодетным семьям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4" w:tooltip="https://www.gosuslugi.ru/610114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https://www.gosuslugi.ru/610114/1/form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750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жилья и предоставление жилья по договорам социального найма реабилитированным лицам и лицам, признанным пострадавшими от политических репрессий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5" w:tooltip="https://www.gosuslugi.ru/617702/1/form" w:history="1">
              <w:r>
                <w:rPr>
                  <w:rStyle w:val="933"/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https://www.gosuslugi.ru/617702/1/form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76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гражданам из числа коренных малочисленных народов Севера на приобретение жилья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6" w:tooltip="https://www.gosuslugi.ru/61664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https://www.gosuslugi.ru/616642/1/form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476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лат на приобретение (строительство) жилья семьям, исключенным по достижении предельного возраста из списка молодых семей - участников федерального или окружного мероприятия, реализуемых на территории Ямало-Ненецкого автономного округа с 01 января 2014 года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7" w:tooltip="https://www.gosuslugi.ru/612306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https://www.gosuslugi.ru/612306/1/form</w:t>
              </w:r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br/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жилья государственным гражданским служащим Ямало-Ненецкого автономного округа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8" w:tooltip="https://www.gosuslugi.ru/619444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https://www.gosuslugi.ru/619444/1/form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157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Постановка на уче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т граждан, имеющих право на получение социальных выплат в рамках реализации Федерального закона от 25 октября 2002 года 125-ФЗ «О жилищных субсидиях гражданам, выезжающим из районов Крайнего Севера и приравненных к ним местностей» и Федерального закона от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17 июля 2011 года 211-ФЗ «О жилищных субсидиях гражданам, выезжающим из закрывающихся населенных пунктов в районах Крайнего Севера и приравненных к ним местностях»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59" w:tooltip="https://www.gosuslugi.ru/620282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https://www.gosuslugi.ru/620282/1/form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49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Принятие решения о включении гражданина в списо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к получателей социальных выплат в рамках мероприятий государственной программы по реализации договора между органами государственной власти Тюменской области, Ханты-Мансийского автономного округа – Югры и Ямало-Ненецкого автономного округа «Сотрудничество»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/>
            <w:hyperlink r:id="rId60" w:tooltip="https://www.gosuslugi.ru/620284/1/form" w:history="1">
              <w:r>
                <w:rPr>
                  <w:rFonts w:ascii="Liberation Sans" w:hAnsi="Liberation Sans" w:eastAsia="Liberation Sans" w:cs="Liberation Sans"/>
                  <w:sz w:val="24"/>
                  <w:szCs w:val="24"/>
                </w:rPr>
                <w:t xml:space="preserve">https://www.gosuslugi.ru/620284/1/form</w:t>
              </w:r>
            </w:hyperlink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476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(строительство) жилья молодым семьям в ЯНАО (окружное мероприятие)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https://www.gosuslugi.ru/611662/1/form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476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социальных выплат на приобретение (строительство) жилья молодым семьям в ЯНАО (Федеральное мероприятие)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https://www.gosuslugi.ru/612368/1/form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64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Признание граждан, выезжающих из районов Крайнего Севера и приравненных к ним местностей, граждан, выезжающих из населенных пунктов (в том числе из городов, поселков), находящихся в районах Крайнего Севера и приравненных к ним 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местностях и закрывающихся в соответствии с законодательством Российской Федерации на основании решений органов государственной власти субъектов Российской Федерации по согласованию с Правительством Российской Федерации участниками ведомственной целевой пр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https://www.gosuslugi.ru/620283/1/form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2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Принятие на учет граждан в качестве, нуждающихся в жилых помещениях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https://www.gosuslugi.ru/600246/1/form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10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жилого помещения по договору социального найма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https://www.gosuslugi.ru/600208/1/form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85"/>
        </w:trPr>
        <w:tc>
          <w:tcPr>
            <w:shd w:val="clear" w:color="auto" w:fill="auto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Постановка граждан на учет в качестве лиц, имеющих право на предоставление земельных участков в собственность бесплатно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https://www.gosuslugi.ru/600217/1/form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85"/>
        </w:trPr>
        <w:tc>
          <w:tcPr>
            <w:shd w:val="clear" w:color="ffffff" w:fill="ffffff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Предоставление выплаты (сертификата)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https://www.gosuslugi.ru/648561/1/form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  <w:tr>
        <w:tblPrEx/>
        <w:trPr>
          <w:trHeight w:val="585"/>
        </w:trPr>
        <w:tc>
          <w:tcPr>
            <w:shd w:val="clear" w:color="ffffff" w:fill="ffffff"/>
            <w:tcBorders>
              <w:top w:val="single" w:color="CCCCCC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598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Сокращение срока действия договора найма специализированного жилого помещения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CCCCCC" w:sz="6" w:space="0"/>
              <w:left w:val="single" w:color="CCCCCC" w:sz="6" w:space="0"/>
              <w:bottom w:val="single" w:color="000000" w:sz="6" w:space="0"/>
              <w:right w:val="single" w:color="000000" w:sz="6" w:space="0"/>
            </w:tcBorders>
            <w:tcMar>
              <w:left w:w="45" w:type="dxa"/>
              <w:top w:w="30" w:type="dxa"/>
              <w:right w:w="45" w:type="dxa"/>
              <w:bottom w:w="30" w:type="dxa"/>
            </w:tcMar>
            <w:tcW w:w="3603" w:type="dxa"/>
            <w:vAlign w:val="bottom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  <w:t xml:space="preserve">https://www.gosuslugi.ru/633526/1/form</w:t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  <w:r>
              <w:rPr>
                <w:rFonts w:ascii="Liberation Sans" w:hAnsi="Liberation Sans" w:eastAsia="Liberation Sans" w:cs="Liberation Sans"/>
                <w:sz w:val="24"/>
                <w:szCs w:val="24"/>
              </w:rPr>
            </w:r>
          </w:p>
        </w:tc>
      </w:tr>
    </w:tbl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Обеспечение механизма автоматизированного расчета размера субсидии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Расчет размера субсидии производится по индив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идуальным правилам в соответствии с НПА, регулирующими предоставление той или иной МСП. Реализация механизма расчета выполняется путем использования специализированного программного адаптера, связанного с сконфигурированной МСП в системе Администрирования.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Обеспечение механизма работы с бюджетами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Реализация внесения данных в бюджет, установка бюджетных лимитов для МО производит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ся в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системе Администрирования ГИС «Жилье Ямала» под ролью Аналитик. Реестр бюджетных лимитов имеет иерархическую структуру. Корневым элементом является МСП, в рамках которой содержатся до 3 типов различных бюджетов – федеральный, региональный и муниципальный. 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Дальнейшее ветвление бюджетных лимитов производится на основе количества муниципальных образований, введенных в Системе. Контроль сумм, выделенных на муниципальное образование в рамках федерального и/или регионального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бюджетов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производится на основе общего размера суммы, выделенное на конкретное мероприятие (МСП). Контроль общей суммы бюджетов в рамках муниципального бюджета не производится.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Обеспечение механизма работы с реестрами средней стоимости жилья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Механизм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реализуется посредством внесения данных о средней стоимости квадратного жилья в системе администрирования. Стоимость жилья привязывается к региональному (окружному) или федеральному типу мероприятия. Стоимость жилья устанавливается на календарный квартал.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426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Вкладка «Прогноз» (аналитическая информация)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При формировании сведении во вкладке «Прогноз» реализована возможность выбора года, временного интервала, даты, на которую должны быть сформированы сведения, наименования ме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роприятия (одно или несколько), выбор МО (один или несколько) или сводная информация по ЯНАО, возможность корректировки сведений путём выбора нужного поля. Сведения выводятся в виде экранной формы с возможностью печати и скачивания в формате PDF, Excel, с 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поддержкой  форматов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программного обеспечения Р7-Офис.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/>
      <w:bookmarkStart w:id="4" w:name="_Hlk95076938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Реализована возможность формирования следующих сведений:</w:t>
      </w:r>
      <w:bookmarkEnd w:id="4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поступивших заявлений;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потребности в средствах на поступившие заявления;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участников (претендентов);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выданных свидетельствах;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семей и человек, находящихся в списке участников (претендентов);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граждан (семей), исключенных из списка;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об исключении молодых семей из списка участников по достижению предельного возраста;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об исполнении бюджета;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направлении использования социальной выплаты;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сроке ожидания получения социальной выплаты (жилья):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об обязательствах по переоформлению жилья в собственность всех членов семьи, указанных в свидетельстве (для МСП, включающих данные сведения);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семей, подлежащих исключению по достижению предельного возраста.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/>
      <w:bookmarkStart w:id="5" w:name="_Hlk95077042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ind w:firstLine="709"/>
        <w:jc w:val="both"/>
        <w:spacing w:after="0" w:line="17" w:lineRule="atLeast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Реализована возможность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 формирования сведений функционала автоматизации жизненных циклов этапов постановки на учет граждан, имеющих право на получение социальных выплат в рамках реализации Федерального закона от 25 октября 2002 года 125-ФЗ  «О жилищных субсидиях гражданам, выезж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ающим из районов Крайнего Севера и приравненных к ним местностей»  и Федерального закона от 17 июля 2011 года 211-ФЗ «О жилищных субсидиях гражданам, выезжающим из закрывающихся населенных пунктов в районах Крайнего Севера и приравненных к ним местностях»: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/>
      <w:bookmarkStart w:id="6" w:name="_Hlk95077138"/>
      <w:r/>
      <w:bookmarkEnd w:id="5"/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граждан, имею</w:t>
      </w:r>
      <w:r>
        <w:rPr>
          <w:rFonts w:ascii="Liberation Sans" w:hAnsi="Liberation Sans" w:eastAsia="Liberation Sans" w:cs="Liberation Sans"/>
          <w:sz w:val="24"/>
          <w:szCs w:val="24"/>
        </w:rPr>
        <w:t xml:space="preserve">щих право на получение социальных выплат в соответствии с Федеральным законом «О жилищных субсидиях гражданам, выезжающим из районов Крайнего Севера и приравненных к ним местностей» по Ямало-Ненецкому автономному округу в разрезе МО по установленной форме;</w:t>
      </w:r>
      <w:bookmarkEnd w:id="6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Возможность выбора и формирования необходимых запрашиваемых сведений из списка граждан, имеющих право на получение социальных выплат для приобретения жилья по различным признакам (категории, МО);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1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гражданах, получивших ГЖС в соответствующем году по установленной форме.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Реализована возможность формирования сведений функционала автоматизации жизненных циклов этапов постановки на учет граждан, нуждающихся в улучшении жилищных условий: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граждан, состоящих на учете в разрезе по МО и по ЯНАО по указанному списку в целом;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количестве поступивших заявлений на постановку на учет граждан за указанный период в разрезе по МО и по ЯНАО в целом по указанному списку;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принятых решениях о постановке (об отказе в постановке) на учет граждан;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2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Сведения о потребности в жилых помещениях для обеспечения граждан жильем.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7"/>
        <w:ind w:firstLine="0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1"/>
          <w:numId w:val="20"/>
        </w:numPr>
        <w:contextualSpacing w:val="0"/>
        <w:ind w:hanging="1014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Вкладка «Карта аварийного жилья» (аналитическая информация)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Реализовано отображение информации об аварийном жилье на интерактивной карте. На карте отображается информация обо всех обращениях, зарегистрированных в ГИС «Жилье Ямала» с привязкой по адресу регистрации заявителя.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У домов, не являющихся аварийными, информация об аварийности не отображается. Блок информации об участниках МСП выводятся так же, как и для аварийных обращений.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При просмотре карты, на аварийном доме, согласно Реестру аварийного жилья, отображается специальный символ и количество человек, зарегистрированных в этом доме. При нажатии на символ отображается Адрес данного дома и блоки доступной к просмотру информации.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качестве картографического сервиса выбран «Яндекс-карты».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Реализован механизм передачи необходимых данных в выбранный сервис, посредством API. Вопрос лицензирования внешнего картографического сервиса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входит в зону ответственности Исполнителя с учётом тарифа с расширенной лицензией для сохранения результатов ответов API, с возможностью отправки до 1000 запросов в сутки.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/>
      <w:bookmarkStart w:id="7" w:name="_Toc527114371"/>
      <w:r/>
      <w:bookmarkStart w:id="8" w:name="_Toc472065584"/>
      <w:r/>
      <w:bookmarkStart w:id="9" w:name="_Toc70469140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Ролевая модель</w:t>
      </w:r>
      <w:bookmarkEnd w:id="7"/>
      <w:r/>
      <w:bookmarkEnd w:id="8"/>
      <w:r/>
      <w:bookmarkEnd w:id="9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Доступ в ГИС «Жилье Ямала»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 предоставляется только авторизованным пользователям, с учётом их полномочий и функций. Созданы роли: администратор, аналитик, архивариус, оператор, обработчик, сотрудник департамента, поставщик данных, руководитель департамента, руководитель МО,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корректор, корректор Архива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/>
      <w:bookmarkStart w:id="10" w:name="_Toc527114373"/>
      <w:r/>
      <w:bookmarkStart w:id="11" w:name="_Toc472065586"/>
      <w:r/>
      <w:bookmarkStart w:id="12" w:name="_Toc70469141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Реестры</w:t>
      </w:r>
      <w:bookmarkEnd w:id="10"/>
      <w:r/>
      <w:bookmarkEnd w:id="11"/>
      <w:r/>
      <w:bookmarkEnd w:id="12"/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ГИС «Жилье Ямала» предоставлена возможность формирования следующих реестров: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3"/>
        </w:numPr>
        <w:ind w:hanging="720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реестр заявителей;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2"/>
        <w:numPr>
          <w:ilvl w:val="0"/>
          <w:numId w:val="23"/>
        </w:numPr>
        <w:ind w:hanging="720"/>
        <w:jc w:val="both"/>
        <w:spacing w:after="0" w:line="240" w:lineRule="auto"/>
        <w:tabs>
          <w:tab w:val="left" w:pos="1134" w:leader="none"/>
        </w:tabs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реестр критериев;</w:t>
      </w:r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Все реестры заявлений реализованы через табличное представление, содержащее информацию о всех поданных заявлений, прошедших проверку и включенных в реестры участников, претендентов, получателей (в зависимости от требований регламента МСП) по указанной МСП: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молодым семьям в ЯНАО (федеральное мероприятие);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молодым семьям в ЯНАО (региональное мероприятие);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семьям (36 лет) в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ветеранам Великой Отечественной войны 1941 - 1945 годов в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ветеранам, инвалидам и семьям, имеющим детей-инвалидов в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ГГС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оформление ГЖС гражданам, подвергшимся радиационному воздействию;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оформление ГЖС гражданам, признанным вынужденными переселенцами;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гражданам, выезжающим из ЯНАО в населенные пункты юга Тюменской области;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и предоставление жилья по договорам социального найма гражданам, из числа КМНС;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и предоставление жилья по договорам социального найма реабилитированным лицам и лицам, признанным пострадавшими от политических репрессий;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многодетным семьям;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гражданам, участникам Государственной программы по оказанию содействия добровольному переселению в Российскую Федерацию соотечественников;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индивидуальным застройщикам;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на приобретение жилья работникам бюджетной сферы;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МСП гражданам - участникам долевого строительства МКД на территории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специализированного жилого помещения по договору найма детям-сиротам;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социальных выплат гражданам, проживающим в жилых помещениях, непригодных для проживания, на приобретение жилых помещений;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субсидии на приобретение жилья гражданам, выезжающим из закрывающихся населенных пунктов в районах Крайнего Севера и приравненных к ним местностях»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социальной выплаты на приобретение (строительство) жилых помещений ветеранам боевых действий, участникам специальной военной операции и членам их семей;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социальных выплат на приобретение (строительство) жилого поме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щения либо приобретение земельного участка, предназначенного для индивидуального жилищного строительства, ведения личного подсобного хозяйства в границах населенного пункта, военнослужащим, лицам, заключившим контракт о пребывании в добровольческом формиро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взамен предоставления земельного участка в собственность бесплатно;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принятых на учет граждан в качестве, нуждающихся в жилых помещениях;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7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на предоставление жилого помещения по договору социального найма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;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7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заявлений на предоставление выплаты, заявлений о восстановлении в списке подлежащих обеспечению жилыми помещениями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;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заявлений 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 сокраще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Все реестры формирования списка претендентов и/или участников, и/или получивших свидетельства представляют собой табличное представление с возможностью фильтрации по МСП: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формирования списка участников / претендентов на предоставление МСП на приобретение жилья молодым семьям в ЯНАО (федеральное мероприятие);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формирования списка участников / претендентов на предоставление МСП на приобретение жилья молодым семьям в ЯНАО (региональное мероприятие);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формирования списка участников / претендентов на предоставление МСП на приобретение жилья семьям (36 лет) в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МСП на приобретение жилья ветеранам Великой Отечественной войны 1941 - 1945 годов в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социальных выплат на приобретение жилья ветеранам, инвалидам и семьям, имеющим детей-инвалидов в ЯНАО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претендентов на предоставление социальных выплат на приобретение жилья ГГС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претендентов на оформление ГЖС гражданам, подвергшимся радиационному воздействию;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претендентов на оформление ГЖС гражданам, признанным вынужденными переселенцами;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претендентов / получателей на предоставление МСП на приобретение жилья гражданам, выезжающим из ЯНАО в населенные пункты юга Тюменской области;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МСП на приобретение жилья и предоставление жилья по договорам социального найма гражданам, из числа КМНС;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 получивших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 свидетельства на предоставление МСП на приобретение жилья и предоставление жилья по договорам социального найма реабилитированным лицам и лицам, признанным пострадавшими от политических репрессий;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получателей на предоставление МСП на приобретение жилья многодетным семьям;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МСП на приобретение жилья гражданам, участникам Государственной программы по оказанию содействия добровольному переселению в Российскую Федерацию соотечественников;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претендентов / получателей на предоставление МСП на приобретение жилья работникам бюджетной сферы;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претендентов на предоставление социальной выплаты гражданам - участникам долевого строительства МКД на территории ЯНАО;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формирования списка претендентов на предоставление специализированного жилого помещения по договору найма детям-сиротам;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получателей на предоставление социальных выплат гражданам, проживающим в жилых помещениях, непригодных для проживания, на приобретение жилых помещений;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участников / претендентов / получателей на предоставление субсидии на приобретение жилья гражданам, выезжающим из закрывающихся населенных пунктов в районах Крайнего Севера и приравненных к ним местностях»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социальной выплаты на приобретение (строительство) жилых помещений ветеранам боевых действий, участникам специальной военной операции и членам их семей;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получивших свидетельства на предоставление социальных выплат на приобретение (строительство) жилого поме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щения либо приобретение земельного участка, предназначенного для индивидуального жилищного строительства, ведения личного подсобного хозяйства в границах населенного пункта, военнослужащим, лицам, заключившим контракт о пребывании в добровольческом формиро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 взамен предоставления земельного участка в собственность бесплатно;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принятых на учет граждан в качестве, нуждающихся в жилых помещениях;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граждан, получивших МСП;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реестр граждан, получивших отказ в МСП;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реестр граждан, получивших финансовую или имущественную помощь в улучшении жилищных условий;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реестр сертификатов на выплату лицам, указанным в пункте 1 статьи 8.1 Федерального закона от 21 декабря 1996 года N 159-ФЗ "О дополнительных гарантиях по с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оциальной поддержке детей-сирот и детей, оставшихся без попечения родителей", на приобретение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ипотекой;</w:t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</w:p>
    <w:p>
      <w:pPr>
        <w:pStyle w:val="952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sz w:val="24"/>
          <w:szCs w:val="24"/>
          <w:lang w:eastAsia="ru-RU"/>
        </w:rPr>
      </w:r>
      <w:r>
        <w:rPr>
          <w:rFonts w:ascii="Liberation Sans" w:hAnsi="Liberation Sans" w:eastAsia="Liberation Sans" w:cs="Liberation Sans"/>
          <w:sz w:val="24"/>
          <w:szCs w:val="24"/>
          <w:lang w:eastAsia="ru-RU"/>
        </w:rPr>
        <w:t xml:space="preserve">список лиц, претендующих на получение сертификата в автономном округе в очередном календарном году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ind w:left="709"/>
        <w:jc w:val="both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  <w:t xml:space="preserve">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Входные и выходные документы</w:t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/>
      <w:bookmarkStart w:id="13" w:name="_Toc70469143"/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ГИС «Жилье Ямала» предоставлена возможность автоматизированного формирования входных и выходных документов по заданным шаблонам документов с заполнением документов сведениями, хранящимися в базе данных ГИС «Жилье Ямала».</w:t>
      </w:r>
      <w:bookmarkEnd w:id="13"/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 Статистические отчеты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ГИС «Жилье Ямала» реализована возможность формирования отчётов.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При настройке статистических отчетов сохранены следующие функции: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доступ к отчетам через веб-браузер без использования дополнительных программных средств, не перечисленных в требованиях к рабочему месту пользователя Системы;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вывода отчетов на экран и принтер;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определять состав управляемых пользователем параметров отчета (фильтров);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экспорта отчетов в форматы «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xls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», «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rtf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», «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pdf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» и «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csv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» по установленным критериям отбора и сортировки;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настройки отчетов – по составу полей отчета, фильтров выборки и сортировки данных.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Формирование прогнозируемых показателей в ГИС «Жилье Ямала»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/>
      <w:bookmarkStart w:id="14" w:name="_Toc527114376"/>
      <w:r/>
      <w:bookmarkStart w:id="15" w:name="_Toc472065589"/>
      <w:r/>
      <w:bookmarkStart w:id="16" w:name="_Toc70469145"/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ГИС «Жилье Ямала» реализована возможность формирования следующих отчётов: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прогнозирование необходимого финансирования на следующий за отчетным год;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прогнозирование объемов строительства жилья.</w:t>
      </w:r>
      <w:bookmarkEnd w:id="14"/>
      <w:r/>
      <w:bookmarkEnd w:id="15"/>
      <w:r/>
      <w:bookmarkEnd w:id="16"/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внешней BI-системой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 целью передачи во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 внешние порталы актуальной консолидированной информации в сфере предоставления МСП реализован механизм интеграции с внешней BI-системой – государственной информационной системой «Региональная система управления данными Ямало-Ненецкого автономного округа».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ГИС «Жилье Ямала» реализовано предоставление сведений, хранящихся в БД Системы.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течение 5 рабочих дней после заключения Контракта Исполнитель предоставляет заказчику IP-адрес базы данных, порт и учетную запись на чтение данных.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 Социальный калькулятор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Социальный калькулятор представляет собой функционал для выбора заявителем МСП по заданным критериям. Социальный калькулятор реализован в форме анкеты-опро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сника. При использовании социального калькулятора пользователю внешнего портала обеспечена возможность последовательного ответа на вопросы анкеты-опросника, при этом в нижней части социального калькулятора выводится МСП, соответствующие уже заданным пользо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вателем критериям. По завершению прохождения опроса пользователю внешнего портала обеспечена возможность выбора одной подходящей под заданные критерии МСП с указанием перечня предоставляемых заявителем документов, потенциальным размером социальной выплаты.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ЕГИССО 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рамках взаимодействия ГИС «Жилье Ямала» с ЕГИССО обеспечиваются следующие функции: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запрос сертификата на материнский (семейный) капитал при участии в региональной программе;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запрос сертификата на материнский (семейный) капитал при участии в федеральной программе;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отправка сведений об оказанных МСП в ЕГИССО;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информирование из ЕГИССО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запрос сведений из ЕГИССО о ранее реализованном праве на получение МСП по улучшению жилищных условий.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ЕЛК</w:t>
      </w:r>
      <w:r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Вне зависимости от способа подачи обращения, заявитель информируется о смене статусов, для заявлений, поступивших не через ЕПГУ — посредством вида сведени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й СМЭ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В3: «Передача статусов и результатов предоставления государственных и муниципальных услуг»  (URI http://epgu.gosuslugi.ru/elk/status), для заявлений, поступивших через ЕПГУ используется ВС посредством которого выполнена интеграция ГИС «Жилье Ямала» и ЕПГУ.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ЕИС Ямал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Обеспечена интеграция с ЕИС Ямал в формате XML.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Реализована отправка и получение «Сведения о семье КМНС, в том числе ведущей ТОЖ, состоящей на учете нуждающихся в жилье (в улучшении жилищных условий)».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Интеграция с ГИС «Кадровый учет»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Обеспечен прием информации о стаже заявителя на государственной гражданской службе автономного интеграция из ГИС «Кадровый учет» в формате JSON.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 Межведомственное взаимодействие</w:t>
      </w:r>
      <w:r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Система поддерживает межведомственное взаимодействие посредством электронного обмена информацией с поставщиками сведений: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работа с очередями сообщений и обработка этих сообщений, в том числе определение получателя ответа, работа со сведениями, содержащимися в ответе, внесение необходимых изменений в ГИС «Жилье Ямала»;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формирование связи между исходящим запросом и входящим ответом для возможности отслеживания запросов и поиска контролером потерянных запросов вручную.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ГИС «Жилье Ямала» обеспечивает пользователям следующие возможности в части работы с запросами-ответами при межведомственном взаимодействии: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отправки межведомственных запросов, выбранных пользователем из общего списка межведомственных запросов, с автоматически заполненными данными, предоставленными заявителем в заявлении и получения ответов от поставщиков данных;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автоматической отправки межведомственных запросов по списку запросов и получения ответов от поставщиков данных;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ручной отправки межведомственных запросов и получения ответов от поставщиков данных;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в визуальном режиме управлять отправкой подписанных запросов, в том числе видеть общий список отправленных запросов и соответствующих им ответов;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в визуальном режиме обрабатывать результаты ответов на запросы, в том числе возможность видеть зафиксированный в ГИС «Жилье Ямала» факт ответа на запрос, возможность просмотреть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xml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-файл ответа;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сформировать печатную форму ответа на основании 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xml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-файла ответа, вывести печатную форму ответа на печатающее устройство;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автоматическое создание в электронном обращении заявителя документа-результата запроса на основании полученных с ответом на запрос данных;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автоматического прикрепления сформированной печатной формы ответа на запрос к электронному обращению, в рамках исполнения которого был сформирован запрос;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автоматический переход обращения на следующий этап оказания МСП, в соответствии с настройками процесса оказания МСП;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выполнения нескольких параллельных запросов в рамках одного электронного обращения заявителя.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Возможные сбои функционирования межведомственного взаимодействия не приводят к полной или частичной остановке работы ГИС «Жилье Ямала». 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Для обеспе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чения обмена данными, межведомственное взаимодействие осуществляется посредством веб-сервисов, разработанных в соответствии с методическими рекомендациями Минкомсвязи России о реализации межведомственного взаимодействия, зарегистрированных в ЕСМЭВ и РСМЭВ.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Исходящие запросы реализованы в соответствии с форматами электронных сервисов/ видов сведений, определенными требованиями «Методических рекомендаций по работе с ЕСМЭВ»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 версии 3.0.9.6 или, в случае, если запрос не реализован в СМЭВ 3, требованиями «Методических рекомендаций по разработке электронных сервисов и применению технологии электронной подписи при межведомственном электронном взаимодействии» версии не ниже 2.5.7.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Настроенные исходящие запросы к федеральным электронным сервисам СМЭВ обеспечивают реализацию следующих возможностей: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передавать в федеральные органы исполнительной власти (ФОИВ) запросы на получение документов (сведений), включая ЭП исходящих запросов;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получать от ФОИВ текущий статус обработки запроса;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получать от ФОИВ запрошенные документы (сведения), включая валидацию ЭП полученных документов (сведений).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Настроены реестры запросов по исходящим запросам к ФОИВ.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реестрах хранятся данные исходящих запросов, направляемых в ФОИВ. Так же предусмотрена возможность хранения в составе записей реестров результатов обработки исходящих запросов.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pStyle w:val="957"/>
        <w:spacing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</w:rPr>
      </w:pPr>
      <w:r>
        <w:rPr>
          <w:rFonts w:ascii="Liberation Sans" w:hAnsi="Liberation Sans" w:eastAsia="Liberation Sans" w:cs="Liberation Sans"/>
          <w:color w:val="000000"/>
          <w:sz w:val="24"/>
          <w:szCs w:val="24"/>
        </w:rPr>
        <w:t xml:space="preserve">В Системе настроены процессы формирования и отправки исходящих запросов и обеспечены следующие возможности:</w:t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пошаговое прохождение процессов с вводом и сохранением данных (информации, документов), относящихся к процессу;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просмотр списка процессов, доступных для прохождения, и списка выполненных процессов;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возможность запуска процессов вручную (при этом создается новый запрос);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t xml:space="preserve">получение ответа на запрос в виде сообщений СМЭВ соответствующего сервиса/ вида сведений (в т.ч. вложений).</w:t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  <w:r>
        <w:rPr>
          <w:rFonts w:ascii="Liberation Sans" w:hAnsi="Liberation Sans" w:eastAsia="Liberation Sans" w:cs="Liberation Sans"/>
          <w:bCs/>
          <w:color w:val="000000"/>
          <w:sz w:val="24"/>
          <w:szCs w:val="24"/>
        </w:rPr>
      </w:r>
    </w:p>
    <w:p>
      <w:pPr>
        <w:pStyle w:val="952"/>
        <w:numPr>
          <w:ilvl w:val="0"/>
          <w:numId w:val="20"/>
        </w:numPr>
        <w:contextualSpacing w:val="0"/>
        <w:jc w:val="both"/>
        <w:spacing w:after="0" w:line="17" w:lineRule="atLeast"/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pP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  <w:lang w:eastAsia="ru-RU"/>
        </w:rPr>
        <w:t xml:space="preserve">Региональное межведомственное взаимодействие</w:t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  <w:r>
        <w:rPr>
          <w:rFonts w:ascii="Liberation Sans" w:hAnsi="Liberation Sans" w:eastAsia="Liberation Sans" w:cs="Liberation Sans"/>
          <w:b/>
          <w:bCs/>
          <w:iCs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Liberation Sans" w:hAnsi="Liberation Sans" w:eastAsia="Liberation Sans" w:cs="Liberation Sans"/>
          <w:sz w:val="24"/>
          <w:szCs w:val="24"/>
        </w:rPr>
      </w:pPr>
      <w:r>
        <w:rPr>
          <w:rFonts w:ascii="Liberation Sans" w:hAnsi="Liberation Sans" w:eastAsia="Liberation Sans" w:cs="Liberation Sans"/>
          <w:sz w:val="24"/>
          <w:szCs w:val="24"/>
        </w:rPr>
        <w:t xml:space="preserve">В ГИС «Жилье Ямала» обеспечена возможность отправки запросов, формирования ответов и получения результатов для возможности обращения органов исполнительной власти и ОМСУ, оказывающих МСП заявителям, к ИО и ОМСУ.</w:t>
      </w:r>
      <w:bookmarkStart w:id="17" w:name="2bn6wsx"/>
      <w:r/>
      <w:bookmarkStart w:id="18" w:name="3whwml4"/>
      <w:r/>
      <w:bookmarkStart w:id="19" w:name="3s49zyc"/>
      <w:r/>
      <w:bookmarkStart w:id="20" w:name="_arqa2kc68wph"/>
      <w:r/>
      <w:bookmarkEnd w:id="17"/>
      <w:r/>
      <w:bookmarkEnd w:id="18"/>
      <w:r/>
      <w:bookmarkEnd w:id="19"/>
      <w:r/>
      <w:bookmarkEnd w:id="20"/>
      <w:r>
        <w:rPr>
          <w:rFonts w:ascii="Liberation Sans" w:hAnsi="Liberation Sans" w:eastAsia="Liberation Sans" w:cs="Liberation Sans"/>
          <w:sz w:val="24"/>
          <w:szCs w:val="24"/>
        </w:rPr>
      </w:r>
      <w:r>
        <w:rPr>
          <w:rFonts w:ascii="Liberation Sans" w:hAnsi="Liberation Sans" w:eastAsia="Liberation Sans" w:cs="Liberation Sans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panose1 w:val="020B05020405040202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Tahoma">
    <w:panose1 w:val="020B0604030504040204"/>
  </w:font>
  <w:font w:name="SimSun">
    <w:panose1 w:val="02000603000000000000"/>
  </w:font>
  <w:font w:name="Courier New">
    <w:panose1 w:val="02070309020205020404"/>
  </w:font>
  <w:font w:name="Mangal">
    <w:panose1 w:val="02040503050406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bullet"/>
      <w:isLgl w:val="false"/>
      <w:suff w:val="tab"/>
      <w:lvlText w:val="–"/>
      <w:lvlJc w:val="left"/>
      <w:pPr>
        <w:ind w:left="786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5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786" w:hanging="360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cs="Times New Roman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786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−"/>
      <w:lvlJc w:val="left"/>
      <w:pPr>
        <w:ind w:left="7448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decimal"/>
      <w:isLgl w:val="false"/>
      <w:suff w:val="tab"/>
      <w:lvlText w:val="%2."/>
      <w:lvlJc w:val="left"/>
      <w:pPr>
        <w:ind w:left="1495" w:hanging="360"/>
      </w:pPr>
      <w:rPr>
        <w:b w:val="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14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842" w:hanging="360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96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16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36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56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76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96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16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36" w:hanging="360"/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5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</w:pPr>
      <w:rPr>
        <w:rFonts w:ascii="Courier New" w:hAnsi="Courier New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637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41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5859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79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964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1718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343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5504" w:hanging="180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>
    <w:multiLevelType w:val="hybridMultilevel"/>
    <w:lvl w:ilvl="0">
      <w:start w:val="5"/>
      <w:numFmt w:val="bullet"/>
      <w:isLgl w:val="false"/>
      <w:suff w:val="tab"/>
      <w:lvlText w:val=""/>
      <w:lvlJc w:val="left"/>
      <w:pPr>
        <w:ind w:left="720" w:hanging="360"/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2.%1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 w:val="false"/>
      <w:suff w:val="tab"/>
      <w:lvlText w:val="2.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5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1418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13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21"/>
  </w:num>
  <w:num w:numId="8">
    <w:abstractNumId w:val="1"/>
  </w:num>
  <w:num w:numId="9">
    <w:abstractNumId w:val="22"/>
  </w:num>
  <w:num w:numId="10">
    <w:abstractNumId w:val="14"/>
  </w:num>
  <w:num w:numId="11">
    <w:abstractNumId w:val="5"/>
  </w:num>
  <w:num w:numId="12">
    <w:abstractNumId w:val="11"/>
  </w:num>
  <w:num w:numId="13">
    <w:abstractNumId w:val="3"/>
    <w:lvlOverride w:ilvl="0">
      <w:startOverride w:val="1"/>
    </w:lvlOverride>
  </w:num>
  <w:num w:numId="14">
    <w:abstractNumId w:val="7"/>
  </w:num>
  <w:num w:numId="15">
    <w:abstractNumId w:val="2"/>
  </w:num>
  <w:num w:numId="16">
    <w:abstractNumId w:val="8"/>
  </w:num>
  <w:num w:numId="17">
    <w:abstractNumId w:val="17"/>
  </w:num>
  <w:num w:numId="18">
    <w:abstractNumId w:val="6"/>
  </w:num>
  <w:num w:numId="19">
    <w:abstractNumId w:val="10"/>
  </w:num>
  <w:num w:numId="20">
    <w:abstractNumId w:val="23"/>
  </w:num>
  <w:num w:numId="21">
    <w:abstractNumId w:val="15"/>
  </w:num>
  <w:num w:numId="22">
    <w:abstractNumId w:val="12"/>
  </w:num>
  <w:num w:numId="23">
    <w:abstractNumId w:val="18"/>
  </w:num>
  <w:num w:numId="24">
    <w:abstractNumId w:val="4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6">
    <w:name w:val="Plain Table 1"/>
    <w:basedOn w:val="7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7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7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5 Dark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6 Colorful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7">
    <w:name w:val="Grid Table 7 Colorful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3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5 Dark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3">
    <w:name w:val="List Table 6 Colorful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34">
    <w:name w:val="List Table 7 Colorful"/>
    <w:basedOn w:val="7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35" w:default="1">
    <w:name w:val="Normal"/>
    <w:qFormat/>
  </w:style>
  <w:style w:type="paragraph" w:styleId="736">
    <w:name w:val="Heading 1"/>
    <w:basedOn w:val="735"/>
    <w:next w:val="735"/>
    <w:link w:val="784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37">
    <w:name w:val="Heading 2"/>
    <w:basedOn w:val="735"/>
    <w:next w:val="735"/>
    <w:link w:val="785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738">
    <w:name w:val="Heading 3"/>
    <w:basedOn w:val="735"/>
    <w:next w:val="735"/>
    <w:link w:val="78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9">
    <w:name w:val="Heading 4"/>
    <w:basedOn w:val="735"/>
    <w:next w:val="735"/>
    <w:link w:val="787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0">
    <w:name w:val="Heading 5"/>
    <w:basedOn w:val="735"/>
    <w:next w:val="735"/>
    <w:link w:val="788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1">
    <w:name w:val="Heading 6"/>
    <w:basedOn w:val="735"/>
    <w:next w:val="735"/>
    <w:link w:val="7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42">
    <w:name w:val="Heading 7"/>
    <w:basedOn w:val="735"/>
    <w:next w:val="735"/>
    <w:link w:val="79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3">
    <w:name w:val="Heading 8"/>
    <w:basedOn w:val="735"/>
    <w:next w:val="735"/>
    <w:link w:val="79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4">
    <w:name w:val="Heading 9"/>
    <w:basedOn w:val="735"/>
    <w:next w:val="735"/>
    <w:link w:val="79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 w:default="1">
    <w:name w:val="Default Paragraph Font"/>
    <w:uiPriority w:val="1"/>
    <w:semiHidden/>
    <w:unhideWhenUsed/>
  </w:style>
  <w:style w:type="table" w:styleId="7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7" w:default="1">
    <w:name w:val="No List"/>
    <w:uiPriority w:val="99"/>
    <w:semiHidden/>
    <w:unhideWhenUsed/>
  </w:style>
  <w:style w:type="table" w:styleId="748" w:customStyle="1">
    <w:name w:val="Таблица простая 11"/>
    <w:basedOn w:val="74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 w:customStyle="1">
    <w:name w:val="Таблица простая 21"/>
    <w:basedOn w:val="74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Таблица простая 3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 w:customStyle="1">
    <w:name w:val="Таблица простая 4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Таблица простая 5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1 светл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Таблица-сетка 2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Таблица-сетка 3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Таблица-сетка 41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Таблица-сетка 5 тем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8" w:customStyle="1">
    <w:name w:val="Таблица-сетка 6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Таблица-сетка 7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Список-таблица 1 светлая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Список-таблица 2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2" w:customStyle="1">
    <w:name w:val="Список-таблица 3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Список-таблица 4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Список-таблица 5 тем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5" w:customStyle="1">
    <w:name w:val="Список-таблица 6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6" w:customStyle="1">
    <w:name w:val="Список-таблица 7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67" w:customStyle="1">
    <w:name w:val="Heading 1 Char"/>
    <w:basedOn w:val="745"/>
    <w:uiPriority w:val="9"/>
    <w:rPr>
      <w:rFonts w:ascii="Arial" w:hAnsi="Arial" w:eastAsia="Arial" w:cs="Arial"/>
      <w:sz w:val="40"/>
      <w:szCs w:val="40"/>
    </w:rPr>
  </w:style>
  <w:style w:type="character" w:styleId="768" w:customStyle="1">
    <w:name w:val="Heading 2 Char"/>
    <w:basedOn w:val="745"/>
    <w:uiPriority w:val="9"/>
    <w:rPr>
      <w:rFonts w:ascii="Arial" w:hAnsi="Arial" w:eastAsia="Arial" w:cs="Arial"/>
      <w:sz w:val="34"/>
    </w:rPr>
  </w:style>
  <w:style w:type="character" w:styleId="769" w:customStyle="1">
    <w:name w:val="Heading 3 Char"/>
    <w:basedOn w:val="745"/>
    <w:uiPriority w:val="9"/>
    <w:rPr>
      <w:rFonts w:ascii="Arial" w:hAnsi="Arial" w:eastAsia="Arial" w:cs="Arial"/>
      <w:sz w:val="30"/>
      <w:szCs w:val="30"/>
    </w:rPr>
  </w:style>
  <w:style w:type="character" w:styleId="770" w:customStyle="1">
    <w:name w:val="Heading 4 Char"/>
    <w:basedOn w:val="745"/>
    <w:uiPriority w:val="9"/>
    <w:rPr>
      <w:rFonts w:ascii="Arial" w:hAnsi="Arial" w:eastAsia="Arial" w:cs="Arial"/>
      <w:b/>
      <w:bCs/>
      <w:sz w:val="26"/>
      <w:szCs w:val="26"/>
    </w:rPr>
  </w:style>
  <w:style w:type="character" w:styleId="771" w:customStyle="1">
    <w:name w:val="Heading 5 Char"/>
    <w:basedOn w:val="745"/>
    <w:uiPriority w:val="9"/>
    <w:rPr>
      <w:rFonts w:ascii="Arial" w:hAnsi="Arial" w:eastAsia="Arial" w:cs="Arial"/>
      <w:b/>
      <w:bCs/>
      <w:sz w:val="24"/>
      <w:szCs w:val="24"/>
    </w:rPr>
  </w:style>
  <w:style w:type="character" w:styleId="772" w:customStyle="1">
    <w:name w:val="Heading 6 Char"/>
    <w:basedOn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773" w:customStyle="1">
    <w:name w:val="Heading 7 Char"/>
    <w:basedOn w:val="7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4" w:customStyle="1">
    <w:name w:val="Heading 8 Char"/>
    <w:basedOn w:val="745"/>
    <w:uiPriority w:val="9"/>
    <w:rPr>
      <w:rFonts w:ascii="Arial" w:hAnsi="Arial" w:eastAsia="Arial" w:cs="Arial"/>
      <w:i/>
      <w:iCs/>
      <w:sz w:val="22"/>
      <w:szCs w:val="22"/>
    </w:rPr>
  </w:style>
  <w:style w:type="character" w:styleId="775" w:customStyle="1">
    <w:name w:val="Heading 9 Char"/>
    <w:basedOn w:val="745"/>
    <w:uiPriority w:val="9"/>
    <w:rPr>
      <w:rFonts w:ascii="Arial" w:hAnsi="Arial" w:eastAsia="Arial" w:cs="Arial"/>
      <w:i/>
      <w:iCs/>
      <w:sz w:val="21"/>
      <w:szCs w:val="21"/>
    </w:rPr>
  </w:style>
  <w:style w:type="character" w:styleId="776" w:customStyle="1">
    <w:name w:val="Title Char"/>
    <w:basedOn w:val="745"/>
    <w:uiPriority w:val="10"/>
    <w:rPr>
      <w:sz w:val="48"/>
      <w:szCs w:val="48"/>
    </w:rPr>
  </w:style>
  <w:style w:type="character" w:styleId="777" w:customStyle="1">
    <w:name w:val="Subtitle Char"/>
    <w:basedOn w:val="745"/>
    <w:uiPriority w:val="11"/>
    <w:rPr>
      <w:sz w:val="24"/>
      <w:szCs w:val="24"/>
    </w:rPr>
  </w:style>
  <w:style w:type="character" w:styleId="778" w:customStyle="1">
    <w:name w:val="Quote Char"/>
    <w:uiPriority w:val="29"/>
    <w:rPr>
      <w:i/>
    </w:rPr>
  </w:style>
  <w:style w:type="character" w:styleId="779" w:customStyle="1">
    <w:name w:val="Intense Quote Char"/>
    <w:uiPriority w:val="30"/>
    <w:rPr>
      <w:i/>
    </w:rPr>
  </w:style>
  <w:style w:type="character" w:styleId="780" w:customStyle="1">
    <w:name w:val="Header Char"/>
    <w:basedOn w:val="745"/>
    <w:uiPriority w:val="99"/>
  </w:style>
  <w:style w:type="character" w:styleId="781" w:customStyle="1">
    <w:name w:val="Caption Char"/>
    <w:uiPriority w:val="99"/>
  </w:style>
  <w:style w:type="character" w:styleId="782" w:customStyle="1">
    <w:name w:val="Footnote Text Char"/>
    <w:uiPriority w:val="99"/>
    <w:rPr>
      <w:sz w:val="18"/>
    </w:rPr>
  </w:style>
  <w:style w:type="character" w:styleId="783" w:customStyle="1">
    <w:name w:val="Endnote Text Char"/>
    <w:uiPriority w:val="99"/>
    <w:rPr>
      <w:sz w:val="20"/>
    </w:rPr>
  </w:style>
  <w:style w:type="character" w:styleId="784" w:customStyle="1">
    <w:name w:val="Заголовок 1 Знак"/>
    <w:link w:val="736"/>
    <w:uiPriority w:val="9"/>
    <w:rPr>
      <w:rFonts w:ascii="Arial" w:hAnsi="Arial" w:eastAsia="Arial" w:cs="Arial"/>
      <w:sz w:val="40"/>
      <w:szCs w:val="40"/>
    </w:rPr>
  </w:style>
  <w:style w:type="character" w:styleId="785" w:customStyle="1">
    <w:name w:val="Заголовок 2 Знак"/>
    <w:link w:val="737"/>
    <w:uiPriority w:val="9"/>
    <w:rPr>
      <w:rFonts w:ascii="Arial" w:hAnsi="Arial" w:eastAsia="Arial" w:cs="Arial"/>
      <w:sz w:val="34"/>
    </w:rPr>
  </w:style>
  <w:style w:type="character" w:styleId="786" w:customStyle="1">
    <w:name w:val="Заголовок 3 Знак"/>
    <w:link w:val="738"/>
    <w:uiPriority w:val="9"/>
    <w:rPr>
      <w:rFonts w:ascii="Arial" w:hAnsi="Arial" w:eastAsia="Arial" w:cs="Arial"/>
      <w:sz w:val="30"/>
      <w:szCs w:val="30"/>
    </w:rPr>
  </w:style>
  <w:style w:type="character" w:styleId="787" w:customStyle="1">
    <w:name w:val="Заголовок 4 Знак"/>
    <w:link w:val="739"/>
    <w:uiPriority w:val="9"/>
    <w:rPr>
      <w:rFonts w:ascii="Arial" w:hAnsi="Arial" w:eastAsia="Arial" w:cs="Arial"/>
      <w:b/>
      <w:bCs/>
      <w:sz w:val="26"/>
      <w:szCs w:val="26"/>
    </w:rPr>
  </w:style>
  <w:style w:type="character" w:styleId="788" w:customStyle="1">
    <w:name w:val="Заголовок 5 Знак"/>
    <w:link w:val="740"/>
    <w:uiPriority w:val="9"/>
    <w:rPr>
      <w:rFonts w:ascii="Arial" w:hAnsi="Arial" w:eastAsia="Arial" w:cs="Arial"/>
      <w:b/>
      <w:bCs/>
      <w:sz w:val="24"/>
      <w:szCs w:val="24"/>
    </w:rPr>
  </w:style>
  <w:style w:type="character" w:styleId="789" w:customStyle="1">
    <w:name w:val="Заголовок 6 Знак"/>
    <w:link w:val="741"/>
    <w:uiPriority w:val="9"/>
    <w:rPr>
      <w:rFonts w:ascii="Arial" w:hAnsi="Arial" w:eastAsia="Arial" w:cs="Arial"/>
      <w:b/>
      <w:bCs/>
      <w:sz w:val="22"/>
      <w:szCs w:val="22"/>
    </w:rPr>
  </w:style>
  <w:style w:type="character" w:styleId="790" w:customStyle="1">
    <w:name w:val="Заголовок 7 Знак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1" w:customStyle="1">
    <w:name w:val="Заголовок 8 Знак"/>
    <w:link w:val="743"/>
    <w:uiPriority w:val="9"/>
    <w:rPr>
      <w:rFonts w:ascii="Arial" w:hAnsi="Arial" w:eastAsia="Arial" w:cs="Arial"/>
      <w:i/>
      <w:iCs/>
      <w:sz w:val="22"/>
      <w:szCs w:val="22"/>
    </w:rPr>
  </w:style>
  <w:style w:type="character" w:styleId="792" w:customStyle="1">
    <w:name w:val="Заголовок 9 Знак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93">
    <w:name w:val="Title"/>
    <w:basedOn w:val="735"/>
    <w:next w:val="735"/>
    <w:link w:val="794"/>
    <w:uiPriority w:val="10"/>
    <w:qFormat/>
    <w:pPr>
      <w:contextualSpacing/>
      <w:spacing w:before="300"/>
    </w:pPr>
    <w:rPr>
      <w:sz w:val="48"/>
      <w:szCs w:val="48"/>
    </w:rPr>
  </w:style>
  <w:style w:type="character" w:styleId="794" w:customStyle="1">
    <w:name w:val="Заголовок Знак"/>
    <w:link w:val="793"/>
    <w:uiPriority w:val="10"/>
    <w:rPr>
      <w:sz w:val="48"/>
      <w:szCs w:val="48"/>
    </w:rPr>
  </w:style>
  <w:style w:type="paragraph" w:styleId="795">
    <w:name w:val="Subtitle"/>
    <w:basedOn w:val="735"/>
    <w:next w:val="735"/>
    <w:link w:val="796"/>
    <w:uiPriority w:val="11"/>
    <w:qFormat/>
    <w:pPr>
      <w:spacing w:before="200"/>
    </w:pPr>
    <w:rPr>
      <w:sz w:val="24"/>
      <w:szCs w:val="24"/>
    </w:rPr>
  </w:style>
  <w:style w:type="character" w:styleId="796" w:customStyle="1">
    <w:name w:val="Подзаголовок Знак"/>
    <w:link w:val="795"/>
    <w:uiPriority w:val="11"/>
    <w:rPr>
      <w:sz w:val="24"/>
      <w:szCs w:val="24"/>
    </w:rPr>
  </w:style>
  <w:style w:type="paragraph" w:styleId="797">
    <w:name w:val="Quote"/>
    <w:basedOn w:val="735"/>
    <w:next w:val="735"/>
    <w:link w:val="798"/>
    <w:uiPriority w:val="29"/>
    <w:qFormat/>
    <w:pPr>
      <w:ind w:left="720" w:right="720"/>
    </w:pPr>
    <w:rPr>
      <w:i/>
    </w:rPr>
  </w:style>
  <w:style w:type="character" w:styleId="798" w:customStyle="1">
    <w:name w:val="Цитата 2 Знак"/>
    <w:link w:val="797"/>
    <w:uiPriority w:val="29"/>
    <w:rPr>
      <w:i/>
    </w:rPr>
  </w:style>
  <w:style w:type="paragraph" w:styleId="799">
    <w:name w:val="Intense Quote"/>
    <w:basedOn w:val="735"/>
    <w:next w:val="735"/>
    <w:link w:val="8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0" w:customStyle="1">
    <w:name w:val="Выделенная цитата Знак"/>
    <w:link w:val="799"/>
    <w:uiPriority w:val="30"/>
    <w:rPr>
      <w:i/>
    </w:rPr>
  </w:style>
  <w:style w:type="paragraph" w:styleId="801">
    <w:name w:val="Header"/>
    <w:basedOn w:val="735"/>
    <w:link w:val="8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2" w:customStyle="1">
    <w:name w:val="Верхний колонтитул Знак"/>
    <w:link w:val="801"/>
    <w:uiPriority w:val="99"/>
  </w:style>
  <w:style w:type="paragraph" w:styleId="803">
    <w:name w:val="Footer"/>
    <w:basedOn w:val="735"/>
    <w:link w:val="8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4" w:customStyle="1">
    <w:name w:val="Footer Char"/>
    <w:uiPriority w:val="99"/>
  </w:style>
  <w:style w:type="paragraph" w:styleId="805">
    <w:name w:val="Caption"/>
    <w:basedOn w:val="735"/>
    <w:next w:val="735"/>
    <w:link w:val="781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806" w:customStyle="1">
    <w:name w:val="Нижний колонтитул Знак"/>
    <w:link w:val="803"/>
    <w:uiPriority w:val="99"/>
  </w:style>
  <w:style w:type="table" w:styleId="807">
    <w:name w:val="Table Grid"/>
    <w:basedOn w:val="74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8" w:customStyle="1">
    <w:name w:val="Table Grid Light"/>
    <w:basedOn w:val="74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9" w:customStyle="1">
    <w:name w:val="Таблица простая 11"/>
    <w:basedOn w:val="74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0" w:customStyle="1">
    <w:name w:val="Таблица простая 21"/>
    <w:basedOn w:val="74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 w:customStyle="1">
    <w:name w:val="Таблица простая 3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2" w:customStyle="1">
    <w:name w:val="Таблица простая 4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Таблица простая 5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4" w:customStyle="1">
    <w:name w:val="Таблица-сетка 1 светл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Grid Table 1 Light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Таблица-сетка 2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2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Таблица-сетка 3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Таблица-сетка 41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6" w:customStyle="1">
    <w:name w:val="Grid Table 4 - Accent 1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37" w:customStyle="1">
    <w:name w:val="Grid Table 4 - Accent 2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38" w:customStyle="1">
    <w:name w:val="Grid Table 4 - Accent 3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39" w:customStyle="1">
    <w:name w:val="Grid Table 4 - Accent 4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40" w:customStyle="1">
    <w:name w:val="Grid Table 4 - Accent 5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41" w:customStyle="1">
    <w:name w:val="Grid Table 4 - Accent 6"/>
    <w:basedOn w:val="74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42" w:customStyle="1">
    <w:name w:val="Таблица-сетка 5 тем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47" w:customStyle="1">
    <w:name w:val="Grid Table 5 Dark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49" w:customStyle="1">
    <w:name w:val="Таблица-сетка 6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0" w:customStyle="1">
    <w:name w:val="Grid Table 6 Colorful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51" w:customStyle="1">
    <w:name w:val="Grid Table 6 Colorful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52" w:customStyle="1">
    <w:name w:val="Grid Table 6 Colorful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53" w:customStyle="1">
    <w:name w:val="Grid Table 6 Colorful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54" w:customStyle="1">
    <w:name w:val="Grid Table 6 Colorful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55" w:customStyle="1">
    <w:name w:val="Grid Table 6 Colorful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56" w:customStyle="1">
    <w:name w:val="Таблица-сетка 7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Grid Table 7 Colorful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Grid Table 7 Colorful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Список-таблица 1 светлая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1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2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3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4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 - Accent 5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6"/>
    <w:basedOn w:val="74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Список-таблица 2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75" w:customStyle="1">
    <w:name w:val="List Table 2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76" w:customStyle="1">
    <w:name w:val="List Table 2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77" w:customStyle="1">
    <w:name w:val="Список-таблица 3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3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Список-таблица 4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Список-таблица 5 тем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List Table 5 Dark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List Table 5 Dark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Список-таблица 6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9" w:customStyle="1">
    <w:name w:val="List Table 6 Colorful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00" w:customStyle="1">
    <w:name w:val="List Table 6 Colorful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01" w:customStyle="1">
    <w:name w:val="List Table 6 Colorful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02" w:customStyle="1">
    <w:name w:val="List Table 6 Colorful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03" w:customStyle="1">
    <w:name w:val="List Table 6 Colorful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04" w:customStyle="1">
    <w:name w:val="List Table 6 Colorful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05" w:customStyle="1">
    <w:name w:val="Список-таблица 7 цветная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st Table 7 Colorful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1" w:customStyle="1">
    <w:name w:val="List Table 7 Colorful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2" w:customStyle="1">
    <w:name w:val="Lined - Accent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3" w:customStyle="1">
    <w:name w:val="Lined - Accent 1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14" w:customStyle="1">
    <w:name w:val="Lined - Accent 2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15" w:customStyle="1">
    <w:name w:val="Lined - Accent 3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16" w:customStyle="1">
    <w:name w:val="Lined - Accent 4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17" w:customStyle="1">
    <w:name w:val="Lined - Accent 5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18" w:customStyle="1">
    <w:name w:val="Lined - Accent 6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19" w:customStyle="1">
    <w:name w:val="Bordered &amp; Lined - Accent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0" w:customStyle="1">
    <w:name w:val="Bordered &amp; Lined - Accent 1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21" w:customStyle="1">
    <w:name w:val="Bordered &amp; Lined - Accent 2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22" w:customStyle="1">
    <w:name w:val="Bordered &amp; Lined - Accent 3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23" w:customStyle="1">
    <w:name w:val="Bordered &amp; Lined - Accent 4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24" w:customStyle="1">
    <w:name w:val="Bordered &amp; Lined - Accent 5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25" w:customStyle="1">
    <w:name w:val="Bordered &amp; Lined - Accent 6"/>
    <w:basedOn w:val="74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26" w:customStyle="1">
    <w:name w:val="Bordered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7" w:customStyle="1">
    <w:name w:val="Bordered - Accent 1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28" w:customStyle="1">
    <w:name w:val="Bordered - Accent 2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29" w:customStyle="1">
    <w:name w:val="Bordered - Accent 3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30" w:customStyle="1">
    <w:name w:val="Bordered - Accent 4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31" w:customStyle="1">
    <w:name w:val="Bordered - Accent 5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32" w:customStyle="1">
    <w:name w:val="Bordered - Accent 6"/>
    <w:basedOn w:val="74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33">
    <w:name w:val="Hyperlink"/>
    <w:uiPriority w:val="99"/>
    <w:unhideWhenUsed/>
    <w:rPr>
      <w:color w:val="0563c1" w:themeColor="hyperlink"/>
      <w:u w:val="single"/>
    </w:rPr>
  </w:style>
  <w:style w:type="paragraph" w:styleId="934">
    <w:name w:val="footnote text"/>
    <w:basedOn w:val="735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 w:customStyle="1">
    <w:name w:val="Текст сноски Знак"/>
    <w:link w:val="934"/>
    <w:uiPriority w:val="99"/>
    <w:rPr>
      <w:sz w:val="18"/>
    </w:rPr>
  </w:style>
  <w:style w:type="character" w:styleId="936">
    <w:name w:val="footnote reference"/>
    <w:uiPriority w:val="99"/>
    <w:unhideWhenUsed/>
    <w:rPr>
      <w:vertAlign w:val="superscript"/>
    </w:rPr>
  </w:style>
  <w:style w:type="paragraph" w:styleId="937">
    <w:name w:val="endnote text"/>
    <w:basedOn w:val="735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 w:customStyle="1">
    <w:name w:val="Текст концевой сноски Знак"/>
    <w:link w:val="937"/>
    <w:uiPriority w:val="99"/>
    <w:rPr>
      <w:sz w:val="20"/>
    </w:rPr>
  </w:style>
  <w:style w:type="character" w:styleId="939">
    <w:name w:val="endnote reference"/>
    <w:uiPriority w:val="99"/>
    <w:semiHidden/>
    <w:unhideWhenUsed/>
    <w:rPr>
      <w:vertAlign w:val="superscript"/>
    </w:rPr>
  </w:style>
  <w:style w:type="paragraph" w:styleId="940">
    <w:name w:val="toc 1"/>
    <w:basedOn w:val="735"/>
    <w:next w:val="735"/>
    <w:uiPriority w:val="39"/>
    <w:unhideWhenUsed/>
    <w:pPr>
      <w:spacing w:after="57"/>
    </w:pPr>
  </w:style>
  <w:style w:type="paragraph" w:styleId="941">
    <w:name w:val="toc 2"/>
    <w:basedOn w:val="735"/>
    <w:next w:val="735"/>
    <w:uiPriority w:val="39"/>
    <w:unhideWhenUsed/>
    <w:pPr>
      <w:ind w:left="283"/>
      <w:spacing w:after="57"/>
    </w:pPr>
  </w:style>
  <w:style w:type="paragraph" w:styleId="942">
    <w:name w:val="toc 3"/>
    <w:basedOn w:val="735"/>
    <w:next w:val="735"/>
    <w:uiPriority w:val="39"/>
    <w:unhideWhenUsed/>
    <w:pPr>
      <w:ind w:left="567"/>
      <w:spacing w:after="57"/>
    </w:pPr>
  </w:style>
  <w:style w:type="paragraph" w:styleId="943">
    <w:name w:val="toc 4"/>
    <w:basedOn w:val="735"/>
    <w:next w:val="735"/>
    <w:uiPriority w:val="39"/>
    <w:unhideWhenUsed/>
    <w:pPr>
      <w:ind w:left="850"/>
      <w:spacing w:after="57"/>
    </w:pPr>
  </w:style>
  <w:style w:type="paragraph" w:styleId="944">
    <w:name w:val="toc 5"/>
    <w:basedOn w:val="735"/>
    <w:next w:val="735"/>
    <w:uiPriority w:val="39"/>
    <w:unhideWhenUsed/>
    <w:pPr>
      <w:ind w:left="1134"/>
      <w:spacing w:after="57"/>
    </w:pPr>
  </w:style>
  <w:style w:type="paragraph" w:styleId="945">
    <w:name w:val="toc 6"/>
    <w:basedOn w:val="735"/>
    <w:next w:val="735"/>
    <w:uiPriority w:val="39"/>
    <w:unhideWhenUsed/>
    <w:pPr>
      <w:ind w:left="1417"/>
      <w:spacing w:after="57"/>
    </w:pPr>
  </w:style>
  <w:style w:type="paragraph" w:styleId="946">
    <w:name w:val="toc 7"/>
    <w:basedOn w:val="735"/>
    <w:next w:val="735"/>
    <w:uiPriority w:val="39"/>
    <w:unhideWhenUsed/>
    <w:pPr>
      <w:ind w:left="1701"/>
      <w:spacing w:after="57"/>
    </w:pPr>
  </w:style>
  <w:style w:type="paragraph" w:styleId="947">
    <w:name w:val="toc 8"/>
    <w:basedOn w:val="735"/>
    <w:next w:val="735"/>
    <w:uiPriority w:val="39"/>
    <w:unhideWhenUsed/>
    <w:pPr>
      <w:ind w:left="1984"/>
      <w:spacing w:after="57"/>
    </w:pPr>
  </w:style>
  <w:style w:type="paragraph" w:styleId="948">
    <w:name w:val="toc 9"/>
    <w:basedOn w:val="735"/>
    <w:next w:val="735"/>
    <w:uiPriority w:val="39"/>
    <w:unhideWhenUsed/>
    <w:pPr>
      <w:ind w:left="2268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735"/>
    <w:next w:val="735"/>
    <w:uiPriority w:val="99"/>
    <w:unhideWhenUsed/>
    <w:pPr>
      <w:spacing w:after="0"/>
    </w:pPr>
  </w:style>
  <w:style w:type="paragraph" w:styleId="951">
    <w:name w:val="No Spacing"/>
    <w:basedOn w:val="735"/>
    <w:uiPriority w:val="1"/>
    <w:qFormat/>
    <w:pPr>
      <w:spacing w:after="0" w:line="240" w:lineRule="auto"/>
    </w:pPr>
  </w:style>
  <w:style w:type="paragraph" w:styleId="952">
    <w:name w:val="List Paragraph"/>
    <w:basedOn w:val="735"/>
    <w:link w:val="956"/>
    <w:qFormat/>
    <w:pPr>
      <w:contextualSpacing/>
      <w:ind w:left="720"/>
    </w:pPr>
  </w:style>
  <w:style w:type="paragraph" w:styleId="953" w:customStyle="1">
    <w:name w:val="Обычный1"/>
    <w:pPr>
      <w:jc w:val="both"/>
      <w:spacing w:after="6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54" w:customStyle="1">
    <w:name w:val="PlainText Знак"/>
    <w:link w:val="955"/>
  </w:style>
  <w:style w:type="paragraph" w:styleId="955" w:customStyle="1">
    <w:name w:val="PlainText1"/>
    <w:link w:val="954"/>
    <w:qFormat/>
    <w:pPr>
      <w:ind w:firstLine="567"/>
      <w:jc w:val="both"/>
      <w:spacing w:before="120" w:after="0" w:line="240" w:lineRule="auto"/>
    </w:pPr>
  </w:style>
  <w:style w:type="character" w:styleId="956" w:customStyle="1">
    <w:name w:val="Абзац списка Знак"/>
    <w:link w:val="952"/>
    <w:qFormat/>
  </w:style>
  <w:style w:type="paragraph" w:styleId="957" w:customStyle="1">
    <w:name w:val="*Основной текст"/>
    <w:basedOn w:val="735"/>
    <w:link w:val="958"/>
    <w:qFormat/>
    <w:pPr>
      <w:ind w:firstLine="709"/>
      <w:jc w:val="both"/>
      <w:spacing w:after="0" w:line="360" w:lineRule="auto"/>
    </w:pPr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character" w:styleId="958" w:customStyle="1">
    <w:name w:val="*Основной текст Знак"/>
    <w:link w:val="957"/>
    <w:rPr>
      <w:rFonts w:ascii="Times New Roman" w:hAnsi="Times New Roman" w:eastAsia="Times New Roman" w:cs="Times New Roman"/>
      <w:bCs/>
      <w:sz w:val="28"/>
      <w:szCs w:val="28"/>
      <w:lang w:eastAsia="ru-RU"/>
    </w:rPr>
  </w:style>
  <w:style w:type="paragraph" w:styleId="959" w:customStyle="1">
    <w:name w:val="___основной текст"/>
    <w:basedOn w:val="735"/>
    <w:link w:val="960"/>
    <w:qFormat/>
    <w:pPr>
      <w:ind w:firstLine="567"/>
      <w:jc w:val="both"/>
      <w:spacing w:after="0" w:line="240" w:lineRule="auto"/>
      <w:widowControl w:val="off"/>
    </w:pPr>
    <w:rPr>
      <w:rFonts w:ascii="Times New Roman" w:hAnsi="Times New Roman" w:eastAsia="SimSun" w:cs="Mangal"/>
      <w:sz w:val="24"/>
      <w:szCs w:val="24"/>
      <w:lang w:eastAsia="zh-CN" w:bidi="hi-IN"/>
    </w:rPr>
  </w:style>
  <w:style w:type="character" w:styleId="960" w:customStyle="1">
    <w:name w:val="___основной текст Знак"/>
    <w:link w:val="959"/>
    <w:rPr>
      <w:rFonts w:ascii="Times New Roman" w:hAnsi="Times New Roman" w:eastAsia="SimSun" w:cs="Mangal"/>
      <w:sz w:val="24"/>
      <w:szCs w:val="24"/>
      <w:lang w:eastAsia="zh-CN" w:bidi="hi-IN"/>
    </w:rPr>
  </w:style>
  <w:style w:type="paragraph" w:styleId="961">
    <w:name w:val="annotation text"/>
    <w:basedOn w:val="735"/>
    <w:link w:val="96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62" w:customStyle="1">
    <w:name w:val="Текст примечания Знак"/>
    <w:basedOn w:val="745"/>
    <w:link w:val="961"/>
    <w:uiPriority w:val="99"/>
    <w:semiHidden/>
    <w:rPr>
      <w:sz w:val="20"/>
      <w:szCs w:val="20"/>
    </w:rPr>
  </w:style>
  <w:style w:type="character" w:styleId="963">
    <w:name w:val="annotation reference"/>
    <w:basedOn w:val="745"/>
    <w:uiPriority w:val="99"/>
    <w:semiHidden/>
    <w:unhideWhenUsed/>
    <w:rPr>
      <w:sz w:val="16"/>
      <w:szCs w:val="16"/>
    </w:rPr>
  </w:style>
  <w:style w:type="character" w:styleId="964">
    <w:name w:val="FollowedHyperlink"/>
    <w:basedOn w:val="745"/>
    <w:uiPriority w:val="99"/>
    <w:semiHidden/>
    <w:unhideWhenUsed/>
    <w:rPr>
      <w:color w:val="954f72" w:themeColor="followedHyperlink"/>
      <w:u w:val="single"/>
    </w:rPr>
  </w:style>
  <w:style w:type="paragraph" w:styleId="965">
    <w:name w:val="Balloon Text"/>
    <w:basedOn w:val="735"/>
    <w:link w:val="96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66" w:customStyle="1">
    <w:name w:val="Текст выноски Знак"/>
    <w:basedOn w:val="745"/>
    <w:link w:val="965"/>
    <w:uiPriority w:val="99"/>
    <w:semiHidden/>
    <w:rPr>
      <w:rFonts w:ascii="Tahoma" w:hAnsi="Tahoma" w:cs="Tahoma"/>
      <w:sz w:val="16"/>
      <w:szCs w:val="16"/>
    </w:rPr>
  </w:style>
  <w:style w:type="paragraph" w:styleId="967">
    <w:name w:val="annotation subject"/>
    <w:basedOn w:val="961"/>
    <w:next w:val="961"/>
    <w:link w:val="968"/>
    <w:uiPriority w:val="99"/>
    <w:semiHidden/>
    <w:unhideWhenUsed/>
    <w:rPr>
      <w:b/>
      <w:bCs/>
    </w:rPr>
  </w:style>
  <w:style w:type="character" w:styleId="968" w:customStyle="1">
    <w:name w:val="Тема примечания Знак"/>
    <w:basedOn w:val="962"/>
    <w:link w:val="967"/>
    <w:uiPriority w:val="99"/>
    <w:semiHidden/>
    <w:rPr>
      <w:b/>
      <w:bCs/>
      <w:sz w:val="20"/>
      <w:szCs w:val="20"/>
    </w:rPr>
  </w:style>
  <w:style w:type="paragraph" w:styleId="969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kuv.gosuslugi.ru/paip-portal/" TargetMode="External"/><Relationship Id="rId10" Type="http://schemas.openxmlformats.org/officeDocument/2006/relationships/hyperlink" Target="https://lkuv.gosuslugi.ru/paip-portal/" TargetMode="External"/><Relationship Id="rId11" Type="http://schemas.openxmlformats.org/officeDocument/2006/relationships/hyperlink" Target="https://lkuv.gosuslugi.ru/" TargetMode="External"/><Relationship Id="rId12" Type="http://schemas.openxmlformats.org/officeDocument/2006/relationships/hyperlink" Target="https://lkuv.gosuslugi.ru/" TargetMode="External"/><Relationship Id="rId13" Type="http://schemas.openxmlformats.org/officeDocument/2006/relationships/hyperlink" Target="https://lkuv.gosuslugi.ru/paip-portal/" TargetMode="External"/><Relationship Id="rId14" Type="http://schemas.openxmlformats.org/officeDocument/2006/relationships/hyperlink" Target="https://lkuv.gosuslugi.ru/paip-portal/" TargetMode="External"/><Relationship Id="rId15" Type="http://schemas.openxmlformats.org/officeDocument/2006/relationships/hyperlink" Target="https://lkuv.gosuslugi.ru/paip-portal/" TargetMode="External"/><Relationship Id="rId16" Type="http://schemas.openxmlformats.org/officeDocument/2006/relationships/hyperlink" Target="https://lkuv.gosuslugi.ru/paip-portal/" TargetMode="External"/><Relationship Id="rId17" Type="http://schemas.openxmlformats.org/officeDocument/2006/relationships/hyperlink" Target="https://lkuv.gosuslugi.ru/paip-portal/" TargetMode="External"/><Relationship Id="rId18" Type="http://schemas.openxmlformats.org/officeDocument/2006/relationships/hyperlink" Target="https://lkuv.gosuslugi.ru/paip-portal/" TargetMode="External"/><Relationship Id="rId19" Type="http://schemas.openxmlformats.org/officeDocument/2006/relationships/hyperlink" Target="https://lkuv.gosuslugi.ru/paip-portal/" TargetMode="External"/><Relationship Id="rId20" Type="http://schemas.openxmlformats.org/officeDocument/2006/relationships/hyperlink" Target="https://lkuv.gosuslugi.ru/paip-portal/" TargetMode="External"/><Relationship Id="rId21" Type="http://schemas.openxmlformats.org/officeDocument/2006/relationships/hyperlink" Target="https://lkuv.gosuslugi.ru/paip-portal/" TargetMode="External"/><Relationship Id="rId22" Type="http://schemas.openxmlformats.org/officeDocument/2006/relationships/hyperlink" Target="https://lkuv.gosuslugi.ru/paip-portal/" TargetMode="External"/><Relationship Id="rId23" Type="http://schemas.openxmlformats.org/officeDocument/2006/relationships/hyperlink" Target="https://lkuv.gosuslugi.ru/paip-portal/" TargetMode="External"/><Relationship Id="rId24" Type="http://schemas.openxmlformats.org/officeDocument/2006/relationships/hyperlink" Target="https://lkuv.gosuslugi.ru/paip-portal/" TargetMode="External"/><Relationship Id="rId25" Type="http://schemas.openxmlformats.org/officeDocument/2006/relationships/hyperlink" Target="https://lkuv.gosuslugi.ru/paip-portal/" TargetMode="External"/><Relationship Id="rId26" Type="http://schemas.openxmlformats.org/officeDocument/2006/relationships/hyperlink" Target="https://lkuv.gosuslugi.ru/paip-portal/" TargetMode="External"/><Relationship Id="rId27" Type="http://schemas.openxmlformats.org/officeDocument/2006/relationships/hyperlink" Target="https://lkuv.gosuslugi.ru/paip-portal/" TargetMode="External"/><Relationship Id="rId28" Type="http://schemas.openxmlformats.org/officeDocument/2006/relationships/hyperlink" Target="https://lkuv.gosuslugi.ru/paip-portal/" TargetMode="External"/><Relationship Id="rId29" Type="http://schemas.openxmlformats.org/officeDocument/2006/relationships/hyperlink" Target="https://lkuv.gosuslugi.ru/paip-portal/" TargetMode="External"/><Relationship Id="rId30" Type="http://schemas.openxmlformats.org/officeDocument/2006/relationships/hyperlink" Target="https://lkuv.gosuslugi.ru/paip-portal/" TargetMode="External"/><Relationship Id="rId31" Type="http://schemas.openxmlformats.org/officeDocument/2006/relationships/hyperlink" Target="https://lkuv.gosuslugi.ru/paip-portal/" TargetMode="External"/><Relationship Id="rId32" Type="http://schemas.openxmlformats.org/officeDocument/2006/relationships/hyperlink" Target="https://lkuv.gosuslugi.ru/paip-portal/" TargetMode="External"/><Relationship Id="rId33" Type="http://schemas.openxmlformats.org/officeDocument/2006/relationships/hyperlink" Target="https://lkuv.gosuslugi.ru/paip-portal/" TargetMode="External"/><Relationship Id="rId34" Type="http://schemas.openxmlformats.org/officeDocument/2006/relationships/hyperlink" Target="https://lkuv.gosuslugi.ru/paip-portal/" TargetMode="External"/><Relationship Id="rId35" Type="http://schemas.openxmlformats.org/officeDocument/2006/relationships/hyperlink" Target="https://lkuv.gosuslugi.ru/paip-portal/" TargetMode="External"/><Relationship Id="rId36" Type="http://schemas.openxmlformats.org/officeDocument/2006/relationships/hyperlink" Target="https://lkuv.gosuslugi.ru/paip-portal/" TargetMode="External"/><Relationship Id="rId37" Type="http://schemas.openxmlformats.org/officeDocument/2006/relationships/hyperlink" Target="https://lkuv.gosuslugi.ru/paip-portal/" TargetMode="External"/><Relationship Id="rId38" Type="http://schemas.openxmlformats.org/officeDocument/2006/relationships/hyperlink" Target="https://lkuv.gosuslugi.ru/paip-portal/" TargetMode="External"/><Relationship Id="rId39" Type="http://schemas.openxmlformats.org/officeDocument/2006/relationships/hyperlink" Target="https://lkuv.gosuslugi.ru/paip-portal/" TargetMode="External"/><Relationship Id="rId40" Type="http://schemas.openxmlformats.org/officeDocument/2006/relationships/hyperlink" Target="https://lkuv.gosuslugi.ru/paip-portal/" TargetMode="External"/><Relationship Id="rId41" Type="http://schemas.openxmlformats.org/officeDocument/2006/relationships/hyperlink" Target="https://lkuv.gosuslugi.ru/paip-portal/" TargetMode="External"/><Relationship Id="rId42" Type="http://schemas.openxmlformats.org/officeDocument/2006/relationships/hyperlink" Target="https://lkuv.gosuslugi.ru/paip-portal/" TargetMode="External"/><Relationship Id="rId43" Type="http://schemas.openxmlformats.org/officeDocument/2006/relationships/hyperlink" Target="https://lkuv.gosuslugi.ru/paip-portal/" TargetMode="External"/><Relationship Id="rId44" Type="http://schemas.openxmlformats.org/officeDocument/2006/relationships/hyperlink" Target="https://lkuv.gosuslugi.ru/paip-portal/" TargetMode="External"/><Relationship Id="rId45" Type="http://schemas.openxmlformats.org/officeDocument/2006/relationships/hyperlink" Target="https://lkuv.gosuslugi.ru/paip-portal/" TargetMode="External"/><Relationship Id="rId46" Type="http://schemas.openxmlformats.org/officeDocument/2006/relationships/hyperlink" Target="https://lkuv.gosuslugi.ru/paip-portal/" TargetMode="External"/><Relationship Id="rId47" Type="http://schemas.openxmlformats.org/officeDocument/2006/relationships/hyperlink" Target="https://lkuv.gosuslugi.ru/paip-portal/" TargetMode="External"/><Relationship Id="rId48" Type="http://schemas.openxmlformats.org/officeDocument/2006/relationships/hyperlink" Target="http://epgu.gosuslugi.ru/elk/status" TargetMode="External"/><Relationship Id="rId49" Type="http://schemas.openxmlformats.org/officeDocument/2006/relationships/hyperlink" Target="http://x-artefacts-yanao-aismsp/epgu/application" TargetMode="External"/><Relationship Id="rId50" Type="http://schemas.openxmlformats.org/officeDocument/2006/relationships/hyperlink" Target="https://www.gosuslugi.ru/613432/1/form" TargetMode="External"/><Relationship Id="rId51" Type="http://schemas.openxmlformats.org/officeDocument/2006/relationships/hyperlink" Target="https://www.gosuslugi.ru/610982/1/form" TargetMode="External"/><Relationship Id="rId52" Type="http://schemas.openxmlformats.org/officeDocument/2006/relationships/hyperlink" Target="https://www.gosuslugi.ru/610922/1/form" TargetMode="External"/><Relationship Id="rId53" Type="http://schemas.openxmlformats.org/officeDocument/2006/relationships/hyperlink" Target="https://www.gosuslugi.ru/610922/1/form" TargetMode="External"/><Relationship Id="rId54" Type="http://schemas.openxmlformats.org/officeDocument/2006/relationships/hyperlink" Target="https://www.gosuslugi.ru/610114/1/form" TargetMode="External"/><Relationship Id="rId55" Type="http://schemas.openxmlformats.org/officeDocument/2006/relationships/hyperlink" Target="https://www.gosuslugi.ru/617702/1/form" TargetMode="External"/><Relationship Id="rId56" Type="http://schemas.openxmlformats.org/officeDocument/2006/relationships/hyperlink" Target="https://www.gosuslugi.ru/616642/1/form" TargetMode="External"/><Relationship Id="rId57" Type="http://schemas.openxmlformats.org/officeDocument/2006/relationships/hyperlink" Target="https://www.gosuslugi.ru/612306/1/form" TargetMode="External"/><Relationship Id="rId58" Type="http://schemas.openxmlformats.org/officeDocument/2006/relationships/hyperlink" Target="https://www.gosuslugi.ru/619444/1/form" TargetMode="External"/><Relationship Id="rId59" Type="http://schemas.openxmlformats.org/officeDocument/2006/relationships/hyperlink" Target="https://www.gosuslugi.ru/620282/1/form" TargetMode="External"/><Relationship Id="rId60" Type="http://schemas.openxmlformats.org/officeDocument/2006/relationships/hyperlink" Target="https://www.gosuslugi.ru/620284/1/for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Селютина Анастасия Робертовна</dc:creator>
  <cp:lastModifiedBy>ravershinin</cp:lastModifiedBy>
  <cp:revision>15</cp:revision>
  <dcterms:created xsi:type="dcterms:W3CDTF">2024-10-24T19:26:00Z</dcterms:created>
  <dcterms:modified xsi:type="dcterms:W3CDTF">2026-09-28T11:37:44Z</dcterms:modified>
</cp:coreProperties>
</file>