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9"/>
        <w:ind w:left="6236" w:right="6"/>
        <w:jc w:val="both"/>
        <w:keepLines/>
        <w:keepNext/>
        <w:spacing w:line="276" w:lineRule="auto"/>
        <w:rPr>
          <w:rFonts w:ascii="Liberation Sans" w:hAnsi="Liberation Sans" w:eastAsia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</w:rPr>
        <w:t xml:space="preserve">Приложение № 7 </w:t>
      </w:r>
      <w:r>
        <w:rPr>
          <w:rFonts w:ascii="Liberation Sans" w:hAnsi="Liberation Sans" w:eastAsia="Liberation Sans" w:cs="Liberation Sans"/>
          <w:b w:val="0"/>
          <w:bCs w:val="0"/>
        </w:rPr>
      </w:r>
    </w:p>
    <w:p>
      <w:pPr>
        <w:pStyle w:val="899"/>
        <w:ind w:left="6236" w:right="6"/>
        <w:jc w:val="both"/>
        <w:keepLines/>
        <w:keepNext/>
        <w:spacing w:line="276" w:lineRule="auto"/>
        <w:rPr>
          <w:rFonts w:ascii="Liberation Sans" w:hAnsi="Liberation Sans" w:eastAsia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</w:rPr>
        <w:t xml:space="preserve">к государственному контракту</w:t>
      </w:r>
      <w:r>
        <w:rPr>
          <w:rFonts w:ascii="Liberation Sans" w:hAnsi="Liberation Sans" w:eastAsia="Liberation Sans" w:cs="Liberation Sans"/>
          <w:b w:val="0"/>
          <w:bCs w:val="0"/>
        </w:rPr>
      </w:r>
      <w:r/>
    </w:p>
    <w:p>
      <w:pPr>
        <w:pStyle w:val="899"/>
        <w:ind w:left="6236" w:right="6"/>
        <w:jc w:val="both"/>
        <w:keepLines/>
        <w:keepNext/>
        <w:spacing w:line="276" w:lineRule="auto"/>
        <w:rPr>
          <w:rFonts w:ascii="Liberation Sans" w:hAnsi="Liberation Sans" w:eastAsia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</w:rPr>
        <w:t xml:space="preserve">№ _-2026</w:t>
      </w:r>
      <w:r>
        <w:rPr>
          <w:rFonts w:ascii="Liberation Sans" w:hAnsi="Liberation Sans" w:eastAsia="Liberation Sans" w:cs="Liberation Sans"/>
          <w:b w:val="0"/>
          <w:bCs w:val="0"/>
        </w:rPr>
      </w:r>
      <w:r>
        <w:rPr>
          <w:rFonts w:ascii="Liberation Sans" w:hAnsi="Liberation Sans" w:eastAsia="Liberation Sans" w:cs="Liberation Sans"/>
          <w:b w:val="0"/>
          <w:bCs w:val="0"/>
        </w:rPr>
      </w:r>
      <w:r>
        <w:rPr>
          <w:rFonts w:ascii="Liberation Sans" w:hAnsi="Liberation Sans" w:eastAsia="Liberation Sans" w:cs="Liberation Sans"/>
          <w:b w:val="0"/>
          <w:bCs w:val="0"/>
        </w:rPr>
      </w:r>
    </w:p>
    <w:p>
      <w:pPr>
        <w:pStyle w:val="899"/>
        <w:ind w:left="0" w:right="6"/>
        <w:jc w:val="both"/>
        <w:keepLines/>
        <w:keepNext/>
        <w:spacing w:line="276" w:lineRule="auto"/>
        <w:tabs>
          <w:tab w:val="left" w:pos="851" w:leader="none"/>
        </w:tabs>
        <w:rPr>
          <w:rFonts w:ascii="Liberation Sans" w:hAnsi="Liberation Sans" w:cs="Liberation Sans"/>
          <w:b w:val="0"/>
          <w:bCs w:val="0"/>
        </w:rPr>
      </w:pP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</w:p>
    <w:p>
      <w:pPr>
        <w:pStyle w:val="899"/>
        <w:ind w:left="0" w:right="6"/>
        <w:jc w:val="both"/>
        <w:keepLines/>
        <w:keepNext/>
        <w:spacing w:line="276" w:lineRule="auto"/>
        <w:tabs>
          <w:tab w:val="left" w:pos="851" w:leader="none"/>
        </w:tabs>
        <w:rPr>
          <w:rFonts w:ascii="Liberation Sans" w:hAnsi="Liberation Sans" w:cs="Liberation Sans"/>
          <w:b w:val="0"/>
          <w:bCs w:val="0"/>
        </w:rPr>
      </w:pP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</w:p>
    <w:p>
      <w:pPr>
        <w:pStyle w:val="899"/>
        <w:ind w:left="0" w:right="6"/>
        <w:jc w:val="center"/>
        <w:keepNext/>
        <w:spacing w:line="276" w:lineRule="auto"/>
        <w:tabs>
          <w:tab w:val="left" w:pos="851" w:leader="none"/>
        </w:tabs>
        <w:rPr>
          <w:rFonts w:ascii="Liberation Sans" w:hAnsi="Liberation Sans" w:eastAsia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</w:rPr>
        <w:t xml:space="preserve">СОГЛАШЕНИЕ О КОНФИДЕНЦИАЛЬНОСТИ ИНФОРМАЦИИ </w:t>
      </w:r>
      <w:r>
        <w:rPr>
          <w:rFonts w:ascii="Liberation Sans" w:hAnsi="Liberation Sans" w:eastAsia="Liberation Sans" w:cs="Liberation Sans"/>
          <w:b w:val="0"/>
          <w:bCs w:val="0"/>
        </w:rPr>
      </w:r>
      <w:r>
        <w:rPr>
          <w:rFonts w:ascii="Liberation Sans" w:hAnsi="Liberation Sans" w:eastAsia="Liberation Sans" w:cs="Liberation Sans"/>
          <w:b w:val="0"/>
          <w:bCs w:val="0"/>
        </w:rPr>
      </w:r>
    </w:p>
    <w:p>
      <w:pPr>
        <w:ind w:right="1"/>
        <w:keepLines/>
        <w:keepNext/>
        <w:spacing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right="1"/>
        <w:keepLines/>
        <w:keepNext/>
        <w:spacing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right="1"/>
        <w:keepLines/>
        <w:keepNext/>
        <w:spacing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г. Салехард </w:t>
      </w:r>
      <w:r>
        <w:rPr>
          <w:rFonts w:ascii="Liberation Sans" w:hAnsi="Liberation Sans" w:eastAsia="Liberation Sans" w:cs="Liberation Sans"/>
          <w:sz w:val="24"/>
          <w:szCs w:val="24"/>
        </w:rPr>
        <w:tab/>
      </w:r>
      <w:r>
        <w:rPr>
          <w:rFonts w:ascii="Liberation Sans" w:hAnsi="Liberation Sans" w:eastAsia="Liberation Sans" w:cs="Liberation Sans"/>
          <w:sz w:val="24"/>
          <w:szCs w:val="24"/>
        </w:rPr>
        <w:tab/>
      </w:r>
      <w:r>
        <w:rPr>
          <w:rFonts w:ascii="Liberation Sans" w:hAnsi="Liberation Sans" w:eastAsia="Liberation Sans" w:cs="Liberation Sans"/>
          <w:sz w:val="24"/>
          <w:szCs w:val="24"/>
        </w:rPr>
        <w:tab/>
      </w:r>
      <w:r>
        <w:rPr>
          <w:rFonts w:ascii="Liberation Sans" w:hAnsi="Liberation Sans" w:eastAsia="Liberation Sans" w:cs="Liberation Sans"/>
          <w:sz w:val="24"/>
          <w:szCs w:val="24"/>
        </w:rPr>
        <w:tab/>
      </w:r>
      <w:r>
        <w:rPr>
          <w:rFonts w:ascii="Liberation Sans" w:hAnsi="Liberation Sans" w:eastAsia="Liberation Sans" w:cs="Liberation Sans"/>
          <w:sz w:val="24"/>
          <w:szCs w:val="24"/>
        </w:rPr>
        <w:tab/>
      </w:r>
      <w:r>
        <w:rPr>
          <w:rFonts w:ascii="Liberation Sans" w:hAnsi="Liberation Sans" w:eastAsia="Liberation Sans" w:cs="Liberation Sans"/>
          <w:sz w:val="24"/>
          <w:szCs w:val="24"/>
        </w:rPr>
        <w:tab/>
        <w:tab/>
        <w:tab/>
        <w:t xml:space="preserve">     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«__» _______ 2026 года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right="1"/>
        <w:keepLines/>
        <w:keepNext/>
        <w:spacing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right="1" w:firstLine="709"/>
        <w:jc w:val="both"/>
        <w:keepLines/>
        <w:keepNext/>
        <w:spacing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Департамент информационных технологий и связи Ямало-Ненецкого автономного округа, в лице _______________, дейс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твующего на основании ________, далее именуемый «Заказчик», с о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дной стороны и _____________, в лице _______________, действующего на основании _____, далее именуемый «Исполнитель», с другой стороны, совместно именуемые Стороны, заключили Соглашение о конфиденциальности информации (далее - Соглашение) о нижеследующем: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Предмет Соглашения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При обработке конфиденциальной информации Исполнитель обязуется обеспечивать режим конфиденциальности информации и не разглашать сведения, ставшие ему известными в связи с исполнением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государственного контракта от «__» ______ 202_ года № _________ (далее – Контракт).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highlight w:val="none"/>
        </w:rPr>
      </w:r>
      <w:r>
        <w:rPr>
          <w:rFonts w:ascii="Liberation Sans" w:hAnsi="Liberation Sans" w:cs="Liberation Sans"/>
          <w:sz w:val="24"/>
          <w:highlight w:val="none"/>
        </w:rPr>
        <w:t xml:space="preserve">В</w:t>
      </w:r>
      <w:r>
        <w:rPr>
          <w:rFonts w:ascii="Liberation Sans" w:hAnsi="Liberation Sans" w:cs="Liberation Sans"/>
          <w:sz w:val="24"/>
          <w:highlight w:val="none"/>
        </w:rPr>
        <w:t xml:space="preserve"> рамках настоящего Соглашения Конфиденциальной информацией является любая информация Заказчика, не являющаяся общедоступной, которая передана, раскрыта, предоставлена, стала известна Исполнителю, либо привлечённым им лицам в связи с исполнением К</w:t>
      </w:r>
      <w:r>
        <w:rPr>
          <w:rFonts w:ascii="Liberation Sans" w:hAnsi="Liberation Sans" w:cs="Liberation Sans"/>
          <w:sz w:val="24"/>
          <w:highlight w:val="none"/>
        </w:rPr>
        <w:t xml:space="preserve">онтракта, независимо от формы её представления, способа передачи, носителя, наличия грифа, маркировки или специального уведомления о конфиденциальности, в том числе: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955"/>
        <w:numPr>
          <w:ilvl w:val="1"/>
          <w:numId w:val="84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yellow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персональные данные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, хранящиеся в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государственной информационной системы «Жилье Ямала»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;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955"/>
        <w:numPr>
          <w:ilvl w:val="1"/>
          <w:numId w:val="84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/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ключевая информация системы защищённой сети ViPNet, включая файлы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ключевых дистрибутивов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ViPNet-сети в формате .dst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(далее - DST-файлы), пароли и иные реквизиты доступа к ним, сведения о топологии, адресации и составе узлов защищённой ViPNet-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сети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;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pStyle w:val="955"/>
        <w:numPr>
          <w:ilvl w:val="1"/>
          <w:numId w:val="84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сведения, раскрывающие угрозы и уязвимости информационных систем Ямало-Ненецкого автономного округа и информационной инфраструктуры Заказчика;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55"/>
        <w:numPr>
          <w:ilvl w:val="1"/>
          <w:numId w:val="84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сведения, раскрывающие способы, меры и СрЗИ, применяемые в информационных системах, Региональном центре обработки данных Ямало-Ненецкого автономного округа (далее – РЦОД ЯНАО), информационной инфраструктуре Заказчика;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55"/>
        <w:numPr>
          <w:ilvl w:val="1"/>
          <w:numId w:val="84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иная информация, обладающая признаками ограниченности её распространения.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Любая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документация, оформленная на иностранном языке, не является для Сторон препятствием для понимания ее содержания. При споре Стороны не могут обосновывать свое заблуждение незнанием иностранного языка документации.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Заказчик подтверждает то, что обладает полномочиями на передачу Исполнителю Конфиденциальной информации в объёме, необходимом для исполнения Контракта.</w:t>
      </w:r>
      <w:r>
        <w:rPr>
          <w:rFonts w:ascii="Liberation Sans" w:hAnsi="Liberation Sans" w:eastAsia="Liberation Sans" w:cs="Liberation Sans"/>
          <w:szCs w:val="24"/>
          <w14:ligatures w14:val="none"/>
        </w:rPr>
      </w:r>
      <w:r>
        <w:rPr>
          <w:rFonts w:ascii="Liberation Sans" w:hAnsi="Liberation Sans" w:eastAsia="Liberation Sans" w:cs="Liberation Sans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Передача Конфиденциальной информации Исполнителю не влечёт перехода к нему прав на такую информацию, за исключением права использования информации исключительно для исполнения Контракта.</w:t>
      </w:r>
      <w:r>
        <w:rPr>
          <w:rFonts w:ascii="Liberation Sans" w:hAnsi="Liberation Sans" w:eastAsia="Liberation Sans" w:cs="Liberation Sans"/>
          <w:szCs w:val="24"/>
          <w14:ligatures w14:val="none"/>
        </w:rPr>
      </w:r>
      <w:r>
        <w:rPr>
          <w:rFonts w:ascii="Liberation Sans" w:hAnsi="Liberation Sans" w:eastAsia="Liberation Sans" w:cs="Liberation Sans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Права на результаты интеллектуальной деятельности, документацию и иные материалы, созданные Исполнителем в ходе исполнения Контрак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та, определяются Контрактом.</w:t>
      </w:r>
      <w:r>
        <w:rPr>
          <w:rFonts w:ascii="Liberation Sans" w:hAnsi="Liberation Sans" w:eastAsia="Liberation Sans" w:cs="Liberation Sans"/>
          <w:szCs w:val="24"/>
          <w14:ligatures w14:val="none"/>
        </w:rPr>
      </w:r>
      <w:r>
        <w:rPr>
          <w:rFonts w:ascii="Liberation Sans" w:hAnsi="Liberation Sans" w:eastAsia="Liberation Sans" w:cs="Liberation Sans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Стороны обязуются выполнять установленные законодательством Российской Федерации требования о защите информации.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Под режимом конфиденциальности информации понимается обязательное для выполнения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стороной Соглашения, получившей доступ к определенной информации, требование не передавать такую информацию третьим лицам без согласия ее обладателя.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Оператором ViPNet-сети является государственное казенное учреждение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«Ресурсы Ямала» (ИНН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8901010785)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, осуществляющее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техническую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эксплуатацию защищённой сети ViPNet, выпуск, передачу и отзыв DST-файлов в соответствии с правовыми актами Ямало-Ненецкого автономного округа.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Оператор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ViPNet-сети не является Стороной Соглашения. 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Упоминаемые в Соглашении действия Оператора ViPNet-сети совершаются им в рамках отдельных отношений с Заказчиком и не порождают для Оператора ViPNet-сети каких-либо обязательств по Соглашению перед Исполнителем.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Передача Конфиденциальной информации внешним ИИ-сервисам, включая облачные API и веб-сервисы, запрещена, если иное прямо не согласовано Заказчиком в письменной форме.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Порядок передачи и использования Конфиденциальной информации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Исполнителю запрещено: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копировать или тиражировать Конфиденциальную информацию без письменного согласования Заказчика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;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передавать Конфиденциальную информацию третьим лицам без письменного согласования Заказчика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;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совершать действия, направленные на получение Конфиденциальной информации неопределенным кругом лиц или передачу Конфиденциальной информации неопределенному кругу лиц;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блокировать доступ к Конфиденциальной информации для Заказчика;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передавать полученный DST-файл и пароль доступа к нему любым лицам, не указанным в согласованном письме, включая иных сотрудников Исполнителя;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копировать DST-файл на съёмные носители и устройства, не предназначенные для непосредственной инициализации подключения к сети ViPNet;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использовать DST-файл для доступа к сети ViPNet с рабочих мест или устройств, не согласованных Заказчиком;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сохранять DST-файл после установки ключей на согласованное автоматизированное рабочее место;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передавать сформированные на основании DST-файла реквизиты доступа (логины, сертификаты, пароли) лицам, не являющимся уполномоченными сотрудниками Исполнителя, указанными в письме.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Конфиденциальная информация, в том числе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юридически значимые документы, содержащие такую информацию, должны передаваться способом, исключающим несанкционированный доступ к ним.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Передача Конфиденциальной 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нформации в электронной форме осуществляется посредством функционала «Деловая почта» ViPNet-сети, либо при условии передачи файлов, превышающих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100 Мб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,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через файловое хранилище Заказчика</w:t>
      </w:r>
      <w:r>
        <w:rPr>
          <w:rStyle w:val="1100"/>
          <w:rFonts w:ascii="Liberation Sans" w:hAnsi="Liberation Sans" w:eastAsia="Liberation Sans" w:cs="Liberation Sans"/>
          <w:sz w:val="24"/>
          <w:szCs w:val="24"/>
        </w:rPr>
        <w:footnoteReference w:id="2"/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, доступ к которому предоставлен исключительно уполномоченным представителям Сторон, либо иным способом, письменно согласованным Сторонами.</w:t>
      </w:r>
      <w:r>
        <w:rPr>
          <w:rFonts w:ascii="Liberation Sans" w:hAnsi="Liberation Sans" w:eastAsia="Liberation Sans" w:cs="Liberation Sans"/>
          <w:szCs w:val="24"/>
          <w14:ligatures w14:val="none"/>
        </w:rPr>
      </w:r>
      <w:r>
        <w:rPr>
          <w:rFonts w:ascii="Liberation Sans" w:hAnsi="Liberation Sans" w:eastAsia="Liberation Sans" w:cs="Liberation Sans"/>
          <w:szCs w:val="24"/>
          <w14:ligatures w14:val="none"/>
        </w:rPr>
      </w:r>
    </w:p>
    <w:p>
      <w:pPr>
        <w:pStyle w:val="900"/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«Деловая почта» ViPNet-сети может использоваться Сторонами только после подключения соответствующих сотруднико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 Исполнителя к сети ViPNet в порядке, предусмотренном пунктами 2.7–2.14 Соглашения. До момента такого подключения, а также для передачи первых DST-файлов, обмен осуществляется через файловое хранилище Заказчика либо иным способом, согласованным Сторонами.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 передаче Конфиденциальной информации через файловое хранилище Заказчика, доступ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 файловое хранилище и пароль доступа к нему Заказчик передает представителю Исполнителя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 срок, не превышающий пяти рабочих дней с даты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возникновения такой необходимости или получения официально запроса Исполнителя.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Использование общедоступных файловых хранилищ и незащищённых съёмных носителей для передачи Конфиденциальной информации не допускается.</w:t>
      </w:r>
      <w:r>
        <w:rPr>
          <w:rFonts w:ascii="Liberation Sans" w:hAnsi="Liberation Sans" w:eastAsia="Liberation Sans" w:cs="Liberation Sans"/>
          <w:szCs w:val="24"/>
          <w14:ligatures w14:val="none"/>
        </w:rPr>
      </w:r>
      <w:r>
        <w:rPr>
          <w:rFonts w:ascii="Liberation Sans" w:hAnsi="Liberation Sans" w:eastAsia="Liberation Sans" w:cs="Liberation Sans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Исполнитель обязан использовать Конфиденциальную информацию только в соответствии с целями, установленными в Контакте.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Для организации удалённого доступа сотрудников Исполнителя к защищённой сети ViPNet Заказчика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 целях установки и настройки серверов и программного обеспечения, определённых Контрактом (техническим заданием), Исполнителю предоставляются DST-файлы в порядке, установленном Соглашением.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Не позднее 5 рабочих дней до планируемой даты начала работ, требующих доступа к сети ViPNet, Исполнитель направляет Заказчику письмо со списком сотрудников, которым требуется доступ, содержащее в отношении каждо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го сотрудника: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фамилию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, имя, отчество (полностью);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занимаемую должность;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адрес служебной электронной почты;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версию операционной системы автоматизированного рабочего места, на которое будет установлен DST-файл.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На основании указанного письма Заказчик не позднее 5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рабочих дней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с даты его получения инициирует формирование заявки Оператору ViPNet-сети на выпуск DST-файлов для указанных сотрудников Исполнителя.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Оператор ViPNet-сети передаёт выпущенные DST-файлы Заказчику через функционал «Деловая почта» ViPNet-сети в соответствии с регл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аментами Оператора ViPNet-сети. Порядок и сроки взаимодействия Заказчика с Оператором ViPNet-сети по вопросам выпуска, передачи и отзыва DST-файлов определяются отдельными отношениями между Заказчиком и Оператором ViPNet-сети и Соглашением не регулируются.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Заказчик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передаёт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DST-файл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Исполнителю исключительно по защищённым каналам связи, соответствующим требованиям законодательства Российской Федерации в области защиты информации, вкл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ючая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требования к криптографической защите передаваемых данных, либо посредством файлового хранилища, указанного в пункте 2.3 Соглашения, с обязательным дополнительным шифрованием передаваемого архива на пароль или сертификат конкретного сотрудника-получателя.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DST-файл и пароль (реквизиты) доступа к нему являются Конфиденциальной информацией и одновременно ключевой информаци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ей средств криптографической защиты информации. На них распространяется режим конфиденциальности, установленный Соглашением, а также требования нормативных актов в области защиты информации и правил оператора сети ViPNet к обращению с ключевой информацией.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DST-файл используется исключительно для однократной инициализации подключения именованного сотрудника Исполнителя, указанного в письме, к сети ViPNet Заказчика непосред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ственно на согласованном автоматизированном рабочем месте. Исполнитель не хранит DST-файл: после установки ключей на автоматизированное рабочее место и завершения подключения к сети ViPNet сотрудник Исполнителя обязан безвозвратно удалить DST-файл и все ег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о копии со всех носителей и информационных систем Исполнителя, включая рабочие каталоги, съёмные носители, почтовые вложения и файловые хранилища. Хранение DST-файла Исполнителем в течение срока действия Контракта или после установки ключей не допускается.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Использование DST-файла в целях, не связанных с исполнением Контракта, а также его установка на рабочих местах, не согласованных Заказчиком, не допускается.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случае изменения состава сотрудников Исполнителя, имеющих доступ к сети ViPNet (увольнение, перевод на другую должность, временная нетрудоспособность, отзыв с проекта и иные обстоятельства), Исполнитель обязан не п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озднее одного рабочего дня письменно уведомить Заказчика для инициирования отзыва (аннулирования) соответствующего доступа у оператора сети ViPNet и, при необходимости, для организации выпуска нового DST-файла в порядке, предусмотренном настоящим разделом.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Доступ сотрудников Исполнителя к сети V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iPNet, предоставленный на основании DST-файлов, отзывается (аннулируется) оператором ViPNet-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сети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самостоятельно не позднее 5 рабочих дней с даты прекращения действия Соглашения и (или) Контракта, без необходимости дополнительного обращения Заказчика или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Исполнителя. 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Для целей своевременного исполнения Оператором ViPNet-сети указанной обязанности Заказчик обязуется не позднее одного рабочего дня с даты прекращения действия Соглашения и (или) Контракта уведомить Оператора ViPNet-сети о таком прекращении. 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Указанный порядок не освобождает Исполнителя от обязанности незамедлительно уведомить Заказчика о необходимости досрочного отзыва доступа при выявлении нарушений условий Соглашения, увольнении сотрудников или компрометации ключевой информации.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Сторона, которой стало известно о факте или признаках неправомерного доступа, разглашения, утраты, уничтожения, блокирования, копирования либо иной компрометации Конфиденциальной информации, обязана:</w:t>
      </w:r>
      <w:r>
        <w:rPr>
          <w:rFonts w:ascii="Liberation Sans" w:hAnsi="Liberation Sans" w:eastAsia="Liberation Sans" w:cs="Liberation Sans"/>
          <w:szCs w:val="24"/>
          <w14:ligatures w14:val="none"/>
        </w:rPr>
      </w:r>
      <w:r>
        <w:rPr>
          <w:rFonts w:ascii="Liberation Sans" w:hAnsi="Liberation Sans" w:eastAsia="Liberation Sans" w:cs="Liberation Sans"/>
          <w:szCs w:val="24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незамедлительно принять доступные меры по прекращению нарушения и минимизации его последствий;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уведомить другую Сторону по телефону и электронной почте не позднее двадцати четырёх часов с момента выявления события;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направить письменное уведомление с описанием обстоятельств события, состава затронутой информации, принятых мер и контактного лица не позднее трех рабочих дней с момента выявления события;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оказывать другой Стороне необходимое содействие при расследовании события и устранении его последствий, включая содействие в организации отзыва скомпрометированных DST-файлов и выпуска новых.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Порядок хранения Конфиденциальной информации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казчик вправе распоряжаться и хранить Конфиденциальную информацию по своему усмотрению и в сроки, определенные самостоятельно.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Исполнитель вправе обрабатывать и хранить Конфиденциальную информацию исключительно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 теч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ение срока действия Контракта и гарантийного срока, если хранение необходимо для исполнения гарантийных обязательств. Настоящее правило не распространяется на DST-файлы, хранение которых Исполнителем не допускается в соответствии с пунктом 2.13 Соглашения.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Конфиденциальная информация хранится Исполнителем только на средствах вычислительной техники и в информационных системах, доступ к которым предоставлен работникам Исполнителя, непосредственно участвующим в исполнении Контракта, по принципу необходимости зн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ания.</w:t>
      </w:r>
      <w:r>
        <w:rPr>
          <w:rFonts w:ascii="Liberation Sans" w:hAnsi="Liberation Sans" w:eastAsia="Liberation Sans" w:cs="Liberation Sans"/>
          <w:szCs w:val="24"/>
          <w14:ligatures w14:val="none"/>
        </w:rPr>
      </w:r>
      <w:r>
        <w:rPr>
          <w:rFonts w:ascii="Liberation Sans" w:hAnsi="Liberation Sans" w:eastAsia="Liberation Sans" w:cs="Liberation Sans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Исполнитель обязан возвратить Заказчику либо уничтожить Конфиденциальную информацию и её копии, включая копии, содержащие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ся на съёмных носителях и в рабочих каталогах, не позднее десяти рабочих дней со дня получения письменного требования Заказчика или прекращения действия Соглашения. В отношении DST-файлов применяется срок уничтожения, установленный пунктом 2.13 Соглашения.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Не позднее пяти рабочих дней после возврата или уничтожения информации Исполнитель направляет Заказчику письменное подтвержде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ние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о выполнении указанной обязанности. В отношении DST-файла такое подтверждение направляется не позднее одного рабочего дня после установки ключей на согласованное автоматизированное рабочее место и удаления DST-файла в соответствии с пункте 2.13 Соглашения.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Резервные копии уд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аляются в соответствии с установленным у Исполнителя регламентом резервного копирования, но не позднее девяноста календарных дней после прекращения оснований для хранения информации. DST-файлы и их копии не подлежат включению в резервные копии Исполнителя.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Ответственность Сторон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Сторона, допустившая разглашение Конфиденциальной информации, может быть привлечена к гражданско-правовой, административной или уголовной ответственности в соответствии с законодательством Российской Федерации.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случае разглашения или иного неправомерного использования Конфиденциальной информации Исполнителем, Исполнитель обязан возместить убытки и компенсировать ущерб деловой репутации Заказчика.</w:t>
      </w:r>
      <w:r>
        <w:rPr>
          <w:rFonts w:ascii="Liberation Sans" w:hAnsi="Liberation Sans" w:cs="Liberation Sans"/>
          <w:sz w:val="24"/>
        </w:rPr>
      </w:r>
      <w:r>
        <w:rPr>
          <w:rFonts w:ascii="Liberation Sans" w:hAnsi="Liberation Sans" w:cs="Liberation Sans"/>
          <w:sz w:val="24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Исп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олн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итель несёт ответственность за действия сотрудников, получивших доступ к сети ViPNet на основании DST-файла, как за свои собственные действия, включая ответственность за несоблюдение требования об удалении DST-файла после установки ключей (пункт 2.13 Согла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шения). В случае компрометации DST-файла или ключевой информации по вине Исполнителя, Исполнитель возмещает Заказчику документально подтверждённые расходы на отзыв скомпрометированных ключей, выпуск новых DST-файлов и иные убытки, вызванные компрометацией.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:sz w:val="24"/>
          <w:szCs w:val="24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Заказчик и Исполнитель признают, что Оператор ViPNet-сети не является Стороной Соглашения, и его действия (бездействие) по выпуску, передаче или отзыву DST-файлов не могу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т являться основанием для привлечения к ответственности по Соглашению другой Стороны, кроме случаев, когда соответствующее нарушение вызвано неисполнением Заказчиком обязанности по уведомлению Оператора ViPNet-сети, предусмотренной пунктом 2.16 Соглашения.</w:t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  <w:r>
        <w:rPr>
          <w:rFonts w:ascii="Liberation Sans" w:hAnsi="Liberation Sans" w:eastAsia="Liberation Sans" w:cs="Liberation Sans"/>
          <w:sz w:val="24"/>
          <w:szCs w:val="24"/>
          <w14:ligatures w14:val="none"/>
        </w:rPr>
      </w:r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Разрешение споров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целях досудебного разрешения возникающих споров, Сторонами устанавливается претензионный порядок.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numPr>
          <w:ilvl w:val="2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До предъявления иска, вытекающего из Соглашения,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ind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Претензия должна содержать требования заинтересованной стороны к другой Стороне и их обоснование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 указанием нарушенных другой стороной норм законодательства и (или) условий Соглашения. К претензии необходимо приложить копии документов, подтверждающих изложенные в ней обстоятельства.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ind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Сторона, которая получила претензию, обязана ее рассмотреть и направить письменный мотивированный ответ другой стороне в течение десяти рабочих дней с момента получения претензии.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numPr>
          <w:ilvl w:val="2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Заинтересованная сторона вправе передать спор на рассмотрение суда по истечении двадцати календарных дней со дня направления претензии.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Все споры, разногласия или требования, в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озникающие из Соглашения или в связи с ним, в том числе касающиеся его исполнения, нарушения, прекращения или недействительности, рассматриваются арбитражным судом Ямало-Ненецкого автономного округа, в соответствии с законодательством Российской Федерации.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Изменение и расторжение Соглашения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Изменение и расторжение Соглашения возможны по соглашению Сторон, если иное не предусмотрено законом или Соглашением.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</w:rPr>
        <w:t xml:space="preserve">Заключительные положения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Соглашение вступает в силу с даты его подписания Сторонами и является неотъемлемой частью Контракта.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Обязательства Исполнителя по соблюдению конфиденциальности распространяются на информацию, полученную Исполнителем до подписания Соглашения в связи с подготовкой и исполнением Контракта.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/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eastAsia="Liberation Sans" w:cs="Liberation Sans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Соглашение действует в течение трёх лет после окончания срока действия Контракта, а в части обязательств Исполнителя по возврату или уничтожению Конфиденциальной информации, включая обязанность по удалению DST-файлов, — до полного исполнения таких обяз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ательств.</w:t>
      </w:r>
      <w:r>
        <w:rPr>
          <w:rFonts w:ascii="Liberation Sans" w:hAnsi="Liberation Sans" w:eastAsia="Liberation Sans" w:cs="Liberation Sans"/>
          <w14:ligatures w14:val="none"/>
        </w:rPr>
      </w:r>
      <w:r>
        <w:rPr>
          <w:rFonts w:ascii="Liberation Sans" w:hAnsi="Liberation Sans" w:eastAsia="Liberation Sans" w:cs="Liberation Sans"/>
          <w14:ligatures w14:val="none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Обязательства Исполнителя по соблюдению конфиденциальности сохраняют силу в течение трёх лет после окончания срока действия Контракта независимо от прекращения Контракта или Соглашения, если Сторонами не будет письменно согласовано иное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 изменении адреса Стороны обязаны сообщить об этом друг другу в течение десяти дней.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Если какая-либо часть Соглашения, не являющаяся су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щественной, будет признана по какой-либо причине недействительной, то данное обстоятельство не окажет воздействия на действительность всех оставшихся частей Соглашения, которые останутся в силе, будут действовать и надлежащим образом выполняться Сторонами.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Заявления, уведомления, извещения,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требования или иные юридически значимые сообщения, не содержащие Конфиденциальную информацию, с которыми закон или Соглашение связывают наступление гражданско-правовых последствий для другой Стороны, должны направляться только одним из следующих способов: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заказным письмом с уведомлением о вручении;</w:t>
      </w:r>
      <w:r>
        <w:rPr>
          <w:rFonts w:ascii="Liberation Sans" w:hAnsi="Liberation Sans" w:cs="Liberation Sans"/>
          <w:sz w:val="28"/>
        </w:rPr>
      </w:r>
      <w:r>
        <w:rPr>
          <w:rFonts w:ascii="Liberation Sans" w:hAnsi="Liberation Sans" w:cs="Liberation Sans"/>
          <w:sz w:val="28"/>
        </w:rPr>
      </w:r>
    </w:p>
    <w:p>
      <w:pPr>
        <w:pStyle w:val="955"/>
        <w:numPr>
          <w:ilvl w:val="1"/>
          <w:numId w:val="5"/>
        </w:numPr>
        <w:ind w:left="0" w:right="1" w:firstLine="709"/>
        <w:keepLines/>
        <w:keepNext/>
        <w:spacing w:line="276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через систему электронного документооборота.</w:t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pStyle w:val="900"/>
        <w:numPr>
          <w:ilvl w:val="1"/>
          <w:numId w:val="4"/>
        </w:numPr>
        <w:ind w:left="0" w:right="1" w:firstLine="709"/>
        <w:jc w:val="both"/>
        <w:spacing w:before="0"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Соглашение составлено в форме электронного документа, подписанного усиленными квалифицированными электронными подписями Сторон.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Юридические адреса Сторон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995"/>
        <w:gridCol w:w="283"/>
        <w:gridCol w:w="4555"/>
      </w:tblGrid>
      <w:tr>
        <w:tblPrEx/>
        <w:trPr>
          <w:trHeight w:val="71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95" w:type="dxa"/>
            <w:textDirection w:val="lrTb"/>
            <w:noWrap w:val="false"/>
          </w:tcPr>
          <w:p>
            <w:pPr>
              <w:pStyle w:val="1160"/>
              <w:spacing w:after="0" w:line="276" w:lineRule="auto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  <w:r/>
            <w:bookmarkStart w:id="0" w:name="undefined"/>
            <w:r/>
            <w:bookmarkEnd w:id="0"/>
            <w:r>
              <w:rPr>
                <w:rStyle w:val="1161"/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Заказчик </w:t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</w:p>
          <w:p>
            <w:pPr>
              <w:pStyle w:val="1160"/>
              <w:jc w:val="both"/>
              <w:spacing w:after="0" w:line="276" w:lineRule="auto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Департамент информационных технологий и связи Ямало-Ненецкого автономного округа</w:t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</w:p>
          <w:p>
            <w:pPr>
              <w:pStyle w:val="1160"/>
              <w:jc w:val="both"/>
              <w:spacing w:after="0" w:line="276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pStyle w:val="1160"/>
              <w:jc w:val="both"/>
              <w:spacing w:after="0" w:line="276" w:lineRule="auto"/>
              <w:rPr>
                <w:rFonts w:ascii="Liberation Sans" w:hAnsi="Liberation Sans" w:eastAsia="Liberation Sans" w:cs="Liberation Sans"/>
                <w:sz w:val="24"/>
                <w:szCs w:val="24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Юридический и фактический адрес: 629008, ЯНАО, г. С</w:t>
            </w: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алехард</w:t>
            </w: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, ул. Матросова, д. 29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none"/>
              </w:rPr>
            </w:r>
          </w:p>
          <w:p>
            <w:pPr>
              <w:pStyle w:val="1160"/>
              <w:spacing w:after="0" w:line="276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Тел: 8 (34922) 7-73-00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pStyle w:val="1160"/>
              <w:spacing w:after="0" w:line="276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Факс: 8 (34922) </w:t>
            </w: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4-49-02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  <w:p>
            <w:pPr>
              <w:pStyle w:val="1160"/>
              <w:spacing w:after="0" w:line="276" w:lineRule="auto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: </w:t>
            </w:r>
            <w:r>
              <w:rPr>
                <w:rFonts w:ascii="Liberation Sans" w:hAnsi="Liberation Sans" w:eastAsia="Liberation Sans" w:cs="Liberation Sans"/>
                <w:bCs/>
                <w:sz w:val="24"/>
                <w:szCs w:val="24"/>
                <w:lang w:val="en-US"/>
              </w:rPr>
              <w:t xml:space="preserve">ditis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@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en-US"/>
              </w:rPr>
              <w:t xml:space="preserve">yanao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.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" w:type="dxa"/>
            <w:textDirection w:val="lrTb"/>
            <w:noWrap w:val="false"/>
          </w:tcPr>
          <w:p>
            <w:pPr>
              <w:pStyle w:val="1160"/>
              <w:jc w:val="both"/>
              <w:spacing w:after="0" w:line="276" w:lineRule="auto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55" w:type="dxa"/>
            <w:textDirection w:val="lrTb"/>
            <w:noWrap w:val="false"/>
          </w:tcPr>
          <w:p>
            <w:pPr>
              <w:pStyle w:val="1160"/>
              <w:spacing w:after="0" w:line="276" w:lineRule="auto"/>
              <w:rPr>
                <w:rFonts w:ascii="Liberation Sans" w:hAnsi="Liberation Sans" w:cs="Liberation Sans"/>
                <w:bCs/>
                <w:sz w:val="24"/>
                <w:szCs w:val="24"/>
              </w:rPr>
            </w:pPr>
            <w:r>
              <w:rPr>
                <w:rStyle w:val="1161"/>
                <w:rFonts w:ascii="Liberation Sans" w:hAnsi="Liberation Sans" w:eastAsia="Liberation Sans" w:cs="Liberation Sans"/>
                <w:bCs/>
                <w:sz w:val="24"/>
                <w:szCs w:val="24"/>
              </w:rPr>
              <w:t xml:space="preserve">Исполнитель</w:t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Cs/>
                <w:sz w:val="24"/>
                <w:szCs w:val="24"/>
              </w:rPr>
            </w:r>
          </w:p>
          <w:p>
            <w:pPr>
              <w:pStyle w:val="1160"/>
              <w:spacing w:after="0" w:line="276" w:lineRule="auto"/>
              <w:rPr>
                <w:rFonts w:ascii="Liberation Sans" w:hAnsi="Liberation Sans" w:cs="Liberation Sans"/>
                <w:sz w:val="24"/>
              </w:rPr>
            </w:pPr>
            <w:r>
              <w:rPr>
                <w:rFonts w:ascii="Liberation Sans" w:hAnsi="Liberation Sans" w:cs="Liberation Sans"/>
                <w:sz w:val="24"/>
              </w:rPr>
            </w:r>
            <w:r>
              <w:rPr>
                <w:rFonts w:ascii="Liberation Sans" w:hAnsi="Liberation Sans" w:cs="Liberation Sans"/>
                <w:sz w:val="24"/>
              </w:rPr>
            </w:r>
            <w:r>
              <w:rPr>
                <w:rFonts w:ascii="Liberation Sans" w:hAnsi="Liberation Sans" w:cs="Liberation Sans"/>
                <w:sz w:val="24"/>
              </w:rPr>
            </w:r>
          </w:p>
        </w:tc>
      </w:tr>
    </w:tbl>
    <w:p>
      <w:pPr>
        <w:pStyle w:val="899"/>
        <w:numPr>
          <w:ilvl w:val="0"/>
          <w:numId w:val="4"/>
        </w:numPr>
        <w:ind w:left="0" w:right="1" w:firstLine="0"/>
        <w:jc w:val="center"/>
        <w:keepLines/>
        <w:keepNext/>
        <w:spacing w:before="170" w:after="170" w:line="276" w:lineRule="auto"/>
        <w:rPr>
          <w:rFonts w:ascii="Liberation Sans" w:hAnsi="Liberation Sans" w:eastAsia="Liberation Sans" w:cs="Liberation Sans"/>
          <w14:ligatures w14:val="none"/>
        </w:rPr>
      </w:pPr>
      <w:r>
        <w:rPr>
          <w:rFonts w:ascii="Liberation Sans" w:hAnsi="Liberation Sans" w:eastAsia="Liberation Sans" w:cs="Liberation Sans"/>
        </w:rPr>
        <w:t xml:space="preserve">Подписи Сторон</w:t>
      </w:r>
      <w:r>
        <w:rPr>
          <w:rFonts w:ascii="Liberation Sans" w:hAnsi="Liberation Sans" w:eastAsia="Liberation Sans" w:cs="Liberation Sans"/>
          <w14:ligatures w14:val="none"/>
        </w:rPr>
      </w:r>
      <w:r>
        <w:rPr>
          <w:rFonts w:ascii="Liberation Sans" w:hAnsi="Liberation Sans" w:eastAsia="Liberation Sans" w:cs="Liberation Sans"/>
          <w14:ligatures w14:val="none"/>
        </w:rPr>
      </w:r>
    </w:p>
    <w:p>
      <w:pPr>
        <w:pStyle w:val="900"/>
        <w:ind w:right="1"/>
        <w:jc w:val="both"/>
        <w:spacing w:before="0" w:after="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sectPr>
      <w:headerReference w:type="first" r:id="rId9"/>
      <w:footerReference w:type="first" r:id="rId10"/>
      <w:footnotePr/>
      <w:endnotePr/>
      <w:type w:val="nextPage"/>
      <w:pgSz w:w="11910" w:h="16840" w:orient="portrait"/>
      <w:pgMar w:top="1134" w:right="567" w:bottom="1134" w:left="1701" w:header="0" w:footer="77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GOST type B">
    <w:panose1 w:val="020B0604020202020204"/>
  </w:font>
  <w:font w:name="DejaVu Sans">
    <w:panose1 w:val="020B0603030804020204"/>
  </w:font>
  <w:font w:name="FreeSans">
    <w:panose1 w:val="020B0504020202020204"/>
  </w:font>
  <w:font w:name="Liberation Serif">
    <w:panose1 w:val="020206030504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98"/>
        <w:rPr>
          <w:sz w:val="20"/>
          <w:szCs w:val="20"/>
        </w:rPr>
      </w:pPr>
      <w:r>
        <w:rPr>
          <w:rStyle w:val="1100"/>
          <w:sz w:val="20"/>
          <w:szCs w:val="20"/>
        </w:rPr>
        <w:footnoteRef/>
      </w:r>
      <w:r>
        <w:rPr>
          <w:sz w:val="20"/>
          <w:szCs w:val="20"/>
        </w:rPr>
        <w:t xml:space="preserve"> расположен в РЦОД ЯНАО – files.yanao.ru</w:t>
      </w:r>
      <w:r>
        <w:rPr>
          <w:sz w:val="20"/>
          <w:szCs w:val="20"/>
        </w:rPr>
      </w:r>
      <w:r>
        <w:rPr>
          <w:sz w:val="20"/>
          <w:szCs w:val="2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87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shd w:val="clear" w:color="auto" w:fill="auto"/>
        <w:vertAlign w:val="baseline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6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8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7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b w:val="0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6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8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7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87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shd w:val="clear" w:color="auto" w:fill="auto"/>
        <w:vertAlign w:val="baseline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67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8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7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8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3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8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6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9" w:hanging="360"/>
      </w:pPr>
      <w:rPr>
        <w:rFonts w:hint="default" w:ascii="Wingdings" w:hAnsi="Wingdings" w:eastAsia="Wingdings" w:cs="Wingdings"/>
      </w:r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b w:val="0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b w:val="0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b w:val="0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b w:val="0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b w:val="0"/>
        <w:sz w:val="24"/>
        <w:highlight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Liberation Serif" w:hAnsi="Liberation Serif" w:eastAsia="Liberation Serif" w:cs="Liberation Serif"/>
        <w:b w:val="0"/>
        <w:i/>
        <w:sz w:val="24"/>
        <w:highlight w:val="whit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erif" w:hAnsi="Liberation Serif" w:eastAsia="Liberation Serif" w:cs="Liberation Serif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9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5">
    <w:multiLevelType w:val="hybridMultilevel"/>
    <w:lvl w:ilvl="0">
      <w:start w:val="1"/>
      <w:numFmt w:val="bullet"/>
      <w:pStyle w:val="1164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0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Liberation Sans" w:hAnsi="Liberation Sans" w:eastAsia="Liberation Sans" w:cs="Liberation Sans"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Liberation Sans" w:hAnsi="Liberation Sans" w:eastAsia="Liberation Sans" w:cs="Liberation Sans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6"/>
  </w:num>
  <w:num w:numId="2">
    <w:abstractNumId w:val="12"/>
  </w:num>
  <w:num w:numId="3">
    <w:abstractNumId w:val="32"/>
  </w:num>
  <w:num w:numId="4">
    <w:abstractNumId w:val="26"/>
  </w:num>
  <w:num w:numId="5">
    <w:abstractNumId w:val="15"/>
  </w:num>
  <w:num w:numId="6">
    <w:abstractNumId w:val="35"/>
  </w:num>
  <w:num w:numId="7">
    <w:abstractNumId w:val="17"/>
  </w:num>
  <w:num w:numId="8">
    <w:abstractNumId w:val="23"/>
  </w:num>
  <w:num w:numId="9">
    <w:abstractNumId w:val="34"/>
  </w:num>
  <w:num w:numId="10">
    <w:abstractNumId w:val="31"/>
  </w:num>
  <w:num w:numId="11">
    <w:abstractNumId w:val="3"/>
  </w:num>
  <w:num w:numId="12">
    <w:abstractNumId w:val="28"/>
  </w:num>
  <w:num w:numId="13">
    <w:abstractNumId w:val="22"/>
  </w:num>
  <w:num w:numId="14">
    <w:abstractNumId w:val="11"/>
  </w:num>
  <w:num w:numId="15">
    <w:abstractNumId w:val="6"/>
  </w:num>
  <w:num w:numId="16">
    <w:abstractNumId w:val="19"/>
  </w:num>
  <w:num w:numId="17">
    <w:abstractNumId w:val="27"/>
  </w:num>
  <w:num w:numId="18">
    <w:abstractNumId w:val="18"/>
  </w:num>
  <w:num w:numId="19">
    <w:abstractNumId w:val="1"/>
  </w:num>
  <w:num w:numId="20">
    <w:abstractNumId w:val="33"/>
  </w:num>
  <w:num w:numId="21">
    <w:abstractNumId w:val="5"/>
  </w:num>
  <w:num w:numId="22">
    <w:abstractNumId w:val="30"/>
  </w:num>
  <w:num w:numId="23">
    <w:abstractNumId w:val="7"/>
  </w:num>
  <w:num w:numId="24">
    <w:abstractNumId w:val="21"/>
  </w:num>
  <w:num w:numId="25">
    <w:abstractNumId w:val="14"/>
  </w:num>
  <w:num w:numId="26">
    <w:abstractNumId w:val="20"/>
  </w:num>
  <w:num w:numId="27">
    <w:abstractNumId w:val="13"/>
  </w:num>
  <w:num w:numId="28">
    <w:abstractNumId w:val="4"/>
  </w:num>
  <w:num w:numId="29">
    <w:abstractNumId w:val="10"/>
  </w:num>
  <w:num w:numId="30">
    <w:abstractNumId w:val="25"/>
  </w:num>
  <w:num w:numId="31">
    <w:abstractNumId w:val="29"/>
  </w:num>
  <w:num w:numId="32">
    <w:abstractNumId w:val="8"/>
  </w:num>
  <w:num w:numId="33">
    <w:abstractNumId w:val="2"/>
  </w:num>
  <w:num w:numId="34">
    <w:abstractNumId w:val="24"/>
  </w:num>
  <w:num w:numId="35">
    <w:abstractNumId w:val="9"/>
  </w:num>
  <w:num w:numId="36">
    <w:abstractNumId w:val="0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98" w:default="1">
    <w:name w:val="Normal"/>
    <w:qFormat/>
    <w:rPr>
      <w:lang w:eastAsia="zh-CN"/>
    </w:rPr>
  </w:style>
  <w:style w:type="paragraph" w:styleId="899">
    <w:name w:val="Heading 1"/>
    <w:basedOn w:val="898"/>
    <w:link w:val="946"/>
    <w:uiPriority w:val="9"/>
    <w:pPr>
      <w:ind w:left="1215"/>
      <w:spacing w:line="274" w:lineRule="exact"/>
      <w:outlineLvl w:val="0"/>
    </w:pPr>
    <w:rPr>
      <w:b/>
      <w:bCs/>
      <w:sz w:val="24"/>
      <w:szCs w:val="24"/>
    </w:rPr>
  </w:style>
  <w:style w:type="paragraph" w:styleId="900">
    <w:name w:val="Heading 2"/>
    <w:link w:val="9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  <w:lang w:eastAsia="zh-CN"/>
    </w:rPr>
  </w:style>
  <w:style w:type="paragraph" w:styleId="901">
    <w:name w:val="Heading 3"/>
    <w:link w:val="9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  <w:lang w:eastAsia="zh-CN"/>
    </w:rPr>
  </w:style>
  <w:style w:type="paragraph" w:styleId="902">
    <w:name w:val="Heading 4"/>
    <w:link w:val="9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  <w:lang w:eastAsia="zh-CN"/>
    </w:rPr>
  </w:style>
  <w:style w:type="paragraph" w:styleId="903">
    <w:name w:val="Heading 5"/>
    <w:link w:val="9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  <w:lang w:eastAsia="zh-CN"/>
    </w:rPr>
  </w:style>
  <w:style w:type="paragraph" w:styleId="904">
    <w:name w:val="Heading 6"/>
    <w:link w:val="9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  <w:lang w:eastAsia="zh-CN"/>
    </w:rPr>
  </w:style>
  <w:style w:type="paragraph" w:styleId="905">
    <w:name w:val="Heading 7"/>
    <w:link w:val="9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  <w:lang w:eastAsia="zh-CN"/>
    </w:rPr>
  </w:style>
  <w:style w:type="paragraph" w:styleId="906">
    <w:name w:val="Heading 8"/>
    <w:link w:val="9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  <w:lang w:eastAsia="zh-CN"/>
    </w:rPr>
  </w:style>
  <w:style w:type="paragraph" w:styleId="907">
    <w:name w:val="Heading 9"/>
    <w:link w:val="9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  <w:lang w:eastAsia="zh-CN"/>
    </w:rPr>
  </w:style>
  <w:style w:type="character" w:styleId="908" w:default="1">
    <w:name w:val="Default Paragraph Font"/>
    <w:uiPriority w:val="1"/>
    <w:semiHidden/>
    <w:unhideWhenUsed/>
  </w:style>
  <w:style w:type="table" w:styleId="90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0" w:default="1">
    <w:name w:val="No List"/>
    <w:uiPriority w:val="99"/>
    <w:semiHidden/>
    <w:unhideWhenUsed/>
  </w:style>
  <w:style w:type="character" w:styleId="911" w:customStyle="1">
    <w:name w:val="Caption Char"/>
    <w:uiPriority w:val="35"/>
    <w:rPr>
      <w:b/>
      <w:bCs/>
      <w:color w:val="4f81bd"/>
      <w:sz w:val="18"/>
      <w:szCs w:val="18"/>
    </w:rPr>
  </w:style>
  <w:style w:type="table" w:styleId="912">
    <w:name w:val="Plain Table 1"/>
    <w:basedOn w:val="909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13">
    <w:name w:val="Plain Table 2"/>
    <w:basedOn w:val="909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14">
    <w:name w:val="Plain Table 3"/>
    <w:basedOn w:val="90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15">
    <w:name w:val="Plain Table 4"/>
    <w:basedOn w:val="90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Plain Table 5"/>
    <w:basedOn w:val="90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7">
    <w:name w:val="Grid Table 1 Light"/>
    <w:basedOn w:val="909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Grid Table 2"/>
    <w:basedOn w:val="909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3"/>
    <w:basedOn w:val="909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4"/>
    <w:basedOn w:val="909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921">
    <w:name w:val="Grid Table 5 Dark"/>
    <w:basedOn w:val="909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blStylePr w:type="band1Horz">
      <w:tcPr>
        <w:shd w:val="clear" w:color="8a8a8a" w:fill="8a8a8a"/>
      </w:tcPr>
    </w:tblStylePr>
    <w:tblStylePr w:type="band1Vert">
      <w:tcPr>
        <w:shd w:val="clear" w:color="8a8a8a" w:fill="8a8a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922">
    <w:name w:val="Grid Table 6 Colorful"/>
    <w:basedOn w:val="909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cbcbcb" w:fill="cbcbcb"/>
      </w:tcPr>
    </w:tblStylePr>
    <w:tblStylePr w:type="band1Vert"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b/>
        <w:color w:val="7f7f7f"/>
      </w:rPr>
    </w:tblStylePr>
    <w:tblStylePr w:type="firstRow">
      <w:rPr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</w:tblStylePr>
    <w:tblStylePr w:type="lastRow">
      <w:rPr>
        <w:b/>
        <w:color w:val="7f7f7f"/>
      </w:rPr>
    </w:tblStylePr>
  </w:style>
  <w:style w:type="table" w:styleId="923">
    <w:name w:val="Grid Table 7 Colorful"/>
    <w:basedOn w:val="909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List Table 1 Light"/>
    <w:basedOn w:val="909"/>
    <w:uiPriority w:val="99"/>
    <w:tblPr>
      <w:tblStyleRowBandSize w:val="1"/>
      <w:tblStyleColBandSize w:val="1"/>
    </w:tblPr>
    <w:tblStylePr w:type="band1Horz"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List Table 2"/>
    <w:basedOn w:val="909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926">
    <w:name w:val="List Table 3"/>
    <w:basedOn w:val="909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"/>
    <w:basedOn w:val="909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5 Dark"/>
    <w:basedOn w:val="909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blStylePr w:type="band1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929">
    <w:name w:val="List Table 6 Colorful"/>
    <w:basedOn w:val="909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rFonts w:ascii="Arial" w:hAnsi="Arial"/>
        <w:color w:val="000000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930">
    <w:name w:val="List Table 7 Colorful"/>
    <w:basedOn w:val="909"/>
    <w:uiPriority w:val="99"/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93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932" w:customStyle="1">
    <w:name w:val="Heading 2 Char"/>
    <w:uiPriority w:val="9"/>
    <w:rPr>
      <w:rFonts w:ascii="Arial" w:hAnsi="Arial" w:eastAsia="Arial" w:cs="Arial"/>
      <w:sz w:val="34"/>
    </w:rPr>
  </w:style>
  <w:style w:type="character" w:styleId="933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934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935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936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937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38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939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940" w:customStyle="1">
    <w:name w:val="Title Char"/>
    <w:uiPriority w:val="10"/>
    <w:rPr>
      <w:sz w:val="48"/>
      <w:szCs w:val="48"/>
    </w:rPr>
  </w:style>
  <w:style w:type="character" w:styleId="941" w:customStyle="1">
    <w:name w:val="Subtitle Char"/>
    <w:uiPriority w:val="11"/>
    <w:rPr>
      <w:sz w:val="24"/>
      <w:szCs w:val="24"/>
    </w:rPr>
  </w:style>
  <w:style w:type="character" w:styleId="942" w:customStyle="1">
    <w:name w:val="Quote Char"/>
    <w:uiPriority w:val="29"/>
    <w:rPr>
      <w:i/>
    </w:rPr>
  </w:style>
  <w:style w:type="character" w:styleId="943" w:customStyle="1">
    <w:name w:val="Intense Quote Char"/>
    <w:uiPriority w:val="30"/>
    <w:rPr>
      <w:i/>
    </w:rPr>
  </w:style>
  <w:style w:type="character" w:styleId="944" w:customStyle="1">
    <w:name w:val="Footnote Text Char"/>
    <w:uiPriority w:val="99"/>
    <w:rPr>
      <w:sz w:val="18"/>
    </w:rPr>
  </w:style>
  <w:style w:type="character" w:styleId="945" w:customStyle="1">
    <w:name w:val="Endnote Text Char"/>
    <w:uiPriority w:val="99"/>
    <w:rPr>
      <w:sz w:val="20"/>
    </w:rPr>
  </w:style>
  <w:style w:type="character" w:styleId="946" w:customStyle="1">
    <w:name w:val="Заголовок 1 Знак"/>
    <w:link w:val="899"/>
    <w:uiPriority w:val="9"/>
    <w:rPr>
      <w:rFonts w:ascii="Arial" w:hAnsi="Arial" w:eastAsia="Arial" w:cs="Arial"/>
      <w:sz w:val="40"/>
      <w:szCs w:val="40"/>
    </w:rPr>
  </w:style>
  <w:style w:type="character" w:styleId="947" w:customStyle="1">
    <w:name w:val="Заголовок 2 Знак"/>
    <w:link w:val="900"/>
    <w:uiPriority w:val="9"/>
    <w:rPr>
      <w:rFonts w:ascii="Arial" w:hAnsi="Arial" w:eastAsia="Arial" w:cs="Arial"/>
      <w:sz w:val="34"/>
    </w:rPr>
  </w:style>
  <w:style w:type="character" w:styleId="948" w:customStyle="1">
    <w:name w:val="Заголовок 3 Знак"/>
    <w:link w:val="901"/>
    <w:uiPriority w:val="9"/>
    <w:rPr>
      <w:rFonts w:ascii="Arial" w:hAnsi="Arial" w:eastAsia="Arial" w:cs="Arial"/>
      <w:sz w:val="30"/>
      <w:szCs w:val="30"/>
    </w:rPr>
  </w:style>
  <w:style w:type="character" w:styleId="949" w:customStyle="1">
    <w:name w:val="Заголовок 4 Знак"/>
    <w:link w:val="902"/>
    <w:uiPriority w:val="9"/>
    <w:rPr>
      <w:rFonts w:ascii="Arial" w:hAnsi="Arial" w:eastAsia="Arial" w:cs="Arial"/>
      <w:b/>
      <w:bCs/>
      <w:sz w:val="26"/>
      <w:szCs w:val="26"/>
    </w:rPr>
  </w:style>
  <w:style w:type="character" w:styleId="950" w:customStyle="1">
    <w:name w:val="Заголовок 5 Знак"/>
    <w:link w:val="903"/>
    <w:uiPriority w:val="9"/>
    <w:rPr>
      <w:rFonts w:ascii="Arial" w:hAnsi="Arial" w:eastAsia="Arial" w:cs="Arial"/>
      <w:b/>
      <w:bCs/>
      <w:sz w:val="24"/>
      <w:szCs w:val="24"/>
    </w:rPr>
  </w:style>
  <w:style w:type="character" w:styleId="951" w:customStyle="1">
    <w:name w:val="Заголовок 6 Знак"/>
    <w:link w:val="904"/>
    <w:uiPriority w:val="9"/>
    <w:rPr>
      <w:rFonts w:ascii="Arial" w:hAnsi="Arial" w:eastAsia="Arial" w:cs="Arial"/>
      <w:b/>
      <w:bCs/>
      <w:sz w:val="22"/>
      <w:szCs w:val="22"/>
    </w:rPr>
  </w:style>
  <w:style w:type="character" w:styleId="952" w:customStyle="1">
    <w:name w:val="Заголовок 7 Знак"/>
    <w:link w:val="9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53" w:customStyle="1">
    <w:name w:val="Заголовок 8 Знак"/>
    <w:link w:val="906"/>
    <w:uiPriority w:val="9"/>
    <w:rPr>
      <w:rFonts w:ascii="Arial" w:hAnsi="Arial" w:eastAsia="Arial" w:cs="Arial"/>
      <w:i/>
      <w:iCs/>
      <w:sz w:val="22"/>
      <w:szCs w:val="22"/>
    </w:rPr>
  </w:style>
  <w:style w:type="character" w:styleId="954" w:customStyle="1">
    <w:name w:val="Заголовок 9 Знак"/>
    <w:link w:val="907"/>
    <w:uiPriority w:val="9"/>
    <w:rPr>
      <w:rFonts w:ascii="Arial" w:hAnsi="Arial" w:eastAsia="Arial" w:cs="Arial"/>
      <w:i/>
      <w:iCs/>
      <w:sz w:val="21"/>
      <w:szCs w:val="21"/>
    </w:rPr>
  </w:style>
  <w:style w:type="paragraph" w:styleId="955">
    <w:name w:val="List Paragraph"/>
    <w:basedOn w:val="898"/>
    <w:uiPriority w:val="34"/>
    <w:pPr>
      <w:ind w:left="222" w:firstLine="707"/>
      <w:jc w:val="both"/>
    </w:pPr>
  </w:style>
  <w:style w:type="paragraph" w:styleId="956">
    <w:name w:val="No Spacing"/>
    <w:uiPriority w:val="1"/>
    <w:qFormat/>
    <w:rPr>
      <w:lang w:eastAsia="zh-CN"/>
    </w:rPr>
  </w:style>
  <w:style w:type="paragraph" w:styleId="957">
    <w:name w:val="Title"/>
    <w:link w:val="958"/>
    <w:uiPriority w:val="10"/>
    <w:qFormat/>
    <w:pPr>
      <w:contextualSpacing/>
      <w:spacing w:before="300" w:after="200"/>
    </w:pPr>
    <w:rPr>
      <w:sz w:val="48"/>
      <w:szCs w:val="48"/>
      <w:lang w:eastAsia="zh-CN"/>
    </w:rPr>
  </w:style>
  <w:style w:type="character" w:styleId="958" w:customStyle="1">
    <w:name w:val="Заголовок Знак"/>
    <w:link w:val="957"/>
    <w:uiPriority w:val="10"/>
    <w:rPr>
      <w:sz w:val="48"/>
      <w:szCs w:val="48"/>
    </w:rPr>
  </w:style>
  <w:style w:type="paragraph" w:styleId="959">
    <w:name w:val="Subtitle"/>
    <w:link w:val="960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styleId="960" w:customStyle="1">
    <w:name w:val="Подзаголовок Знак"/>
    <w:link w:val="959"/>
    <w:uiPriority w:val="11"/>
    <w:rPr>
      <w:sz w:val="24"/>
      <w:szCs w:val="24"/>
    </w:rPr>
  </w:style>
  <w:style w:type="paragraph" w:styleId="961">
    <w:name w:val="Quote"/>
    <w:link w:val="962"/>
    <w:uiPriority w:val="29"/>
    <w:qFormat/>
    <w:pPr>
      <w:ind w:left="720" w:right="720"/>
    </w:pPr>
    <w:rPr>
      <w:i/>
      <w:lang w:eastAsia="zh-CN"/>
    </w:rPr>
  </w:style>
  <w:style w:type="character" w:styleId="962" w:customStyle="1">
    <w:name w:val="Цитата 2 Знак"/>
    <w:link w:val="961"/>
    <w:uiPriority w:val="29"/>
    <w:rPr>
      <w:i/>
    </w:rPr>
  </w:style>
  <w:style w:type="paragraph" w:styleId="963">
    <w:name w:val="Intense Quote"/>
    <w:link w:val="96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lang w:eastAsia="zh-CN"/>
    </w:rPr>
  </w:style>
  <w:style w:type="character" w:styleId="964" w:customStyle="1">
    <w:name w:val="Выделенная цитата Знак"/>
    <w:link w:val="963"/>
    <w:uiPriority w:val="30"/>
    <w:rPr>
      <w:i/>
    </w:rPr>
  </w:style>
  <w:style w:type="paragraph" w:styleId="965">
    <w:name w:val="Header"/>
    <w:basedOn w:val="898"/>
    <w:link w:val="1122"/>
    <w:uiPriority w:val="99"/>
    <w:pPr>
      <w:tabs>
        <w:tab w:val="center" w:pos="4677" w:leader="none"/>
        <w:tab w:val="right" w:pos="9355" w:leader="none"/>
      </w:tabs>
    </w:pPr>
  </w:style>
  <w:style w:type="character" w:styleId="966" w:customStyle="1">
    <w:name w:val="Header Char"/>
    <w:uiPriority w:val="99"/>
  </w:style>
  <w:style w:type="paragraph" w:styleId="967">
    <w:name w:val="Footer"/>
    <w:basedOn w:val="898"/>
    <w:link w:val="1123"/>
    <w:uiPriority w:val="99"/>
    <w:pPr>
      <w:tabs>
        <w:tab w:val="center" w:pos="4677" w:leader="none"/>
        <w:tab w:val="right" w:pos="9355" w:leader="none"/>
      </w:tabs>
    </w:pPr>
  </w:style>
  <w:style w:type="character" w:styleId="968" w:customStyle="1">
    <w:name w:val="Footer Char"/>
    <w:uiPriority w:val="99"/>
  </w:style>
  <w:style w:type="paragraph" w:styleId="969">
    <w:name w:val="Caption"/>
    <w:link w:val="97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styleId="970" w:customStyle="1">
    <w:name w:val="Название объекта Знак"/>
    <w:link w:val="969"/>
    <w:uiPriority w:val="99"/>
  </w:style>
  <w:style w:type="table" w:styleId="971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2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3" w:customStyle="1">
    <w:name w:val="Таблица простая 1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4" w:customStyle="1">
    <w:name w:val="Таблица простая 21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5" w:customStyle="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76" w:customStyle="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77" w:customStyle="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78" w:customStyle="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9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0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1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2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3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4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5" w:customStyle="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6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7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8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9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0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1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2" w:customStyle="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3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4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5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6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7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8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9" w:customStyle="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0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1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2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3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4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5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6" w:customStyle="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1007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1008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1009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1010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1011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1012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1013" w:customStyle="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4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5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6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7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8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9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0" w:customStyle="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7" w:customStyle="1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8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29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30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31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32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33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34" w:customStyle="1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35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36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37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38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39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0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1" w:customStyle="1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2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3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4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5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6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7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8" w:customStyle="1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49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50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51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52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53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54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55" w:customStyle="1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1056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1057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1058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1059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1060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1061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1062" w:customStyle="1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63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64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65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66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67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68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69" w:customStyle="1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70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71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72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73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74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75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76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77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78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79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80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81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82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83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84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85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86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87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88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89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90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9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9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9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9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9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9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1097">
    <w:name w:val="Hyperlink"/>
    <w:uiPriority w:val="99"/>
    <w:unhideWhenUsed/>
    <w:rPr>
      <w:color w:val="0000ff"/>
      <w:u w:val="single"/>
    </w:rPr>
  </w:style>
  <w:style w:type="paragraph" w:styleId="1098">
    <w:name w:val="footnote text"/>
    <w:link w:val="1099"/>
    <w:uiPriority w:val="99"/>
    <w:semiHidden/>
    <w:unhideWhenUsed/>
    <w:pPr>
      <w:spacing w:after="40"/>
    </w:pPr>
    <w:rPr>
      <w:sz w:val="18"/>
      <w:lang w:eastAsia="zh-CN"/>
    </w:rPr>
  </w:style>
  <w:style w:type="character" w:styleId="1099" w:customStyle="1">
    <w:name w:val="Текст сноски Знак"/>
    <w:link w:val="1098"/>
    <w:uiPriority w:val="99"/>
    <w:rPr>
      <w:sz w:val="18"/>
    </w:rPr>
  </w:style>
  <w:style w:type="character" w:styleId="1100">
    <w:name w:val="footnote reference"/>
    <w:uiPriority w:val="99"/>
    <w:unhideWhenUsed/>
    <w:rPr>
      <w:vertAlign w:val="superscript"/>
    </w:rPr>
  </w:style>
  <w:style w:type="paragraph" w:styleId="1101">
    <w:name w:val="endnote text"/>
    <w:link w:val="1102"/>
    <w:uiPriority w:val="99"/>
    <w:semiHidden/>
    <w:unhideWhenUsed/>
    <w:rPr>
      <w:lang w:eastAsia="zh-CN"/>
    </w:rPr>
  </w:style>
  <w:style w:type="character" w:styleId="1102" w:customStyle="1">
    <w:name w:val="Текст концевой сноски Знак"/>
    <w:link w:val="1101"/>
    <w:uiPriority w:val="99"/>
    <w:rPr>
      <w:sz w:val="20"/>
    </w:rPr>
  </w:style>
  <w:style w:type="character" w:styleId="1103">
    <w:name w:val="endnote reference"/>
    <w:uiPriority w:val="99"/>
    <w:semiHidden/>
    <w:unhideWhenUsed/>
    <w:rPr>
      <w:vertAlign w:val="superscript"/>
    </w:rPr>
  </w:style>
  <w:style w:type="paragraph" w:styleId="1104">
    <w:name w:val="toc 1"/>
    <w:uiPriority w:val="39"/>
    <w:unhideWhenUsed/>
    <w:pPr>
      <w:spacing w:after="57"/>
    </w:pPr>
    <w:rPr>
      <w:lang w:eastAsia="zh-CN"/>
    </w:rPr>
  </w:style>
  <w:style w:type="paragraph" w:styleId="1105">
    <w:name w:val="toc 2"/>
    <w:uiPriority w:val="39"/>
    <w:unhideWhenUsed/>
    <w:pPr>
      <w:ind w:left="283"/>
      <w:spacing w:after="57"/>
    </w:pPr>
    <w:rPr>
      <w:lang w:eastAsia="zh-CN"/>
    </w:rPr>
  </w:style>
  <w:style w:type="paragraph" w:styleId="1106">
    <w:name w:val="toc 3"/>
    <w:uiPriority w:val="39"/>
    <w:unhideWhenUsed/>
    <w:pPr>
      <w:ind w:left="567"/>
      <w:spacing w:after="57"/>
    </w:pPr>
    <w:rPr>
      <w:lang w:eastAsia="zh-CN"/>
    </w:rPr>
  </w:style>
  <w:style w:type="paragraph" w:styleId="1107">
    <w:name w:val="toc 4"/>
    <w:uiPriority w:val="39"/>
    <w:unhideWhenUsed/>
    <w:pPr>
      <w:ind w:left="850"/>
      <w:spacing w:after="57"/>
    </w:pPr>
    <w:rPr>
      <w:lang w:eastAsia="zh-CN"/>
    </w:rPr>
  </w:style>
  <w:style w:type="paragraph" w:styleId="1108">
    <w:name w:val="toc 5"/>
    <w:uiPriority w:val="39"/>
    <w:unhideWhenUsed/>
    <w:pPr>
      <w:ind w:left="1134"/>
      <w:spacing w:after="57"/>
    </w:pPr>
    <w:rPr>
      <w:lang w:eastAsia="zh-CN"/>
    </w:rPr>
  </w:style>
  <w:style w:type="paragraph" w:styleId="1109">
    <w:name w:val="toc 6"/>
    <w:uiPriority w:val="39"/>
    <w:unhideWhenUsed/>
    <w:pPr>
      <w:ind w:left="1417"/>
      <w:spacing w:after="57"/>
    </w:pPr>
    <w:rPr>
      <w:lang w:eastAsia="zh-CN"/>
    </w:rPr>
  </w:style>
  <w:style w:type="paragraph" w:styleId="1110">
    <w:name w:val="toc 7"/>
    <w:uiPriority w:val="39"/>
    <w:unhideWhenUsed/>
    <w:pPr>
      <w:ind w:left="1701"/>
      <w:spacing w:after="57"/>
    </w:pPr>
    <w:rPr>
      <w:lang w:eastAsia="zh-CN"/>
    </w:rPr>
  </w:style>
  <w:style w:type="paragraph" w:styleId="1111">
    <w:name w:val="toc 8"/>
    <w:uiPriority w:val="39"/>
    <w:unhideWhenUsed/>
    <w:pPr>
      <w:ind w:left="1984"/>
      <w:spacing w:after="57"/>
    </w:pPr>
    <w:rPr>
      <w:lang w:eastAsia="zh-CN"/>
    </w:rPr>
  </w:style>
  <w:style w:type="paragraph" w:styleId="1112">
    <w:name w:val="toc 9"/>
    <w:uiPriority w:val="39"/>
    <w:unhideWhenUsed/>
    <w:pPr>
      <w:ind w:left="2268"/>
      <w:spacing w:after="57"/>
    </w:pPr>
    <w:rPr>
      <w:lang w:eastAsia="zh-CN"/>
    </w:rPr>
  </w:style>
  <w:style w:type="paragraph" w:styleId="1113">
    <w:name w:val="TOC Heading"/>
    <w:uiPriority w:val="39"/>
    <w:unhideWhenUsed/>
    <w:rPr>
      <w:lang w:eastAsia="zh-CN"/>
    </w:rPr>
  </w:style>
  <w:style w:type="paragraph" w:styleId="1114">
    <w:name w:val="table of figures"/>
    <w:uiPriority w:val="99"/>
    <w:unhideWhenUsed/>
    <w:rPr>
      <w:lang w:eastAsia="zh-CN"/>
    </w:rPr>
  </w:style>
  <w:style w:type="table" w:styleId="1115" w:customStyle="1">
    <w:name w:val="Table Normal"/>
    <w:semiHidden/>
    <w:pPr>
      <w:widowControl w:val="off"/>
    </w:pPr>
    <w:rPr>
      <w:sz w:val="22"/>
      <w:szCs w:val="22"/>
      <w:lang w:val="en-US" w:eastAsia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116">
    <w:name w:val="Body Text"/>
    <w:link w:val="1129"/>
    <w:uiPriority w:val="1"/>
    <w:unhideWhenUsed/>
    <w:qFormat/>
    <w:pPr>
      <w:spacing w:after="283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eastAsia="DejaVu Sans" w:cs="FreeSans"/>
      <w:sz w:val="24"/>
      <w:szCs w:val="24"/>
      <w:lang w:val="en-US" w:eastAsia="zh-CN" w:bidi="hi-IN"/>
    </w:rPr>
  </w:style>
  <w:style w:type="paragraph" w:styleId="1117" w:customStyle="1">
    <w:name w:val="Table Paragraph"/>
    <w:basedOn w:val="898"/>
  </w:style>
  <w:style w:type="paragraph" w:styleId="1118" w:customStyle="1">
    <w:name w:val="Обычный1"/>
    <w:pPr>
      <w:widowControl w:val="off"/>
    </w:pPr>
    <w:rPr>
      <w:rFonts w:ascii="Times New Roman" w:hAnsi="Times New Roman" w:eastAsia="Arial"/>
      <w:lang w:eastAsia="ar-SA"/>
    </w:rPr>
  </w:style>
  <w:style w:type="paragraph" w:styleId="1119">
    <w:name w:val="Balloon Text"/>
    <w:basedOn w:val="898"/>
    <w:link w:val="1120"/>
    <w:semiHidden/>
    <w:rPr>
      <w:rFonts w:ascii="Tahoma" w:hAnsi="Tahoma"/>
      <w:sz w:val="16"/>
      <w:szCs w:val="16"/>
    </w:rPr>
  </w:style>
  <w:style w:type="character" w:styleId="1120" w:customStyle="1">
    <w:name w:val="Текст выноски Знак"/>
    <w:link w:val="1119"/>
    <w:semiHidden/>
    <w:rPr>
      <w:rFonts w:ascii="Tahoma" w:hAnsi="Tahoma" w:eastAsia="Times New Roman"/>
      <w:sz w:val="16"/>
      <w:szCs w:val="16"/>
      <w:lang w:val="ru-RU"/>
    </w:rPr>
  </w:style>
  <w:style w:type="paragraph" w:styleId="1121" w:customStyle="1">
    <w:name w:val="Style2"/>
    <w:basedOn w:val="898"/>
    <w:pPr>
      <w:jc w:val="center"/>
      <w:spacing w:line="300" w:lineRule="exact"/>
    </w:pPr>
    <w:rPr>
      <w:sz w:val="24"/>
      <w:szCs w:val="24"/>
      <w:lang w:eastAsia="ru-RU"/>
    </w:rPr>
  </w:style>
  <w:style w:type="character" w:styleId="1122" w:customStyle="1">
    <w:name w:val="Верхний колонтитул Знак"/>
    <w:link w:val="965"/>
    <w:rPr>
      <w:rFonts w:ascii="Times New Roman" w:hAnsi="Times New Roman" w:eastAsia="Times New Roman"/>
      <w:sz w:val="22"/>
      <w:szCs w:val="22"/>
      <w:lang w:eastAsia="en-US"/>
    </w:rPr>
  </w:style>
  <w:style w:type="character" w:styleId="1123" w:customStyle="1">
    <w:name w:val="Нижний колонтитул Знак"/>
    <w:link w:val="967"/>
    <w:rPr>
      <w:rFonts w:ascii="Times New Roman" w:hAnsi="Times New Roman" w:eastAsia="Times New Roman"/>
      <w:sz w:val="22"/>
      <w:szCs w:val="22"/>
      <w:lang w:eastAsia="en-US"/>
    </w:rPr>
  </w:style>
  <w:style w:type="character" w:styleId="1124">
    <w:name w:val="annotation reference"/>
    <w:semiHidden/>
    <w:rPr>
      <w:sz w:val="16"/>
      <w:szCs w:val="16"/>
    </w:rPr>
  </w:style>
  <w:style w:type="paragraph" w:styleId="1125">
    <w:name w:val="annotation text"/>
    <w:basedOn w:val="898"/>
    <w:link w:val="1126"/>
    <w:semiHidden/>
  </w:style>
  <w:style w:type="character" w:styleId="1126" w:customStyle="1">
    <w:name w:val="Текст примечания Знак"/>
    <w:link w:val="1125"/>
    <w:semiHidden/>
    <w:rPr>
      <w:rFonts w:ascii="Times New Roman" w:hAnsi="Times New Roman" w:eastAsia="Times New Roman"/>
      <w:lang w:eastAsia="en-US"/>
    </w:rPr>
  </w:style>
  <w:style w:type="paragraph" w:styleId="1127">
    <w:name w:val="annotation subject"/>
    <w:basedOn w:val="1125"/>
    <w:next w:val="1125"/>
    <w:link w:val="1128"/>
    <w:semiHidden/>
    <w:rPr>
      <w:b/>
      <w:bCs/>
    </w:rPr>
  </w:style>
  <w:style w:type="character" w:styleId="1128" w:customStyle="1">
    <w:name w:val="Тема примечания Знак"/>
    <w:link w:val="1127"/>
    <w:semiHidden/>
    <w:rPr>
      <w:rFonts w:ascii="Times New Roman" w:hAnsi="Times New Roman" w:eastAsia="Times New Roman"/>
      <w:b/>
      <w:bCs/>
      <w:lang w:eastAsia="en-US"/>
    </w:rPr>
  </w:style>
  <w:style w:type="character" w:styleId="1129" w:customStyle="1">
    <w:name w:val="Основной текст Знак"/>
    <w:link w:val="1116"/>
    <w:rPr>
      <w:rFonts w:ascii="Times New Roman" w:hAnsi="Times New Roman" w:eastAsia="Times New Roman"/>
      <w:sz w:val="24"/>
      <w:szCs w:val="24"/>
      <w:lang w:eastAsia="en-US"/>
    </w:rPr>
  </w:style>
  <w:style w:type="paragraph" w:styleId="1130" w:customStyle="1">
    <w:name w:val="Standard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4"/>
      <w:lang w:eastAsia="zh-CN"/>
    </w:rPr>
  </w:style>
  <w:style w:type="paragraph" w:styleId="1131" w:customStyle="1">
    <w:name w:val="Нумерованный_1"/>
    <w:pPr>
      <w:jc w:val="both"/>
      <w:spacing w:before="1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4"/>
      <w:lang w:eastAsia="zh-CN"/>
    </w:rPr>
  </w:style>
  <w:style w:type="paragraph" w:styleId="1132" w:customStyle="1">
    <w:name w:val="SimpleText"/>
    <w:qFormat/>
    <w:pPr>
      <w:ind w:firstLine="567"/>
      <w:jc w:val="both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4"/>
    </w:rPr>
  </w:style>
  <w:style w:type="paragraph" w:styleId="1133" w:customStyle="1">
    <w:name w:val="ConsPlusNormal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Calibri"/>
      <w:sz w:val="22"/>
    </w:rPr>
  </w:style>
  <w:style w:type="paragraph" w:styleId="1134" w:customStyle="1">
    <w:name w:val="Маркированный_1"/>
    <w:pPr>
      <w:jc w:val="both"/>
      <w:tabs>
        <w:tab w:val="left" w:pos="-153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4"/>
      <w:lang w:eastAsia="zh-CN"/>
    </w:rPr>
  </w:style>
  <w:style w:type="numbering" w:styleId="1135" w:customStyle="1">
    <w:name w:val="WW8Num26"/>
  </w:style>
  <w:style w:type="paragraph" w:styleId="1136" w:customStyle="1">
    <w:name w:val="Table tex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8"/>
      <w:szCs w:val="24"/>
    </w:rPr>
  </w:style>
  <w:style w:type="paragraph" w:styleId="1137" w:customStyle="1">
    <w:name w:val="ЛЕТА_Обычный текст"/>
    <w:uiPriority w:val="99"/>
    <w:pPr>
      <w:ind w:firstLine="709"/>
      <w:jc w:val="both"/>
      <w:spacing w:before="120" w:after="120"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8"/>
      <w:szCs w:val="28"/>
      <w:lang w:eastAsia="en-US"/>
    </w:rPr>
  </w:style>
  <w:style w:type="paragraph" w:styleId="1138" w:customStyle="1">
    <w:name w:val="Body text (2)1"/>
    <w:uiPriority w:val="99"/>
    <w:pPr>
      <w:ind w:hanging="560"/>
      <w:spacing w:after="300" w:line="240" w:lineRule="atLeast"/>
      <w:shd w:val="clear" w:color="auto" w:fill="ffff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3"/>
      <w:szCs w:val="23"/>
    </w:rPr>
  </w:style>
  <w:style w:type="paragraph" w:styleId="1139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color w:val="000000"/>
      <w:sz w:val="24"/>
      <w:szCs w:val="24"/>
    </w:rPr>
  </w:style>
  <w:style w:type="paragraph" w:styleId="1140" w:customStyle="1">
    <w:name w:val="Основной текст (10)"/>
    <w:pPr>
      <w:jc w:val="both"/>
      <w:spacing w:after="6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b/>
      <w:bCs/>
      <w:sz w:val="15"/>
      <w:szCs w:val="15"/>
    </w:rPr>
  </w:style>
  <w:style w:type="paragraph" w:styleId="1141" w:customStyle="1">
    <w:name w:val="_Основной с красной строки"/>
    <w:pPr>
      <w:ind w:firstLine="709"/>
      <w:spacing w:line="360" w:lineRule="exac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/>
      <w:sz w:val="22"/>
      <w:szCs w:val="22"/>
    </w:rPr>
  </w:style>
  <w:style w:type="paragraph" w:styleId="1142" w:customStyle="1">
    <w:name w:val="Стиль TNR 12"/>
    <w:qFormat/>
    <w:pPr>
      <w:jc w:val="both"/>
      <w:keepLines/>
      <w:keepNext/>
      <w:spacing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bCs/>
      <w:color w:val="000000"/>
      <w:sz w:val="24"/>
      <w:szCs w:val="24"/>
      <w:lang w:eastAsia="en-US"/>
    </w:rPr>
  </w:style>
  <w:style w:type="paragraph" w:styleId="1143" w:customStyle="1">
    <w:name w:val="текст_с_отступом_не_отрывать_от_след"/>
    <w:qFormat/>
    <w:pPr>
      <w:contextualSpacing/>
      <w:ind w:firstLine="709"/>
      <w:jc w:val="both"/>
      <w:keepNext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1144" w:customStyle="1">
    <w:name w:val="Таблица 12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"/>
      <w:sz w:val="24"/>
      <w:szCs w:val="28"/>
      <w:lang w:eastAsia="en-US"/>
    </w:rPr>
  </w:style>
  <w:style w:type="paragraph" w:styleId="1145" w:customStyle="1">
    <w:name w:val="Список 1"/>
    <w:qFormat/>
    <w:pPr>
      <w:contextualSpacing/>
      <w:ind w:firstLine="709"/>
      <w:jc w:val="both"/>
      <w:spacing w:line="360" w:lineRule="auto"/>
      <w:tabs>
        <w:tab w:val="left" w:pos="993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"/>
      <w:sz w:val="28"/>
      <w:szCs w:val="28"/>
      <w:lang w:eastAsia="en-US"/>
    </w:rPr>
  </w:style>
  <w:style w:type="paragraph" w:styleId="1146" w:customStyle="1">
    <w:name w:val="ConsPlusTitlePage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ahoma" w:hAnsi="Tahoma" w:eastAsia="Tahoma" w:cs="Tahoma"/>
      <w:sz w:val="24"/>
      <w:lang w:val="en-US" w:eastAsia="zh-CN"/>
    </w:rPr>
  </w:style>
  <w:style w:type="paragraph" w:styleId="1147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lang w:val="en-US" w:eastAsia="zh-CN"/>
    </w:rPr>
  </w:style>
  <w:style w:type="paragraph" w:styleId="1148" w:customStyle="1">
    <w:name w:val="ConsPlusTitle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b/>
      <w:sz w:val="24"/>
      <w:lang w:val="en-US" w:eastAsia="zh-CN"/>
    </w:rPr>
  </w:style>
  <w:style w:type="paragraph" w:styleId="1149" w:customStyle="1">
    <w:name w:val="Обычный2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"/>
      <w:lang w:eastAsia="ar-SA"/>
    </w:rPr>
  </w:style>
  <w:style w:type="paragraph" w:styleId="1150" w:customStyle="1">
    <w:name w:val="Абзац списка;ТЗ список;Абзац списка литеральный;Table-Normal;RSHB_Table-Normal;Маркированный список_уровень1;Пункт;Цветной список - Акцент 11;Bullet List;FooterText;numbered;ПС - Нумерованный;Абзац маркированнный;GOST_TableList;it_List1;Bullet Number"/>
    <w:pPr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eastAsia="zh-CN"/>
    </w:rPr>
  </w:style>
  <w:style w:type="character" w:styleId="1151" w:customStyle="1">
    <w:name w:val="Гиперссылка1"/>
    <w:rPr>
      <w:color w:val="0563c1"/>
      <w:u w:val="single"/>
    </w:rPr>
  </w:style>
  <w:style w:type="paragraph" w:styleId="1152" w:customStyle="1">
    <w:name w:val="Заголовок 11"/>
    <w:pPr>
      <w:ind w:left="1215"/>
      <w:spacing w:line="274" w:lineRule="exact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b/>
      <w:bCs/>
      <w:sz w:val="24"/>
      <w:szCs w:val="24"/>
      <w:lang w:eastAsia="zh-CN"/>
    </w:rPr>
  </w:style>
  <w:style w:type="paragraph" w:styleId="1153" w:customStyle="1">
    <w:name w:val="Основной текст1"/>
    <w:pPr>
      <w:spacing w:after="283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eastAsia="DejaVu Sans"/>
      <w:sz w:val="24"/>
      <w:szCs w:val="24"/>
      <w:lang w:val="en-US" w:eastAsia="zh-CN" w:bidi="hi-IN"/>
    </w:rPr>
  </w:style>
  <w:style w:type="paragraph" w:styleId="1154" w:customStyle="1">
    <w:name w:val="Текст в таблице"/>
    <w:pPr>
      <w:jc w:val="both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4"/>
    </w:rPr>
  </w:style>
  <w:style w:type="paragraph" w:styleId="1155" w:customStyle="1">
    <w:name w:val="ph_normal"/>
    <w:pPr>
      <w:ind w:right="-1" w:firstLine="851"/>
      <w:jc w:val="both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</w:rPr>
  </w:style>
  <w:style w:type="paragraph" w:styleId="1156" w:customStyle="1">
    <w:name w:val="GOST_Обычный"/>
    <w:qFormat/>
    <w:pPr>
      <w:ind w:firstLine="851"/>
      <w:jc w:val="both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4"/>
      <w:szCs w:val="26"/>
    </w:rPr>
  </w:style>
  <w:style w:type="paragraph" w:styleId="1157" w:customStyle="1">
    <w:name w:val="Основной текст1"/>
    <w:qFormat/>
    <w:pPr>
      <w:ind w:firstLine="720"/>
      <w:jc w:val="both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28"/>
      <w:szCs w:val="24"/>
    </w:rPr>
  </w:style>
  <w:style w:type="paragraph" w:styleId="1158" w:customStyle="1">
    <w:name w:val="Основной текст (2)"/>
    <w:pPr>
      <w:jc w:val="center"/>
      <w:spacing w:after="380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sz w:val="32"/>
      <w:szCs w:val="32"/>
    </w:rPr>
  </w:style>
  <w:style w:type="paragraph" w:styleId="1159" w:customStyle="1">
    <w:name w:val="Стильный"/>
    <w:qFormat/>
    <w:pPr>
      <w:ind w:left="38" w:right="106" w:firstLine="680"/>
      <w:jc w:val="both"/>
      <w:spacing w:line="276" w:lineRule="auto"/>
      <w:shd w:val="clear" w:color="auto" w:fill="ffff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GOST type B" w:hAnsi="GOST type B" w:eastAsia="Times New Roman"/>
      <w:color w:val="000000"/>
      <w:sz w:val="24"/>
      <w:szCs w:val="24"/>
    </w:rPr>
  </w:style>
  <w:style w:type="paragraph" w:styleId="1160" w:customStyle="1">
    <w:name w:val="Простой"/>
    <w:pPr>
      <w:spacing w:after="24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/>
      <w:spacing w:val="-5"/>
      <w:lang w:eastAsia="zh-CN"/>
    </w:rPr>
  </w:style>
  <w:style w:type="character" w:styleId="1161" w:customStyle="1">
    <w:name w:val="DFN"/>
    <w:rPr>
      <w:b/>
    </w:rPr>
  </w:style>
  <w:style w:type="paragraph" w:styleId="1162" w:customStyle="1">
    <w:name w:val="Абзац списка1"/>
    <w:pPr>
      <w:ind w:left="222" w:firstLine="707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eastAsia="zh-CN"/>
    </w:rPr>
  </w:style>
  <w:style w:type="paragraph" w:styleId="1163" w:customStyle="1">
    <w:name w:val="Основной текст2"/>
    <w:uiPriority w:val="99"/>
    <w:qFormat/>
    <w:pPr>
      <w:spacing w:before="240" w:after="42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/>
      <w:color w:val="000000"/>
      <w:sz w:val="23"/>
      <w:szCs w:val="23"/>
      <w:lang w:bidi="ru-RU"/>
    </w:rPr>
  </w:style>
  <w:style w:type="paragraph" w:styleId="1164" w:customStyle="1">
    <w:name w:val="List Bullet"/>
    <w:uiPriority w:val="99"/>
    <w:unhideWhenUsed/>
    <w:pPr>
      <w:numPr>
        <w:ilvl w:val="0"/>
        <w:numId w:val="96"/>
      </w:numPr>
      <w:contextualSpacing/>
      <w:ind w:left="360" w:right="0" w:hanging="36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tabs>
        <w:tab w:val="num" w:pos="36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EastAsia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Гатыжский Николай Владимирович</dc:creator>
  <cp:lastModifiedBy>ravershinin</cp:lastModifiedBy>
  <cp:revision>20</cp:revision>
  <dcterms:created xsi:type="dcterms:W3CDTF">2026-02-13T09:13:00Z</dcterms:created>
  <dcterms:modified xsi:type="dcterms:W3CDTF">2026-09-30T12:01:23Z</dcterms:modified>
</cp:coreProperties>
</file>