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9000000">
      <w:pPr>
        <w:keepNext w:val="1"/>
        <w:keepLines w:val="1"/>
        <w:widowControl w:val="0"/>
        <w:spacing w:after="0"/>
        <w:ind/>
        <w:jc w:val="left"/>
        <w:rPr>
          <w:color w:val="0000FF"/>
        </w:rPr>
      </w:pPr>
      <w:r>
        <w:rPr>
          <w:b w:val="1"/>
          <w:sz w:val="28"/>
        </w:rPr>
        <w:tab/>
      </w:r>
      <w:bookmarkStart w:id="1" w:name="_Ref248571702"/>
      <w:r>
        <w:rPr>
          <w:color w:val="0000FF"/>
        </w:rPr>
        <w:t xml:space="preserve">СОДЕРЖАНИЕ ЗАЯВКИ НА ОПРЕДЕЛЕНИЕ ПОСТАВЩИКА </w:t>
      </w:r>
    </w:p>
    <w:p w14:paraId="0A000000">
      <w:pPr>
        <w:pStyle w:val="Style_4"/>
        <w:numPr>
          <w:ilvl w:val="0"/>
          <w:numId w:val="0"/>
        </w:numPr>
        <w:spacing w:after="0"/>
        <w:ind/>
        <w:rPr>
          <w:color w:val="0000FF"/>
          <w:sz w:val="24"/>
        </w:rPr>
      </w:pPr>
      <w:r>
        <w:rPr>
          <w:color w:val="0000FF"/>
          <w:sz w:val="24"/>
        </w:rPr>
        <w:t>(ПОДРЯДЧИКА, ИСПОЛНИТЕЛЯ)</w:t>
      </w:r>
    </w:p>
    <w:p w14:paraId="0B000000">
      <w:pPr>
        <w:keepNext w:val="1"/>
        <w:keepLines w:val="1"/>
        <w:widowControl w:val="0"/>
        <w:spacing w:after="0"/>
        <w:ind w:firstLine="480"/>
      </w:pPr>
      <w:r>
        <w:t>Настоящая заявка на определение поставщика (подрядчика, исполнителя) составлена в соответствии с постановление Правительства Чеченской Республики от 19 декабря 2013г. № 339 «О Комитете Правительства Чеченской Республики по государственному заказу» (с изменениями и дополнениями), которая включает в себя следующие части:</w:t>
      </w:r>
    </w:p>
    <w:p w14:paraId="0C000000">
      <w:pPr>
        <w:spacing w:after="0"/>
        <w:ind/>
        <w:jc w:val="left"/>
        <w:rPr>
          <w:color w:val="0000FF"/>
        </w:rPr>
      </w:pPr>
      <w:r>
        <w:rPr>
          <w:color w:val="0000FF"/>
        </w:rPr>
        <w:fldChar w:fldCharType="begin"/>
      </w:r>
      <w:r>
        <w:rPr>
          <w:color w:val="0000FF"/>
        </w:rPr>
        <w:instrText>HYPERLINK \l "Сведения_об_аукционе"</w:instrText>
      </w:r>
      <w:r>
        <w:rPr>
          <w:color w:val="0000FF"/>
        </w:rPr>
        <w:fldChar w:fldCharType="separate"/>
      </w:r>
      <w:r>
        <w:rPr>
          <w:color w:val="0000FF"/>
        </w:rPr>
        <w:t xml:space="preserve">сведения о проводимом электронном аукционе (извещение о проведении закупки); </w:t>
      </w:r>
      <w:r>
        <w:rPr>
          <w:color w:val="0000FF"/>
        </w:rPr>
        <w:fldChar w:fldCharType="end"/>
      </w:r>
      <w:r>
        <w:rPr>
          <w:color w:val="0000FF"/>
        </w:rPr>
        <w:t>требования к содержанию, составу заявки на участие в закупке и инструкция по ее заполнению (Приложение №1);</w:t>
      </w:r>
    </w:p>
    <w:p w14:paraId="0D000000">
      <w:pPr>
        <w:spacing w:after="0"/>
        <w:ind/>
        <w:jc w:val="left"/>
        <w:rPr>
          <w:color w:val="0000FF"/>
        </w:rPr>
      </w:pPr>
      <w:r>
        <w:rPr>
          <w:color w:val="0000FF"/>
        </w:rPr>
        <w:t>описание объекта закупки (Приложение №2).</w:t>
      </w:r>
    </w:p>
    <w:p w14:paraId="0E000000">
      <w:pPr>
        <w:spacing w:after="0"/>
        <w:ind/>
        <w:jc w:val="left"/>
        <w:rPr>
          <w:color w:val="0000FF"/>
        </w:rPr>
      </w:pPr>
      <w:r>
        <w:rPr>
          <w:color w:val="0000FF"/>
        </w:rPr>
        <w:fldChar w:fldCharType="begin"/>
      </w:r>
      <w:r>
        <w:rPr>
          <w:color w:val="0000FF"/>
        </w:rPr>
        <w:instrText>HYPERLINK \l "Обоснование_нач_цены"</w:instrText>
      </w:r>
      <w:r>
        <w:rPr>
          <w:color w:val="0000FF"/>
        </w:rPr>
        <w:fldChar w:fldCharType="separate"/>
      </w:r>
      <w:r>
        <w:rPr>
          <w:color w:val="0000FF"/>
        </w:rPr>
        <w:t>обоснование начальной (максимальной) цены контракта (Приложение №3).</w:t>
      </w:r>
      <w:r>
        <w:rPr>
          <w:color w:val="0000FF"/>
        </w:rPr>
        <w:fldChar w:fldCharType="end"/>
      </w:r>
    </w:p>
    <w:p w14:paraId="0F000000">
      <w:pPr>
        <w:spacing w:after="0"/>
        <w:ind/>
        <w:jc w:val="left"/>
        <w:rPr>
          <w:color w:val="0000FF"/>
        </w:rPr>
      </w:pPr>
      <w:r>
        <w:rPr>
          <w:color w:val="0000FF"/>
        </w:rPr>
        <w:fldChar w:fldCharType="begin"/>
      </w:r>
      <w:r>
        <w:rPr>
          <w:color w:val="0000FF"/>
        </w:rPr>
        <w:instrText>HYPERLINK \l "ПРОЕКТ_ГОСУДАРСТВЕННОГО_контракта"</w:instrText>
      </w:r>
      <w:r>
        <w:rPr>
          <w:color w:val="0000FF"/>
        </w:rPr>
        <w:fldChar w:fldCharType="separate"/>
      </w:r>
      <w:r>
        <w:rPr>
          <w:color w:val="0000FF"/>
        </w:rPr>
        <w:t>проект контракта (Приложение №4).</w:t>
      </w:r>
      <w:r>
        <w:rPr>
          <w:color w:val="0000FF"/>
        </w:rPr>
        <w:fldChar w:fldCharType="end"/>
      </w:r>
    </w:p>
    <w:p w14:paraId="10000000">
      <w:pPr>
        <w:pStyle w:val="Style_5"/>
        <w:widowControl w:val="1"/>
        <w:tabs>
          <w:tab w:leader="none" w:pos="360" w:val="left"/>
        </w:tabs>
        <w:ind w:left="-181"/>
        <w:jc w:val="both"/>
      </w:pPr>
    </w:p>
    <w:p w14:paraId="11000000">
      <w:pPr>
        <w:ind w:firstLine="709" w:right="-6"/>
      </w:pPr>
      <w:r>
        <w:t>Понятия и термины, используемые в настоящей заявке на определение поставщика (подрядчика, исполнителя), применяются в тех же значениях, что и в Федеральном законе от 05.04.2013г. № 44-ФЗ «О контрактной системе в сфере закупок товаров, работ, услуг для обеспечения государственных и муниципальных нужд» (далее - Федеральный закон от 05.04.2013г. №44-ФЗ).</w:t>
      </w:r>
      <w:r>
        <w:br w:type="page"/>
      </w:r>
    </w:p>
    <w:p w14:paraId="12000000">
      <w:pPr>
        <w:pStyle w:val="Style_4"/>
        <w:numPr>
          <w:ilvl w:val="0"/>
          <w:numId w:val="0"/>
        </w:numPr>
        <w:spacing w:after="0"/>
        <w:ind w:firstLine="360"/>
        <w:rPr>
          <w:sz w:val="28"/>
        </w:rPr>
      </w:pPr>
      <w:bookmarkStart w:id="2" w:name="Сведения_об_аукционе"/>
      <w:bookmarkEnd w:id="2"/>
      <w:bookmarkEnd w:id="1"/>
      <w:r>
        <w:rPr>
          <w:color w:val="0000FF"/>
        </w:rPr>
        <w:t>СВЕДЕНИЯ О ПРОВОДИМОМ ЭЛЕКТРОННОМ АУКЦИОНЕ</w:t>
      </w:r>
    </w:p>
    <w:p w14:paraId="13000000">
      <w:pPr>
        <w:spacing w:after="0"/>
        <w:ind/>
      </w:pPr>
    </w:p>
    <w:p w14:paraId="14000000">
      <w:pPr>
        <w:pStyle w:val="Style_6"/>
        <w:numPr>
          <w:ilvl w:val="0"/>
          <w:numId w:val="0"/>
        </w:numPr>
        <w:spacing w:after="0" w:before="0"/>
        <w:ind w:left="720"/>
        <w:jc w:val="center"/>
        <w:rPr>
          <w:rFonts w:ascii="Times New Roman" w:hAnsi="Times New Roman"/>
        </w:rPr>
      </w:pPr>
      <w:bookmarkStart w:id="3" w:name="_Общие_сведения_о"/>
      <w:bookmarkEnd w:id="3"/>
      <w:bookmarkStart w:id="4" w:name="Общие_сведения"/>
      <w:bookmarkEnd w:id="4"/>
      <w:r>
        <w:rPr>
          <w:rFonts w:ascii="Times New Roman" w:hAnsi="Times New Roman"/>
        </w:rPr>
        <w:t xml:space="preserve">Общие сведения </w:t>
      </w:r>
    </w:p>
    <w:tbl>
      <w:tblPr>
        <w:tblStyle w:val="Style_7"/>
        <w:tblW w:type="auto" w:w="0"/>
        <w:tblInd w:type="dxa" w:w="-34"/>
        <w:tblLayout w:type="fixed"/>
      </w:tblPr>
      <w:tblGrid>
        <w:gridCol w:w="964"/>
        <w:gridCol w:w="8980"/>
      </w:tblGrid>
      <w:tr>
        <w:trPr>
          <w:trHeight w:hRule="atLeast" w:val="524"/>
        </w:trPr>
        <w:tc>
          <w:tcPr>
            <w:tcW w:type="dxa" w:w="964"/>
            <w:tcBorders>
              <w:top w:color="000000" w:sz="4" w:val="single"/>
              <w:left w:color="000000" w:sz="4" w:val="single"/>
              <w:bottom w:color="000000" w:sz="4" w:val="single"/>
              <w:right w:color="000000" w:sz="4" w:val="single"/>
            </w:tcBorders>
            <w:shd w:themeFill="background1" w:themeFillShade="80" w:val="clear"/>
            <w:tcMar>
              <w:top w:type="dxa" w:w="0"/>
              <w:left w:type="dxa" w:w="108"/>
              <w:bottom w:type="dxa" w:w="0"/>
              <w:right w:type="dxa" w:w="108"/>
            </w:tcMar>
            <w:vAlign w:val="center"/>
          </w:tcPr>
          <w:p w14:paraId="15000000">
            <w:pPr>
              <w:pStyle w:val="Style_5"/>
              <w:spacing w:after="60"/>
              <w:ind w:firstLine="0"/>
              <w:jc w:val="center"/>
              <w:outlineLvl w:val="0"/>
              <w:rPr>
                <w:b w:val="1"/>
                <w:color w:val="FFFFFF"/>
                <w:sz w:val="20"/>
              </w:rPr>
            </w:pPr>
            <w:r>
              <w:rPr>
                <w:b w:val="1"/>
                <w:color w:val="FFFFFF"/>
                <w:sz w:val="20"/>
              </w:rPr>
              <w:t>1</w:t>
            </w:r>
          </w:p>
        </w:tc>
        <w:tc>
          <w:tcPr>
            <w:tcW w:type="dxa" w:w="8980"/>
            <w:tcBorders>
              <w:top w:color="000000" w:sz="4" w:val="single"/>
              <w:left w:color="000000" w:sz="4" w:val="single"/>
              <w:bottom w:color="000000" w:sz="4" w:val="single"/>
              <w:right w:color="000000" w:sz="4" w:val="single"/>
            </w:tcBorders>
            <w:shd w:themeFill="background1" w:themeFillShade="80" w:val="clear"/>
            <w:tcMar>
              <w:top w:type="dxa" w:w="0"/>
              <w:left w:type="dxa" w:w="108"/>
              <w:bottom w:type="dxa" w:w="0"/>
              <w:right w:type="dxa" w:w="108"/>
            </w:tcMar>
            <w:vAlign w:val="center"/>
          </w:tcPr>
          <w:p w14:paraId="16000000">
            <w:pPr>
              <w:pStyle w:val="Style_5"/>
              <w:tabs>
                <w:tab w:leader="none" w:pos="360" w:val="left"/>
              </w:tabs>
              <w:spacing w:after="60"/>
              <w:ind w:firstLine="0"/>
              <w:jc w:val="center"/>
              <w:outlineLvl w:val="0"/>
              <w:rPr>
                <w:b w:val="1"/>
                <w:color w:themeColor="background1" w:val="FFFFFF"/>
                <w:sz w:val="20"/>
              </w:rPr>
            </w:pPr>
            <w:r>
              <w:rPr>
                <w:b w:val="1"/>
                <w:color w:val="FFFFFF"/>
                <w:sz w:val="20"/>
              </w:rPr>
              <w:t>Электронный аукцион проводит Уполномоченный орган</w:t>
            </w:r>
            <w:bookmarkStart w:id="5" w:name="пункт1"/>
            <w:bookmarkEnd w:id="5"/>
            <w:bookmarkStart w:id="6" w:name="ТекстовоеПоле35"/>
            <w:bookmarkEnd w:id="6"/>
          </w:p>
        </w:tc>
      </w:tr>
      <w:tr>
        <w:tc>
          <w:tcPr>
            <w:tcW w:type="dxa" w:w="9944"/>
            <w:gridSpan w:val="2"/>
            <w:tcBorders>
              <w:top w:color="000000" w:sz="4" w:val="single"/>
              <w:left w:color="000000" w:sz="4" w:val="single"/>
              <w:bottom w:color="000000" w:sz="4" w:val="single"/>
              <w:right w:color="000000" w:sz="4" w:val="single"/>
            </w:tcBorders>
            <w:tcMar>
              <w:top w:type="dxa" w:w="0"/>
              <w:left w:type="dxa" w:w="108"/>
              <w:bottom w:type="dxa" w:w="0"/>
              <w:right w:type="dxa" w:w="108"/>
            </w:tcMar>
          </w:tcPr>
          <w:p w14:paraId="17000000">
            <w:pPr>
              <w:spacing w:after="0"/>
              <w:ind/>
              <w:jc w:val="left"/>
            </w:pPr>
            <w:r>
              <w:t>Комитет Правительства Чеченской Республики по государственному заказу,</w:t>
            </w:r>
          </w:p>
          <w:p w14:paraId="18000000">
            <w:pPr>
              <w:spacing w:after="0"/>
              <w:ind/>
            </w:pPr>
            <w:r>
              <w:t>ИНН: 2016014690,</w:t>
            </w:r>
          </w:p>
          <w:p w14:paraId="19000000">
            <w:pPr>
              <w:spacing w:after="0"/>
              <w:ind/>
              <w:jc w:val="left"/>
            </w:pPr>
            <w:r>
              <w:t>почтовый адрес: 364024, Чеченская Республика, г. Грозный, ул. Грибоедова, 129,</w:t>
            </w:r>
          </w:p>
          <w:p w14:paraId="1A000000">
            <w:pPr>
              <w:spacing w:after="0"/>
              <w:ind/>
              <w:jc w:val="left"/>
            </w:pPr>
            <w:r>
              <w:t xml:space="preserve">ответственное должностное лицо: </w:t>
            </w:r>
            <w:r>
              <w:rPr>
                <w:highlight w:val="lightGray"/>
              </w:rPr>
              <w:t>_______________________________________</w:t>
            </w:r>
            <w:r>
              <w:t>,</w:t>
            </w:r>
          </w:p>
          <w:p w14:paraId="1B000000">
            <w:pPr>
              <w:spacing w:after="0"/>
              <w:ind/>
            </w:pPr>
            <w:r>
              <w:t>телефон, факс: (8712) 22-50-38,</w:t>
            </w:r>
          </w:p>
          <w:p w14:paraId="1C000000">
            <w:pPr>
              <w:spacing w:after="0"/>
              <w:ind/>
              <w:jc w:val="left"/>
            </w:pPr>
            <w:r>
              <w:t xml:space="preserve">адрес электронной почты:  </w:t>
            </w:r>
            <w:r>
              <w:rPr>
                <w:highlight w:val="lightGray"/>
              </w:rPr>
              <w:t>goszakaz@gostorgi-chr.ru</w:t>
            </w:r>
          </w:p>
        </w:tc>
      </w:tr>
      <w:tr>
        <w:trPr>
          <w:trHeight w:hRule="atLeast" w:val="523"/>
        </w:trPr>
        <w:tc>
          <w:tcPr>
            <w:tcW w:type="dxa" w:w="964"/>
            <w:tcBorders>
              <w:top w:color="000000" w:sz="4" w:val="single"/>
              <w:left w:color="000000" w:sz="4" w:val="single"/>
              <w:bottom w:color="000000" w:sz="4" w:val="single"/>
              <w:right w:color="000000" w:sz="4" w:val="single"/>
            </w:tcBorders>
            <w:shd w:themeFill="background1" w:themeFillShade="80" w:val="clear"/>
            <w:tcMar>
              <w:top w:type="dxa" w:w="0"/>
              <w:left w:type="dxa" w:w="108"/>
              <w:bottom w:type="dxa" w:w="0"/>
              <w:right w:type="dxa" w:w="108"/>
            </w:tcMar>
            <w:vAlign w:val="center"/>
          </w:tcPr>
          <w:p w14:paraId="1D000000">
            <w:pPr>
              <w:pStyle w:val="Style_5"/>
              <w:tabs>
                <w:tab w:leader="none" w:pos="360" w:val="left"/>
              </w:tabs>
              <w:spacing w:after="60"/>
              <w:ind w:firstLine="0"/>
              <w:jc w:val="center"/>
              <w:rPr>
                <w:b w:val="1"/>
                <w:color w:val="FFFFFF"/>
                <w:sz w:val="20"/>
              </w:rPr>
            </w:pPr>
            <w:bookmarkStart w:id="7" w:name="пункт2"/>
            <w:bookmarkEnd w:id="7"/>
            <w:r>
              <w:rPr>
                <w:b w:val="1"/>
                <w:color w:val="FFFFFF"/>
                <w:sz w:val="20"/>
              </w:rPr>
              <w:t>2</w:t>
            </w:r>
          </w:p>
        </w:tc>
        <w:tc>
          <w:tcPr>
            <w:tcW w:type="dxa" w:w="8980"/>
            <w:tcBorders>
              <w:top w:color="000000" w:sz="4" w:val="single"/>
              <w:left w:color="000000" w:sz="4" w:val="single"/>
              <w:bottom w:color="000000" w:sz="4" w:val="single"/>
              <w:right w:color="000000" w:sz="4" w:val="single"/>
            </w:tcBorders>
            <w:shd w:themeFill="background1" w:themeFillShade="80" w:val="clear"/>
            <w:tcMar>
              <w:top w:type="dxa" w:w="0"/>
              <w:left w:type="dxa" w:w="108"/>
              <w:bottom w:type="dxa" w:w="0"/>
              <w:right w:type="dxa" w:w="108"/>
            </w:tcMar>
            <w:vAlign w:val="center"/>
          </w:tcPr>
          <w:p w14:paraId="1E000000">
            <w:pPr>
              <w:pStyle w:val="Style_5"/>
              <w:tabs>
                <w:tab w:leader="none" w:pos="360" w:val="left"/>
              </w:tabs>
              <w:spacing w:after="60"/>
              <w:ind w:firstLine="0"/>
              <w:jc w:val="center"/>
              <w:rPr>
                <w:b w:val="1"/>
                <w:color w:val="FFFFFF"/>
                <w:sz w:val="20"/>
              </w:rPr>
            </w:pPr>
            <w:r>
              <w:rPr>
                <w:b w:val="1"/>
                <w:color w:val="FFFFFF"/>
                <w:sz w:val="20"/>
              </w:rPr>
              <w:t>Заказчик</w:t>
            </w:r>
          </w:p>
        </w:tc>
      </w:tr>
      <w:tr>
        <w:trPr>
          <w:trHeight w:hRule="atLeast" w:val="523"/>
        </w:trPr>
        <w:tc>
          <w:tcPr>
            <w:tcW w:type="dxa" w:w="9944"/>
            <w:gridSpan w:val="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1F000000">
            <w:pPr>
              <w:keepNext w:val="1"/>
              <w:keepLines w:val="1"/>
              <w:widowControl w:val="0"/>
              <w:spacing w:after="0" w:line="276" w:lineRule="auto"/>
              <w:ind/>
            </w:pPr>
            <w:r>
              <w:t>Наименование: Министерство труда, занятости и социального</w:t>
            </w:r>
          </w:p>
          <w:p w14:paraId="20000000">
            <w:pPr>
              <w:keepNext w:val="1"/>
              <w:keepLines w:val="1"/>
              <w:widowControl w:val="0"/>
              <w:spacing w:after="0" w:line="276" w:lineRule="auto"/>
              <w:ind/>
            </w:pPr>
            <w:r>
              <w:t>развития Чеченской Республики,</w:t>
            </w:r>
          </w:p>
          <w:p w14:paraId="21000000">
            <w:pPr>
              <w:keepNext w:val="1"/>
              <w:keepLines w:val="1"/>
              <w:widowControl w:val="0"/>
              <w:spacing w:after="0" w:line="276" w:lineRule="auto"/>
              <w:ind/>
            </w:pPr>
            <w:r>
              <w:t>ИНН: 2005000311,</w:t>
            </w:r>
          </w:p>
          <w:p w14:paraId="22000000">
            <w:pPr>
              <w:keepNext w:val="1"/>
              <w:keepLines w:val="1"/>
              <w:widowControl w:val="0"/>
              <w:spacing w:after="0" w:line="276" w:lineRule="auto"/>
              <w:ind/>
            </w:pPr>
            <w:r>
              <w:t>место нахождения: Чеченская Республика, г. Грозный, ул. Деловая,15,</w:t>
            </w:r>
          </w:p>
          <w:p w14:paraId="23000000">
            <w:pPr>
              <w:keepNext w:val="1"/>
              <w:keepLines w:val="1"/>
              <w:widowControl w:val="0"/>
              <w:spacing w:after="0" w:line="276" w:lineRule="auto"/>
              <w:ind/>
            </w:pPr>
            <w:r>
              <w:t>почтовый адрес: 364020, Чеченская Республика, г. Грозный, ул. Деловая,15,</w:t>
            </w:r>
          </w:p>
          <w:p w14:paraId="24000000">
            <w:pPr>
              <w:keepNext w:val="1"/>
              <w:keepLines w:val="1"/>
              <w:widowControl w:val="0"/>
              <w:spacing w:after="0" w:line="276" w:lineRule="auto"/>
              <w:ind/>
            </w:pPr>
            <w:r>
              <w:t xml:space="preserve">руководитель контрактной службы: Газалапов Мухмад-Эми </w:t>
            </w:r>
            <w:r>
              <w:t>Сулимхаджиевич</w:t>
            </w:r>
            <w:r>
              <w:t>,</w:t>
            </w:r>
          </w:p>
          <w:p w14:paraId="25000000">
            <w:pPr>
              <w:keepNext w:val="1"/>
              <w:keepLines w:val="1"/>
              <w:widowControl w:val="0"/>
              <w:spacing w:after="0" w:line="276" w:lineRule="auto"/>
              <w:ind/>
            </w:pPr>
            <w:r>
              <w:t>телефон: (8712) 22-57-96, факс: (8712) 22-57-96,</w:t>
            </w:r>
          </w:p>
          <w:p w14:paraId="26000000">
            <w:pPr>
              <w:pStyle w:val="Style_5"/>
              <w:tabs>
                <w:tab w:leader="none" w:pos="360" w:val="left"/>
              </w:tabs>
              <w:spacing w:after="60"/>
              <w:ind w:firstLine="0"/>
              <w:rPr>
                <w:b w:val="1"/>
                <w:color w:val="FFFFFF"/>
                <w:sz w:val="20"/>
              </w:rPr>
            </w:pPr>
            <w:r>
              <w:rPr>
                <w:rFonts w:ascii="Times New Roman" w:hAnsi="Times New Roman"/>
                <w:sz w:val="24"/>
              </w:rPr>
              <w:t>адрес электронной почты: depzan15@mail.ru</w:t>
            </w:r>
            <w:r>
              <w:rPr>
                <w:rFonts w:ascii="Times New Roman" w:hAnsi="Times New Roman"/>
                <w:sz w:val="24"/>
              </w:rPr>
              <w:t>.</w:t>
            </w:r>
          </w:p>
        </w:tc>
      </w:tr>
      <w:tr>
        <w:trPr>
          <w:trHeight w:hRule="atLeast" w:val="476"/>
        </w:trPr>
        <w:tc>
          <w:tcPr>
            <w:tcW w:type="dxa" w:w="964"/>
            <w:tcBorders>
              <w:top w:color="000000" w:sz="4" w:val="single"/>
              <w:left w:color="000000" w:sz="4" w:val="single"/>
              <w:bottom w:color="000000" w:sz="4" w:val="single"/>
              <w:right w:color="000000" w:sz="4" w:val="single"/>
            </w:tcBorders>
            <w:shd w:themeFill="background1" w:themeFillShade="80" w:val="clear"/>
            <w:tcMar>
              <w:top w:type="dxa" w:w="0"/>
              <w:left w:type="dxa" w:w="108"/>
              <w:bottom w:type="dxa" w:w="0"/>
              <w:right w:type="dxa" w:w="108"/>
            </w:tcMar>
            <w:vAlign w:val="center"/>
          </w:tcPr>
          <w:p w14:paraId="27000000">
            <w:pPr>
              <w:pStyle w:val="Style_5"/>
              <w:tabs>
                <w:tab w:leader="none" w:pos="360" w:val="left"/>
              </w:tabs>
              <w:ind w:firstLine="0"/>
              <w:jc w:val="center"/>
              <w:rPr>
                <w:b w:val="1"/>
                <w:color w:val="FFFFFF"/>
                <w:sz w:val="20"/>
              </w:rPr>
            </w:pPr>
            <w:r>
              <w:rPr>
                <w:b w:val="1"/>
                <w:color w:val="FFFFFF"/>
                <w:sz w:val="20"/>
              </w:rPr>
              <w:t>3</w:t>
            </w:r>
          </w:p>
        </w:tc>
        <w:tc>
          <w:tcPr>
            <w:tcW w:type="dxa" w:w="8980"/>
            <w:tcBorders>
              <w:top w:color="000000" w:sz="4" w:val="single"/>
              <w:left w:color="000000" w:sz="4" w:val="single"/>
              <w:bottom w:color="000000" w:sz="4" w:val="single"/>
              <w:right w:color="000000" w:sz="4" w:val="single"/>
            </w:tcBorders>
            <w:shd w:themeFill="background1" w:themeFillShade="80" w:val="clear"/>
            <w:tcMar>
              <w:top w:type="dxa" w:w="0"/>
              <w:left w:type="dxa" w:w="108"/>
              <w:bottom w:type="dxa" w:w="0"/>
              <w:right w:type="dxa" w:w="108"/>
            </w:tcMar>
            <w:vAlign w:val="center"/>
          </w:tcPr>
          <w:p w14:paraId="28000000">
            <w:pPr>
              <w:pStyle w:val="Style_5"/>
              <w:tabs>
                <w:tab w:leader="none" w:pos="360" w:val="left"/>
              </w:tabs>
              <w:ind w:firstLine="0"/>
              <w:jc w:val="center"/>
              <w:rPr>
                <w:b w:val="1"/>
                <w:color w:val="FFFFFF"/>
                <w:sz w:val="20"/>
              </w:rPr>
            </w:pPr>
            <w:r>
              <w:rPr>
                <w:b w:val="1"/>
                <w:color w:val="FFFFFF"/>
                <w:sz w:val="20"/>
              </w:rPr>
              <w:t>Способ определения поставщика (подрядчика, исполнителя),</w:t>
            </w:r>
          </w:p>
          <w:p w14:paraId="29000000">
            <w:pPr>
              <w:pStyle w:val="Style_5"/>
              <w:tabs>
                <w:tab w:leader="none" w:pos="360" w:val="left"/>
              </w:tabs>
              <w:ind w:firstLine="0"/>
              <w:jc w:val="center"/>
              <w:rPr>
                <w:b w:val="1"/>
                <w:color w:val="FFFFFF"/>
                <w:sz w:val="20"/>
              </w:rPr>
            </w:pPr>
            <w:r>
              <w:rPr>
                <w:b w:val="1"/>
                <w:color w:val="FFFFFF"/>
                <w:sz w:val="20"/>
              </w:rPr>
              <w:t xml:space="preserve"> наименование и адрес  электронной площадки</w:t>
            </w:r>
            <w:bookmarkStart w:id="8" w:name="пункт3"/>
            <w:bookmarkEnd w:id="8"/>
          </w:p>
        </w:tc>
      </w:tr>
      <w:tr>
        <w:tc>
          <w:tcPr>
            <w:tcW w:type="dxa" w:w="9944"/>
            <w:gridSpan w:val="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2A000000">
            <w:pPr>
              <w:keepNext w:val="1"/>
              <w:keepLines w:val="1"/>
              <w:widowControl w:val="0"/>
              <w:spacing w:after="0"/>
              <w:ind/>
            </w:pPr>
            <w:r>
              <w:t>Способ определения поставщика (подрядчика, исполнителя): открытый аукцион в электронной форме.</w:t>
            </w:r>
          </w:p>
          <w:p w14:paraId="2B000000">
            <w:pPr>
              <w:keepNext w:val="1"/>
              <w:keepLines w:val="1"/>
              <w:widowControl w:val="0"/>
              <w:spacing w:after="0"/>
              <w:ind/>
            </w:pPr>
            <w:r>
              <w:t>Наименование  электронной площадки: Электронная торговая площадка «Фабрикант».</w:t>
            </w:r>
          </w:p>
          <w:p w14:paraId="2C000000">
            <w:pPr>
              <w:keepNext w:val="1"/>
              <w:keepLines w:val="1"/>
              <w:widowControl w:val="0"/>
              <w:spacing w:after="0"/>
              <w:ind/>
            </w:pPr>
            <w:r>
              <w:t>Адрес  в информационно-телекоммуникационной сети «Интернет» электронной площадки: https://44.fabrikant.ru</w:t>
            </w:r>
          </w:p>
        </w:tc>
      </w:tr>
      <w:tr>
        <w:trPr>
          <w:trHeight w:hRule="atLeast" w:val="521"/>
        </w:trPr>
        <w:tc>
          <w:tcPr>
            <w:tcW w:type="dxa" w:w="964"/>
            <w:tcBorders>
              <w:top w:color="000000" w:sz="4" w:val="single"/>
              <w:left w:color="000000" w:sz="4" w:val="single"/>
              <w:bottom w:color="000000" w:sz="4" w:val="single"/>
              <w:right w:color="000000" w:sz="4" w:val="single"/>
            </w:tcBorders>
            <w:shd w:themeFill="background1" w:themeFillShade="80" w:val="clear"/>
            <w:tcMar>
              <w:top w:type="dxa" w:w="0"/>
              <w:left w:type="dxa" w:w="108"/>
              <w:bottom w:type="dxa" w:w="0"/>
              <w:right w:type="dxa" w:w="108"/>
            </w:tcMar>
            <w:vAlign w:val="center"/>
          </w:tcPr>
          <w:p w14:paraId="2D000000">
            <w:pPr>
              <w:pStyle w:val="Style_5"/>
              <w:tabs>
                <w:tab w:leader="none" w:pos="360" w:val="left"/>
              </w:tabs>
              <w:ind w:firstLine="0"/>
              <w:jc w:val="center"/>
              <w:rPr>
                <w:b w:val="1"/>
                <w:color w:val="FFFFFF"/>
                <w:sz w:val="24"/>
              </w:rPr>
            </w:pPr>
            <w:r>
              <w:rPr>
                <w:b w:val="1"/>
                <w:color w:val="FFFFFF"/>
                <w:sz w:val="24"/>
              </w:rPr>
              <w:t>4</w:t>
            </w:r>
          </w:p>
        </w:tc>
        <w:tc>
          <w:tcPr>
            <w:tcW w:type="dxa" w:w="8980"/>
            <w:tcBorders>
              <w:top w:color="000000" w:sz="4" w:val="single"/>
              <w:left w:color="000000" w:sz="4" w:val="single"/>
              <w:bottom w:color="000000" w:sz="4" w:val="single"/>
              <w:right w:color="000000" w:sz="4" w:val="single"/>
            </w:tcBorders>
            <w:shd w:themeFill="background1" w:themeFillShade="80" w:val="clear"/>
            <w:tcMar>
              <w:top w:type="dxa" w:w="0"/>
              <w:left w:type="dxa" w:w="108"/>
              <w:bottom w:type="dxa" w:w="0"/>
              <w:right w:type="dxa" w:w="108"/>
            </w:tcMar>
            <w:vAlign w:val="center"/>
          </w:tcPr>
          <w:p w14:paraId="2E000000">
            <w:pPr>
              <w:pStyle w:val="Style_5"/>
              <w:tabs>
                <w:tab w:leader="none" w:pos="360" w:val="left"/>
              </w:tabs>
              <w:ind w:firstLine="0"/>
              <w:jc w:val="center"/>
              <w:rPr>
                <w:b w:val="1"/>
                <w:color w:val="FFFFFF"/>
                <w:sz w:val="20"/>
              </w:rPr>
            </w:pPr>
            <w:r>
              <w:rPr>
                <w:b w:val="1"/>
                <w:color w:val="FFFFFF"/>
                <w:sz w:val="20"/>
              </w:rPr>
              <w:t>Наименование объекта закупки</w:t>
            </w:r>
          </w:p>
        </w:tc>
      </w:tr>
      <w:tr>
        <w:trPr>
          <w:trHeight w:hRule="atLeast" w:val="521"/>
        </w:trPr>
        <w:tc>
          <w:tcPr>
            <w:tcW w:type="dxa" w:w="9944"/>
            <w:gridSpan w:val="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2F000000">
            <w:pPr>
              <w:pStyle w:val="Style_5"/>
              <w:tabs>
                <w:tab w:leader="none" w:pos="360" w:val="left"/>
              </w:tabs>
              <w:ind w:firstLine="0"/>
              <w:jc w:val="center"/>
              <w:rPr>
                <w:rFonts w:ascii="Times New Roman" w:hAnsi="Times New Roman"/>
                <w:i w:val="1"/>
                <w:color w:val="C00000"/>
                <w:sz w:val="24"/>
              </w:rPr>
            </w:pPr>
            <w:r>
              <w:rPr>
                <w:rFonts w:ascii="Times New Roman" w:hAnsi="Times New Roman"/>
                <w:color w:val="383838"/>
                <w:sz w:val="24"/>
                <w:shd w:fill="FAFAFA" w:val="clear"/>
              </w:rPr>
              <w:t>Оказание услуг по предоставлению прав на использование программного обеспечения Автоматизированной системы «Адресная социальная помощь» включая обновления и дополнительные функциональные возможности (регистрационный номер в ЕРРПО №19357 от 04.10.2023)</w:t>
            </w:r>
          </w:p>
        </w:tc>
      </w:tr>
      <w:tr>
        <w:trPr>
          <w:trHeight w:hRule="atLeast" w:val="521"/>
        </w:trPr>
        <w:tc>
          <w:tcPr>
            <w:tcW w:type="dxa" w:w="964"/>
            <w:tcBorders>
              <w:top w:color="000000" w:sz="4" w:val="single"/>
              <w:left w:color="000000" w:sz="4" w:val="single"/>
              <w:bottom w:color="000000" w:sz="4" w:val="single"/>
              <w:right w:color="000000" w:sz="4" w:val="single"/>
            </w:tcBorders>
            <w:shd w:themeFill="background1" w:themeFillShade="80" w:val="clear"/>
            <w:tcMar>
              <w:top w:type="dxa" w:w="0"/>
              <w:left w:type="dxa" w:w="108"/>
              <w:bottom w:type="dxa" w:w="0"/>
              <w:right w:type="dxa" w:w="108"/>
            </w:tcMar>
            <w:vAlign w:val="center"/>
          </w:tcPr>
          <w:p w14:paraId="30000000">
            <w:pPr>
              <w:pStyle w:val="Style_5"/>
              <w:tabs>
                <w:tab w:leader="none" w:pos="360" w:val="left"/>
              </w:tabs>
              <w:ind w:firstLine="0"/>
              <w:jc w:val="center"/>
              <w:rPr>
                <w:b w:val="1"/>
                <w:color w:val="FFFFFF"/>
                <w:sz w:val="20"/>
              </w:rPr>
            </w:pPr>
            <w:r>
              <w:rPr>
                <w:b w:val="1"/>
                <w:color w:val="FFFFFF"/>
                <w:sz w:val="20"/>
              </w:rPr>
              <w:t>5</w:t>
            </w:r>
          </w:p>
        </w:tc>
        <w:tc>
          <w:tcPr>
            <w:tcW w:type="dxa" w:w="8980"/>
            <w:tcBorders>
              <w:top w:color="000000" w:sz="4" w:val="single"/>
              <w:left w:color="000000" w:sz="4" w:val="single"/>
              <w:bottom w:color="000000" w:sz="4" w:val="single"/>
              <w:right w:color="000000" w:sz="4" w:val="single"/>
            </w:tcBorders>
            <w:shd w:themeFill="background1" w:themeFillShade="80" w:val="clear"/>
            <w:tcMar>
              <w:top w:type="dxa" w:w="0"/>
              <w:left w:type="dxa" w:w="108"/>
              <w:bottom w:type="dxa" w:w="0"/>
              <w:right w:type="dxa" w:w="108"/>
            </w:tcMar>
            <w:vAlign w:val="center"/>
          </w:tcPr>
          <w:p w14:paraId="31000000">
            <w:pPr>
              <w:pStyle w:val="Style_5"/>
              <w:tabs>
                <w:tab w:leader="none" w:pos="360" w:val="left"/>
              </w:tabs>
              <w:ind w:firstLine="0"/>
              <w:jc w:val="center"/>
              <w:rPr>
                <w:b w:val="1"/>
                <w:color w:val="FFFFFF"/>
                <w:sz w:val="20"/>
              </w:rPr>
            </w:pPr>
            <w:r>
              <w:rPr>
                <w:b w:val="1"/>
                <w:color w:val="FFFFFF"/>
                <w:sz w:val="20"/>
              </w:rPr>
              <w:t>Идентификационный код закупки / Уникальный реестровый номер заказа в плане-графике</w:t>
            </w:r>
            <w:bookmarkStart w:id="9" w:name="пункт4"/>
            <w:bookmarkEnd w:id="9"/>
          </w:p>
        </w:tc>
      </w:tr>
      <w:tr>
        <w:trPr>
          <w:trHeight w:hRule="atLeast" w:val="543"/>
        </w:trPr>
        <w:tc>
          <w:tcPr>
            <w:tcW w:type="dxa" w:w="9944"/>
            <w:gridSpan w:val="2"/>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2000000">
            <w:pPr>
              <w:keepNext w:val="1"/>
              <w:keepLines w:val="1"/>
              <w:widowControl w:val="0"/>
              <w:spacing w:after="0"/>
              <w:ind/>
            </w:pPr>
            <w:r>
              <w:t xml:space="preserve">Идентификационный код закупки: </w:t>
            </w:r>
            <w:r>
              <w:rPr>
                <w:rFonts w:ascii="Tahoma" w:hAnsi="Tahoma"/>
                <w:b w:val="0"/>
                <w:i w:val="0"/>
                <w:caps w:val="0"/>
                <w:color w:val="383838"/>
                <w:spacing w:val="0"/>
                <w:sz w:val="18"/>
                <w:highlight w:val="white"/>
              </w:rPr>
              <w:t>262200500031120140100100280016202242</w:t>
            </w:r>
            <w:r>
              <w:t>,</w:t>
            </w:r>
          </w:p>
          <w:p w14:paraId="33000000">
            <w:pPr>
              <w:spacing w:after="0" w:line="240" w:lineRule="exact"/>
              <w:ind/>
              <w:rPr>
                <w:i w:val="1"/>
                <w:color w:val="C00000"/>
              </w:rPr>
            </w:pPr>
            <w:r>
              <w:t xml:space="preserve">уникальный реестровый номер заказа в плане-графике: </w:t>
            </w:r>
            <w:r>
              <w:rPr>
                <w:rFonts w:ascii="Tahoma" w:hAnsi="Tahoma"/>
                <w:color w:val="383838"/>
                <w:sz w:val="18"/>
                <w:highlight w:val="white"/>
              </w:rPr>
              <w:t>202601942000001001000030</w:t>
            </w:r>
            <w:r>
              <w:rPr>
                <w:sz w:val="22"/>
              </w:rPr>
              <w:t>.</w:t>
            </w:r>
          </w:p>
        </w:tc>
      </w:tr>
      <w:tr>
        <w:trPr>
          <w:trHeight w:hRule="atLeast" w:val="436"/>
        </w:trPr>
        <w:tc>
          <w:tcPr>
            <w:tcW w:type="dxa" w:w="964"/>
            <w:tcBorders>
              <w:top w:color="000000" w:sz="4" w:val="single"/>
              <w:left w:color="000000" w:sz="4" w:val="single"/>
              <w:bottom w:color="000000" w:sz="4" w:val="single"/>
              <w:right w:color="000000" w:sz="4" w:val="single"/>
            </w:tcBorders>
            <w:shd w:themeFill="background1" w:themeFillShade="80" w:val="clear"/>
            <w:tcMar>
              <w:top w:type="dxa" w:w="0"/>
              <w:left w:type="dxa" w:w="108"/>
              <w:bottom w:type="dxa" w:w="0"/>
              <w:right w:type="dxa" w:w="108"/>
            </w:tcMar>
            <w:vAlign w:val="center"/>
          </w:tcPr>
          <w:p w14:paraId="34000000">
            <w:pPr>
              <w:pStyle w:val="Style_5"/>
              <w:tabs>
                <w:tab w:leader="none" w:pos="360" w:val="left"/>
              </w:tabs>
              <w:ind w:firstLine="0"/>
              <w:jc w:val="center"/>
              <w:rPr>
                <w:b w:val="1"/>
                <w:color w:val="FFFFFF"/>
                <w:sz w:val="20"/>
              </w:rPr>
            </w:pPr>
            <w:r>
              <w:rPr>
                <w:b w:val="1"/>
                <w:color w:val="FFFFFF"/>
                <w:sz w:val="20"/>
              </w:rPr>
              <w:t>6</w:t>
            </w:r>
          </w:p>
        </w:tc>
        <w:tc>
          <w:tcPr>
            <w:tcW w:type="dxa" w:w="8980"/>
            <w:tcBorders>
              <w:top w:color="000000" w:sz="4" w:val="single"/>
              <w:left w:color="000000" w:sz="4" w:val="single"/>
              <w:bottom w:color="000000" w:sz="4" w:val="single"/>
              <w:right w:color="000000" w:sz="4" w:val="single"/>
            </w:tcBorders>
            <w:shd w:themeFill="background1" w:themeFillShade="80" w:val="clear"/>
            <w:tcMar>
              <w:top w:type="dxa" w:w="0"/>
              <w:left w:type="dxa" w:w="108"/>
              <w:bottom w:type="dxa" w:w="0"/>
              <w:right w:type="dxa" w:w="108"/>
            </w:tcMar>
            <w:vAlign w:val="center"/>
          </w:tcPr>
          <w:p w14:paraId="35000000">
            <w:pPr>
              <w:pStyle w:val="Style_5"/>
              <w:tabs>
                <w:tab w:leader="none" w:pos="360" w:val="left"/>
              </w:tabs>
              <w:ind w:firstLine="0"/>
              <w:jc w:val="center"/>
              <w:rPr>
                <w:b w:val="1"/>
                <w:color w:val="FFFFFF"/>
                <w:sz w:val="20"/>
              </w:rPr>
            </w:pPr>
            <w:r>
              <w:rPr>
                <w:b w:val="1"/>
                <w:color w:val="FFFFFF"/>
                <w:sz w:val="20"/>
              </w:rPr>
              <w:t>Источник финансирования</w:t>
            </w:r>
          </w:p>
        </w:tc>
      </w:tr>
      <w:tr>
        <w:trPr>
          <w:trHeight w:hRule="atLeast" w:val="454"/>
        </w:trPr>
        <w:tc>
          <w:tcPr>
            <w:tcW w:type="dxa" w:w="9944"/>
            <w:gridSpan w:val="2"/>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6000000">
            <w:pPr>
              <w:spacing w:after="0"/>
              <w:ind/>
              <w:jc w:val="center"/>
              <w:rPr>
                <w:b w:val="1"/>
                <w:color w:val="FF0000"/>
                <w:sz w:val="28"/>
                <w:vertAlign w:val="superscript"/>
              </w:rPr>
            </w:pPr>
            <w:r>
              <w:rPr>
                <w:color w:val="000000"/>
              </w:rPr>
              <w:t>Бюджет Чеченской Республики</w:t>
            </w:r>
          </w:p>
          <w:p w14:paraId="37000000">
            <w:pPr>
              <w:spacing w:after="0"/>
              <w:ind/>
            </w:pPr>
          </w:p>
        </w:tc>
      </w:tr>
      <w:tr>
        <w:trPr>
          <w:trHeight w:hRule="atLeast" w:val="507"/>
        </w:trPr>
        <w:tc>
          <w:tcPr>
            <w:tcW w:type="dxa" w:w="964"/>
            <w:tcBorders>
              <w:top w:color="000000" w:sz="4" w:val="single"/>
              <w:left w:color="000000" w:sz="4" w:val="single"/>
              <w:bottom w:color="000000" w:sz="4" w:val="single"/>
              <w:right w:color="000000" w:sz="4" w:val="single"/>
            </w:tcBorders>
            <w:shd w:themeFill="background1" w:themeFillShade="80" w:val="clear"/>
            <w:tcMar>
              <w:top w:type="dxa" w:w="0"/>
              <w:left w:type="dxa" w:w="108"/>
              <w:bottom w:type="dxa" w:w="0"/>
              <w:right w:type="dxa" w:w="108"/>
            </w:tcMar>
            <w:vAlign w:val="center"/>
          </w:tcPr>
          <w:p w14:paraId="38000000">
            <w:pPr>
              <w:pStyle w:val="Style_5"/>
              <w:ind w:firstLine="0"/>
              <w:jc w:val="center"/>
              <w:rPr>
                <w:b w:val="1"/>
                <w:color w:val="FFFFFF"/>
                <w:sz w:val="20"/>
              </w:rPr>
            </w:pPr>
            <w:r>
              <w:rPr>
                <w:b w:val="1"/>
                <w:color w:val="FFFFFF"/>
                <w:sz w:val="20"/>
              </w:rPr>
              <w:t>7</w:t>
            </w:r>
          </w:p>
        </w:tc>
        <w:tc>
          <w:tcPr>
            <w:tcW w:type="dxa" w:w="8980"/>
            <w:tcBorders>
              <w:top w:color="000000" w:sz="4" w:val="single"/>
              <w:left w:color="000000" w:sz="4" w:val="single"/>
              <w:bottom w:color="000000" w:sz="4" w:val="single"/>
              <w:right w:color="000000" w:sz="4" w:val="single"/>
            </w:tcBorders>
            <w:shd w:themeFill="background1" w:themeFillShade="80" w:val="clear"/>
            <w:tcMar>
              <w:top w:type="dxa" w:w="0"/>
              <w:left w:type="dxa" w:w="108"/>
              <w:bottom w:type="dxa" w:w="0"/>
              <w:right w:type="dxa" w:w="108"/>
            </w:tcMar>
            <w:vAlign w:val="center"/>
          </w:tcPr>
          <w:p w14:paraId="39000000">
            <w:pPr>
              <w:pStyle w:val="Style_5"/>
              <w:ind w:firstLine="0"/>
              <w:jc w:val="center"/>
              <w:rPr>
                <w:b w:val="1"/>
                <w:color w:val="FFFFFF"/>
                <w:sz w:val="20"/>
              </w:rPr>
            </w:pPr>
            <w:r>
              <w:rPr>
                <w:b w:val="1"/>
                <w:color w:val="FFFFFF"/>
                <w:sz w:val="20"/>
              </w:rPr>
              <w:t>Начальная (максимальная) цена контракта, (цена отдельных этапов исполнения контракта, если проектом контракта предусмотрены такие этапы) (п. 9 ч. 1 ст. 42 Федерального закона от 05.04.2013г. №44-ФЗ )</w:t>
            </w:r>
          </w:p>
        </w:tc>
      </w:tr>
      <w:tr>
        <w:tc>
          <w:tcPr>
            <w:tcW w:type="dxa" w:w="9944"/>
            <w:gridSpan w:val="2"/>
            <w:tcBorders>
              <w:top w:color="000000" w:sz="4" w:val="single"/>
              <w:left w:color="000000" w:sz="4" w:val="single"/>
              <w:bottom w:color="000000" w:sz="4" w:val="single"/>
              <w:right w:color="000000" w:sz="4" w:val="single"/>
            </w:tcBorders>
            <w:tcMar>
              <w:top w:type="dxa" w:w="0"/>
              <w:left w:type="dxa" w:w="108"/>
              <w:bottom w:type="dxa" w:w="0"/>
              <w:right w:type="dxa" w:w="108"/>
            </w:tcMar>
            <w:vAlign w:val="center"/>
          </w:tcPr>
          <w:p w14:paraId="3A000000">
            <w:pPr>
              <w:keepNext w:val="1"/>
              <w:keepLines w:val="1"/>
              <w:widowControl w:val="0"/>
              <w:spacing w:after="0" w:line="240" w:lineRule="exact"/>
              <w:ind/>
            </w:pPr>
            <w:r>
              <w:tab/>
            </w:r>
            <w:r>
              <w:t>Начальная (максимальная) цена контракта составляет:</w:t>
            </w:r>
            <w:bookmarkStart w:id="10" w:name="ТекстовоеПоле15"/>
            <w:bookmarkEnd w:id="10"/>
          </w:p>
          <w:p w14:paraId="3B000000">
            <w:pPr>
              <w:keepNext w:val="1"/>
              <w:keepLines w:val="1"/>
              <w:widowControl w:val="0"/>
              <w:spacing w:after="0"/>
              <w:ind/>
            </w:pPr>
            <w:r>
              <w:rPr>
                <w:color w:val="0000FF"/>
              </w:rPr>
              <w:t xml:space="preserve">6 500 000 </w:t>
            </w:r>
            <w:r>
              <w:t>(</w:t>
            </w:r>
            <w:bookmarkStart w:id="11" w:name="ТекстовоеПоле16"/>
            <w:r>
              <w:rPr>
                <w:i w:val="1"/>
              </w:rPr>
              <w:t>шесть миллионов пятьсот тысяч</w:t>
            </w:r>
            <w:r>
              <w:t>)</w:t>
            </w:r>
            <w:bookmarkEnd w:id="11"/>
            <w:r>
              <w:t xml:space="preserve"> руб. </w:t>
            </w:r>
            <w:r>
              <w:rPr>
                <w:color w:val="0000FF"/>
              </w:rPr>
              <w:t xml:space="preserve">00 </w:t>
            </w:r>
            <w:r>
              <w:t>коп.</w:t>
            </w:r>
          </w:p>
          <w:p w14:paraId="3C000000">
            <w:pPr>
              <w:keepNext w:val="1"/>
              <w:keepLines w:val="1"/>
              <w:widowControl w:val="0"/>
              <w:spacing w:after="0" w:line="240" w:lineRule="exact"/>
              <w:ind/>
            </w:pPr>
          </w:p>
        </w:tc>
      </w:tr>
      <w:tr>
        <w:trPr>
          <w:trHeight w:hRule="atLeast" w:val="429"/>
        </w:trPr>
        <w:tc>
          <w:tcPr>
            <w:tcW w:type="dxa" w:w="964"/>
            <w:tcBorders>
              <w:top w:color="000000" w:sz="4" w:val="single"/>
              <w:left w:color="000000" w:sz="4" w:val="single"/>
              <w:bottom w:color="000000" w:sz="4" w:val="single"/>
              <w:right w:color="000000" w:sz="4" w:val="single"/>
            </w:tcBorders>
            <w:shd w:themeFill="background1" w:themeFillShade="80" w:val="clear"/>
            <w:tcMar>
              <w:top w:type="dxa" w:w="0"/>
              <w:left w:type="dxa" w:w="108"/>
              <w:bottom w:type="dxa" w:w="0"/>
              <w:right w:type="dxa" w:w="108"/>
            </w:tcMar>
            <w:vAlign w:val="center"/>
          </w:tcPr>
          <w:p w14:paraId="3D000000">
            <w:pPr>
              <w:spacing w:after="0"/>
              <w:ind/>
              <w:jc w:val="center"/>
              <w:rPr>
                <w:rFonts w:ascii="Arial" w:hAnsi="Arial"/>
                <w:b w:val="1"/>
                <w:color w:val="FFFFFF"/>
                <w:sz w:val="20"/>
              </w:rPr>
            </w:pPr>
            <w:r>
              <w:rPr>
                <w:rFonts w:ascii="Arial" w:hAnsi="Arial"/>
                <w:b w:val="1"/>
                <w:color w:val="FFFFFF"/>
                <w:sz w:val="20"/>
              </w:rPr>
              <w:t>8</w:t>
            </w:r>
          </w:p>
        </w:tc>
        <w:tc>
          <w:tcPr>
            <w:tcW w:type="dxa" w:w="8980"/>
            <w:tcBorders>
              <w:top w:color="000000" w:sz="4" w:val="single"/>
              <w:left w:color="000000" w:sz="4" w:val="single"/>
              <w:bottom w:color="000000" w:sz="4" w:val="single"/>
              <w:right w:color="000000" w:sz="4" w:val="single"/>
            </w:tcBorders>
            <w:shd w:themeFill="background1" w:themeFillShade="80" w:val="clear"/>
            <w:tcMar>
              <w:top w:type="dxa" w:w="0"/>
              <w:left w:type="dxa" w:w="108"/>
              <w:bottom w:type="dxa" w:w="0"/>
              <w:right w:type="dxa" w:w="108"/>
            </w:tcMar>
            <w:vAlign w:val="center"/>
          </w:tcPr>
          <w:p w14:paraId="3E000000">
            <w:pPr>
              <w:spacing w:after="0"/>
              <w:ind/>
              <w:jc w:val="center"/>
              <w:rPr>
                <w:rFonts w:ascii="Arial" w:hAnsi="Arial"/>
                <w:b w:val="1"/>
                <w:color w:val="FFFFFF"/>
                <w:sz w:val="20"/>
              </w:rPr>
            </w:pPr>
            <w:r>
              <w:rPr>
                <w:rFonts w:ascii="Arial" w:hAnsi="Arial"/>
                <w:b w:val="1"/>
                <w:color w:val="FFFFFF"/>
                <w:sz w:val="20"/>
              </w:rPr>
              <w:t>Условие предоставления аванса (п. 10 ч. 1 ст. 42 Федерального закона №44-ФЗ)</w:t>
            </w:r>
          </w:p>
        </w:tc>
      </w:tr>
      <w:tr>
        <w:trPr>
          <w:trHeight w:hRule="atLeast" w:val="429"/>
        </w:trPr>
        <w:tc>
          <w:tcPr>
            <w:tcW w:type="dxa" w:w="9944"/>
            <w:gridSpan w:val="2"/>
            <w:tcBorders>
              <w:top w:color="000000" w:sz="4" w:val="single"/>
              <w:left w:color="000000" w:sz="4" w:val="single"/>
              <w:bottom w:color="000000" w:sz="4" w:val="single"/>
              <w:right w:color="000000" w:sz="4" w:val="single"/>
            </w:tcBorders>
            <w:shd w:themeFill="background1" w:val="clear"/>
            <w:tcMar>
              <w:top w:type="dxa" w:w="0"/>
              <w:left w:type="dxa" w:w="108"/>
              <w:bottom w:type="dxa" w:w="0"/>
              <w:right w:type="dxa" w:w="108"/>
            </w:tcMar>
            <w:vAlign w:val="center"/>
          </w:tcPr>
          <w:p w14:paraId="3F000000">
            <w:pPr>
              <w:spacing w:after="0"/>
              <w:ind/>
            </w:pPr>
            <w:r>
              <w:t xml:space="preserve">Контрактом выплата аванса </w:t>
            </w:r>
            <w:r>
              <w:rPr>
                <w:highlight w:val="lightGray"/>
              </w:rPr>
              <w:t>не предусмотрена</w:t>
            </w:r>
            <w:r>
              <w:t>.</w:t>
            </w:r>
          </w:p>
        </w:tc>
      </w:tr>
      <w:tr>
        <w:trPr>
          <w:trHeight w:hRule="atLeast" w:val="429"/>
        </w:trPr>
        <w:tc>
          <w:tcPr>
            <w:tcW w:type="dxa" w:w="964"/>
            <w:tcBorders>
              <w:top w:color="000000" w:sz="4" w:val="single"/>
              <w:left w:color="000000" w:sz="4" w:val="single"/>
              <w:bottom w:color="000000" w:sz="4" w:val="single"/>
              <w:right w:color="000000" w:sz="4" w:val="single"/>
            </w:tcBorders>
            <w:shd w:themeFill="background1" w:themeFillShade="80" w:val="clear"/>
            <w:tcMar>
              <w:top w:type="dxa" w:w="0"/>
              <w:left w:type="dxa" w:w="108"/>
              <w:bottom w:type="dxa" w:w="0"/>
              <w:right w:type="dxa" w:w="108"/>
            </w:tcMar>
            <w:vAlign w:val="center"/>
          </w:tcPr>
          <w:p w14:paraId="40000000">
            <w:pPr>
              <w:spacing w:after="0"/>
              <w:ind/>
              <w:jc w:val="center"/>
              <w:rPr>
                <w:rFonts w:ascii="Arial" w:hAnsi="Arial"/>
                <w:b w:val="1"/>
                <w:color w:val="FFFFFF"/>
                <w:sz w:val="20"/>
              </w:rPr>
            </w:pPr>
            <w:r>
              <w:rPr>
                <w:rFonts w:ascii="Arial" w:hAnsi="Arial"/>
                <w:b w:val="1"/>
                <w:color w:val="FFFFFF"/>
                <w:sz w:val="20"/>
              </w:rPr>
              <w:t>9</w:t>
            </w:r>
          </w:p>
        </w:tc>
        <w:tc>
          <w:tcPr>
            <w:tcW w:type="dxa" w:w="8980"/>
            <w:tcBorders>
              <w:top w:color="000000" w:sz="4" w:val="single"/>
              <w:left w:color="000000" w:sz="4" w:val="single"/>
              <w:bottom w:color="000000" w:sz="4" w:val="single"/>
              <w:right w:color="000000" w:sz="4" w:val="single"/>
            </w:tcBorders>
            <w:shd w:themeFill="background1" w:themeFillShade="80" w:val="clear"/>
            <w:tcMar>
              <w:top w:type="dxa" w:w="0"/>
              <w:left w:type="dxa" w:w="108"/>
              <w:bottom w:type="dxa" w:w="0"/>
              <w:right w:type="dxa" w:w="108"/>
            </w:tcMar>
            <w:vAlign w:val="center"/>
          </w:tcPr>
          <w:p w14:paraId="41000000">
            <w:pPr>
              <w:spacing w:after="0"/>
              <w:ind/>
              <w:jc w:val="center"/>
              <w:rPr>
                <w:rFonts w:ascii="Arial" w:hAnsi="Arial"/>
                <w:b w:val="1"/>
                <w:color w:val="FFFFFF"/>
                <w:sz w:val="20"/>
              </w:rPr>
            </w:pPr>
            <w:r>
              <w:rPr>
                <w:rFonts w:ascii="Arial" w:hAnsi="Arial"/>
                <w:b w:val="1"/>
                <w:color w:val="FFFFFF"/>
                <w:sz w:val="20"/>
              </w:rPr>
              <w:t>Место и сроки (периоды) выполнения работ, оказания услуг (</w:t>
            </w:r>
            <w:r>
              <w:rPr>
                <w:rFonts w:ascii="Arial" w:hAnsi="Arial"/>
                <w:b w:val="1"/>
                <w:color w:val="FFFFFF"/>
                <w:sz w:val="20"/>
              </w:rPr>
              <w:t>пп</w:t>
            </w:r>
            <w:r>
              <w:rPr>
                <w:rFonts w:ascii="Arial" w:hAnsi="Arial"/>
                <w:b w:val="1"/>
                <w:color w:val="FFFFFF"/>
                <w:sz w:val="20"/>
              </w:rPr>
              <w:t>. 7 и 8 ч. 1 ст. 42 Федерального закона от 05.04.2013г. №44-ФЗ)</w:t>
            </w:r>
          </w:p>
        </w:tc>
      </w:tr>
      <w:tr>
        <w:trPr>
          <w:trHeight w:hRule="atLeast" w:val="429"/>
        </w:trPr>
        <w:tc>
          <w:tcPr>
            <w:tcW w:type="dxa" w:w="9944"/>
            <w:gridSpan w:val="2"/>
            <w:tcBorders>
              <w:top w:color="000000" w:sz="4" w:val="single"/>
              <w:left w:color="000000" w:sz="4" w:val="single"/>
              <w:bottom w:color="000000" w:sz="4" w:val="single"/>
              <w:right w:color="000000" w:sz="4" w:val="single"/>
            </w:tcBorders>
            <w:shd w:themeFill="background1" w:val="clear"/>
            <w:tcMar>
              <w:top w:type="dxa" w:w="0"/>
              <w:left w:type="dxa" w:w="108"/>
              <w:bottom w:type="dxa" w:w="0"/>
              <w:right w:type="dxa" w:w="108"/>
            </w:tcMar>
            <w:vAlign w:val="center"/>
          </w:tcPr>
          <w:p w14:paraId="42000000">
            <w:pPr>
              <w:spacing w:after="0"/>
              <w:ind/>
              <w:jc w:val="left"/>
              <w:rPr>
                <w:color w:val="0000FF"/>
              </w:rPr>
            </w:pPr>
            <w:r>
              <w:t>Место выполнения работ, оказания услуг:</w:t>
            </w:r>
            <w:r>
              <w:rPr>
                <w:color w:val="0000FF"/>
              </w:rPr>
              <w:t xml:space="preserve"> </w:t>
            </w:r>
            <w:r>
              <w:rPr>
                <w:color w:val="0000FF"/>
              </w:rPr>
              <w:t>Чеченская Республика, г. Грозный, ул. Деловая, 15</w:t>
            </w:r>
          </w:p>
          <w:p w14:paraId="43000000">
            <w:pPr>
              <w:spacing w:after="0"/>
              <w:ind/>
              <w:jc w:val="left"/>
            </w:pPr>
            <w:r>
              <w:t xml:space="preserve">Срок исполнения контракта: </w:t>
            </w:r>
          </w:p>
          <w:p w14:paraId="44000000">
            <w:pPr>
              <w:spacing w:after="0"/>
              <w:ind/>
              <w:jc w:val="left"/>
              <w:rPr>
                <w:color w:val="0000FF"/>
                <w:highlight w:val="lightGray"/>
              </w:rPr>
            </w:pPr>
            <w:r>
              <w:rPr>
                <w:color w:val="0000FF"/>
                <w:highlight w:val="lightGray"/>
              </w:rPr>
              <w:t>Дата начала исполнения контракта</w:t>
            </w:r>
            <w:r>
              <w:rPr>
                <w:color w:val="0000FF"/>
                <w:highlight w:val="lightGray"/>
              </w:rPr>
              <w:t xml:space="preserve"> </w:t>
            </w:r>
            <w:bookmarkStart w:id="12" w:name="_GoBack"/>
            <w:bookmarkEnd w:id="12"/>
            <w:r>
              <w:rPr>
                <w:color w:val="0000FF"/>
                <w:highlight w:val="lightGray"/>
              </w:rPr>
              <w:t>- с даты заключения контракта.</w:t>
            </w:r>
          </w:p>
          <w:p w14:paraId="45000000">
            <w:pPr>
              <w:spacing w:after="0"/>
              <w:ind/>
              <w:jc w:val="left"/>
            </w:pPr>
            <w:r>
              <w:rPr>
                <w:color w:val="0000FF"/>
                <w:highlight w:val="lightGray"/>
              </w:rPr>
              <w:t>Срок исполнения контракта- 32 рабочих дней со дня заключения контракта.</w:t>
            </w:r>
            <w:r>
              <w:t>.</w:t>
            </w:r>
          </w:p>
        </w:tc>
      </w:tr>
      <w:tr>
        <w:trPr>
          <w:trHeight w:hRule="atLeast" w:val="429"/>
        </w:trPr>
        <w:tc>
          <w:tcPr>
            <w:tcW w:type="dxa" w:w="964"/>
            <w:tcBorders>
              <w:top w:color="000000" w:sz="4" w:val="single"/>
              <w:left w:color="000000" w:sz="4" w:val="single"/>
              <w:bottom w:color="000000" w:sz="4" w:val="single"/>
              <w:right w:color="000000" w:sz="4" w:val="single"/>
            </w:tcBorders>
            <w:shd w:themeFill="background1" w:themeFillShade="80" w:val="clear"/>
            <w:tcMar>
              <w:top w:type="dxa" w:w="0"/>
              <w:left w:type="dxa" w:w="108"/>
              <w:bottom w:type="dxa" w:w="0"/>
              <w:right w:type="dxa" w:w="108"/>
            </w:tcMar>
            <w:vAlign w:val="center"/>
          </w:tcPr>
          <w:p w14:paraId="46000000">
            <w:pPr>
              <w:spacing w:after="0"/>
              <w:ind/>
              <w:jc w:val="center"/>
              <w:rPr>
                <w:rFonts w:ascii="Arial" w:hAnsi="Arial"/>
                <w:b w:val="1"/>
                <w:color w:val="FFFFFF"/>
                <w:sz w:val="20"/>
              </w:rPr>
            </w:pPr>
            <w:r>
              <w:rPr>
                <w:rFonts w:ascii="Arial" w:hAnsi="Arial"/>
                <w:b w:val="1"/>
                <w:color w:val="FFFFFF"/>
                <w:sz w:val="20"/>
              </w:rPr>
              <w:t>10</w:t>
            </w:r>
          </w:p>
        </w:tc>
        <w:tc>
          <w:tcPr>
            <w:tcW w:type="dxa" w:w="8980"/>
            <w:tcBorders>
              <w:top w:color="000000" w:sz="4" w:val="single"/>
              <w:left w:color="000000" w:sz="4" w:val="single"/>
              <w:bottom w:color="000000" w:sz="4" w:val="single"/>
              <w:right w:color="000000" w:sz="4" w:val="single"/>
            </w:tcBorders>
            <w:shd w:themeFill="background1" w:themeFillShade="80" w:val="clear"/>
            <w:tcMar>
              <w:top w:type="dxa" w:w="0"/>
              <w:left w:type="dxa" w:w="108"/>
              <w:bottom w:type="dxa" w:w="0"/>
              <w:right w:type="dxa" w:w="108"/>
            </w:tcMar>
            <w:vAlign w:val="center"/>
          </w:tcPr>
          <w:p w14:paraId="47000000">
            <w:pPr>
              <w:spacing w:after="0"/>
              <w:ind/>
              <w:jc w:val="center"/>
              <w:rPr>
                <w:rFonts w:ascii="Arial" w:hAnsi="Arial"/>
                <w:b w:val="1"/>
                <w:color w:val="FFFFFF"/>
                <w:sz w:val="20"/>
              </w:rPr>
            </w:pPr>
            <w:r>
              <w:rPr>
                <w:rFonts w:ascii="Arial" w:hAnsi="Arial"/>
                <w:b w:val="1"/>
                <w:color w:val="FFFFFF"/>
                <w:sz w:val="20"/>
              </w:rPr>
              <w:t>Общественное обсуждение закупок (ст. 20 Федерального закона от 05.04.2013г. №44-ФЗ)</w:t>
            </w:r>
          </w:p>
        </w:tc>
      </w:tr>
      <w:tr>
        <w:trPr>
          <w:trHeight w:hRule="atLeast" w:val="429"/>
        </w:trPr>
        <w:tc>
          <w:tcPr>
            <w:tcW w:type="dxa" w:w="9944"/>
            <w:gridSpan w:val="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48000000">
            <w:pPr>
              <w:keepNext w:val="1"/>
              <w:keepLines w:val="1"/>
              <w:widowControl w:val="0"/>
              <w:spacing w:after="0" w:line="240" w:lineRule="exact"/>
              <w:ind/>
            </w:pPr>
            <w:r>
              <w:t>Общественное обсуждение закупок в соответствии со ст. 20 Федерального закона от 05.04.2013г. №44-ФЗ не проводится.</w:t>
            </w:r>
          </w:p>
        </w:tc>
      </w:tr>
      <w:tr>
        <w:trPr>
          <w:trHeight w:hRule="atLeast" w:val="429"/>
        </w:trPr>
        <w:tc>
          <w:tcPr>
            <w:tcW w:type="dxa" w:w="964"/>
            <w:tcBorders>
              <w:top w:color="000000" w:sz="4" w:val="single"/>
              <w:left w:color="000000" w:sz="4" w:val="single"/>
              <w:bottom w:color="000000" w:sz="4" w:val="single"/>
              <w:right w:color="000000" w:sz="4" w:val="single"/>
            </w:tcBorders>
            <w:shd w:themeFill="background1" w:themeFillShade="80" w:val="clear"/>
            <w:tcMar>
              <w:top w:type="dxa" w:w="0"/>
              <w:left w:type="dxa" w:w="108"/>
              <w:bottom w:type="dxa" w:w="0"/>
              <w:right w:type="dxa" w:w="108"/>
            </w:tcMar>
            <w:vAlign w:val="center"/>
          </w:tcPr>
          <w:p w14:paraId="49000000">
            <w:pPr>
              <w:spacing w:after="0"/>
              <w:ind/>
              <w:jc w:val="center"/>
              <w:rPr>
                <w:rFonts w:ascii="Arial" w:hAnsi="Arial"/>
                <w:b w:val="1"/>
                <w:color w:val="FFFFFF"/>
                <w:sz w:val="20"/>
              </w:rPr>
            </w:pPr>
            <w:r>
              <w:rPr>
                <w:rFonts w:ascii="Arial" w:hAnsi="Arial"/>
                <w:b w:val="1"/>
                <w:color w:val="FFFFFF"/>
                <w:sz w:val="20"/>
              </w:rPr>
              <w:t>11</w:t>
            </w:r>
          </w:p>
        </w:tc>
        <w:tc>
          <w:tcPr>
            <w:tcW w:type="dxa" w:w="8980"/>
            <w:tcBorders>
              <w:top w:color="000000" w:sz="4" w:val="single"/>
              <w:left w:color="000000" w:sz="4" w:val="single"/>
              <w:bottom w:color="000000" w:sz="4" w:val="single"/>
              <w:right w:color="000000" w:sz="4" w:val="single"/>
            </w:tcBorders>
            <w:shd w:themeFill="background1" w:themeFillShade="80" w:val="clear"/>
            <w:tcMar>
              <w:top w:type="dxa" w:w="0"/>
              <w:left w:type="dxa" w:w="108"/>
              <w:bottom w:type="dxa" w:w="0"/>
              <w:right w:type="dxa" w:w="108"/>
            </w:tcMar>
            <w:vAlign w:val="center"/>
          </w:tcPr>
          <w:p w14:paraId="4A000000">
            <w:pPr>
              <w:spacing w:after="0"/>
              <w:ind/>
              <w:jc w:val="center"/>
              <w:rPr>
                <w:rFonts w:ascii="Arial" w:hAnsi="Arial"/>
                <w:b w:val="1"/>
                <w:color w:val="FFFFFF"/>
                <w:sz w:val="20"/>
              </w:rPr>
            </w:pPr>
            <w:r>
              <w:rPr>
                <w:rFonts w:ascii="Arial" w:hAnsi="Arial"/>
                <w:b w:val="1"/>
                <w:color w:val="FFFFFF"/>
                <w:sz w:val="20"/>
              </w:rPr>
              <w:t>Возможность одностороннего отказа от исполнения контракта в соответствии с положениями частей 8 - 24 статьи 95 Федерального закона от 05.04.2013г. №44-ФЗ</w:t>
            </w:r>
          </w:p>
        </w:tc>
      </w:tr>
      <w:tr>
        <w:trPr>
          <w:trHeight w:hRule="atLeast" w:val="429"/>
        </w:trPr>
        <w:tc>
          <w:tcPr>
            <w:tcW w:type="dxa" w:w="9944"/>
            <w:gridSpan w:val="2"/>
            <w:tcBorders>
              <w:top w:color="000000" w:sz="4" w:val="single"/>
              <w:left w:color="000000" w:sz="4" w:val="single"/>
              <w:bottom w:color="000000" w:sz="4" w:val="single"/>
              <w:right w:color="000000" w:sz="4" w:val="single"/>
            </w:tcBorders>
            <w:shd w:themeFill="background1" w:val="clear"/>
            <w:tcMar>
              <w:top w:type="dxa" w:w="0"/>
              <w:left w:type="dxa" w:w="108"/>
              <w:bottom w:type="dxa" w:w="0"/>
              <w:right w:type="dxa" w:w="108"/>
            </w:tcMar>
            <w:vAlign w:val="center"/>
          </w:tcPr>
          <w:p w14:paraId="4B000000">
            <w:pPr>
              <w:spacing w:after="0"/>
              <w:ind/>
            </w:pPr>
            <w:r>
              <w:tab/>
            </w:r>
            <w: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14:paraId="4C000000">
            <w:pPr>
              <w:spacing w:after="0"/>
              <w:ind/>
              <w:rPr>
                <w:i w:val="1"/>
              </w:rPr>
            </w:pPr>
            <w:r>
              <w:tab/>
            </w:r>
            <w:r>
              <w:t>Поставщик (подрядчик,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tc>
      </w:tr>
      <w:tr>
        <w:trPr>
          <w:trHeight w:hRule="atLeast" w:val="483"/>
        </w:trPr>
        <w:tc>
          <w:tcPr>
            <w:tcW w:type="dxa" w:w="964"/>
            <w:tcBorders>
              <w:top w:color="000000" w:sz="4" w:val="single"/>
              <w:left w:color="000000" w:sz="4" w:val="single"/>
              <w:bottom w:color="000000" w:sz="4" w:val="single"/>
              <w:right w:color="000000" w:sz="4" w:val="single"/>
            </w:tcBorders>
            <w:shd w:themeFill="background1" w:themeFillShade="80" w:val="clear"/>
            <w:tcMar>
              <w:top w:type="dxa" w:w="0"/>
              <w:left w:type="dxa" w:w="108"/>
              <w:bottom w:type="dxa" w:w="0"/>
              <w:right w:type="dxa" w:w="108"/>
            </w:tcMar>
            <w:vAlign w:val="center"/>
          </w:tcPr>
          <w:p w14:paraId="4D000000">
            <w:pPr>
              <w:spacing w:after="0"/>
              <w:ind/>
              <w:jc w:val="center"/>
              <w:rPr>
                <w:rFonts w:ascii="Arial" w:hAnsi="Arial"/>
                <w:b w:val="1"/>
                <w:color w:val="FFFFFF"/>
                <w:sz w:val="20"/>
              </w:rPr>
            </w:pPr>
            <w:r>
              <w:rPr>
                <w:rFonts w:ascii="Arial" w:hAnsi="Arial"/>
                <w:b w:val="1"/>
                <w:color w:val="FFFFFF"/>
                <w:sz w:val="20"/>
              </w:rPr>
              <w:t>12</w:t>
            </w:r>
          </w:p>
        </w:tc>
        <w:tc>
          <w:tcPr>
            <w:tcW w:type="dxa" w:w="8980"/>
            <w:tcBorders>
              <w:top w:color="000000" w:sz="4" w:val="single"/>
              <w:left w:color="000000" w:sz="4" w:val="single"/>
              <w:bottom w:color="000000" w:sz="4" w:val="single"/>
              <w:right w:color="000000" w:sz="4" w:val="single"/>
            </w:tcBorders>
            <w:shd w:themeFill="background1" w:themeFillShade="80" w:val="clear"/>
            <w:tcMar>
              <w:top w:type="dxa" w:w="0"/>
              <w:left w:type="dxa" w:w="108"/>
              <w:bottom w:type="dxa" w:w="0"/>
              <w:right w:type="dxa" w:w="108"/>
            </w:tcMar>
            <w:vAlign w:val="center"/>
          </w:tcPr>
          <w:p w14:paraId="4E000000">
            <w:pPr>
              <w:tabs>
                <w:tab w:leader="none" w:pos="1134" w:val="left"/>
              </w:tabs>
              <w:spacing w:after="0"/>
              <w:ind/>
              <w:jc w:val="center"/>
              <w:rPr>
                <w:rFonts w:ascii="Arial" w:hAnsi="Arial"/>
                <w:b w:val="1"/>
                <w:color w:val="FFFFFF"/>
                <w:sz w:val="20"/>
              </w:rPr>
            </w:pPr>
            <w:r>
              <w:rPr>
                <w:rFonts w:ascii="Arial" w:hAnsi="Arial"/>
                <w:b w:val="1"/>
                <w:color w:val="FFFFFF"/>
                <w:sz w:val="20"/>
              </w:rPr>
              <w:t>Размер обеспечения заявок на участие в электронном аукционе и порядок внесения денежных средств в качестве обеспечения заявок на участие в аукционе в электронной форме, а также условия независимой гарантии (пп.16 ч. 1 ст. 42 Федерального закона от 05.04.2013г. №44-ФЗ)</w:t>
            </w:r>
          </w:p>
        </w:tc>
      </w:tr>
      <w:tr>
        <w:trPr>
          <w:trHeight w:hRule="atLeast" w:val="616"/>
        </w:trPr>
        <w:tc>
          <w:tcPr>
            <w:tcW w:type="dxa" w:w="9944"/>
            <w:gridSpan w:val="2"/>
            <w:tcBorders>
              <w:top w:color="000000" w:sz="4" w:val="single"/>
              <w:left w:color="000000" w:sz="4" w:val="single"/>
              <w:right w:color="000000" w:sz="4" w:val="single"/>
            </w:tcBorders>
            <w:tcMar>
              <w:top w:type="dxa" w:w="0"/>
              <w:left w:type="dxa" w:w="108"/>
              <w:bottom w:type="dxa" w:w="0"/>
              <w:right w:type="dxa" w:w="108"/>
            </w:tcMar>
            <w:vAlign w:val="center"/>
          </w:tcPr>
          <w:p w14:paraId="4F000000">
            <w:pPr>
              <w:keepNext w:val="1"/>
              <w:ind/>
            </w:pPr>
            <w:r>
              <w:rPr>
                <w:color w:val="0000FF"/>
              </w:rPr>
              <w:tab/>
            </w:r>
            <w:r>
              <w:rPr>
                <w:b w:val="1"/>
                <w:color w:val="FF0000"/>
                <w:sz w:val="28"/>
                <w:vertAlign w:val="superscript"/>
              </w:rPr>
              <w:t>6</w:t>
            </w:r>
            <w:r>
              <w:t>Требование обеспечения заявок на участие в электронном аукционе</w:t>
            </w:r>
          </w:p>
          <w:p w14:paraId="50000000">
            <w:pPr>
              <w:keepNext w:val="1"/>
              <w:ind/>
            </w:pPr>
            <w:r>
              <w:rPr>
                <w:highlight w:val="lightGray"/>
              </w:rPr>
              <w:t xml:space="preserve">установлено в размере </w:t>
            </w:r>
            <w:r>
              <w:rPr>
                <w:highlight w:val="lightGray"/>
              </w:rPr>
              <w:t xml:space="preserve">0,5 </w:t>
            </w:r>
            <w:r>
              <w:rPr>
                <w:highlight w:val="lightGray"/>
              </w:rPr>
              <w:t>% от начальной (мак</w:t>
            </w:r>
            <w:r>
              <w:rPr>
                <w:highlight w:val="lightGray"/>
              </w:rPr>
              <w:t xml:space="preserve">симальной) цены контракта, что </w:t>
            </w:r>
            <w:r>
              <w:rPr>
                <w:highlight w:val="lightGray"/>
              </w:rPr>
              <w:t xml:space="preserve">составляет </w:t>
            </w:r>
            <w:r>
              <w:rPr>
                <w:highlight w:val="lightGray"/>
              </w:rPr>
              <w:t xml:space="preserve">  32 500</w:t>
            </w:r>
            <w:r>
              <w:rPr>
                <w:highlight w:val="lightGray"/>
              </w:rPr>
              <w:t xml:space="preserve"> (</w:t>
            </w:r>
            <w:r>
              <w:rPr>
                <w:highlight w:val="lightGray"/>
              </w:rPr>
              <w:t>тридцать две тысячи пятьсот</w:t>
            </w:r>
            <w:r>
              <w:rPr>
                <w:highlight w:val="lightGray"/>
              </w:rPr>
              <w:t xml:space="preserve">) руб. </w:t>
            </w:r>
            <w:r>
              <w:rPr>
                <w:highlight w:val="lightGray"/>
              </w:rPr>
              <w:t xml:space="preserve">00 </w:t>
            </w:r>
            <w:r>
              <w:rPr>
                <w:highlight w:val="lightGray"/>
              </w:rPr>
              <w:t xml:space="preserve">коп. </w:t>
            </w:r>
          </w:p>
        </w:tc>
      </w:tr>
      <w:tr>
        <w:trPr>
          <w:trHeight w:hRule="atLeast" w:val="336"/>
        </w:trPr>
        <w:tc>
          <w:tcPr>
            <w:tcW w:type="dxa" w:w="9944"/>
            <w:gridSpan w:val="2"/>
            <w:tcBorders>
              <w:left w:color="000000" w:sz="4" w:val="single"/>
              <w:bottom w:color="000000" w:sz="4" w:val="single"/>
              <w:right w:color="000000" w:sz="4" w:val="single"/>
            </w:tcBorders>
            <w:tcMar>
              <w:top w:type="dxa" w:w="0"/>
              <w:left w:type="dxa" w:w="108"/>
              <w:bottom w:type="dxa" w:w="0"/>
              <w:right w:type="dxa" w:w="108"/>
            </w:tcMar>
            <w:vAlign w:val="center"/>
          </w:tcPr>
          <w:p w14:paraId="51000000">
            <w:pPr>
              <w:keepNext w:val="1"/>
              <w:spacing w:after="0"/>
              <w:ind/>
              <w:rPr>
                <w:rStyle w:val="Style_8_ch"/>
              </w:rPr>
            </w:pPr>
            <w:r>
              <w:rPr>
                <w:i w:val="1"/>
              </w:rPr>
              <w:tab/>
            </w:r>
            <w:r>
              <w:rPr>
                <w:rStyle w:val="Style_8_ch"/>
              </w:rPr>
              <w:t>В случае если в соответствии с извещением о проведении настоящего электронного аукциона установлено требование обеспечения заявок на участие в электронном аукционе:</w:t>
            </w:r>
          </w:p>
          <w:p w14:paraId="52000000">
            <w:pPr>
              <w:spacing w:after="0"/>
              <w:ind/>
              <w:rPr>
                <w:i w:val="1"/>
              </w:rPr>
            </w:pPr>
            <w:r>
              <w:rPr>
                <w:rStyle w:val="Style_8_ch"/>
                <w:i w:val="1"/>
              </w:rPr>
              <w:tab/>
            </w:r>
            <w:r>
              <w:rPr>
                <w:i w:val="1"/>
              </w:rPr>
              <w:t>1. Обеспечение заявки на участие в закупке (далее – ОЗ) предоставляется в порядке, указанном в ст.44 Федерального закона от 5 апреля 2013г. №44-ФЗ, с учетом особенностей, установленных постановлением Правительства РФ от 10.04.2023г. №579, который может предоставляться одним из следующих способов:</w:t>
            </w:r>
          </w:p>
          <w:p w14:paraId="53000000">
            <w:pPr>
              <w:spacing w:after="0"/>
              <w:ind/>
              <w:rPr>
                <w:i w:val="1"/>
              </w:rPr>
            </w:pPr>
            <w:r>
              <w:rPr>
                <w:i w:val="1"/>
              </w:rPr>
              <w:tab/>
            </w:r>
            <w:r>
              <w:rPr>
                <w:i w:val="1"/>
              </w:rPr>
              <w:t xml:space="preserve">а) путем блокирования денежных средств на банковском счете, открытом участником закупке (далее – УЗ) в банке, включенном </w:t>
            </w:r>
            <w:r>
              <w:rPr>
                <w:i w:val="1"/>
                <w:shd w:themeFill="accent3" w:themeFillTint="66" w:val="clear"/>
              </w:rPr>
              <w:t>в перечень, который ведется Минфином России и размещается на официальном сайте Минфина России в информационно-телекоммуникационной сети "Интернет" (далее-</w:t>
            </w:r>
            <w:r>
              <w:rPr>
                <w:i w:val="1"/>
                <w:shd w:themeFill="accent3" w:themeFillTint="66" w:val="clear"/>
              </w:rPr>
              <w:t>Спецсчет</w:t>
            </w:r>
            <w:r>
              <w:rPr>
                <w:i w:val="1"/>
                <w:shd w:themeFill="accent3" w:themeFillTint="66" w:val="clear"/>
              </w:rPr>
              <w:t>),</w:t>
            </w:r>
            <w:r>
              <w:rPr>
                <w:i w:val="1"/>
              </w:rPr>
              <w:t xml:space="preserve"> для их перевода в случаях, предусмотренных ст.44 Федерального закона от 5 апреля 2013г. №44-ФЗ, на счет, на котором в </w:t>
            </w:r>
            <w:r>
              <w:rPr>
                <w:i w:val="1"/>
                <w:highlight w:val="white"/>
              </w:rPr>
              <w:t xml:space="preserve">соответствии с законодательством РФ учитываются операции со средствами, поступающими Заказчику, или в соответствующий бюджет бюджетной системы Российской Федерации. Требования к таким банкам, к договору </w:t>
            </w:r>
            <w:r>
              <w:rPr>
                <w:i w:val="1"/>
                <w:highlight w:val="white"/>
              </w:rPr>
              <w:t>Спецсчета</w:t>
            </w:r>
            <w:r>
              <w:rPr>
                <w:i w:val="1"/>
                <w:highlight w:val="white"/>
              </w:rPr>
              <w:t>, к порядку использования имеющегося</w:t>
            </w:r>
            <w:r>
              <w:rPr>
                <w:i w:val="1"/>
              </w:rPr>
              <w:t xml:space="preserve"> у УЗ банковского счета в качестве </w:t>
            </w:r>
            <w:r>
              <w:rPr>
                <w:i w:val="1"/>
              </w:rPr>
              <w:t>Спецсчета</w:t>
            </w:r>
            <w:r>
              <w:rPr>
                <w:i w:val="1"/>
              </w:rPr>
              <w:t xml:space="preserve"> устанавливаются Правительством РФ;</w:t>
            </w:r>
          </w:p>
          <w:p w14:paraId="54000000">
            <w:pPr>
              <w:spacing w:after="0"/>
              <w:ind/>
              <w:rPr>
                <w:i w:val="1"/>
              </w:rPr>
            </w:pPr>
            <w:r>
              <w:rPr>
                <w:i w:val="1"/>
              </w:rPr>
              <w:tab/>
            </w:r>
            <w:r>
              <w:rPr>
                <w:i w:val="1"/>
              </w:rPr>
              <w:t xml:space="preserve">б) путем предоставления независимой гарантии, соответствующей требованиям ст. 45 Федерального закона от 5 апреля 2013г. №44-ФЗ. Срок действия независимой гарантии должен составлять не </w:t>
            </w:r>
            <w:r>
              <w:rPr>
                <w:i w:val="1"/>
              </w:rPr>
              <w:t>менее  месяца</w:t>
            </w:r>
            <w:r>
              <w:rPr>
                <w:i w:val="1"/>
              </w:rPr>
              <w:t xml:space="preserve"> с даты окончания срока подачи заявок.</w:t>
            </w:r>
          </w:p>
          <w:p w14:paraId="55000000">
            <w:pPr>
              <w:spacing w:after="0"/>
              <w:ind/>
              <w:rPr>
                <w:i w:val="1"/>
              </w:rPr>
            </w:pPr>
            <w:r>
              <w:rPr>
                <w:i w:val="1"/>
              </w:rPr>
              <w:tab/>
            </w:r>
            <w:r>
              <w:rPr>
                <w:i w:val="1"/>
              </w:rPr>
              <w:t>в) путем внесения денежных средств на счет Комитета по госзаказу ЧР:</w:t>
            </w:r>
            <w:r>
              <w:t xml:space="preserve"> </w:t>
            </w:r>
            <w:r>
              <w:rPr>
                <w:i w:val="1"/>
              </w:rPr>
              <w:t>р/</w:t>
            </w:r>
            <w:r>
              <w:rPr>
                <w:i w:val="1"/>
              </w:rPr>
              <w:t>с  0322264396000009400</w:t>
            </w:r>
            <w:r>
              <w:rPr>
                <w:i w:val="1"/>
              </w:rPr>
              <w:t xml:space="preserve"> </w:t>
            </w:r>
            <w:r>
              <w:rPr>
                <w:color w:val="383838"/>
                <w:highlight w:val="white"/>
              </w:rPr>
              <w:t>ОКЦ № 12 ЮГУ Банка России//УФК по Чеченской Республике, г Грозный</w:t>
            </w:r>
            <w:r>
              <w:rPr>
                <w:i w:val="1"/>
              </w:rPr>
              <w:t>,</w:t>
            </w:r>
            <w:r>
              <w:t xml:space="preserve"> </w:t>
            </w:r>
            <w:r>
              <w:rPr>
                <w:i w:val="1"/>
              </w:rPr>
              <w:t>л/с 05942000050, БИК 019690001, ИНН 2016014690 (в случаях, предусмотренных Постановлением Правительства РФ от 10.04.2023г. №579).</w:t>
            </w:r>
          </w:p>
          <w:p w14:paraId="56000000">
            <w:pPr>
              <w:rPr>
                <w:i w:val="1"/>
              </w:rPr>
            </w:pPr>
            <w:r>
              <w:rPr>
                <w:i w:val="1"/>
              </w:rPr>
              <w:tab/>
            </w:r>
            <w:r>
              <w:rPr>
                <w:i w:val="1"/>
              </w:rPr>
              <w:t xml:space="preserve">2. Предприятия уголовно-исполнительной системы, организации инвалидов, указанные в ч. 2 ст. 29 Федерального закона от 5 апреля 2013г. №44-ФЗ, предоставляют Обеспечение в размере 0,5% начальной (максимальной) цены контракта (максимального значения цены контракта). </w:t>
            </w:r>
            <w:r>
              <w:rPr>
                <w:i w:val="1"/>
              </w:rPr>
              <w:t>Госуд-ные</w:t>
            </w:r>
            <w:r>
              <w:rPr>
                <w:i w:val="1"/>
              </w:rPr>
              <w:t xml:space="preserve">, </w:t>
            </w:r>
            <w:r>
              <w:rPr>
                <w:i w:val="1"/>
              </w:rPr>
              <w:t>муниц-ные</w:t>
            </w:r>
            <w:r>
              <w:rPr>
                <w:i w:val="1"/>
              </w:rPr>
              <w:t xml:space="preserve"> учреждения не предоставляют Обеспечение подаваемых ими заявок на участие в закупках.</w:t>
            </w:r>
          </w:p>
          <w:p w14:paraId="57000000">
            <w:pPr>
              <w:rPr>
                <w:i w:val="1"/>
              </w:rPr>
            </w:pPr>
            <w:r>
              <w:rPr>
                <w:i w:val="1"/>
              </w:rPr>
              <w:tab/>
            </w:r>
            <w:r>
              <w:rPr>
                <w:i w:val="1"/>
              </w:rPr>
              <w:t>3. Выбор способа Обеспечения осуществляется УЗ самостоятельно.</w:t>
            </w:r>
          </w:p>
        </w:tc>
      </w:tr>
      <w:tr>
        <w:trPr>
          <w:trHeight w:hRule="atLeast" w:val="409"/>
        </w:trPr>
        <w:tc>
          <w:tcPr>
            <w:tcW w:type="dxa" w:w="964"/>
            <w:tcBorders>
              <w:top w:color="000000" w:sz="4" w:val="single"/>
              <w:left w:color="000000" w:sz="4" w:val="single"/>
              <w:bottom w:color="000000" w:sz="4" w:val="single"/>
              <w:right w:color="000000" w:sz="4" w:val="single"/>
            </w:tcBorders>
            <w:shd w:themeFill="background1" w:themeFillShade="80" w:val="clear"/>
            <w:tcMar>
              <w:top w:type="dxa" w:w="0"/>
              <w:left w:type="dxa" w:w="108"/>
              <w:bottom w:type="dxa" w:w="0"/>
              <w:right w:type="dxa" w:w="108"/>
            </w:tcMar>
            <w:vAlign w:val="center"/>
          </w:tcPr>
          <w:p w14:paraId="58000000">
            <w:pPr>
              <w:spacing w:after="0"/>
              <w:ind/>
              <w:jc w:val="center"/>
              <w:rPr>
                <w:rFonts w:ascii="Arial" w:hAnsi="Arial"/>
                <w:b w:val="1"/>
                <w:color w:val="FFFFFF"/>
                <w:sz w:val="20"/>
              </w:rPr>
            </w:pPr>
            <w:r>
              <w:rPr>
                <w:rFonts w:ascii="Arial" w:hAnsi="Arial"/>
                <w:b w:val="1"/>
                <w:color w:val="FFFFFF"/>
                <w:sz w:val="20"/>
              </w:rPr>
              <w:t>13</w:t>
            </w:r>
          </w:p>
        </w:tc>
        <w:tc>
          <w:tcPr>
            <w:tcW w:type="dxa" w:w="8980"/>
            <w:tcBorders>
              <w:top w:color="000000" w:sz="4" w:val="single"/>
              <w:left w:color="000000" w:sz="4" w:val="single"/>
              <w:bottom w:color="000000" w:sz="4" w:val="single"/>
              <w:right w:color="000000" w:sz="4" w:val="single"/>
            </w:tcBorders>
            <w:shd w:themeFill="background1" w:themeFillShade="80" w:val="clear"/>
            <w:tcMar>
              <w:top w:type="dxa" w:w="0"/>
              <w:left w:type="dxa" w:w="108"/>
              <w:bottom w:type="dxa" w:w="0"/>
              <w:right w:type="dxa" w:w="108"/>
            </w:tcMar>
            <w:vAlign w:val="center"/>
          </w:tcPr>
          <w:p w14:paraId="59000000">
            <w:pPr>
              <w:tabs>
                <w:tab w:leader="none" w:pos="1134" w:val="left"/>
              </w:tabs>
              <w:spacing w:after="0"/>
              <w:ind/>
              <w:jc w:val="center"/>
              <w:rPr>
                <w:rFonts w:ascii="Arial" w:hAnsi="Arial"/>
                <w:b w:val="1"/>
                <w:color w:val="FFFFFF"/>
                <w:sz w:val="20"/>
              </w:rPr>
            </w:pPr>
            <w:r>
              <w:rPr>
                <w:rFonts w:ascii="Arial" w:hAnsi="Arial"/>
                <w:b w:val="1"/>
                <w:color w:val="FFFFFF"/>
                <w:sz w:val="20"/>
              </w:rPr>
              <w:t>Размер обеспечения исполнения контракта,  порядка его предоставления, требования к такому обеспечению</w:t>
            </w:r>
          </w:p>
        </w:tc>
      </w:tr>
      <w:tr>
        <w:trPr>
          <w:trHeight w:hRule="atLeast" w:val="409"/>
        </w:trPr>
        <w:tc>
          <w:tcPr>
            <w:tcW w:type="dxa" w:w="9944"/>
            <w:gridSpan w:val="2"/>
            <w:tcBorders>
              <w:top w:color="000000" w:sz="4" w:val="single"/>
              <w:left w:color="000000" w:sz="4" w:val="single"/>
              <w:bottom w:color="000000" w:sz="4" w:val="single"/>
              <w:right w:color="000000" w:sz="4" w:val="single"/>
            </w:tcBorders>
            <w:shd w:themeFill="background1" w:val="clear"/>
            <w:tcMar>
              <w:top w:type="dxa" w:w="0"/>
              <w:left w:type="dxa" w:w="108"/>
              <w:bottom w:type="dxa" w:w="0"/>
              <w:right w:type="dxa" w:w="108"/>
            </w:tcMar>
            <w:vAlign w:val="center"/>
          </w:tcPr>
          <w:p w14:paraId="5A000000">
            <w:pPr>
              <w:keepNext w:val="1"/>
              <w:keepLines w:val="1"/>
              <w:widowControl w:val="0"/>
              <w:spacing w:after="0"/>
              <w:ind/>
            </w:pPr>
            <w:r>
              <w:t>Требование о предоставлении обеспечения исполнения контракта</w:t>
            </w:r>
          </w:p>
          <w:p w14:paraId="5B000000">
            <w:pPr>
              <w:keepNext w:val="1"/>
              <w:keepLines w:val="1"/>
              <w:widowControl w:val="0"/>
              <w:spacing w:after="0"/>
              <w:ind/>
            </w:pPr>
            <w:r>
              <w:rPr>
                <w:highlight w:val="lightGray"/>
              </w:rPr>
              <w:t xml:space="preserve">установлено в размере </w:t>
            </w:r>
            <w:r>
              <w:rPr>
                <w:highlight w:val="lightGray"/>
              </w:rPr>
              <w:t xml:space="preserve">5 </w:t>
            </w:r>
            <w:r>
              <w:rPr>
                <w:highlight w:val="lightGray"/>
              </w:rPr>
              <w:t xml:space="preserve">% </w:t>
            </w:r>
            <w:r>
              <w:rPr>
                <w:highlight w:val="lightGray"/>
              </w:rPr>
              <w:t>от  цены</w:t>
            </w:r>
            <w:r>
              <w:rPr>
                <w:highlight w:val="lightGray"/>
              </w:rPr>
              <w:t xml:space="preserve"> контракта.</w:t>
            </w:r>
          </w:p>
          <w:p w14:paraId="5C000000">
            <w:pPr>
              <w:keepNext w:val="1"/>
              <w:keepLines w:val="1"/>
              <w:widowControl w:val="0"/>
              <w:spacing w:after="0"/>
              <w:ind/>
              <w:rPr>
                <w:i w:val="1"/>
                <w:color w:val="C00000"/>
                <w:sz w:val="22"/>
                <w:shd w:fill="D6E3BC" w:val="clear"/>
              </w:rPr>
            </w:pPr>
          </w:p>
          <w:p w14:paraId="5D000000">
            <w:pPr>
              <w:keepNext w:val="1"/>
              <w:keepLines w:val="1"/>
              <w:widowControl w:val="0"/>
              <w:spacing w:after="0" w:line="240" w:lineRule="exact"/>
              <w:ind/>
              <w:rPr>
                <w:i w:val="1"/>
              </w:rPr>
            </w:pPr>
            <w:r>
              <w:rPr>
                <w:i w:val="1"/>
                <w:color w:val="C00000"/>
                <w:sz w:val="22"/>
              </w:rPr>
              <w:tab/>
            </w:r>
            <w:r>
              <w:rPr>
                <w:i w:val="1"/>
              </w:rPr>
              <w:t xml:space="preserve"> Контракт заключается после предоставления участником закупки, с которым заключается контракт, обеспечения исполнения контракта в порядке, указанном </w:t>
            </w:r>
            <w:r>
              <w:rPr>
                <w:i w:val="1"/>
              </w:rPr>
              <w:t xml:space="preserve">в </w:t>
            </w:r>
            <w:r>
              <w:rPr>
                <w:i w:val="1"/>
                <w:highlight w:val="yellow"/>
              </w:rPr>
              <w:t xml:space="preserve"> ст.</w:t>
            </w:r>
            <w:r>
              <w:rPr>
                <w:i w:val="1"/>
                <w:highlight w:val="yellow"/>
              </w:rPr>
              <w:t xml:space="preserve"> </w:t>
            </w:r>
            <w:r>
              <w:rPr>
                <w:i w:val="1"/>
              </w:rPr>
              <w:t>96 Федерального закона от 5 апреля 2013 г. №44-ФЗ, с учетом положений статьи 37 Федерального закона от 5 апреля 2013 г. №44-ФЗ.</w:t>
            </w:r>
          </w:p>
          <w:p w14:paraId="5E000000">
            <w:pPr>
              <w:pStyle w:val="Style_9"/>
              <w:spacing w:line="240" w:lineRule="exact"/>
              <w:ind/>
              <w:rPr>
                <w:rFonts w:ascii="Times New Roman" w:hAnsi="Times New Roman"/>
                <w:i w:val="1"/>
                <w:sz w:val="24"/>
              </w:rPr>
            </w:pPr>
            <w:r>
              <w:rPr>
                <w:rFonts w:ascii="Times New Roman" w:hAnsi="Times New Roman"/>
                <w:i w:val="1"/>
                <w:sz w:val="24"/>
              </w:rPr>
              <w:t xml:space="preserve"> Обеспечение исполнения контракта может обеспечиваться предоставлением независимой гарантии, соответствующей требованиям </w:t>
            </w:r>
            <w:r>
              <w:rPr>
                <w:rFonts w:ascii="Times New Roman" w:hAnsi="Times New Roman"/>
                <w:i w:val="1"/>
                <w:sz w:val="24"/>
              </w:rPr>
              <w:fldChar w:fldCharType="begin"/>
            </w:r>
            <w:r>
              <w:rPr>
                <w:rFonts w:ascii="Times New Roman" w:hAnsi="Times New Roman"/>
                <w:i w:val="1"/>
                <w:sz w:val="24"/>
              </w:rPr>
              <w:instrText>HYPERLINK "http://ivo.garant.ru/#/document/77673809/entry/45"</w:instrText>
            </w:r>
            <w:r>
              <w:rPr>
                <w:rFonts w:ascii="Times New Roman" w:hAnsi="Times New Roman"/>
                <w:i w:val="1"/>
                <w:sz w:val="24"/>
              </w:rPr>
              <w:fldChar w:fldCharType="separate"/>
            </w:r>
            <w:r>
              <w:rPr>
                <w:rFonts w:ascii="Times New Roman" w:hAnsi="Times New Roman"/>
                <w:i w:val="1"/>
                <w:sz w:val="24"/>
              </w:rPr>
              <w:t>статьи 45</w:t>
            </w:r>
            <w:r>
              <w:rPr>
                <w:rFonts w:ascii="Times New Roman" w:hAnsi="Times New Roman"/>
                <w:i w:val="1"/>
                <w:sz w:val="24"/>
              </w:rPr>
              <w:fldChar w:fldCharType="end"/>
            </w:r>
            <w:r>
              <w:rPr>
                <w:rFonts w:ascii="Times New Roman" w:hAnsi="Times New Roman"/>
                <w:i w:val="1"/>
                <w:sz w:val="24"/>
              </w:rPr>
              <w:t xml:space="preserve"> Федерального закона от 05.04.2013 № 44-ФЗ, или внесением денежных средств на указанный в извещении о проведении закупки Заказчиком счет, на котором в соответствии с законодательством Российской Федерации учитываются операции со средствами, поступающими Заказчику.</w:t>
            </w:r>
          </w:p>
          <w:p w14:paraId="5F000000">
            <w:pPr>
              <w:pStyle w:val="Style_9"/>
              <w:spacing w:line="240" w:lineRule="exact"/>
              <w:ind/>
              <w:rPr>
                <w:rFonts w:ascii="Times New Roman" w:hAnsi="Times New Roman"/>
                <w:i w:val="1"/>
                <w:sz w:val="24"/>
              </w:rPr>
            </w:pPr>
            <w:r>
              <w:rPr>
                <w:rFonts w:ascii="Times New Roman" w:hAnsi="Times New Roman"/>
                <w:i w:val="1"/>
                <w:sz w:val="24"/>
              </w:rPr>
              <w:t xml:space="preserve"> Способ обеспечения исполнения контракта, срок действия независимой гарантии определяются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r>
              <w:rPr>
                <w:rFonts w:ascii="Times New Roman" w:hAnsi="Times New Roman"/>
                <w:i w:val="1"/>
                <w:sz w:val="24"/>
              </w:rPr>
              <w:fldChar w:fldCharType="begin"/>
            </w:r>
            <w:r>
              <w:rPr>
                <w:rFonts w:ascii="Times New Roman" w:hAnsi="Times New Roman"/>
                <w:i w:val="1"/>
                <w:sz w:val="24"/>
              </w:rPr>
              <w:instrText>HYPERLINK "http://ivo.garant.ru/#/document/77673809/entry/95"</w:instrText>
            </w:r>
            <w:r>
              <w:rPr>
                <w:rFonts w:ascii="Times New Roman" w:hAnsi="Times New Roman"/>
                <w:i w:val="1"/>
                <w:sz w:val="24"/>
              </w:rPr>
              <w:fldChar w:fldCharType="separate"/>
            </w:r>
            <w:r>
              <w:rPr>
                <w:rFonts w:ascii="Times New Roman" w:hAnsi="Times New Roman"/>
                <w:i w:val="1"/>
                <w:sz w:val="24"/>
              </w:rPr>
              <w:t>статьей 95</w:t>
            </w:r>
            <w:r>
              <w:rPr>
                <w:rFonts w:ascii="Times New Roman" w:hAnsi="Times New Roman"/>
                <w:i w:val="1"/>
                <w:sz w:val="24"/>
              </w:rPr>
              <w:fldChar w:fldCharType="end"/>
            </w:r>
            <w:r>
              <w:rPr>
                <w:rFonts w:ascii="Times New Roman" w:hAnsi="Times New Roman"/>
                <w:i w:val="1"/>
                <w:sz w:val="24"/>
              </w:rPr>
              <w:t xml:space="preserve"> Федерального закона от 05.04.2013 № 44-ФЗ.</w:t>
            </w:r>
          </w:p>
          <w:p w14:paraId="60000000">
            <w:pPr>
              <w:spacing w:after="0" w:line="240" w:lineRule="exact"/>
              <w:ind w:firstLine="567"/>
              <w:rPr>
                <w:i w:val="1"/>
              </w:rPr>
            </w:pPr>
            <w:r>
              <w:rPr>
                <w:i w:val="1"/>
              </w:rPr>
              <w:t xml:space="preserve"> Положения (требование) об обеспечении исполнения контракта, включая положения о предоставлении такого обеспечения с учетом положений статьи 37 Федерального закона от 5 апреля 2013 г. №44-ФЗ не применяются в случае заключения контракта с участником закупки, который является казенным учреждением.</w:t>
            </w:r>
          </w:p>
          <w:p w14:paraId="61000000">
            <w:pPr>
              <w:pStyle w:val="Style_9"/>
              <w:spacing w:line="240" w:lineRule="exact"/>
              <w:ind/>
              <w:rPr>
                <w:b w:val="1"/>
                <w:color w:val="FFFFFF"/>
                <w:sz w:val="20"/>
              </w:rPr>
            </w:pPr>
            <w:r>
              <w:rPr>
                <w:rFonts w:ascii="Times New Roman" w:hAnsi="Times New Roman"/>
                <w:i w:val="1"/>
                <w:sz w:val="24"/>
              </w:rPr>
              <w:t>Участник закупки, с которым заключается контракт по результатам определения поставщика (подрядчика, исполнителя) в соответствии с п. 1 ч. 1 ст. 30 Федерального закона от 5 апреля 2013 г. №44-ФЗ освобождается от предоставления обеспечения исполнения контракта, в том числе с учетом положений ст. 37 Федерального закона от 5 апреля 2013 г. №44-ФЗ случае предоставления таким участником закупки информации, предусмотренном ч. 8.1 ст. Федерального закона от 5 апреля 2013 г. №44-ФЗ.</w:t>
            </w:r>
          </w:p>
        </w:tc>
      </w:tr>
      <w:tr>
        <w:trPr>
          <w:trHeight w:hRule="atLeast" w:val="409"/>
        </w:trPr>
        <w:tc>
          <w:tcPr>
            <w:tcW w:type="dxa" w:w="964"/>
            <w:tcBorders>
              <w:top w:color="000000" w:sz="4" w:val="single"/>
              <w:left w:color="000000" w:sz="4" w:val="single"/>
              <w:bottom w:color="000000" w:sz="4" w:val="single"/>
              <w:right w:color="000000" w:sz="4" w:val="single"/>
            </w:tcBorders>
            <w:shd w:themeFill="background1" w:themeFillShade="80" w:val="clear"/>
            <w:tcMar>
              <w:top w:type="dxa" w:w="0"/>
              <w:left w:type="dxa" w:w="108"/>
              <w:bottom w:type="dxa" w:w="0"/>
              <w:right w:type="dxa" w:w="108"/>
            </w:tcMar>
            <w:vAlign w:val="center"/>
          </w:tcPr>
          <w:p w14:paraId="62000000">
            <w:pPr>
              <w:tabs>
                <w:tab w:leader="none" w:pos="1134" w:val="left"/>
              </w:tabs>
              <w:spacing w:after="0"/>
              <w:ind/>
              <w:jc w:val="center"/>
              <w:rPr>
                <w:rFonts w:ascii="Arial" w:hAnsi="Arial"/>
                <w:b w:val="1"/>
                <w:color w:val="FFFFFF"/>
                <w:sz w:val="20"/>
              </w:rPr>
            </w:pPr>
            <w:r>
              <w:rPr>
                <w:rFonts w:ascii="Arial" w:hAnsi="Arial"/>
                <w:b w:val="1"/>
                <w:color w:val="FFFFFF"/>
                <w:sz w:val="20"/>
              </w:rPr>
              <w:t>14</w:t>
            </w:r>
          </w:p>
        </w:tc>
        <w:tc>
          <w:tcPr>
            <w:tcW w:type="dxa" w:w="8980"/>
            <w:tcBorders>
              <w:top w:color="000000" w:sz="4" w:val="single"/>
              <w:left w:color="000000" w:sz="4" w:val="single"/>
              <w:bottom w:color="000000" w:sz="4" w:val="single"/>
              <w:right w:color="000000" w:sz="4" w:val="single"/>
            </w:tcBorders>
            <w:shd w:themeFill="background1" w:themeFillShade="80" w:val="clear"/>
            <w:tcMar>
              <w:top w:type="dxa" w:w="0"/>
              <w:left w:type="dxa" w:w="108"/>
              <w:bottom w:type="dxa" w:w="0"/>
              <w:right w:type="dxa" w:w="108"/>
            </w:tcMar>
            <w:vAlign w:val="center"/>
          </w:tcPr>
          <w:p w14:paraId="63000000">
            <w:pPr>
              <w:tabs>
                <w:tab w:leader="none" w:pos="1134" w:val="left"/>
              </w:tabs>
              <w:spacing w:after="0"/>
              <w:ind/>
              <w:jc w:val="center"/>
              <w:rPr>
                <w:rFonts w:ascii="Arial" w:hAnsi="Arial"/>
                <w:b w:val="1"/>
                <w:color w:val="FFFFFF"/>
                <w:sz w:val="20"/>
              </w:rPr>
            </w:pPr>
            <w:r>
              <w:rPr>
                <w:rFonts w:ascii="Arial" w:hAnsi="Arial"/>
                <w:b w:val="1"/>
                <w:color w:val="FFFFFF"/>
                <w:sz w:val="20"/>
              </w:rPr>
              <w:t>Размер обеспечения гарантийных обязательств, краткое описание порядка его предоставления, требования к такому обеспечению</w:t>
            </w:r>
          </w:p>
        </w:tc>
      </w:tr>
      <w:tr>
        <w:trPr>
          <w:trHeight w:hRule="atLeast" w:val="676"/>
        </w:trPr>
        <w:tc>
          <w:tcPr>
            <w:tcW w:type="dxa" w:w="9944"/>
            <w:gridSpan w:val="2"/>
            <w:tcBorders>
              <w:top w:color="000000" w:sz="4" w:val="single"/>
              <w:left w:color="000000" w:sz="4" w:val="single"/>
              <w:right w:color="000000" w:sz="4" w:val="single"/>
            </w:tcBorders>
            <w:shd w:themeFill="background1" w:val="clear"/>
            <w:tcMar>
              <w:top w:type="dxa" w:w="0"/>
              <w:left w:type="dxa" w:w="108"/>
              <w:bottom w:type="dxa" w:w="0"/>
              <w:right w:type="dxa" w:w="108"/>
            </w:tcMar>
            <w:vAlign w:val="center"/>
          </w:tcPr>
          <w:p w14:paraId="64000000">
            <w:pPr>
              <w:keepNext w:val="1"/>
              <w:keepLines w:val="1"/>
              <w:widowControl w:val="0"/>
              <w:spacing w:after="0"/>
              <w:ind/>
            </w:pPr>
            <w:r>
              <w:tab/>
            </w:r>
            <w:r>
              <w:t xml:space="preserve">Заказчик </w:t>
            </w:r>
            <w:r>
              <w:tab/>
            </w:r>
            <w:r>
              <w:rPr>
                <w:highlight w:val="lightGray"/>
              </w:rPr>
              <w:t>не установил требование предоставления обеспечения гарантийных обязательств.</w:t>
            </w:r>
          </w:p>
          <w:p w14:paraId="65000000">
            <w:pPr>
              <w:spacing w:after="0"/>
              <w:ind/>
            </w:pPr>
          </w:p>
        </w:tc>
      </w:tr>
      <w:tr>
        <w:tc>
          <w:tcPr>
            <w:tcW w:type="dxa" w:w="964"/>
            <w:tcBorders>
              <w:top w:color="000000" w:sz="4" w:val="single"/>
              <w:left w:color="000000" w:sz="4" w:val="single"/>
              <w:bottom w:color="000000" w:sz="4" w:val="single"/>
              <w:right w:color="000000" w:sz="4" w:val="single"/>
            </w:tcBorders>
            <w:shd w:themeFill="background1" w:themeFillShade="80" w:val="clear"/>
            <w:tcMar>
              <w:top w:type="dxa" w:w="0"/>
              <w:left w:type="dxa" w:w="108"/>
              <w:bottom w:type="dxa" w:w="0"/>
              <w:right w:type="dxa" w:w="108"/>
            </w:tcMar>
            <w:vAlign w:val="center"/>
          </w:tcPr>
          <w:p w14:paraId="66000000">
            <w:pPr>
              <w:tabs>
                <w:tab w:leader="none" w:pos="1134" w:val="left"/>
              </w:tabs>
              <w:spacing w:after="0"/>
              <w:ind/>
              <w:jc w:val="center"/>
              <w:rPr>
                <w:rFonts w:ascii="Arial" w:hAnsi="Arial"/>
                <w:b w:val="1"/>
                <w:color w:val="FFFFFF"/>
                <w:sz w:val="20"/>
              </w:rPr>
            </w:pPr>
            <w:r>
              <w:rPr>
                <w:rFonts w:ascii="Arial" w:hAnsi="Arial"/>
                <w:b w:val="1"/>
                <w:color w:val="FFFFFF"/>
                <w:sz w:val="20"/>
              </w:rPr>
              <w:t>15</w:t>
            </w:r>
          </w:p>
        </w:tc>
        <w:tc>
          <w:tcPr>
            <w:tcW w:type="dxa" w:w="8980"/>
            <w:tcBorders>
              <w:top w:color="000000" w:sz="4" w:val="single"/>
              <w:left w:color="000000" w:sz="4" w:val="single"/>
              <w:bottom w:color="000000" w:sz="4" w:val="single"/>
              <w:right w:color="000000" w:sz="4" w:val="single"/>
            </w:tcBorders>
            <w:shd w:themeFill="background1" w:themeFillShade="80" w:val="clear"/>
            <w:tcMar>
              <w:top w:type="dxa" w:w="0"/>
              <w:left w:type="dxa" w:w="108"/>
              <w:bottom w:type="dxa" w:w="0"/>
              <w:right w:type="dxa" w:w="108"/>
            </w:tcMar>
            <w:vAlign w:val="center"/>
          </w:tcPr>
          <w:p w14:paraId="67000000">
            <w:pPr>
              <w:tabs>
                <w:tab w:leader="none" w:pos="1134" w:val="left"/>
              </w:tabs>
              <w:spacing w:after="0"/>
              <w:ind w:firstLine="334"/>
              <w:jc w:val="center"/>
              <w:rPr>
                <w:rFonts w:ascii="Arial" w:hAnsi="Arial"/>
                <w:b w:val="1"/>
                <w:color w:val="FFFFFF"/>
                <w:sz w:val="20"/>
              </w:rPr>
            </w:pPr>
            <w:r>
              <w:rPr>
                <w:rFonts w:ascii="Arial" w:hAnsi="Arial"/>
                <w:b w:val="1"/>
                <w:color w:val="FFFFFF"/>
                <w:sz w:val="20"/>
              </w:rPr>
              <w:t>Реквизиты счета, на котором в соответствии с законодательством Российской Федерации учитываются операции со средствами, поступающими заказчику, (п.16 ч.1 ст.42 Федерального закона от 5 апреля 2013 г. от 05.04.2013г. №44-ФЗ)</w:t>
            </w:r>
          </w:p>
        </w:tc>
      </w:tr>
      <w:tr>
        <w:tc>
          <w:tcPr>
            <w:tcW w:type="dxa" w:w="9944"/>
            <w:gridSpan w:val="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68000000">
            <w:r>
              <w:t>Получатель: Министерство труда, занятости и социального развития Чеченской Республики,</w:t>
            </w:r>
          </w:p>
          <w:p w14:paraId="69000000">
            <w:r>
              <w:t>ИНН: 2005000311,</w:t>
            </w:r>
          </w:p>
          <w:p w14:paraId="6A000000">
            <w:r>
              <w:t>КПП: 201401001,</w:t>
            </w:r>
          </w:p>
          <w:p w14:paraId="6B000000">
            <w:r>
              <w:t>р/с: 03222643960000009400</w:t>
            </w:r>
          </w:p>
          <w:p w14:paraId="6C000000">
            <w:r>
              <w:t xml:space="preserve">л/с: 05942000740  </w:t>
            </w:r>
          </w:p>
          <w:p w14:paraId="6D000000">
            <w:pPr>
              <w:rPr>
                <w:highlight w:val="lightGray"/>
              </w:rPr>
            </w:pPr>
            <w:r>
              <w:t>ОКЦ № 12 ЮГУ Банка России // УФК по Чеченской Республике, г. Грозный</w:t>
            </w:r>
          </w:p>
          <w:p w14:paraId="6E000000">
            <w:pPr>
              <w:tabs>
                <w:tab w:leader="none" w:pos="1134" w:val="left"/>
              </w:tabs>
              <w:spacing w:after="0"/>
              <w:ind/>
              <w:rPr>
                <w:rFonts w:ascii="Arial" w:hAnsi="Arial"/>
                <w:b w:val="1"/>
                <w:color w:val="FFFFFF"/>
                <w:sz w:val="20"/>
              </w:rPr>
            </w:pPr>
            <w:r>
              <w:t>БИК 019690001.</w:t>
            </w:r>
          </w:p>
        </w:tc>
      </w:tr>
      <w:tr>
        <w:tc>
          <w:tcPr>
            <w:tcW w:type="dxa" w:w="964"/>
            <w:tcBorders>
              <w:top w:color="000000" w:sz="4" w:val="single"/>
              <w:left w:color="000000" w:sz="4" w:val="single"/>
              <w:bottom w:color="000000" w:sz="4" w:val="single"/>
              <w:right w:color="000000" w:sz="4" w:val="single"/>
            </w:tcBorders>
            <w:shd w:themeFill="background1" w:themeFillShade="80" w:val="clear"/>
            <w:tcMar>
              <w:top w:type="dxa" w:w="0"/>
              <w:left w:type="dxa" w:w="108"/>
              <w:bottom w:type="dxa" w:w="0"/>
              <w:right w:type="dxa" w:w="108"/>
            </w:tcMar>
            <w:vAlign w:val="center"/>
          </w:tcPr>
          <w:p w14:paraId="6F000000">
            <w:pPr>
              <w:tabs>
                <w:tab w:leader="none" w:pos="1134" w:val="left"/>
              </w:tabs>
              <w:spacing w:after="0"/>
              <w:ind/>
              <w:jc w:val="center"/>
              <w:rPr>
                <w:rFonts w:ascii="Arial" w:hAnsi="Arial"/>
                <w:b w:val="1"/>
                <w:color w:val="FFFFFF"/>
                <w:sz w:val="20"/>
              </w:rPr>
            </w:pPr>
            <w:r>
              <w:rPr>
                <w:rFonts w:ascii="Arial" w:hAnsi="Arial"/>
                <w:b w:val="1"/>
                <w:color w:val="FFFFFF"/>
                <w:sz w:val="20"/>
              </w:rPr>
              <w:t>16</w:t>
            </w:r>
          </w:p>
        </w:tc>
        <w:tc>
          <w:tcPr>
            <w:tcW w:type="dxa" w:w="8980"/>
            <w:tcBorders>
              <w:top w:color="000000" w:sz="4" w:val="single"/>
              <w:left w:color="000000" w:sz="4" w:val="single"/>
              <w:bottom w:color="000000" w:sz="4" w:val="single"/>
              <w:right w:color="000000" w:sz="4" w:val="single"/>
            </w:tcBorders>
            <w:shd w:themeFill="background1" w:themeFillShade="80" w:val="clear"/>
            <w:tcMar>
              <w:top w:type="dxa" w:w="0"/>
              <w:left w:type="dxa" w:w="108"/>
              <w:bottom w:type="dxa" w:w="0"/>
              <w:right w:type="dxa" w:w="108"/>
            </w:tcMar>
            <w:vAlign w:val="center"/>
          </w:tcPr>
          <w:p w14:paraId="70000000">
            <w:pPr>
              <w:tabs>
                <w:tab w:leader="none" w:pos="1134" w:val="left"/>
              </w:tabs>
              <w:spacing w:after="0"/>
              <w:ind w:firstLine="334"/>
              <w:jc w:val="center"/>
              <w:rPr>
                <w:rFonts w:ascii="Arial" w:hAnsi="Arial"/>
                <w:b w:val="1"/>
                <w:color w:val="FFFFFF"/>
                <w:sz w:val="20"/>
              </w:rPr>
            </w:pPr>
            <w:r>
              <w:rPr>
                <w:rFonts w:ascii="Arial" w:hAnsi="Arial"/>
                <w:b w:val="1"/>
                <w:color w:val="FFFFFF"/>
                <w:sz w:val="20"/>
              </w:rPr>
              <w:t>Реквизиты счета для перечисления денежных средств в случае, предусмотренном частью 13 статьи 44 Федерального закона (п.16 ч.1 ст.42 Федерального закона от 5 апреля 2013 г. от 05.04.2013г. №44-ФЗ)</w:t>
            </w:r>
          </w:p>
        </w:tc>
      </w:tr>
      <w:tr>
        <w:tc>
          <w:tcPr>
            <w:tcW w:type="dxa" w:w="9944"/>
            <w:gridSpan w:val="2"/>
            <w:tcBorders>
              <w:top w:color="000000" w:sz="4" w:val="single"/>
              <w:left w:color="000000" w:sz="4" w:val="single"/>
              <w:bottom w:color="000000" w:sz="4" w:val="single"/>
              <w:right w:color="000000" w:sz="4" w:val="single"/>
            </w:tcBorders>
            <w:shd w:themeFill="background1" w:val="clear"/>
            <w:tcMar>
              <w:top w:type="dxa" w:w="0"/>
              <w:left w:type="dxa" w:w="108"/>
              <w:bottom w:type="dxa" w:w="0"/>
              <w:right w:type="dxa" w:w="108"/>
            </w:tcMar>
            <w:vAlign w:val="center"/>
          </w:tcPr>
          <w:p w14:paraId="71000000">
            <w:pPr>
              <w:keepNext w:val="1"/>
              <w:keepLines w:val="1"/>
              <w:widowControl w:val="0"/>
              <w:spacing w:after="0" w:line="276" w:lineRule="auto"/>
              <w:ind/>
            </w:pPr>
            <w:r>
              <w:t>Получатель: Министерство труда, занятости и социального развития Чеченской Республики,</w:t>
            </w:r>
          </w:p>
          <w:p w14:paraId="72000000">
            <w:pPr>
              <w:keepNext w:val="1"/>
              <w:keepLines w:val="1"/>
              <w:widowControl w:val="0"/>
              <w:spacing w:after="0" w:line="276" w:lineRule="auto"/>
              <w:ind/>
            </w:pPr>
            <w:r>
              <w:t>ИНН: 2005000311,</w:t>
            </w:r>
          </w:p>
          <w:p w14:paraId="73000000">
            <w:pPr>
              <w:keepNext w:val="1"/>
              <w:keepLines w:val="1"/>
              <w:widowControl w:val="0"/>
              <w:spacing w:after="0" w:line="276" w:lineRule="auto"/>
              <w:ind/>
            </w:pPr>
            <w:r>
              <w:t>КПП: 201401001,</w:t>
            </w:r>
          </w:p>
          <w:p w14:paraId="74000000">
            <w:pPr>
              <w:keepNext w:val="1"/>
              <w:keepLines w:val="1"/>
              <w:widowControl w:val="0"/>
              <w:spacing w:after="0" w:line="276" w:lineRule="auto"/>
              <w:ind/>
            </w:pPr>
            <w:r>
              <w:t>КБК доходов: 20011610056020000140,</w:t>
            </w:r>
          </w:p>
          <w:p w14:paraId="75000000">
            <w:pPr>
              <w:keepNext w:val="1"/>
              <w:keepLines w:val="1"/>
              <w:widowControl w:val="0"/>
              <w:spacing w:after="0" w:line="276" w:lineRule="auto"/>
              <w:ind/>
            </w:pPr>
            <w:r>
              <w:t>ОКТМО: 96701000001,</w:t>
            </w:r>
          </w:p>
          <w:p w14:paraId="76000000">
            <w:pPr>
              <w:keepNext w:val="1"/>
              <w:keepLines w:val="1"/>
              <w:widowControl w:val="0"/>
              <w:spacing w:after="0" w:line="276" w:lineRule="auto"/>
              <w:ind/>
            </w:pPr>
            <w:r>
              <w:t>Номер единого казначейского счета: 40102810945370000083,</w:t>
            </w:r>
          </w:p>
          <w:p w14:paraId="77000000">
            <w:pPr>
              <w:keepNext w:val="1"/>
              <w:keepLines w:val="1"/>
              <w:widowControl w:val="0"/>
              <w:spacing w:after="0" w:line="276" w:lineRule="auto"/>
              <w:ind/>
            </w:pPr>
            <w:r>
              <w:t>Номер казначейского счета: 03100643000000019400,</w:t>
            </w:r>
          </w:p>
          <w:p w14:paraId="78000000">
            <w:r>
              <w:t>БИК ТОФК 019690001.</w:t>
            </w:r>
          </w:p>
        </w:tc>
      </w:tr>
      <w:tr>
        <w:trPr>
          <w:trHeight w:hRule="atLeast" w:val="502"/>
        </w:trPr>
        <w:tc>
          <w:tcPr>
            <w:tcW w:type="dxa" w:w="964"/>
            <w:tcBorders>
              <w:top w:color="000000" w:sz="4" w:val="single"/>
              <w:left w:color="000000" w:sz="4" w:val="single"/>
              <w:bottom w:color="000000" w:sz="4" w:val="single"/>
              <w:right w:color="000000" w:sz="4" w:val="single"/>
            </w:tcBorders>
            <w:shd w:themeFill="background1" w:themeFillShade="80" w:val="clear"/>
            <w:tcMar>
              <w:top w:type="dxa" w:w="0"/>
              <w:left w:type="dxa" w:w="108"/>
              <w:bottom w:type="dxa" w:w="0"/>
              <w:right w:type="dxa" w:w="108"/>
            </w:tcMar>
            <w:vAlign w:val="center"/>
          </w:tcPr>
          <w:p w14:paraId="79000000">
            <w:pPr>
              <w:tabs>
                <w:tab w:leader="none" w:pos="1134" w:val="left"/>
              </w:tabs>
              <w:spacing w:after="0"/>
              <w:ind/>
              <w:jc w:val="center"/>
              <w:rPr>
                <w:rFonts w:ascii="Arial" w:hAnsi="Arial"/>
                <w:b w:val="1"/>
                <w:color w:val="FFFFFF"/>
                <w:sz w:val="20"/>
              </w:rPr>
            </w:pPr>
            <w:r>
              <w:rPr>
                <w:rFonts w:ascii="Arial" w:hAnsi="Arial"/>
                <w:b w:val="1"/>
                <w:color w:val="FFFFFF"/>
                <w:sz w:val="20"/>
              </w:rPr>
              <w:t>17</w:t>
            </w:r>
          </w:p>
        </w:tc>
        <w:tc>
          <w:tcPr>
            <w:tcW w:type="dxa" w:w="8980"/>
            <w:tcBorders>
              <w:top w:color="000000" w:sz="4" w:val="single"/>
              <w:left w:color="000000" w:sz="4" w:val="single"/>
              <w:bottom w:color="000000" w:sz="4" w:val="single"/>
              <w:right w:color="000000" w:sz="4" w:val="single"/>
            </w:tcBorders>
            <w:shd w:themeFill="background1" w:themeFillShade="80" w:val="clear"/>
            <w:tcMar>
              <w:top w:type="dxa" w:w="0"/>
              <w:left w:type="dxa" w:w="108"/>
              <w:bottom w:type="dxa" w:w="0"/>
              <w:right w:type="dxa" w:w="108"/>
            </w:tcMar>
            <w:vAlign w:val="center"/>
          </w:tcPr>
          <w:p w14:paraId="7A000000">
            <w:pPr>
              <w:tabs>
                <w:tab w:leader="none" w:pos="1134" w:val="left"/>
              </w:tabs>
              <w:spacing w:after="0"/>
              <w:ind w:firstLine="334"/>
              <w:jc w:val="center"/>
              <w:rPr>
                <w:rFonts w:ascii="Arial" w:hAnsi="Arial"/>
                <w:b w:val="1"/>
                <w:color w:val="FFFFFF"/>
                <w:sz w:val="20"/>
                <w:highlight w:val="green"/>
              </w:rPr>
            </w:pPr>
            <w:r>
              <w:rPr>
                <w:rFonts w:ascii="Arial" w:hAnsi="Arial"/>
                <w:b w:val="1"/>
                <w:color w:val="FFFFFF"/>
                <w:sz w:val="20"/>
              </w:rPr>
              <w:t>Информация о банковском сопровождении контракта</w:t>
            </w:r>
          </w:p>
        </w:tc>
      </w:tr>
      <w:tr>
        <w:trPr>
          <w:trHeight w:hRule="atLeast" w:val="502"/>
        </w:trPr>
        <w:tc>
          <w:tcPr>
            <w:tcW w:type="dxa" w:w="9944"/>
            <w:gridSpan w:val="2"/>
            <w:tcBorders>
              <w:top w:color="000000" w:sz="4" w:val="single"/>
              <w:left w:color="000000" w:sz="4" w:val="single"/>
              <w:bottom w:color="000000" w:sz="4" w:val="single"/>
              <w:right w:color="000000" w:sz="4" w:val="single"/>
            </w:tcBorders>
            <w:shd w:themeFill="background1" w:val="clear"/>
            <w:tcMar>
              <w:top w:type="dxa" w:w="0"/>
              <w:left w:type="dxa" w:w="108"/>
              <w:bottom w:type="dxa" w:w="0"/>
              <w:right w:type="dxa" w:w="108"/>
            </w:tcMar>
            <w:vAlign w:val="center"/>
          </w:tcPr>
          <w:p w14:paraId="7B000000">
            <w:pPr>
              <w:keepNext w:val="1"/>
              <w:keepLines w:val="1"/>
              <w:widowControl w:val="0"/>
              <w:spacing w:after="0" w:line="276" w:lineRule="auto"/>
              <w:ind/>
              <w:rPr>
                <w:rFonts w:ascii="Arial" w:hAnsi="Arial"/>
                <w:b w:val="1"/>
                <w:color w:val="FFFFFF"/>
                <w:sz w:val="20"/>
              </w:rPr>
            </w:pPr>
            <w:r>
              <w:t>Банковское сопровождение контракта не предусмотрено.</w:t>
            </w:r>
          </w:p>
        </w:tc>
      </w:tr>
      <w:tr>
        <w:trPr>
          <w:trHeight w:hRule="atLeast" w:val="502"/>
        </w:trPr>
        <w:tc>
          <w:tcPr>
            <w:tcW w:type="dxa" w:w="964"/>
            <w:tcBorders>
              <w:top w:color="000000" w:sz="4" w:val="single"/>
              <w:left w:color="000000" w:sz="4" w:val="single"/>
              <w:bottom w:color="000000" w:sz="4" w:val="single"/>
              <w:right w:color="000000" w:sz="4" w:val="single"/>
            </w:tcBorders>
            <w:shd w:themeFill="background1" w:themeFillShade="80" w:val="clear"/>
            <w:tcMar>
              <w:top w:type="dxa" w:w="0"/>
              <w:left w:type="dxa" w:w="108"/>
              <w:bottom w:type="dxa" w:w="0"/>
              <w:right w:type="dxa" w:w="108"/>
            </w:tcMar>
            <w:vAlign w:val="center"/>
          </w:tcPr>
          <w:p w14:paraId="7C000000">
            <w:pPr>
              <w:tabs>
                <w:tab w:leader="none" w:pos="1134" w:val="left"/>
              </w:tabs>
              <w:spacing w:after="0"/>
              <w:ind/>
              <w:jc w:val="center"/>
              <w:rPr>
                <w:rFonts w:ascii="Arial" w:hAnsi="Arial"/>
                <w:b w:val="1"/>
                <w:color w:val="FFFFFF"/>
                <w:sz w:val="20"/>
              </w:rPr>
            </w:pPr>
            <w:r>
              <w:rPr>
                <w:rFonts w:ascii="Arial" w:hAnsi="Arial"/>
                <w:b w:val="1"/>
                <w:color w:val="FFFFFF"/>
                <w:sz w:val="20"/>
              </w:rPr>
              <w:t>18</w:t>
            </w:r>
          </w:p>
        </w:tc>
        <w:tc>
          <w:tcPr>
            <w:tcW w:type="dxa" w:w="8980"/>
            <w:tcBorders>
              <w:top w:color="000000" w:sz="4" w:val="single"/>
              <w:left w:color="000000" w:sz="4" w:val="single"/>
              <w:bottom w:color="000000" w:sz="4" w:val="single"/>
              <w:right w:color="000000" w:sz="4" w:val="single"/>
            </w:tcBorders>
            <w:shd w:themeFill="background1" w:themeFillShade="80" w:val="clear"/>
            <w:tcMar>
              <w:top w:type="dxa" w:w="0"/>
              <w:left w:type="dxa" w:w="108"/>
              <w:bottom w:type="dxa" w:w="0"/>
              <w:right w:type="dxa" w:w="108"/>
            </w:tcMar>
            <w:vAlign w:val="center"/>
          </w:tcPr>
          <w:p w14:paraId="7D000000">
            <w:pPr>
              <w:tabs>
                <w:tab w:leader="none" w:pos="1134" w:val="left"/>
              </w:tabs>
              <w:spacing w:after="0"/>
              <w:ind w:firstLine="334"/>
              <w:jc w:val="center"/>
              <w:rPr>
                <w:rFonts w:ascii="Arial" w:hAnsi="Arial"/>
                <w:b w:val="1"/>
                <w:color w:val="FFFFFF"/>
                <w:sz w:val="20"/>
              </w:rPr>
            </w:pPr>
            <w:r>
              <w:rPr>
                <w:rFonts w:ascii="Arial" w:hAnsi="Arial"/>
                <w:b w:val="1"/>
                <w:color w:val="FFFFFF"/>
                <w:sz w:val="20"/>
              </w:rPr>
              <w:t>Информация о казначейском сопровождении контракта</w:t>
            </w:r>
          </w:p>
        </w:tc>
      </w:tr>
      <w:tr>
        <w:trPr>
          <w:trHeight w:hRule="atLeast" w:val="502"/>
        </w:trPr>
        <w:tc>
          <w:tcPr>
            <w:tcW w:type="dxa" w:w="9944"/>
            <w:gridSpan w:val="2"/>
            <w:tcBorders>
              <w:top w:color="000000" w:sz="4" w:val="single"/>
              <w:left w:color="000000" w:sz="4" w:val="single"/>
              <w:bottom w:color="000000" w:sz="4" w:val="single"/>
              <w:right w:color="000000" w:sz="4" w:val="single"/>
            </w:tcBorders>
            <w:shd w:themeFill="background1" w:val="clear"/>
            <w:tcMar>
              <w:top w:type="dxa" w:w="0"/>
              <w:left w:type="dxa" w:w="108"/>
              <w:bottom w:type="dxa" w:w="0"/>
              <w:right w:type="dxa" w:w="108"/>
            </w:tcMar>
            <w:vAlign w:val="center"/>
          </w:tcPr>
          <w:p w14:paraId="7E000000">
            <w:pPr>
              <w:keepNext w:val="1"/>
              <w:keepLines w:val="1"/>
              <w:widowControl w:val="0"/>
              <w:spacing w:after="0"/>
              <w:ind/>
              <w:rPr>
                <w:i w:val="1"/>
                <w:color w:val="C00000"/>
                <w:sz w:val="22"/>
              </w:rPr>
            </w:pPr>
            <w:r>
              <w:rPr>
                <w:highlight w:val="white"/>
              </w:rPr>
              <w:t>Казначейское сопровождение контракта</w:t>
            </w:r>
            <w:r>
              <w:rPr>
                <w:i w:val="1"/>
                <w:color w:val="C00000"/>
                <w:sz w:val="22"/>
              </w:rPr>
              <w:t xml:space="preserve"> </w:t>
            </w:r>
            <w:r>
              <w:rPr>
                <w:highlight w:val="lightGray"/>
              </w:rPr>
              <w:t>не требуется</w:t>
            </w:r>
            <w:r>
              <w:t>.</w:t>
            </w:r>
          </w:p>
          <w:p w14:paraId="7F000000">
            <w:pPr>
              <w:keepNext w:val="1"/>
              <w:keepLines w:val="1"/>
              <w:widowControl w:val="0"/>
              <w:spacing w:after="0"/>
              <w:ind/>
              <w:rPr>
                <w:rFonts w:ascii="Arial" w:hAnsi="Arial"/>
                <w:b w:val="1"/>
                <w:color w:val="FFFFFF"/>
                <w:sz w:val="20"/>
              </w:rPr>
            </w:pPr>
            <w:r>
              <w:rPr>
                <w:i w:val="1"/>
                <w:color w:val="C00000"/>
                <w:sz w:val="22"/>
              </w:rPr>
              <w:tab/>
            </w:r>
          </w:p>
        </w:tc>
      </w:tr>
      <w:tr>
        <w:trPr>
          <w:trHeight w:hRule="atLeast" w:val="502"/>
        </w:trPr>
        <w:tc>
          <w:tcPr>
            <w:tcW w:type="dxa" w:w="964"/>
            <w:tcBorders>
              <w:top w:color="000000" w:sz="4" w:val="single"/>
              <w:left w:color="000000" w:sz="4" w:val="single"/>
              <w:bottom w:color="000000" w:sz="4" w:val="single"/>
              <w:right w:color="000000" w:sz="4" w:val="single"/>
            </w:tcBorders>
            <w:shd w:themeFill="background1" w:themeFillShade="80" w:val="clear"/>
            <w:tcMar>
              <w:top w:type="dxa" w:w="0"/>
              <w:left w:type="dxa" w:w="108"/>
              <w:bottom w:type="dxa" w:w="0"/>
              <w:right w:type="dxa" w:w="108"/>
            </w:tcMar>
            <w:vAlign w:val="center"/>
          </w:tcPr>
          <w:p w14:paraId="80000000">
            <w:pPr>
              <w:spacing w:after="0"/>
              <w:ind/>
              <w:jc w:val="center"/>
              <w:rPr>
                <w:rFonts w:ascii="Arial" w:hAnsi="Arial"/>
                <w:b w:val="1"/>
                <w:color w:val="FFFFFF"/>
                <w:sz w:val="20"/>
              </w:rPr>
            </w:pPr>
            <w:r>
              <w:rPr>
                <w:rFonts w:ascii="Arial" w:hAnsi="Arial"/>
                <w:b w:val="1"/>
                <w:color w:val="FFFFFF"/>
                <w:sz w:val="20"/>
              </w:rPr>
              <w:t>19</w:t>
            </w:r>
          </w:p>
        </w:tc>
        <w:tc>
          <w:tcPr>
            <w:tcW w:type="dxa" w:w="8980"/>
            <w:tcBorders>
              <w:top w:color="000000" w:sz="4" w:val="single"/>
              <w:left w:color="000000" w:sz="4" w:val="single"/>
              <w:bottom w:color="000000" w:sz="4" w:val="single"/>
              <w:right w:color="000000" w:sz="4" w:val="single"/>
            </w:tcBorders>
            <w:shd w:themeFill="background1" w:themeFillShade="80" w:val="clear"/>
            <w:tcMar>
              <w:top w:type="dxa" w:w="0"/>
              <w:left w:type="dxa" w:w="108"/>
              <w:bottom w:type="dxa" w:w="0"/>
              <w:right w:type="dxa" w:w="108"/>
            </w:tcMar>
            <w:vAlign w:val="center"/>
          </w:tcPr>
          <w:p w14:paraId="81000000">
            <w:pPr>
              <w:spacing w:after="0"/>
              <w:ind/>
              <w:jc w:val="center"/>
              <w:rPr>
                <w:rFonts w:ascii="Arial" w:hAnsi="Arial"/>
                <w:b w:val="1"/>
                <w:color w:val="FFFFFF"/>
                <w:sz w:val="20"/>
              </w:rPr>
            </w:pPr>
            <w:r>
              <w:rPr>
                <w:rFonts w:ascii="Arial" w:hAnsi="Arial"/>
                <w:b w:val="1"/>
                <w:color w:val="FFFFFF"/>
                <w:sz w:val="20"/>
              </w:rPr>
              <w:t>Предупреждение об административной и уголовной ответственности</w:t>
            </w:r>
          </w:p>
        </w:tc>
      </w:tr>
      <w:tr>
        <w:trPr>
          <w:trHeight w:hRule="atLeast" w:val="406"/>
        </w:trPr>
        <w:tc>
          <w:tcPr>
            <w:tcW w:type="dxa" w:w="9944"/>
            <w:gridSpan w:val="2"/>
            <w:tcBorders>
              <w:top w:color="000000" w:sz="4" w:val="single"/>
              <w:left w:color="000000" w:sz="4" w:val="single"/>
              <w:bottom w:color="000000" w:sz="4" w:val="single"/>
              <w:right w:color="000000" w:sz="4" w:val="single"/>
            </w:tcBorders>
            <w:shd w:themeFill="background1" w:val="clear"/>
            <w:tcMar>
              <w:top w:type="dxa" w:w="0"/>
              <w:left w:type="dxa" w:w="108"/>
              <w:bottom w:type="dxa" w:w="0"/>
              <w:right w:type="dxa" w:w="108"/>
            </w:tcMar>
            <w:vAlign w:val="center"/>
          </w:tcPr>
          <w:p w14:paraId="82000000">
            <w:pPr>
              <w:spacing w:after="0"/>
              <w:ind/>
              <w:rPr>
                <w:rFonts w:ascii="Arial" w:hAnsi="Arial"/>
                <w:b w:val="1"/>
                <w:color w:val="FFFFFF"/>
                <w:sz w:val="20"/>
              </w:rPr>
            </w:pPr>
            <w:r>
              <w:tab/>
            </w:r>
            <w:r>
              <w:rPr>
                <w:highlight w:val="white"/>
              </w:rPr>
              <w:t>Участник закупки несет административную и уголовную ответственность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p>
        </w:tc>
      </w:tr>
    </w:tbl>
    <w:p w14:paraId="83000000">
      <w:pPr>
        <w:pStyle w:val="Style_6"/>
        <w:numPr>
          <w:ilvl w:val="0"/>
          <w:numId w:val="0"/>
        </w:numPr>
        <w:spacing w:after="240"/>
        <w:ind w:left="720"/>
        <w:jc w:val="center"/>
        <w:rPr>
          <w:rFonts w:ascii="Times New Roman" w:hAnsi="Times New Roman"/>
        </w:rPr>
      </w:pPr>
      <w:r>
        <w:rPr>
          <w:rFonts w:ascii="Times New Roman" w:hAnsi="Times New Roman"/>
        </w:rPr>
        <w:t>Предоставление национального режима при осуществлении закупок</w:t>
      </w:r>
    </w:p>
    <w:tbl>
      <w:tblPr>
        <w:tblStyle w:val="Style_7"/>
        <w:tblW w:type="auto" w:w="0"/>
        <w:tblInd w:type="dxa" w:w="-34"/>
        <w:tblLayout w:type="fixed"/>
      </w:tblPr>
      <w:tblGrid>
        <w:gridCol w:w="993"/>
        <w:gridCol w:w="8929"/>
      </w:tblGrid>
      <w:tr>
        <w:trPr>
          <w:trHeight w:hRule="atLeast" w:val="443"/>
        </w:trPr>
        <w:tc>
          <w:tcPr>
            <w:tcW w:type="dxa" w:w="993"/>
            <w:tcBorders>
              <w:top w:color="000000" w:sz="4" w:val="single"/>
              <w:left w:color="000000" w:sz="4" w:val="single"/>
              <w:bottom w:color="000000" w:sz="4" w:val="single"/>
              <w:right w:color="000000" w:sz="4" w:val="single"/>
            </w:tcBorders>
            <w:shd w:themeFill="background1" w:themeFillShade="80" w:val="clear"/>
            <w:tcMar>
              <w:top w:type="dxa" w:w="0"/>
              <w:left w:type="dxa" w:w="108"/>
              <w:bottom w:type="dxa" w:w="0"/>
              <w:right w:type="dxa" w:w="108"/>
            </w:tcMar>
            <w:vAlign w:val="center"/>
          </w:tcPr>
          <w:p w14:paraId="84000000">
            <w:pPr>
              <w:spacing w:after="0"/>
              <w:ind/>
              <w:jc w:val="center"/>
              <w:rPr>
                <w:rFonts w:ascii="Arial" w:hAnsi="Arial"/>
                <w:b w:val="1"/>
                <w:color w:val="FFFFFF"/>
                <w:sz w:val="20"/>
              </w:rPr>
            </w:pPr>
            <w:r>
              <w:rPr>
                <w:rFonts w:ascii="Arial" w:hAnsi="Arial"/>
                <w:b w:val="1"/>
                <w:color w:val="FFFFFF"/>
                <w:sz w:val="20"/>
              </w:rPr>
              <w:t>20</w:t>
            </w:r>
          </w:p>
        </w:tc>
        <w:tc>
          <w:tcPr>
            <w:tcW w:type="dxa" w:w="8929"/>
            <w:tcBorders>
              <w:top w:color="000000" w:sz="4" w:val="single"/>
              <w:left w:color="000000" w:sz="4" w:val="single"/>
              <w:bottom w:color="000000" w:sz="4" w:val="single"/>
              <w:right w:color="000000" w:sz="4" w:val="single"/>
            </w:tcBorders>
            <w:shd w:themeFill="background1" w:themeFillShade="80" w:val="clear"/>
            <w:tcMar>
              <w:top w:type="dxa" w:w="0"/>
              <w:left w:type="dxa" w:w="108"/>
              <w:bottom w:type="dxa" w:w="0"/>
              <w:right w:type="dxa" w:w="108"/>
            </w:tcMar>
            <w:vAlign w:val="center"/>
          </w:tcPr>
          <w:p w14:paraId="85000000">
            <w:pPr>
              <w:tabs>
                <w:tab w:leader="none" w:pos="1134" w:val="left"/>
              </w:tabs>
              <w:spacing w:after="0"/>
              <w:ind/>
              <w:jc w:val="center"/>
              <w:rPr>
                <w:rFonts w:ascii="Arial" w:hAnsi="Arial"/>
                <w:b w:val="1"/>
                <w:color w:val="FFFFFF"/>
                <w:sz w:val="20"/>
              </w:rPr>
            </w:pPr>
            <w:r>
              <w:rPr>
                <w:rFonts w:ascii="Arial" w:hAnsi="Arial"/>
                <w:b w:val="1"/>
                <w:color w:val="FFFFFF"/>
                <w:sz w:val="20"/>
              </w:rPr>
              <w:t>Информация для участников закупки</w:t>
            </w:r>
          </w:p>
        </w:tc>
      </w:tr>
      <w:tr>
        <w:trPr>
          <w:trHeight w:hRule="atLeast" w:val="524"/>
        </w:trPr>
        <w:tc>
          <w:tcPr>
            <w:tcW w:type="dxa" w:w="9922"/>
            <w:gridSpan w:val="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86000000">
            <w:pPr>
              <w:spacing w:after="0" w:before="120"/>
              <w:ind/>
            </w:pPr>
            <w:r>
              <w:tab/>
            </w:r>
            <w:r>
              <w:t>В случае если в соответствии со ст. 14 Федерального закона от 5 апреля 2013 г. от 05.04.2013г. №44-ФЗ и постановлением Правительства РФ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Правительства РФ от 23 декабря 2024 г. № 1875) извещении о закупке установлены:</w:t>
            </w:r>
          </w:p>
          <w:p w14:paraId="87000000">
            <w:pPr>
              <w:spacing w:after="0" w:before="120"/>
              <w:ind/>
            </w:pPr>
            <w:r>
              <w:tab/>
            </w:r>
            <w: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88000000">
            <w:pPr>
              <w:spacing w:after="0" w:before="120"/>
              <w:ind/>
            </w:pPr>
            <w:r>
              <w:tab/>
            </w:r>
            <w: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89000000">
            <w:pPr>
              <w:spacing w:after="0" w:before="120"/>
              <w:ind/>
            </w:pPr>
            <w:r>
              <w:tab/>
            </w:r>
            <w: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8A000000">
            <w:pPr>
              <w:spacing w:after="0"/>
              <w:ind/>
            </w:pPr>
            <w:r>
              <w:t>участник закупки предоставляет в составе заявки на участие в закупке информацию и документы, предусмотренные Постановлением Правительства РФ от 23 декабря 2024 г. № 1875:</w:t>
            </w:r>
          </w:p>
          <w:p w14:paraId="8B000000">
            <w:pPr>
              <w:pStyle w:val="Style_10"/>
              <w:spacing w:before="43" w:line="264" w:lineRule="auto"/>
              <w:ind w:right="129"/>
            </w:pPr>
            <w:r>
              <w:tab/>
            </w:r>
            <w:r>
              <w:t>1) положения Постановлением Правительства РФ от 23 декабря 2024 г. № 1875, касающиеся товара российского происхождения, работы, услуги, соответственно</w:t>
            </w:r>
            <w:r>
              <w:rPr>
                <w:spacing w:val="40"/>
              </w:rPr>
              <w:t xml:space="preserve"> </w:t>
            </w:r>
            <w:r>
              <w:t xml:space="preserve">выполняемой, оказываемой российским гражданином, российским юридическим лицом, применяются также в отношении товара, происходящего из государства - члена Евразийского экономического союза, работы, услуги, соответственно выполняемой, </w:t>
            </w:r>
            <w:r>
              <w:t>оказываемой иностранным лицом, зарегистрированным на территории государства - члена Евразийского</w:t>
            </w:r>
            <w:r>
              <w:rPr>
                <w:spacing w:val="40"/>
              </w:rPr>
              <w:t xml:space="preserve"> </w:t>
            </w:r>
            <w:r>
              <w:t>экономического союза;</w:t>
            </w:r>
          </w:p>
          <w:p w14:paraId="8C000000">
            <w:pPr>
              <w:pStyle w:val="Style_10"/>
              <w:spacing w:before="43"/>
              <w:ind w:right="129"/>
            </w:pPr>
            <w:r>
              <w:tab/>
            </w:r>
            <w:r>
              <w:t>2) участник закупки при подаче заявки на участие в закупке, а также при исполнении контракта, заключенного по итогам закупки, должен соблюдать также требования, указанные в  ст. 14 Федерального закона от 5 апреля 2013 г. от 05.04.2013г. №44-ФЗ и  Постановлении Правительства РФ от 23 декабря 2024 г. № 1875;</w:t>
            </w:r>
          </w:p>
          <w:p w14:paraId="8D000000">
            <w:pPr>
              <w:pStyle w:val="Style_10"/>
              <w:spacing w:before="43" w:line="264" w:lineRule="auto"/>
              <w:ind w:right="129"/>
            </w:pPr>
            <w:r>
              <w:tab/>
            </w:r>
            <w:r>
              <w:t>3) заявки на участие в закупке рассматриваются также с учетом требований,  установленных ст. 14 Федерального закона от 5 апреля 2013г. от 05.04.2013г. №44-ФЗ и  Постановлении Правительства РФ от 23 декабря 2024 г. № 1875.</w:t>
            </w:r>
          </w:p>
          <w:p w14:paraId="8E000000">
            <w:pPr>
              <w:spacing w:after="0" w:line="240" w:lineRule="exact"/>
              <w:ind/>
            </w:pPr>
          </w:p>
        </w:tc>
      </w:tr>
    </w:tbl>
    <w:p w14:paraId="8F000000">
      <w:pPr>
        <w:spacing w:after="0"/>
        <w:ind/>
        <w:jc w:val="left"/>
      </w:pPr>
    </w:p>
    <w:p w14:paraId="90000000">
      <w:pPr>
        <w:pStyle w:val="Style_6"/>
        <w:numPr>
          <w:ilvl w:val="0"/>
          <w:numId w:val="0"/>
        </w:numPr>
        <w:spacing w:after="0" w:before="0"/>
        <w:ind w:left="720"/>
        <w:jc w:val="center"/>
        <w:rPr>
          <w:rFonts w:ascii="Times New Roman" w:hAnsi="Times New Roman"/>
        </w:rPr>
      </w:pPr>
      <w:bookmarkStart w:id="13" w:name="Требования_к_участникам"/>
      <w:bookmarkEnd w:id="13"/>
      <w:r>
        <w:rPr>
          <w:rFonts w:ascii="Times New Roman" w:hAnsi="Times New Roman"/>
        </w:rPr>
        <w:t>Преимущества участникам электронного аукциона</w:t>
      </w:r>
    </w:p>
    <w:p w14:paraId="91000000"/>
    <w:tbl>
      <w:tblPr>
        <w:tblStyle w:val="Style_7"/>
        <w:tblW w:type="auto" w:w="0"/>
        <w:tblInd w:type="dxa" w:w="-34"/>
        <w:tblLayout w:type="fixed"/>
      </w:tblPr>
      <w:tblGrid>
        <w:gridCol w:w="1035"/>
        <w:gridCol w:w="8897"/>
      </w:tblGrid>
      <w:tr>
        <w:trPr>
          <w:trHeight w:hRule="atLeast" w:val="504"/>
        </w:trPr>
        <w:tc>
          <w:tcPr>
            <w:tcW w:type="dxa" w:w="1035"/>
            <w:tcBorders>
              <w:top w:color="000000" w:sz="4" w:val="single"/>
              <w:left w:color="000000" w:sz="4" w:val="single"/>
              <w:bottom w:color="000000" w:sz="4" w:val="single"/>
              <w:right w:color="000000" w:sz="4" w:val="single"/>
            </w:tcBorders>
            <w:shd w:themeFill="background1" w:themeFillShade="80" w:val="clear"/>
            <w:tcMar>
              <w:top w:type="dxa" w:w="0"/>
              <w:left w:type="dxa" w:w="108"/>
              <w:bottom w:type="dxa" w:w="0"/>
              <w:right w:type="dxa" w:w="108"/>
            </w:tcMar>
            <w:vAlign w:val="center"/>
          </w:tcPr>
          <w:p w14:paraId="92000000">
            <w:pPr>
              <w:spacing w:after="0"/>
              <w:ind/>
              <w:jc w:val="center"/>
              <w:rPr>
                <w:rFonts w:ascii="Arial" w:hAnsi="Arial"/>
                <w:b w:val="1"/>
                <w:color w:val="FFFFFF"/>
                <w:sz w:val="20"/>
              </w:rPr>
            </w:pPr>
            <w:r>
              <w:rPr>
                <w:rFonts w:ascii="Arial" w:hAnsi="Arial"/>
                <w:b w:val="1"/>
                <w:color w:val="FFFFFF"/>
                <w:sz w:val="20"/>
              </w:rPr>
              <w:t>21</w:t>
            </w:r>
          </w:p>
        </w:tc>
        <w:tc>
          <w:tcPr>
            <w:tcW w:type="dxa" w:w="8897"/>
            <w:tcBorders>
              <w:top w:color="000000" w:sz="4" w:val="single"/>
              <w:left w:color="000000" w:sz="4" w:val="single"/>
              <w:bottom w:color="000000" w:sz="4" w:val="single"/>
              <w:right w:color="000000" w:sz="4" w:val="single"/>
            </w:tcBorders>
            <w:shd w:themeFill="text1" w:themeFillTint="80" w:val="clear"/>
            <w:tcMar>
              <w:top w:type="dxa" w:w="0"/>
              <w:left w:type="dxa" w:w="108"/>
              <w:bottom w:type="dxa" w:w="0"/>
              <w:right w:type="dxa" w:w="108"/>
            </w:tcMar>
            <w:vAlign w:val="center"/>
          </w:tcPr>
          <w:p w14:paraId="93000000">
            <w:pPr>
              <w:spacing w:after="0"/>
              <w:ind/>
              <w:jc w:val="center"/>
              <w:rPr>
                <w:rFonts w:ascii="Arial" w:hAnsi="Arial"/>
                <w:b w:val="1"/>
                <w:color w:val="FFFFFF"/>
                <w:sz w:val="20"/>
              </w:rPr>
            </w:pPr>
            <w:r>
              <w:rPr>
                <w:rFonts w:ascii="Arial" w:hAnsi="Arial"/>
                <w:b w:val="1"/>
                <w:color w:val="FFFFFF"/>
                <w:sz w:val="20"/>
              </w:rPr>
              <w:t>Преимущества организациям инвалидов в соответствии со</w:t>
            </w:r>
          </w:p>
          <w:p w14:paraId="94000000">
            <w:pPr>
              <w:spacing w:after="0"/>
              <w:ind/>
              <w:jc w:val="center"/>
              <w:rPr>
                <w:rFonts w:ascii="Arial" w:hAnsi="Arial"/>
                <w:b w:val="1"/>
                <w:color w:val="FFFFFF"/>
                <w:sz w:val="20"/>
              </w:rPr>
            </w:pPr>
            <w:r>
              <w:rPr>
                <w:rFonts w:ascii="Arial" w:hAnsi="Arial"/>
                <w:b w:val="1"/>
                <w:color w:val="FFFFFF"/>
                <w:sz w:val="20"/>
              </w:rPr>
              <w:t xml:space="preserve"> ст. 29. Федерального закона №44-ФЗ (п.13 ч. 1 ст. 42 Федерального закона №44-ФЗ)</w:t>
            </w:r>
          </w:p>
        </w:tc>
      </w:tr>
      <w:tr>
        <w:trPr>
          <w:trHeight w:hRule="atLeast" w:val="504"/>
        </w:trPr>
        <w:tc>
          <w:tcPr>
            <w:tcW w:type="dxa" w:w="9932"/>
            <w:gridSpan w:val="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95000000">
            <w:pPr>
              <w:spacing w:after="0"/>
              <w:ind w:firstLine="720"/>
            </w:pPr>
            <w:r>
              <w:rPr>
                <w:highlight w:val="lightGray"/>
              </w:rPr>
              <w:t>Не установлены</w:t>
            </w:r>
            <w:r>
              <w:t xml:space="preserve"> преимущества организациям инвалидов в отношении предлагаемых ими цены контракта (суммы цен единиц товара, работы, услуги в случае, если количество поставляемых товаров, объем подлежащих выполнению работ, оказанию услуг невозможно определить) в соответствии со ст. 29 Федерального закона от 05.04.2013г. №44-ФЗ.</w:t>
            </w:r>
          </w:p>
          <w:p w14:paraId="96000000">
            <w:pPr>
              <w:spacing w:after="0"/>
              <w:ind w:firstLine="720"/>
            </w:pPr>
            <w:r>
              <w:t>В случае если в соответствии с извещением о проведении настоящего электронного аукциона организациям инвалидов предоставлены преимущества в отношении предлагаемой ими цены контракта (суммы цен единиц товара, работы, услуги в случае, если количество поставляемых товаров, объем подлежащих выполнению работ, оказанию услуг невозможно определить)) цена контракта, цена каждой единицы товара, работы, услуги (в случае, предусмотренном частью 24 статьи 22 Федерального закона  от 5 апреля 2013г. №44-ФЗ) увеличивается на пятнадцать процентов соответственно от цены контракта, предложенной таким участником закупки, от цены единицы товара, работы, услуги, определенной в соответствии с Федеральным законом от 5 апреля 2013 г. №44-ФЗ на основании предложения такого участника о сумме цен единиц товара, работы, услуги.</w:t>
            </w:r>
          </w:p>
          <w:p w14:paraId="97000000">
            <w:pPr>
              <w:spacing w:after="0"/>
              <w:ind w:firstLine="720"/>
            </w:pPr>
            <w:r>
              <w:t>Такое увеличение не может превышать начальную (максимальную) цену контракта, начальные цены единиц товара, работы, услуги.</w:t>
            </w:r>
          </w:p>
          <w:p w14:paraId="98000000">
            <w:pPr>
              <w:spacing w:after="0"/>
              <w:ind/>
              <w:jc w:val="center"/>
              <w:rPr>
                <w:rFonts w:ascii="Arial" w:hAnsi="Arial"/>
                <w:b w:val="1"/>
                <w:color w:val="FFFFFF"/>
                <w:sz w:val="20"/>
              </w:rPr>
            </w:pPr>
          </w:p>
        </w:tc>
      </w:tr>
      <w:tr>
        <w:trPr>
          <w:trHeight w:hRule="atLeast" w:val="504"/>
        </w:trPr>
        <w:tc>
          <w:tcPr>
            <w:tcW w:type="dxa" w:w="1035"/>
            <w:tcBorders>
              <w:top w:color="000000" w:sz="4" w:val="single"/>
              <w:left w:color="000000" w:sz="4" w:val="single"/>
              <w:bottom w:color="000000" w:sz="4" w:val="single"/>
              <w:right w:color="000000" w:sz="4" w:val="single"/>
            </w:tcBorders>
            <w:shd w:themeFill="background1" w:themeFillShade="80" w:val="clear"/>
            <w:tcMar>
              <w:top w:type="dxa" w:w="0"/>
              <w:left w:type="dxa" w:w="108"/>
              <w:bottom w:type="dxa" w:w="0"/>
              <w:right w:type="dxa" w:w="108"/>
            </w:tcMar>
            <w:vAlign w:val="center"/>
          </w:tcPr>
          <w:p w14:paraId="99000000">
            <w:pPr>
              <w:spacing w:after="0"/>
              <w:ind/>
              <w:jc w:val="center"/>
              <w:rPr>
                <w:rFonts w:ascii="Arial" w:hAnsi="Arial"/>
                <w:b w:val="1"/>
                <w:color w:val="FFFFFF"/>
                <w:sz w:val="20"/>
              </w:rPr>
            </w:pPr>
            <w:r>
              <w:rPr>
                <w:rFonts w:ascii="Arial" w:hAnsi="Arial"/>
                <w:b w:val="1"/>
                <w:color w:val="FFFFFF"/>
                <w:sz w:val="20"/>
              </w:rPr>
              <w:t>22</w:t>
            </w:r>
          </w:p>
        </w:tc>
        <w:tc>
          <w:tcPr>
            <w:tcW w:type="dxa" w:w="8897"/>
            <w:tcBorders>
              <w:top w:color="000000" w:sz="4" w:val="single"/>
              <w:left w:color="000000" w:sz="4" w:val="single"/>
              <w:bottom w:color="000000" w:sz="4" w:val="single"/>
              <w:right w:color="000000" w:sz="4" w:val="single"/>
            </w:tcBorders>
            <w:shd w:themeFill="text1" w:themeFillTint="80" w:val="clear"/>
            <w:tcMar>
              <w:top w:type="dxa" w:w="0"/>
              <w:left w:type="dxa" w:w="108"/>
              <w:bottom w:type="dxa" w:w="0"/>
              <w:right w:type="dxa" w:w="108"/>
            </w:tcMar>
            <w:vAlign w:val="center"/>
          </w:tcPr>
          <w:p w14:paraId="9A000000">
            <w:pPr>
              <w:spacing w:after="0"/>
              <w:ind/>
              <w:jc w:val="center"/>
              <w:rPr>
                <w:rFonts w:ascii="Arial" w:hAnsi="Arial"/>
                <w:b w:val="1"/>
                <w:color w:val="FFFFFF"/>
                <w:sz w:val="20"/>
              </w:rPr>
            </w:pPr>
            <w:r>
              <w:rPr>
                <w:rFonts w:ascii="Arial" w:hAnsi="Arial"/>
                <w:b w:val="1"/>
                <w:color w:val="FFFFFF"/>
                <w:sz w:val="20"/>
              </w:rPr>
              <w:t>Преимущество участникам закупок в соответствии с ч.3 ст. 30 Федерального закона от 05.04.2013г. №44-ФЗ</w:t>
            </w:r>
          </w:p>
        </w:tc>
      </w:tr>
      <w:tr>
        <w:trPr>
          <w:trHeight w:hRule="atLeast" w:val="504"/>
        </w:trPr>
        <w:tc>
          <w:tcPr>
            <w:tcW w:type="dxa" w:w="9932"/>
            <w:gridSpan w:val="2"/>
            <w:tcBorders>
              <w:top w:color="000000" w:sz="4" w:val="single"/>
              <w:left w:color="000000" w:sz="4" w:val="single"/>
              <w:bottom w:color="000000" w:sz="4" w:val="single"/>
              <w:right w:color="000000" w:sz="4" w:val="single"/>
            </w:tcBorders>
            <w:shd w:themeFill="background1" w:val="clear"/>
            <w:tcMar>
              <w:top w:type="dxa" w:w="0"/>
              <w:left w:type="dxa" w:w="108"/>
              <w:bottom w:type="dxa" w:w="0"/>
              <w:right w:type="dxa" w:w="108"/>
            </w:tcMar>
            <w:vAlign w:val="center"/>
          </w:tcPr>
          <w:tbl>
            <w:tblPr>
              <w:tblStyle w:val="Style_7"/>
              <w:tblW w:type="auto" w:w="0"/>
              <w:tblLayout w:type="fixed"/>
            </w:tblPr>
            <w:tblGrid>
              <w:gridCol w:w="9717"/>
            </w:tblGrid>
            <w:tr>
              <w:trPr>
                <w:trHeight w:hRule="atLeast" w:val="488"/>
              </w:trPr>
              <w:tc>
                <w:tcPr>
                  <w:tcW w:type="dxa" w:w="9717"/>
                  <w:shd w:themeFill="background1" w:val="clear"/>
                  <w:tcMar>
                    <w:top w:type="dxa" w:w="0"/>
                    <w:left w:type="dxa" w:w="108"/>
                    <w:bottom w:type="dxa" w:w="0"/>
                    <w:right w:type="dxa" w:w="108"/>
                  </w:tcMar>
                </w:tcPr>
                <w:p w14:paraId="9B000000">
                  <w:pPr>
                    <w:spacing w:after="0" w:line="240" w:lineRule="exact"/>
                    <w:ind w:left="57"/>
                  </w:pPr>
                  <w:r>
                    <w:tab/>
                  </w:r>
                  <w:r>
                    <w:rPr>
                      <w:highlight w:val="lightGray"/>
                    </w:rPr>
                    <w:t>Установлено</w:t>
                  </w:r>
                  <w:r>
                    <w:t xml:space="preserve"> преимущество участникам закупок в соответствии с ч.3 ст. 30 Федерального закона от 05.04.2013г. №44-ФЗ.</w:t>
                  </w:r>
                </w:p>
              </w:tc>
            </w:tr>
          </w:tbl>
          <w:p w14:paraId="9C000000">
            <w:pPr>
              <w:spacing w:after="0"/>
              <w:ind/>
              <w:rPr>
                <w:color w:val="FF0000"/>
              </w:rPr>
            </w:pPr>
          </w:p>
        </w:tc>
      </w:tr>
      <w:tr>
        <w:trPr>
          <w:trHeight w:hRule="atLeast" w:val="504"/>
        </w:trPr>
        <w:tc>
          <w:tcPr>
            <w:tcW w:type="dxa" w:w="1035"/>
            <w:tcBorders>
              <w:top w:color="000000" w:sz="4" w:val="single"/>
              <w:left w:color="000000" w:sz="4" w:val="single"/>
              <w:bottom w:color="000000" w:sz="4" w:val="single"/>
              <w:right w:color="000000" w:sz="4" w:val="single"/>
            </w:tcBorders>
            <w:shd w:themeFill="background1" w:themeFillShade="80" w:val="clear"/>
            <w:tcMar>
              <w:top w:type="dxa" w:w="0"/>
              <w:left w:type="dxa" w:w="108"/>
              <w:bottom w:type="dxa" w:w="0"/>
              <w:right w:type="dxa" w:w="108"/>
            </w:tcMar>
            <w:vAlign w:val="center"/>
          </w:tcPr>
          <w:p w14:paraId="9D000000">
            <w:pPr>
              <w:spacing w:after="0"/>
              <w:ind/>
              <w:jc w:val="center"/>
              <w:rPr>
                <w:rFonts w:ascii="Arial" w:hAnsi="Arial"/>
                <w:b w:val="1"/>
                <w:color w:val="FFFFFF"/>
                <w:sz w:val="20"/>
              </w:rPr>
            </w:pPr>
            <w:r>
              <w:rPr>
                <w:rFonts w:ascii="Arial" w:hAnsi="Arial"/>
                <w:b w:val="1"/>
                <w:color w:val="FFFFFF"/>
                <w:sz w:val="20"/>
              </w:rPr>
              <w:t>23</w:t>
            </w:r>
          </w:p>
        </w:tc>
        <w:tc>
          <w:tcPr>
            <w:tcW w:type="dxa" w:w="8897"/>
            <w:tcBorders>
              <w:top w:color="000000" w:sz="4" w:val="single"/>
              <w:left w:color="000000" w:sz="4" w:val="single"/>
              <w:bottom w:color="000000" w:sz="4" w:val="single"/>
              <w:right w:color="000000" w:sz="4" w:val="single"/>
            </w:tcBorders>
            <w:shd w:themeFill="text1" w:themeFillTint="80" w:val="clear"/>
            <w:tcMar>
              <w:top w:type="dxa" w:w="0"/>
              <w:left w:type="dxa" w:w="108"/>
              <w:bottom w:type="dxa" w:w="0"/>
              <w:right w:type="dxa" w:w="108"/>
            </w:tcMar>
            <w:vAlign w:val="center"/>
          </w:tcPr>
          <w:p w14:paraId="9E000000">
            <w:pPr>
              <w:spacing w:after="0"/>
              <w:ind/>
              <w:jc w:val="center"/>
              <w:rPr>
                <w:rFonts w:ascii="Arial" w:hAnsi="Arial"/>
                <w:b w:val="1"/>
                <w:color w:val="FFFFFF"/>
                <w:sz w:val="20"/>
              </w:rPr>
            </w:pPr>
            <w:r>
              <w:rPr>
                <w:rFonts w:ascii="Arial" w:hAnsi="Arial"/>
                <w:b w:val="1"/>
                <w:color w:val="FFFFFF"/>
                <w:sz w:val="20"/>
              </w:rPr>
              <w:t xml:space="preserve">Требование к поставщику (подрядчику, исполнителю), не являющемуся субъектом малого предпринимательства или социально ориентированной некоммерческой организацией,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соответствии с ч.5 ст. 30. Федерального закона №44-ФЗ (п.14 ч. 1 ст.30 </w:t>
            </w:r>
            <w:r>
              <w:rPr>
                <w:rFonts w:ascii="Arial" w:hAnsi="Arial"/>
                <w:b w:val="1"/>
                <w:i w:val="1"/>
                <w:color w:val="FFFFFF"/>
                <w:sz w:val="20"/>
              </w:rPr>
              <w:t>Федерального закона от 05.04.2013г. №44-ФЗ)</w:t>
            </w:r>
          </w:p>
        </w:tc>
      </w:tr>
      <w:tr>
        <w:trPr>
          <w:trHeight w:hRule="atLeast" w:val="504"/>
        </w:trPr>
        <w:tc>
          <w:tcPr>
            <w:tcW w:type="dxa" w:w="9932"/>
            <w:gridSpan w:val="2"/>
            <w:tcBorders>
              <w:top w:color="000000" w:sz="4" w:val="single"/>
              <w:left w:color="000000" w:sz="4" w:val="single"/>
              <w:bottom w:color="000000" w:sz="4" w:val="single"/>
              <w:right w:color="000000" w:sz="4" w:val="single"/>
            </w:tcBorders>
            <w:shd w:themeFill="background1" w:val="clear"/>
            <w:tcMar>
              <w:top w:type="dxa" w:w="0"/>
              <w:left w:type="dxa" w:w="108"/>
              <w:bottom w:type="dxa" w:w="0"/>
              <w:right w:type="dxa" w:w="108"/>
            </w:tcMar>
            <w:vAlign w:val="center"/>
          </w:tcPr>
          <w:p w14:paraId="9F000000">
            <w:pPr>
              <w:spacing w:after="0"/>
              <w:ind w:firstLine="720"/>
              <w:rPr>
                <w:color w:val="FF0000"/>
              </w:rPr>
            </w:pPr>
            <w:r>
              <w:t xml:space="preserve">Заказчик в соответствии с ч.5 ст. 30. Федерального закона05.04.2013г. №44-ФЗ  </w:t>
            </w:r>
            <w:r>
              <w:rPr>
                <w:highlight w:val="lightGray"/>
              </w:rPr>
              <w:t>не установил</w:t>
            </w:r>
            <w:r>
              <w:t xml:space="preserve"> требование к поставщику (подрядчику, исполнителю), не являющемуся субъектом малого предпринимательства или социально ориентированной некоммерческой организацией,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w:t>
            </w:r>
            <w:r>
              <w:rPr>
                <w:shd w:fill="B8CCE4" w:val="clear"/>
              </w:rPr>
              <w:t xml:space="preserve">объеме </w:t>
            </w:r>
            <w:r>
              <w:rPr>
                <w:highlight w:val="lightGray"/>
              </w:rPr>
              <w:t>_______</w:t>
            </w:r>
            <w:r>
              <w:rPr>
                <w:shd w:fill="B8CCE4" w:val="clear"/>
              </w:rPr>
              <w:t xml:space="preserve"> процентов от цены контракта</w:t>
            </w:r>
            <w:r>
              <w:t>.</w:t>
            </w:r>
          </w:p>
        </w:tc>
      </w:tr>
    </w:tbl>
    <w:p w14:paraId="A0000000">
      <w:pPr>
        <w:spacing w:after="240" w:before="240"/>
        <w:ind w:left="720"/>
        <w:jc w:val="center"/>
        <w:outlineLvl w:val="2"/>
        <w:rPr>
          <w:b w:val="1"/>
        </w:rPr>
      </w:pPr>
    </w:p>
    <w:p w14:paraId="A1000000">
      <w:pPr>
        <w:spacing w:after="240" w:before="240"/>
        <w:ind w:left="720"/>
        <w:jc w:val="center"/>
        <w:outlineLvl w:val="2"/>
        <w:rPr>
          <w:b w:val="1"/>
        </w:rPr>
      </w:pPr>
    </w:p>
    <w:p w14:paraId="A2000000">
      <w:pPr>
        <w:spacing w:after="240" w:before="240"/>
        <w:ind w:left="720"/>
        <w:jc w:val="center"/>
        <w:outlineLvl w:val="2"/>
        <w:rPr>
          <w:b w:val="1"/>
        </w:rPr>
      </w:pPr>
      <w:r>
        <w:rPr>
          <w:b w:val="1"/>
        </w:rPr>
        <w:t>Требования к участникам аукциона в электронной форме</w:t>
      </w:r>
    </w:p>
    <w:tbl>
      <w:tblPr>
        <w:tblStyle w:val="Style_7"/>
        <w:tblW w:type="auto" w:w="0"/>
        <w:tblInd w:type="dxa" w:w="-34"/>
        <w:tblLayout w:type="fixed"/>
      </w:tblPr>
      <w:tblGrid>
        <w:gridCol w:w="851"/>
        <w:gridCol w:w="9071"/>
      </w:tblGrid>
      <w:tr>
        <w:trPr>
          <w:trHeight w:hRule="atLeast" w:val="724"/>
        </w:trPr>
        <w:tc>
          <w:tcPr>
            <w:tcW w:type="dxa" w:w="851"/>
            <w:tcBorders>
              <w:top w:color="000000" w:sz="4" w:val="single"/>
              <w:left w:color="000000" w:sz="4" w:val="single"/>
              <w:bottom w:color="000000" w:sz="4" w:val="single"/>
              <w:right w:color="000000" w:sz="4" w:val="single"/>
            </w:tcBorders>
            <w:shd w:themeFill="background1" w:themeFillShade="80" w:val="clear"/>
            <w:tcMar>
              <w:top w:type="dxa" w:w="0"/>
              <w:left w:type="dxa" w:w="108"/>
              <w:bottom w:type="dxa" w:w="0"/>
              <w:right w:type="dxa" w:w="108"/>
            </w:tcMar>
            <w:vAlign w:val="center"/>
          </w:tcPr>
          <w:p w14:paraId="A3000000">
            <w:pPr>
              <w:spacing w:after="0"/>
              <w:ind/>
              <w:jc w:val="center"/>
              <w:rPr>
                <w:rFonts w:ascii="Arial" w:hAnsi="Arial"/>
                <w:b w:val="1"/>
                <w:color w:val="FFFFFF"/>
                <w:sz w:val="20"/>
              </w:rPr>
            </w:pPr>
            <w:r>
              <w:rPr>
                <w:rFonts w:ascii="Arial" w:hAnsi="Arial"/>
                <w:b w:val="1"/>
                <w:color w:val="FFFFFF"/>
                <w:sz w:val="20"/>
              </w:rPr>
              <w:t>24</w:t>
            </w:r>
          </w:p>
        </w:tc>
        <w:tc>
          <w:tcPr>
            <w:tcW w:type="dxa" w:w="9071"/>
            <w:tcBorders>
              <w:top w:color="000000" w:sz="4" w:val="single"/>
              <w:left w:color="000000" w:sz="4" w:val="single"/>
              <w:bottom w:color="000000" w:sz="4" w:val="single"/>
              <w:right w:color="000000" w:sz="4" w:val="single"/>
            </w:tcBorders>
            <w:shd w:themeFill="background1" w:themeFillShade="80" w:val="clear"/>
            <w:tcMar>
              <w:top w:type="dxa" w:w="0"/>
              <w:left w:type="dxa" w:w="108"/>
              <w:bottom w:type="dxa" w:w="0"/>
              <w:right w:type="dxa" w:w="108"/>
            </w:tcMar>
            <w:vAlign w:val="center"/>
          </w:tcPr>
          <w:p w14:paraId="A4000000">
            <w:pPr>
              <w:spacing w:after="0"/>
              <w:ind/>
              <w:jc w:val="center"/>
              <w:rPr>
                <w:rFonts w:ascii="Arial" w:hAnsi="Arial"/>
                <w:b w:val="1"/>
                <w:color w:val="FFFFFF"/>
                <w:sz w:val="20"/>
              </w:rPr>
            </w:pPr>
            <w:r>
              <w:rPr>
                <w:rFonts w:ascii="Arial" w:hAnsi="Arial"/>
                <w:b w:val="1"/>
                <w:color w:val="FFFFFF"/>
                <w:sz w:val="20"/>
              </w:rPr>
              <w:t>Единые требования к участникам электронного аукциона ( ч. 1 ст. 31 Федерального закона от 05.04.2013г. №44-ФЗ) за исключением п.1 ч.1 ст. 31 Федерального закона от 05.04.2013г. №44-ФЗ</w:t>
            </w:r>
          </w:p>
        </w:tc>
      </w:tr>
      <w:tr>
        <w:trPr>
          <w:trHeight w:hRule="atLeast" w:val="724"/>
        </w:trPr>
        <w:tc>
          <w:tcPr>
            <w:tcW w:type="dxa" w:w="9922"/>
            <w:gridSpan w:val="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A5000000">
            <w:pPr>
              <w:spacing w:after="0"/>
              <w:ind/>
            </w:pPr>
            <w:r>
              <w:tab/>
            </w:r>
            <w:r>
              <w:t>Установлены единые требования к участникам электронного аукциона, указанные в  пунктах 3-5, 7-11  ч. 1 ст. 31 Федерального закона от 5 апреля 2013 г. №44-ФЗ:</w:t>
            </w:r>
          </w:p>
          <w:p w14:paraId="A6000000">
            <w:pPr>
              <w:pStyle w:val="Style_11"/>
              <w:spacing w:after="0" w:before="0"/>
              <w:ind/>
              <w:rPr>
                <w:rFonts w:ascii="Times New Roman" w:hAnsi="Times New Roman"/>
              </w:rPr>
            </w:pPr>
            <w:r>
              <w:rPr>
                <w:rFonts w:ascii="Times New Roman" w:hAnsi="Times New Roman"/>
              </w:rPr>
              <w:tab/>
            </w:r>
            <w:r>
              <w:rPr>
                <w:rFonts w:ascii="Times New Roman" w:hAnsi="Times New Roman"/>
              </w:rPr>
              <w:t xml:space="preserve">1) </w:t>
            </w:r>
            <w:r>
              <w:rPr>
                <w:rFonts w:ascii="Times New Roman" w:hAnsi="Times New Roman"/>
              </w:rPr>
              <w:t>непроведение</w:t>
            </w:r>
            <w:r>
              <w:rPr>
                <w:rFonts w:ascii="Times New Roman" w:hAnsi="Times New Roman"/>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A7000000">
            <w:pPr>
              <w:pStyle w:val="Style_11"/>
              <w:spacing w:after="0" w:before="0"/>
              <w:ind/>
              <w:rPr>
                <w:rFonts w:ascii="Times New Roman" w:hAnsi="Times New Roman"/>
                <w:b w:val="1"/>
                <w:color w:val="FFFFFF"/>
                <w:sz w:val="20"/>
              </w:rPr>
            </w:pPr>
            <w:r>
              <w:rPr>
                <w:rFonts w:ascii="Times New Roman" w:hAnsi="Times New Roman"/>
              </w:rPr>
              <w:tab/>
            </w:r>
            <w:r>
              <w:rPr>
                <w:rFonts w:ascii="Times New Roman" w:hAnsi="Times New Roman"/>
              </w:rPr>
              <w:t xml:space="preserve">2) </w:t>
            </w:r>
            <w:r>
              <w:rPr>
                <w:rFonts w:ascii="Times New Roman" w:hAnsi="Times New Roman"/>
              </w:rPr>
              <w:t>неприостановление</w:t>
            </w:r>
            <w:r>
              <w:rPr>
                <w:rFonts w:ascii="Times New Roman" w:hAnsi="Times New Roman"/>
              </w:rPr>
              <w:t xml:space="preserve"> деятельности участника закупки в порядке, установленном Кодексом Российской Федерации об административных правонарушениях;</w:t>
            </w:r>
          </w:p>
          <w:p w14:paraId="A8000000">
            <w:pPr>
              <w:pStyle w:val="Style_11"/>
              <w:spacing w:after="0" w:before="0"/>
              <w:ind/>
              <w:rPr>
                <w:rFonts w:ascii="Times New Roman" w:hAnsi="Times New Roman"/>
              </w:rPr>
            </w:pPr>
            <w:r>
              <w:rPr>
                <w:rFonts w:ascii="Times New Roman" w:hAnsi="Times New Roman"/>
              </w:rPr>
              <w:tab/>
            </w:r>
            <w:r>
              <w:rPr>
                <w:rFonts w:ascii="Times New Roman" w:hAnsi="Times New Roman"/>
              </w:rPr>
              <w:t>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A9000000">
            <w:pPr>
              <w:pStyle w:val="Style_11"/>
              <w:spacing w:after="0" w:before="0"/>
              <w:ind/>
              <w:rPr>
                <w:rFonts w:ascii="Times New Roman" w:hAnsi="Times New Roman"/>
              </w:rPr>
            </w:pPr>
            <w:r>
              <w:rPr>
                <w:rFonts w:ascii="Times New Roman" w:hAnsi="Times New Roman"/>
              </w:rPr>
              <w:tab/>
            </w:r>
            <w:r>
              <w:rPr>
                <w:rFonts w:ascii="Times New Roman" w:hAnsi="Times New Roman"/>
              </w:rPr>
              <w:t>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AA000000">
            <w:pPr>
              <w:tabs>
                <w:tab w:leader="none" w:pos="769" w:val="left"/>
              </w:tabs>
              <w:ind/>
            </w:pPr>
            <w:r>
              <w:rPr>
                <w:rStyle w:val="Style_8_ch"/>
              </w:rPr>
              <w:t xml:space="preserve">            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r>
              <w:rPr>
                <w:rStyle w:val="Style_12_ch"/>
                <w:color w:val="000000"/>
                <w:u w:val="none"/>
              </w:rPr>
              <w:fldChar w:fldCharType="begin"/>
            </w:r>
            <w:r>
              <w:rPr>
                <w:rStyle w:val="Style_12_ch"/>
                <w:color w:val="000000"/>
                <w:u w:val="none"/>
              </w:rPr>
              <w:instrText>HYPERLINK "http://ivo.garant.ru/#/document/12125267/entry/1928"</w:instrText>
            </w:r>
            <w:r>
              <w:rPr>
                <w:rStyle w:val="Style_12_ch"/>
                <w:color w:val="000000"/>
                <w:u w:val="none"/>
              </w:rPr>
              <w:fldChar w:fldCharType="separate"/>
            </w:r>
            <w:r>
              <w:rPr>
                <w:rStyle w:val="Style_12_ch"/>
                <w:color w:val="000000"/>
                <w:u w:val="none"/>
              </w:rPr>
              <w:t xml:space="preserve">статьей </w:t>
            </w:r>
            <w:r>
              <w:rPr>
                <w:rStyle w:val="Style_12_ch"/>
                <w:color w:val="000000"/>
                <w:u w:val="none"/>
              </w:rPr>
              <w:fldChar w:fldCharType="end"/>
            </w:r>
            <w:r>
              <w:rPr>
                <w:rStyle w:val="Style_12_ch"/>
                <w:i w:val="1"/>
                <w:color w:val="000000"/>
                <w:u w:val="none"/>
              </w:rPr>
              <w:t>19.28</w:t>
            </w:r>
            <w:r>
              <w:rPr>
                <w:rStyle w:val="Style_8_ch"/>
              </w:rPr>
              <w:t xml:space="preserve"> </w:t>
            </w:r>
            <w:r>
              <w:t>Кодексом Российской Федерации об административных правонарушениях;</w:t>
            </w:r>
          </w:p>
          <w:p w14:paraId="AB000000">
            <w:pPr>
              <w:tabs>
                <w:tab w:leader="none" w:pos="769" w:val="left"/>
              </w:tabs>
              <w:ind/>
            </w:pPr>
            <w:r>
              <w:tab/>
            </w:r>
            <w:r>
              <w:t>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AC000000">
            <w:pPr>
              <w:spacing w:after="0"/>
              <w:ind/>
            </w:pPr>
            <w:r>
              <w:tab/>
            </w:r>
            <w:r>
              <w:t xml:space="preserve">7)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r>
              <w:t>неполнородный</w:t>
            </w:r>
            <w: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14:paraId="AD000000">
            <w:pPr>
              <w:spacing w:after="0"/>
              <w:ind/>
            </w:pPr>
            <w:r>
              <w:tab/>
            </w:r>
            <w:r>
              <w:t>а) физическим лицом (в том числе зарегистрированным в качестве индивидуального предпринимателя), являющимся участником закупки;</w:t>
            </w:r>
          </w:p>
          <w:p w14:paraId="AE000000">
            <w:pPr>
              <w:spacing w:after="0"/>
              <w:ind/>
            </w:pPr>
            <w:r>
              <w:tab/>
            </w:r>
            <w: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AF000000">
            <w:pPr>
              <w:spacing w:after="0"/>
              <w:ind/>
            </w:pPr>
            <w:r>
              <w:tab/>
            </w:r>
            <w: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статьи 31 Федерального закона от 5 апреля 2013 г. №44-</w:t>
            </w:r>
            <w:r>
              <w:t>ФЗ  является</w:t>
            </w:r>
            <w:r>
              <w:t xml:space="preserve">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14:paraId="B0000000">
            <w:pPr>
              <w:spacing w:after="0"/>
              <w:ind/>
              <w:rPr>
                <w:highlight w:val="white"/>
              </w:rPr>
            </w:pPr>
            <w:r>
              <w:tab/>
            </w:r>
            <w:r>
              <w:t xml:space="preserve">8) участник закупки не является офшорной </w:t>
            </w:r>
            <w:r>
              <w:t>компанией,  не</w:t>
            </w:r>
            <w:r>
              <w:t xml:space="preserve">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10% голосующих акций хозяйственного общества либо долей, превышающей 10% в уставном (складочном) капитале хозяйственного товарищества или общества;</w:t>
            </w:r>
          </w:p>
          <w:p w14:paraId="B1000000">
            <w:pPr>
              <w:spacing w:after="0"/>
              <w:ind/>
              <w:rPr>
                <w:shd w:fill="C2D69B" w:val="clear"/>
              </w:rPr>
            </w:pPr>
            <w:r>
              <w:tab/>
            </w:r>
            <w:r>
              <w:rPr>
                <w:highlight w:val="white"/>
              </w:rPr>
              <w:t>9) участник закупки не является иностранным агентом;</w:t>
            </w:r>
          </w:p>
          <w:p w14:paraId="B2000000">
            <w:pPr>
              <w:spacing w:after="0"/>
              <w:ind/>
              <w:rPr>
                <w:highlight w:val="white"/>
              </w:rPr>
            </w:pPr>
            <w:r>
              <w:tab/>
            </w:r>
            <w:r>
              <w:t>10</w:t>
            </w:r>
            <w:r>
              <w:rPr>
                <w:highlight w:val="white"/>
              </w:rPr>
              <w:t>) Отсутствие у участника закупки ограничений для участия в закупках, установленных законодательством Российской Федерации, в том числе 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 «а» п. 2 Указа Президента РФ</w:t>
            </w:r>
          </w:p>
          <w:p w14:paraId="B3000000">
            <w:pPr>
              <w:spacing w:after="0"/>
              <w:ind/>
            </w:pPr>
            <w:r>
              <w:rPr>
                <w:highlight w:val="white"/>
              </w:rPr>
              <w:t>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tc>
      </w:tr>
      <w:tr>
        <w:trPr>
          <w:trHeight w:hRule="atLeast" w:val="724"/>
        </w:trPr>
        <w:tc>
          <w:tcPr>
            <w:tcW w:type="dxa" w:w="851"/>
            <w:tcBorders>
              <w:top w:color="000000" w:sz="4" w:val="single"/>
              <w:left w:color="000000" w:sz="4" w:val="single"/>
              <w:bottom w:color="000000" w:sz="4" w:val="single"/>
              <w:right w:color="000000" w:sz="4" w:val="single"/>
            </w:tcBorders>
            <w:shd w:themeFill="background1" w:themeFillShade="80" w:val="clear"/>
            <w:tcMar>
              <w:top w:type="dxa" w:w="0"/>
              <w:left w:type="dxa" w:w="108"/>
              <w:bottom w:type="dxa" w:w="0"/>
              <w:right w:type="dxa" w:w="108"/>
            </w:tcMar>
            <w:vAlign w:val="center"/>
          </w:tcPr>
          <w:p w14:paraId="B4000000">
            <w:pPr>
              <w:spacing w:after="0"/>
              <w:ind/>
              <w:jc w:val="left"/>
              <w:rPr>
                <w:rFonts w:ascii="Arial" w:hAnsi="Arial"/>
                <w:b w:val="1"/>
                <w:color w:val="FFFFFF"/>
                <w:sz w:val="20"/>
              </w:rPr>
            </w:pPr>
            <w:r>
              <w:rPr>
                <w:rFonts w:ascii="Arial" w:hAnsi="Arial"/>
                <w:b w:val="1"/>
                <w:color w:val="FFFFFF"/>
                <w:sz w:val="20"/>
              </w:rPr>
              <w:tab/>
            </w:r>
            <w:r>
              <w:rPr>
                <w:rFonts w:ascii="Arial" w:hAnsi="Arial"/>
                <w:b w:val="1"/>
                <w:color w:val="FFFFFF"/>
                <w:sz w:val="20"/>
              </w:rPr>
              <w:t>25</w:t>
            </w:r>
          </w:p>
        </w:tc>
        <w:tc>
          <w:tcPr>
            <w:tcW w:type="dxa" w:w="9071"/>
            <w:tcBorders>
              <w:top w:color="000000" w:sz="4" w:val="single"/>
              <w:left w:color="000000" w:sz="4" w:val="single"/>
              <w:bottom w:color="000000" w:sz="4" w:val="single"/>
              <w:right w:color="000000" w:sz="4" w:val="single"/>
            </w:tcBorders>
            <w:shd w:themeFill="background1" w:themeFillShade="80" w:val="clear"/>
            <w:tcMar>
              <w:top w:type="dxa" w:w="0"/>
              <w:left w:type="dxa" w:w="108"/>
              <w:bottom w:type="dxa" w:w="0"/>
              <w:right w:type="dxa" w:w="108"/>
            </w:tcMar>
            <w:vAlign w:val="center"/>
          </w:tcPr>
          <w:p w14:paraId="B5000000">
            <w:pPr>
              <w:spacing w:after="0"/>
              <w:ind/>
              <w:jc w:val="center"/>
              <w:rPr>
                <w:rFonts w:ascii="Arial" w:hAnsi="Arial"/>
                <w:b w:val="1"/>
                <w:color w:val="FFFFFF"/>
                <w:sz w:val="20"/>
              </w:rPr>
            </w:pPr>
            <w:r>
              <w:rPr>
                <w:rFonts w:ascii="Arial" w:hAnsi="Arial"/>
                <w:b w:val="1"/>
                <w:color w:val="FFFFFF"/>
                <w:sz w:val="20"/>
              </w:rPr>
              <w:t>Требование в соответствии</w:t>
            </w:r>
          </w:p>
          <w:p w14:paraId="B6000000">
            <w:pPr>
              <w:spacing w:after="0"/>
              <w:ind/>
              <w:jc w:val="center"/>
              <w:rPr>
                <w:rFonts w:ascii="Arial" w:hAnsi="Arial"/>
                <w:b w:val="1"/>
                <w:color w:val="FFFFFF"/>
                <w:sz w:val="20"/>
              </w:rPr>
            </w:pPr>
            <w:r>
              <w:rPr>
                <w:rFonts w:ascii="Arial" w:hAnsi="Arial"/>
                <w:b w:val="1"/>
                <w:color w:val="FFFFFF"/>
                <w:sz w:val="20"/>
              </w:rPr>
              <w:t>с ч. 1.1 ст. 31 Федерального закона от 5 апреля 2013 г. №44-ФЗ</w:t>
            </w:r>
          </w:p>
        </w:tc>
      </w:tr>
      <w:tr>
        <w:trPr>
          <w:trHeight w:hRule="atLeast" w:val="724"/>
        </w:trPr>
        <w:tc>
          <w:tcPr>
            <w:tcW w:type="dxa" w:w="9922"/>
            <w:gridSpan w:val="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B7000000">
            <w:pPr>
              <w:spacing w:after="0"/>
              <w:ind/>
              <w:rPr>
                <w:rFonts w:ascii="Arial" w:hAnsi="Arial"/>
                <w:b w:val="1"/>
                <w:color w:val="FFFFFF"/>
                <w:sz w:val="20"/>
              </w:rPr>
            </w:pPr>
            <w:r>
              <w:rPr>
                <w:i w:val="1"/>
              </w:rPr>
              <w:tab/>
            </w:r>
            <w:bookmarkStart w:id="14" w:name="OLE_LINK2"/>
            <w:bookmarkStart w:id="15" w:name="OLE_LINK1"/>
            <w:r>
              <w:rPr>
                <w:color w:val="22272F"/>
              </w:rPr>
              <w:t>Заказчик</w:t>
            </w:r>
            <w:r>
              <w:rPr>
                <w:color w:val="22272F"/>
                <w:highlight w:val="white"/>
              </w:rPr>
              <w:t xml:space="preserve"> установил требование об отсутствии в предусмотренном Федеральным законом от 5 апреля 2013 г. №44-ФЗ "О контрактной системе в сфере закупок товаров, работ, услуг для обеспечения государственных и муниципальных нужд" реестре недобросовестных поставщиков (подрядчиков, исполнителей) информации об участнике закупки, в том числе о лицах, </w:t>
            </w:r>
            <w:r>
              <w:rPr>
                <w:rStyle w:val="Style_8_ch"/>
                <w:color w:val="22272F"/>
                <w:highlight w:val="white"/>
              </w:rPr>
              <w:t>информация о которых содержится в заявке на участие в закупке в соответствии с </w:t>
            </w:r>
            <w:r>
              <w:rPr>
                <w:rStyle w:val="Style_12_ch"/>
                <w:color w:val="3272C0"/>
                <w:highlight w:val="white"/>
              </w:rPr>
              <w:fldChar w:fldCharType="begin"/>
            </w:r>
            <w:r>
              <w:rPr>
                <w:rStyle w:val="Style_12_ch"/>
                <w:color w:val="3272C0"/>
                <w:highlight w:val="white"/>
              </w:rPr>
              <w:instrText>HYPERLINK "http://ivo.garant.ru/#/document/70353464/entry/431103"</w:instrText>
            </w:r>
            <w:r>
              <w:rPr>
                <w:rStyle w:val="Style_12_ch"/>
                <w:color w:val="3272C0"/>
                <w:highlight w:val="white"/>
              </w:rPr>
              <w:fldChar w:fldCharType="separate"/>
            </w:r>
            <w:r>
              <w:rPr>
                <w:rStyle w:val="Style_12_ch"/>
                <w:color w:val="3272C0"/>
                <w:highlight w:val="white"/>
              </w:rPr>
              <w:t>подпунктом "</w:t>
            </w:r>
            <w:r>
              <w:rPr>
                <w:rStyle w:val="Style_12_ch"/>
                <w:color w:val="3272C0"/>
                <w:highlight w:val="white"/>
              </w:rPr>
              <w:fldChar w:fldCharType="end"/>
            </w:r>
            <w:r>
              <w:rPr>
                <w:rStyle w:val="Style_12_ch"/>
                <w:color w:val="3272C0"/>
                <w:highlight w:val="white"/>
              </w:rPr>
              <w:t>в" пункта 1 части 1 статьи 43</w:t>
            </w:r>
            <w:r>
              <w:rPr>
                <w:color w:val="22272F"/>
                <w:highlight w:val="white"/>
              </w:rPr>
              <w:t>  апреля 2013 г. №44-ФЗ "О контрактной системе в сфере закупок товаров, работ, услуг для обеспечения государственных и муниципальных нужд", если Правительством Российской Федерации не установлено иное.</w:t>
            </w:r>
            <w:bookmarkEnd w:id="14"/>
            <w:bookmarkEnd w:id="15"/>
          </w:p>
        </w:tc>
      </w:tr>
      <w:tr>
        <w:trPr>
          <w:trHeight w:hRule="atLeast" w:val="724"/>
        </w:trPr>
        <w:tc>
          <w:tcPr>
            <w:tcW w:type="dxa" w:w="851"/>
            <w:tcBorders>
              <w:top w:color="000000" w:sz="4" w:val="single"/>
              <w:left w:color="000000" w:sz="4" w:val="single"/>
              <w:bottom w:color="000000" w:sz="4" w:val="single"/>
              <w:right w:color="000000" w:sz="4" w:val="single"/>
            </w:tcBorders>
            <w:shd w:themeFill="background1" w:themeFillShade="80" w:val="clear"/>
            <w:tcMar>
              <w:top w:type="dxa" w:w="0"/>
              <w:left w:type="dxa" w:w="108"/>
              <w:bottom w:type="dxa" w:w="0"/>
              <w:right w:type="dxa" w:w="108"/>
            </w:tcMar>
            <w:vAlign w:val="center"/>
          </w:tcPr>
          <w:p w14:paraId="B8000000">
            <w:pPr>
              <w:spacing w:after="0"/>
              <w:ind/>
              <w:jc w:val="center"/>
              <w:rPr>
                <w:rFonts w:ascii="Arial" w:hAnsi="Arial"/>
                <w:b w:val="1"/>
                <w:color w:val="FFFFFF"/>
                <w:sz w:val="20"/>
              </w:rPr>
            </w:pPr>
            <w:r>
              <w:rPr>
                <w:rFonts w:ascii="Arial" w:hAnsi="Arial"/>
                <w:b w:val="1"/>
                <w:color w:val="FFFFFF"/>
                <w:sz w:val="20"/>
              </w:rPr>
              <w:t>26</w:t>
            </w:r>
          </w:p>
        </w:tc>
        <w:tc>
          <w:tcPr>
            <w:tcW w:type="dxa" w:w="9071"/>
            <w:tcBorders>
              <w:top w:color="000000" w:sz="4" w:val="single"/>
              <w:left w:color="000000" w:sz="4" w:val="single"/>
              <w:bottom w:color="000000" w:sz="4" w:val="single"/>
              <w:right w:color="000000" w:sz="4" w:val="single"/>
            </w:tcBorders>
            <w:shd w:themeFill="background1" w:themeFillShade="80" w:val="clear"/>
            <w:tcMar>
              <w:top w:type="dxa" w:w="0"/>
              <w:left w:type="dxa" w:w="108"/>
              <w:bottom w:type="dxa" w:w="0"/>
              <w:right w:type="dxa" w:w="108"/>
            </w:tcMar>
            <w:vAlign w:val="center"/>
          </w:tcPr>
          <w:p w14:paraId="B9000000">
            <w:pPr>
              <w:spacing w:after="0"/>
              <w:ind/>
              <w:jc w:val="center"/>
              <w:rPr>
                <w:rFonts w:ascii="Arial" w:hAnsi="Arial"/>
                <w:b w:val="1"/>
                <w:color w:val="FFFFFF"/>
                <w:sz w:val="20"/>
              </w:rPr>
            </w:pPr>
            <w:r>
              <w:rPr>
                <w:rFonts w:ascii="Arial" w:hAnsi="Arial"/>
                <w:b w:val="1"/>
                <w:color w:val="FFFFFF"/>
                <w:sz w:val="20"/>
              </w:rPr>
              <w:t>Требование к участникам закупок</w:t>
            </w:r>
          </w:p>
          <w:p w14:paraId="BA000000">
            <w:pPr>
              <w:spacing w:after="0"/>
              <w:ind/>
              <w:jc w:val="center"/>
              <w:rPr>
                <w:rFonts w:ascii="Arial" w:hAnsi="Arial"/>
                <w:b w:val="1"/>
                <w:color w:val="FFFFFF"/>
                <w:sz w:val="20"/>
              </w:rPr>
            </w:pPr>
            <w:r>
              <w:rPr>
                <w:rFonts w:ascii="Arial" w:hAnsi="Arial"/>
                <w:b w:val="1"/>
                <w:color w:val="FFFFFF"/>
                <w:sz w:val="20"/>
              </w:rPr>
              <w:t>в соответствии с п. 1 ч. 1 ст.31 Федерального закона от 05.04.2013г. №44-ФЗ</w:t>
            </w:r>
          </w:p>
        </w:tc>
      </w:tr>
      <w:tr>
        <w:trPr>
          <w:trHeight w:hRule="atLeast" w:val="724"/>
        </w:trPr>
        <w:tc>
          <w:tcPr>
            <w:tcW w:type="dxa" w:w="9922"/>
            <w:gridSpan w:val="2"/>
            <w:tcBorders>
              <w:top w:color="000000" w:sz="4" w:val="single"/>
              <w:left w:color="000000" w:sz="4" w:val="single"/>
              <w:bottom w:color="000000" w:sz="4" w:val="single"/>
              <w:right w:color="000000" w:sz="4" w:val="single"/>
            </w:tcBorders>
            <w:shd w:themeFill="background1" w:val="clear"/>
            <w:tcMar>
              <w:top w:type="dxa" w:w="0"/>
              <w:left w:type="dxa" w:w="108"/>
              <w:bottom w:type="dxa" w:w="0"/>
              <w:right w:type="dxa" w:w="108"/>
            </w:tcMar>
            <w:vAlign w:val="center"/>
          </w:tcPr>
          <w:p w14:paraId="BB000000">
            <w:pPr>
              <w:keepNext w:val="1"/>
              <w:spacing w:after="0"/>
              <w:ind/>
              <w:outlineLvl w:val="3"/>
            </w:pPr>
            <w:r>
              <w:t>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кото</w:t>
            </w:r>
            <w:r>
              <w:t>рые являются предметом контракта:</w:t>
            </w:r>
          </w:p>
          <w:p w14:paraId="BC000000">
            <w:pPr>
              <w:keepNext w:val="1"/>
              <w:spacing w:after="0"/>
              <w:ind/>
              <w:outlineLvl w:val="3"/>
              <w:rPr>
                <w:i w:val="1"/>
                <w:color w:val="C00000"/>
                <w:highlight w:val="white"/>
              </w:rPr>
            </w:pPr>
          </w:p>
          <w:p w14:paraId="BD000000">
            <w:pPr>
              <w:keepNext w:val="1"/>
              <w:spacing w:after="0"/>
              <w:ind/>
              <w:outlineLvl w:val="3"/>
              <w:rPr>
                <w:rFonts w:ascii="Arial" w:hAnsi="Arial"/>
                <w:b w:val="1"/>
                <w:color w:val="FFFFFF"/>
                <w:sz w:val="20"/>
              </w:rPr>
            </w:pPr>
            <w:r>
              <w:rPr>
                <w:i w:val="1"/>
                <w:highlight w:val="white"/>
              </w:rPr>
              <w:t>В</w:t>
            </w:r>
            <w:r>
              <w:rPr>
                <w:i w:val="1"/>
                <w:highlight w:val="white"/>
              </w:rPr>
              <w:t xml:space="preserve"> соответствии с положениями статей 1229, 1235 ГК РФ участник закупки должен являться правообладателем исключительного права на результат интеллектуальной деятельности или обладать правом использования результата интеллектуальной деятельности.</w:t>
            </w:r>
          </w:p>
        </w:tc>
      </w:tr>
      <w:tr>
        <w:trPr>
          <w:trHeight w:hRule="atLeast" w:val="610"/>
        </w:trPr>
        <w:tc>
          <w:tcPr>
            <w:tcW w:type="dxa" w:w="851"/>
            <w:tcBorders>
              <w:top w:color="000000" w:sz="4" w:val="single"/>
              <w:left w:color="000000" w:sz="4" w:val="single"/>
              <w:bottom w:color="000000" w:sz="4" w:val="single"/>
              <w:right w:color="000000" w:sz="4" w:val="single"/>
            </w:tcBorders>
            <w:shd w:themeFill="background1" w:themeFillShade="80" w:val="clear"/>
            <w:tcMar>
              <w:top w:type="dxa" w:w="0"/>
              <w:left w:type="dxa" w:w="108"/>
              <w:bottom w:type="dxa" w:w="0"/>
              <w:right w:type="dxa" w:w="108"/>
            </w:tcMar>
            <w:vAlign w:val="center"/>
          </w:tcPr>
          <w:p w14:paraId="BE000000">
            <w:pPr>
              <w:spacing w:after="0"/>
              <w:ind/>
              <w:jc w:val="center"/>
              <w:rPr>
                <w:rFonts w:ascii="Arial" w:hAnsi="Arial"/>
                <w:b w:val="1"/>
                <w:color w:val="FFFFFF"/>
                <w:sz w:val="20"/>
              </w:rPr>
            </w:pPr>
            <w:r>
              <w:rPr>
                <w:rFonts w:ascii="Arial" w:hAnsi="Arial"/>
                <w:b w:val="1"/>
                <w:color w:val="FFFFFF"/>
                <w:sz w:val="20"/>
              </w:rPr>
              <w:t>27</w:t>
            </w:r>
          </w:p>
        </w:tc>
        <w:tc>
          <w:tcPr>
            <w:tcW w:type="dxa" w:w="9071"/>
            <w:tcBorders>
              <w:top w:color="000000" w:sz="4" w:val="single"/>
              <w:left w:color="000000" w:sz="4" w:val="single"/>
              <w:bottom w:color="000000" w:sz="4" w:val="single"/>
              <w:right w:color="000000" w:sz="4" w:val="single"/>
            </w:tcBorders>
            <w:shd w:themeFill="background1" w:themeFillShade="80" w:val="clear"/>
            <w:tcMar>
              <w:top w:type="dxa" w:w="0"/>
              <w:left w:type="dxa" w:w="108"/>
              <w:bottom w:type="dxa" w:w="0"/>
              <w:right w:type="dxa" w:w="108"/>
            </w:tcMar>
            <w:vAlign w:val="center"/>
          </w:tcPr>
          <w:p w14:paraId="BF000000">
            <w:pPr>
              <w:spacing w:after="0"/>
              <w:ind/>
              <w:jc w:val="center"/>
              <w:rPr>
                <w:rFonts w:ascii="Arial" w:hAnsi="Arial"/>
                <w:b w:val="1"/>
                <w:color w:val="FFFFFF"/>
                <w:sz w:val="20"/>
              </w:rPr>
            </w:pPr>
            <w:r>
              <w:rPr>
                <w:rFonts w:ascii="Arial" w:hAnsi="Arial"/>
                <w:b w:val="1"/>
                <w:color w:val="FFFFFF"/>
                <w:sz w:val="20"/>
              </w:rPr>
              <w:t>Требования к участникам закупок</w:t>
            </w:r>
          </w:p>
          <w:p w14:paraId="C0000000">
            <w:pPr>
              <w:spacing w:after="0"/>
              <w:ind/>
              <w:jc w:val="center"/>
              <w:rPr>
                <w:rFonts w:ascii="Arial" w:hAnsi="Arial"/>
                <w:b w:val="1"/>
                <w:color w:val="FFFFFF"/>
                <w:sz w:val="20"/>
              </w:rPr>
            </w:pPr>
            <w:r>
              <w:rPr>
                <w:rFonts w:ascii="Arial" w:hAnsi="Arial"/>
                <w:b w:val="1"/>
                <w:color w:val="FFFFFF"/>
                <w:sz w:val="20"/>
              </w:rPr>
              <w:t>в соответствии с ч. 2 ст. 31 Федерального закона от 05.04.2013г. №44-ФЗ</w:t>
            </w:r>
          </w:p>
        </w:tc>
      </w:tr>
      <w:tr>
        <w:trPr>
          <w:trHeight w:hRule="atLeast" w:val="610"/>
        </w:trPr>
        <w:tc>
          <w:tcPr>
            <w:tcW w:type="dxa" w:w="9922"/>
            <w:gridSpan w:val="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C1000000">
            <w:pPr>
              <w:ind/>
              <w:jc w:val="left"/>
            </w:pPr>
            <w:r>
              <w:tab/>
            </w:r>
            <w:r>
              <w:t xml:space="preserve">Заказчик </w:t>
            </w:r>
            <w:r>
              <w:rPr>
                <w:highlight w:val="lightGray"/>
              </w:rPr>
              <w:t xml:space="preserve">не </w:t>
            </w:r>
            <w:r>
              <w:rPr>
                <w:highlight w:val="lightGray"/>
              </w:rPr>
              <w:t>установил</w:t>
            </w:r>
            <w:r>
              <w:t xml:space="preserve">  дополнительные</w:t>
            </w:r>
            <w:r>
              <w:t xml:space="preserve"> требования к участникам закупки  в соответствии с ч.2 ст. 31 Федерального закона от 05.04.2013г.  №44-ФЗ  и позицией </w:t>
            </w:r>
            <w:r>
              <w:rPr>
                <w:highlight w:val="lightGray"/>
              </w:rPr>
              <w:t>___</w:t>
            </w:r>
            <w:r>
              <w:t xml:space="preserve"> приложения к постановлению Правительства РФ от 29 декабря 2021 г. №2571 (далее – Приложение №2571)</w:t>
            </w:r>
            <w:r>
              <w:rPr>
                <w:highlight w:val="white"/>
              </w:rPr>
              <w:t xml:space="preserve">: </w:t>
            </w:r>
            <w:r>
              <w:rPr>
                <w:highlight w:val="lightGray"/>
              </w:rPr>
              <w:t>__________</w:t>
            </w:r>
            <w:r>
              <w:t>.</w:t>
            </w:r>
          </w:p>
          <w:p w14:paraId="C2000000">
            <w:r>
              <w:tab/>
            </w:r>
            <w:r>
              <w:t xml:space="preserve">В случае если в извещении о проведении настоящего электронного </w:t>
            </w:r>
            <w:r>
              <w:t>аукциона  установлены</w:t>
            </w:r>
            <w:r>
              <w:t xml:space="preserve"> дополнительное(</w:t>
            </w:r>
            <w:r>
              <w:t>ые</w:t>
            </w:r>
            <w:r>
              <w:t>)  требование(я) к участникам закупки в соответствии с ч. 2 ст. 31 Федерального закона № от 05.04.2013г.  №44-ФЗ  и постановлением Правительства РФ от 29 декабря 2021 г. №2571:</w:t>
            </w:r>
          </w:p>
          <w:p w14:paraId="C3000000">
            <w:pPr>
              <w:spacing w:after="0"/>
              <w:ind/>
            </w:pPr>
            <w:r>
              <w:tab/>
            </w:r>
            <w:r>
              <w:t>1</w:t>
            </w:r>
            <w:r>
              <w:rPr>
                <w:highlight w:val="white"/>
              </w:rPr>
              <w:t xml:space="preserve">. В </w:t>
            </w:r>
            <w:r>
              <w:rPr>
                <w:highlight w:val="white"/>
              </w:rPr>
              <w:t>соответствии  с</w:t>
            </w:r>
            <w:r>
              <w:rPr>
                <w:highlight w:val="white"/>
              </w:rPr>
              <w:t xml:space="preserve"> ч. 12 ст. 24.2 </w:t>
            </w:r>
            <w:r>
              <w:t xml:space="preserve">Федерального закона от 05.04.2013г.  №44-ФЗ </w:t>
            </w:r>
            <w:r>
              <w:rPr>
                <w:highlight w:val="white"/>
              </w:rPr>
              <w:t xml:space="preserve"> в целях обеспечения доступа к участию в проводимых на электронной площадке закупках отдельных видов товаров, работ, услуг, в отношении участников которых установлены дополнительные требования в соответствии с </w:t>
            </w:r>
            <w:r>
              <w:rPr>
                <w:rStyle w:val="Style_12_ch"/>
                <w:color w:val="000000"/>
                <w:highlight w:val="white"/>
              </w:rPr>
              <w:fldChar w:fldCharType="begin"/>
            </w:r>
            <w:r>
              <w:rPr>
                <w:rStyle w:val="Style_12_ch"/>
                <w:color w:val="000000"/>
                <w:highlight w:val="white"/>
              </w:rPr>
              <w:instrText>HYPERLINK "http://ivo.garant.ru/#/document/70353464/entry/3120"</w:instrText>
            </w:r>
            <w:r>
              <w:rPr>
                <w:rStyle w:val="Style_12_ch"/>
                <w:color w:val="000000"/>
                <w:highlight w:val="white"/>
              </w:rPr>
              <w:fldChar w:fldCharType="separate"/>
            </w:r>
            <w:r>
              <w:rPr>
                <w:rStyle w:val="Style_12_ch"/>
                <w:color w:val="000000"/>
                <w:highlight w:val="white"/>
              </w:rPr>
              <w:t>ч. 2</w:t>
            </w:r>
            <w:r>
              <w:rPr>
                <w:rStyle w:val="Style_12_ch"/>
                <w:color w:val="000000"/>
                <w:highlight w:val="white"/>
              </w:rPr>
              <w:fldChar w:fldCharType="end"/>
            </w:r>
            <w:r>
              <w:rPr>
                <w:highlight w:val="white"/>
              </w:rPr>
              <w:t> </w:t>
            </w:r>
            <w:r>
              <w:t>Федерального закона от 05.04.2013г.  №44-ФЗ</w:t>
            </w:r>
            <w:r>
              <w:rPr>
                <w:highlight w:val="white"/>
              </w:rPr>
              <w:t xml:space="preserve"> </w:t>
            </w:r>
            <w:r>
              <w:t>от 05.04.2013г.  №44-ФЗ</w:t>
            </w:r>
            <w:r>
              <w:rPr>
                <w:highlight w:val="white"/>
              </w:rPr>
              <w:t xml:space="preserve">, участник закупки, аккредитованный на электронной площадке, </w:t>
            </w:r>
            <w:r>
              <w:rPr>
                <w:b w:val="1"/>
                <w:highlight w:val="white"/>
              </w:rPr>
              <w:t>заблаговременно</w:t>
            </w:r>
            <w:r>
              <w:rPr>
                <w:highlight w:val="white"/>
              </w:rPr>
              <w:t xml:space="preserve"> направляет оператору этой электронной площадки в отношении каждого такого вида информацию и документы, предусмотренные перечнем, установленным Правительством Российской Федерации (</w:t>
            </w:r>
            <w:r>
              <w:t xml:space="preserve">Постановление Правительства РФ от 29 декабря 2021 г. №2571) </w:t>
            </w:r>
            <w:r>
              <w:rPr>
                <w:highlight w:val="white"/>
              </w:rPr>
              <w:t>в соответствии с </w:t>
            </w:r>
            <w:r>
              <w:rPr>
                <w:rStyle w:val="Style_12_ch"/>
                <w:color w:val="000000"/>
                <w:highlight w:val="white"/>
              </w:rPr>
              <w:fldChar w:fldCharType="begin"/>
            </w:r>
            <w:r>
              <w:rPr>
                <w:rStyle w:val="Style_12_ch"/>
                <w:color w:val="000000"/>
                <w:highlight w:val="white"/>
              </w:rPr>
              <w:instrText>HYPERLINK "http://ivo.garant.ru/#/document/70353464/entry/3130"</w:instrText>
            </w:r>
            <w:r>
              <w:rPr>
                <w:rStyle w:val="Style_12_ch"/>
                <w:color w:val="000000"/>
                <w:highlight w:val="white"/>
              </w:rPr>
              <w:fldChar w:fldCharType="separate"/>
            </w:r>
            <w:r>
              <w:rPr>
                <w:rStyle w:val="Style_12_ch"/>
                <w:color w:val="000000"/>
                <w:highlight w:val="white"/>
              </w:rPr>
              <w:t>ч. 3 ст. 31</w:t>
            </w:r>
            <w:r>
              <w:rPr>
                <w:rStyle w:val="Style_12_ch"/>
                <w:color w:val="000000"/>
                <w:highlight w:val="white"/>
              </w:rPr>
              <w:fldChar w:fldCharType="end"/>
            </w:r>
            <w:r>
              <w:rPr>
                <w:highlight w:val="white"/>
              </w:rPr>
              <w:t> </w:t>
            </w:r>
            <w:r>
              <w:t>Федерального закона от 05.04.2013г.  №44-ФЗ</w:t>
            </w:r>
            <w:r>
              <w:rPr>
                <w:highlight w:val="white"/>
              </w:rPr>
              <w:t xml:space="preserve">. При этом участнику закупки при направлении оператору электронной площадки информации и документов, подтверждающих соответствие участников закупки вышеуказанным дополнительным требованиям  необходимо соблюдать требования, установленные в Постановлении Правительства </w:t>
            </w:r>
            <w:r>
              <w:t>Российской Федерации от 29 декабря 2021 г. №2571.</w:t>
            </w:r>
          </w:p>
          <w:p w14:paraId="C4000000">
            <w:pPr>
              <w:spacing w:after="0"/>
              <w:ind/>
              <w:rPr>
                <w:highlight w:val="white"/>
              </w:rPr>
            </w:pPr>
            <w:r>
              <w:tab/>
            </w:r>
            <w:r>
              <w:t xml:space="preserve">2. </w:t>
            </w:r>
            <w:r>
              <w:rPr>
                <w:shd w:themeFill="background1" w:val="clear"/>
              </w:rPr>
              <w:t>Информация и документы</w:t>
            </w:r>
            <w:r>
              <w:t xml:space="preserve"> (форме электронных документов или в форме</w:t>
            </w:r>
            <w:r>
              <w:t xml:space="preserve"> </w:t>
            </w:r>
            <w:r>
              <w:t xml:space="preserve"> электронных образов бумажных </w:t>
            </w:r>
            <w:r>
              <w:rPr>
                <w:highlight w:val="white"/>
              </w:rPr>
              <w:t>документов)</w:t>
            </w:r>
            <w:r>
              <w:rPr>
                <w:highlight w:val="white"/>
              </w:rPr>
              <w:t>, подтверждающие соответствие участника закупки дополнительным требованиям, установленным в соответствии с </w:t>
            </w:r>
            <w:r>
              <w:rPr>
                <w:highlight w:val="white"/>
              </w:rPr>
              <w:fldChar w:fldCharType="begin"/>
            </w:r>
            <w:r>
              <w:rPr>
                <w:highlight w:val="white"/>
              </w:rPr>
              <w:instrText>HYPERLINK "http://ivo.garant.ru/#/document/70353464/entry/3120"</w:instrText>
            </w:r>
            <w:r>
              <w:rPr>
                <w:highlight w:val="white"/>
              </w:rPr>
              <w:fldChar w:fldCharType="separate"/>
            </w:r>
            <w:r>
              <w:rPr>
                <w:highlight w:val="white"/>
              </w:rPr>
              <w:t>ч. 2</w:t>
            </w:r>
            <w:r>
              <w:rPr>
                <w:highlight w:val="white"/>
              </w:rPr>
              <w:fldChar w:fldCharType="end"/>
            </w:r>
            <w:r>
              <w:rPr>
                <w:highlight w:val="white"/>
              </w:rPr>
              <w:t>  (при наличии таких требований) статьи 31 Федерального закона от 05.04.2013г. №44-ФЗ, и предусмотренные </w:t>
            </w:r>
            <w:r>
              <w:rPr>
                <w:highlight w:val="white"/>
              </w:rPr>
              <w:fldChar w:fldCharType="begin"/>
            </w:r>
            <w:r>
              <w:rPr>
                <w:highlight w:val="white"/>
              </w:rPr>
              <w:instrText>HYPERLINK "http://ivo.garant.ru/#/document/70353464/entry/431113"</w:instrText>
            </w:r>
            <w:r>
              <w:rPr>
                <w:highlight w:val="white"/>
              </w:rPr>
              <w:fldChar w:fldCharType="separate"/>
            </w:r>
            <w:r>
              <w:rPr>
                <w:highlight w:val="white"/>
              </w:rPr>
              <w:t>подпунктом "н" пункта 1 части 1</w:t>
            </w:r>
            <w:r>
              <w:rPr>
                <w:highlight w:val="white"/>
              </w:rPr>
              <w:fldChar w:fldCharType="end"/>
            </w:r>
            <w:r>
              <w:rPr>
                <w:highlight w:val="white"/>
              </w:rPr>
              <w:t xml:space="preserve">  статьи 43 Федерального закона от 05.04.2013г.  №44-ФЗ, не включаются участником закупки в заявку на участие в закупке. Такие информация и документы в случаях, предусмотренных настоящим Федеральным законом от 05.04.2013г.  №44-ФЗ,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 (п.3 ч.6 ст. </w:t>
            </w:r>
            <w:r>
              <w:rPr>
                <w:highlight w:val="white"/>
              </w:rPr>
              <w:t xml:space="preserve">43,  </w:t>
            </w:r>
            <w:r>
              <w:rPr>
                <w:highlight w:val="white"/>
              </w:rPr>
              <w:t>п.4</w:t>
            </w:r>
            <w:r>
              <w:rPr>
                <w:highlight w:val="white"/>
              </w:rPr>
              <w:t xml:space="preserve"> ч.4 ст.49  </w:t>
            </w:r>
            <w:r>
              <w:rPr>
                <w:highlight w:val="white"/>
              </w:rPr>
              <w:t>Федерального закона от 05.04.2013г.  №44-ФЗ).</w:t>
            </w:r>
          </w:p>
          <w:p w14:paraId="C5000000">
            <w:pPr>
              <w:spacing w:after="0"/>
              <w:ind/>
              <w:rPr>
                <w:rFonts w:ascii="Arial" w:hAnsi="Arial"/>
                <w:b w:val="1"/>
                <w:color w:val="FFFFFF"/>
                <w:sz w:val="20"/>
              </w:rPr>
            </w:pPr>
            <w:r>
              <w:tab/>
            </w:r>
            <w:r>
              <w:t xml:space="preserve">3. </w:t>
            </w:r>
            <w:r>
              <w:rPr>
                <w:highlight w:val="white"/>
              </w:rPr>
              <w:t>Если информация и документы, подтверждающие соответствие участников закупки дополнительным требованиям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(далее - единая информационная система) с размещением на </w:t>
            </w:r>
            <w:r>
              <w:rPr>
                <w:rStyle w:val="Style_12_ch"/>
                <w:color w:val="000000"/>
                <w:highlight w:val="white"/>
              </w:rPr>
              <w:fldChar w:fldCharType="begin"/>
            </w:r>
            <w:r>
              <w:rPr>
                <w:rStyle w:val="Style_12_ch"/>
                <w:color w:val="000000"/>
                <w:highlight w:val="white"/>
              </w:rPr>
              <w:instrText>HYPERLINK "https://zakupki.gov.ru/"</w:instrText>
            </w:r>
            <w:r>
              <w:rPr>
                <w:rStyle w:val="Style_12_ch"/>
                <w:color w:val="000000"/>
                <w:highlight w:val="white"/>
              </w:rPr>
              <w:fldChar w:fldCharType="separate"/>
            </w:r>
            <w:r>
              <w:rPr>
                <w:rStyle w:val="Style_12_ch"/>
                <w:color w:val="000000"/>
                <w:highlight w:val="white"/>
              </w:rPr>
              <w:t>официальном сайте</w:t>
            </w:r>
            <w:r>
              <w:rPr>
                <w:rStyle w:val="Style_12_ch"/>
                <w:color w:val="000000"/>
                <w:highlight w:val="white"/>
              </w:rPr>
              <w:fldChar w:fldCharType="end"/>
            </w:r>
            <w:r>
              <w:rPr>
                <w:highlight w:val="white"/>
              </w:rPr>
              <w:t> единой информационной системы в информационно-телекоммуникационной сети "Интернет" таких документов, вместо направления таких документов участник закупки вправе направить в соответствии с </w:t>
            </w:r>
            <w:r>
              <w:t>Федеральным законом от 05.04.2013г.  №44-ФЗ</w:t>
            </w:r>
            <w:r>
              <w:rPr>
                <w:highlight w:val="white"/>
              </w:rPr>
              <w:t xml:space="preserve"> номер реестровой записи из соответствующего реестра. В случае наличия противоречий между информацией, содержащейся в единой информационной системе, и информацией, содержащейся в документах, направляемых участниками закупки, приоритет имеет информация, содержащаяся в единой информационной системе.</w:t>
            </w:r>
          </w:p>
        </w:tc>
      </w:tr>
      <w:tr>
        <w:trPr>
          <w:trHeight w:hRule="atLeast" w:val="610"/>
        </w:trPr>
        <w:tc>
          <w:tcPr>
            <w:tcW w:type="dxa" w:w="851"/>
            <w:tcBorders>
              <w:top w:color="000000" w:sz="4" w:val="single"/>
              <w:left w:color="000000" w:sz="4" w:val="single"/>
              <w:bottom w:color="000000" w:sz="4" w:val="single"/>
              <w:right w:color="000000" w:sz="4" w:val="single"/>
            </w:tcBorders>
            <w:shd w:themeFill="background1" w:themeFillShade="80" w:val="clear"/>
            <w:tcMar>
              <w:top w:type="dxa" w:w="0"/>
              <w:left w:type="dxa" w:w="108"/>
              <w:bottom w:type="dxa" w:w="0"/>
              <w:right w:type="dxa" w:w="108"/>
            </w:tcMar>
            <w:vAlign w:val="center"/>
          </w:tcPr>
          <w:p w14:paraId="C6000000">
            <w:pPr>
              <w:spacing w:after="0"/>
              <w:ind/>
              <w:jc w:val="center"/>
              <w:rPr>
                <w:rFonts w:ascii="Arial" w:hAnsi="Arial"/>
                <w:b w:val="1"/>
                <w:color w:val="FFFFFF"/>
                <w:sz w:val="20"/>
              </w:rPr>
            </w:pPr>
            <w:r>
              <w:rPr>
                <w:rFonts w:ascii="Arial" w:hAnsi="Arial"/>
                <w:b w:val="1"/>
                <w:color w:val="FFFFFF"/>
                <w:sz w:val="20"/>
              </w:rPr>
              <w:t>28</w:t>
            </w:r>
          </w:p>
        </w:tc>
        <w:tc>
          <w:tcPr>
            <w:tcW w:type="dxa" w:w="9071"/>
            <w:tcBorders>
              <w:top w:color="000000" w:sz="4" w:val="single"/>
              <w:left w:color="000000" w:sz="4" w:val="single"/>
              <w:bottom w:color="000000" w:sz="4" w:val="single"/>
              <w:right w:color="000000" w:sz="4" w:val="single"/>
            </w:tcBorders>
            <w:shd w:themeFill="background1" w:themeFillShade="80" w:val="clear"/>
            <w:tcMar>
              <w:top w:type="dxa" w:w="0"/>
              <w:left w:type="dxa" w:w="108"/>
              <w:bottom w:type="dxa" w:w="0"/>
              <w:right w:type="dxa" w:w="108"/>
            </w:tcMar>
            <w:vAlign w:val="center"/>
          </w:tcPr>
          <w:p w14:paraId="C7000000">
            <w:pPr>
              <w:spacing w:after="0"/>
              <w:ind/>
              <w:jc w:val="center"/>
              <w:rPr>
                <w:rFonts w:ascii="Arial" w:hAnsi="Arial"/>
                <w:b w:val="1"/>
                <w:color w:val="FFFFFF"/>
                <w:sz w:val="20"/>
              </w:rPr>
            </w:pPr>
            <w:r>
              <w:rPr>
                <w:rFonts w:ascii="Arial" w:hAnsi="Arial"/>
                <w:b w:val="1"/>
                <w:color w:val="FFFFFF"/>
                <w:sz w:val="20"/>
              </w:rPr>
              <w:t>Дополнительные требования к участникам закупок в соответствии</w:t>
            </w:r>
          </w:p>
          <w:p w14:paraId="C8000000">
            <w:pPr>
              <w:spacing w:after="0"/>
              <w:ind/>
              <w:jc w:val="center"/>
              <w:rPr>
                <w:rFonts w:ascii="Arial" w:hAnsi="Arial"/>
                <w:b w:val="1"/>
                <w:color w:val="FFFFFF"/>
                <w:sz w:val="20"/>
              </w:rPr>
            </w:pPr>
            <w:r>
              <w:rPr>
                <w:rFonts w:ascii="Arial" w:hAnsi="Arial"/>
                <w:b w:val="1"/>
                <w:color w:val="FFFFFF"/>
                <w:sz w:val="20"/>
              </w:rPr>
              <w:t xml:space="preserve"> с ч. 2.1 ст. 31 Федерального закона от 05.04.2013г. №44-ФЗ</w:t>
            </w:r>
          </w:p>
        </w:tc>
      </w:tr>
      <w:tr>
        <w:trPr>
          <w:trHeight w:hRule="atLeast" w:val="610"/>
        </w:trPr>
        <w:tc>
          <w:tcPr>
            <w:tcW w:type="dxa" w:w="9922"/>
            <w:gridSpan w:val="2"/>
            <w:tcBorders>
              <w:top w:color="000000" w:sz="4" w:val="single"/>
              <w:left w:color="000000" w:sz="4" w:val="single"/>
              <w:bottom w:color="000000" w:sz="4" w:val="single"/>
              <w:right w:color="000000" w:sz="4" w:val="single"/>
            </w:tcBorders>
            <w:shd w:themeFill="background1" w:val="clear"/>
            <w:tcMar>
              <w:top w:type="dxa" w:w="0"/>
              <w:left w:type="dxa" w:w="108"/>
              <w:bottom w:type="dxa" w:w="0"/>
              <w:right w:type="dxa" w:w="108"/>
            </w:tcMar>
            <w:vAlign w:val="center"/>
          </w:tcPr>
          <w:p w14:paraId="C9000000">
            <w:r>
              <w:tab/>
            </w:r>
            <w:r>
              <w:t xml:space="preserve">Заказчик </w:t>
            </w:r>
            <w:r>
              <w:rPr>
                <w:highlight w:val="lightGray"/>
              </w:rPr>
              <w:t>не установил</w:t>
            </w:r>
            <w:r>
              <w:t xml:space="preserve"> дополнительное(</w:t>
            </w:r>
            <w:r>
              <w:t>ые</w:t>
            </w:r>
            <w:r>
              <w:t>)  требование</w:t>
            </w:r>
            <w:r>
              <w:t>(я) к участникам закупки в соответствии с ч. 2.1 ст. 31 Федерального закона от 05.04.2013г. №44-ФЗ</w:t>
            </w:r>
            <w:r>
              <w:rPr>
                <w:highlight w:val="yellow"/>
                <w:vertAlign w:val="superscript"/>
              </w:rPr>
              <w:t>1</w:t>
            </w:r>
            <w:r>
              <w:t xml:space="preserve">: </w:t>
            </w:r>
            <w:r>
              <w:rPr>
                <w:shd w:fill="BFBFBF" w:val="clear"/>
              </w:rPr>
              <w:t>______</w:t>
            </w:r>
            <w:r>
              <w:t>.</w:t>
            </w:r>
          </w:p>
          <w:p w14:paraId="CA000000">
            <w:r>
              <w:tab/>
            </w:r>
            <w:r>
              <w:t xml:space="preserve">В случае если в извещении о проведении настоящего электронного </w:t>
            </w:r>
            <w:r>
              <w:t>аукциона  установлены</w:t>
            </w:r>
            <w:r>
              <w:t xml:space="preserve"> дополнительное(</w:t>
            </w:r>
            <w:r>
              <w:t>ые</w:t>
            </w:r>
            <w:r>
              <w:t>)  требование(я) к участникам электронного аукциона в соответствии с ч. 2.1 ст. 31 Федерального закона от 05.04.2013г. №44-ФЗ:</w:t>
            </w:r>
          </w:p>
          <w:p w14:paraId="CB000000">
            <w:pPr>
              <w:rPr>
                <w:highlight w:val="white"/>
              </w:rPr>
            </w:pPr>
            <w:r>
              <w:tab/>
            </w:r>
            <w:r>
              <w:t xml:space="preserve">1. </w:t>
            </w:r>
            <w:r>
              <w:rPr>
                <w:highlight w:val="white"/>
              </w:rPr>
              <w:t xml:space="preserve">В </w:t>
            </w:r>
            <w:r>
              <w:rPr>
                <w:highlight w:val="white"/>
              </w:rPr>
              <w:t>соответствии  с</w:t>
            </w:r>
            <w:r>
              <w:rPr>
                <w:highlight w:val="white"/>
              </w:rPr>
              <w:t xml:space="preserve"> ч. 12 ст. 24.2 </w:t>
            </w:r>
            <w:r>
              <w:t xml:space="preserve">Федерального закона от 05.04.2013г.  №44-ФЗ </w:t>
            </w:r>
            <w:r>
              <w:rPr>
                <w:highlight w:val="white"/>
              </w:rPr>
              <w:t xml:space="preserve"> в </w:t>
            </w:r>
            <w:r>
              <w:rPr>
                <w:highlight w:val="white"/>
              </w:rPr>
              <w:t>целях обеспечения доступа к участию в проводимых на электронной площадке закупках отдельных видов товаров, работ, услуг, в отношении участников которых установлены дополнительные требования в соответствии с </w:t>
            </w:r>
            <w:r>
              <w:rPr>
                <w:rStyle w:val="Style_12_ch"/>
                <w:color w:val="000000"/>
                <w:highlight w:val="white"/>
              </w:rPr>
              <w:fldChar w:fldCharType="begin"/>
            </w:r>
            <w:r>
              <w:rPr>
                <w:rStyle w:val="Style_12_ch"/>
                <w:color w:val="000000"/>
                <w:highlight w:val="white"/>
              </w:rPr>
              <w:instrText>HYPERLINK "http://ivo.garant.ru/#/document/70353464/entry/3120"</w:instrText>
            </w:r>
            <w:r>
              <w:rPr>
                <w:rStyle w:val="Style_12_ch"/>
                <w:color w:val="000000"/>
                <w:highlight w:val="white"/>
              </w:rPr>
              <w:fldChar w:fldCharType="separate"/>
            </w:r>
            <w:r>
              <w:rPr>
                <w:rStyle w:val="Style_12_ch"/>
                <w:color w:val="000000"/>
                <w:highlight w:val="white"/>
              </w:rPr>
              <w:t>ч. 2</w:t>
            </w:r>
            <w:r>
              <w:rPr>
                <w:rStyle w:val="Style_12_ch"/>
                <w:color w:val="000000"/>
                <w:highlight w:val="white"/>
              </w:rPr>
              <w:fldChar w:fldCharType="end"/>
            </w:r>
            <w:r>
              <w:rPr>
                <w:highlight w:val="white"/>
              </w:rPr>
              <w:t> </w:t>
            </w:r>
            <w:r>
              <w:t>Федерального закона от 05.04.2013г.  №44-ФЗ</w:t>
            </w:r>
            <w:r>
              <w:rPr>
                <w:highlight w:val="white"/>
              </w:rPr>
              <w:t xml:space="preserve"> </w:t>
            </w:r>
            <w:r>
              <w:t>от 05.04.2013г.  №44-ФЗ</w:t>
            </w:r>
            <w:r>
              <w:rPr>
                <w:highlight w:val="white"/>
              </w:rPr>
              <w:t xml:space="preserve">, участник закупки, аккредитованный на электронной площадке, </w:t>
            </w:r>
            <w:r>
              <w:rPr>
                <w:b w:val="1"/>
                <w:highlight w:val="white"/>
              </w:rPr>
              <w:t>заблаговременно</w:t>
            </w:r>
            <w:r>
              <w:rPr>
                <w:highlight w:val="white"/>
              </w:rPr>
              <w:t xml:space="preserve"> направляет оператору этой электронной площадки в отношении каждого такого вида информацию и документы, предусмотренные перечнем, установленным Правительством Российской Федерации (</w:t>
            </w:r>
            <w:r>
              <w:t xml:space="preserve">Постановление Правительства РФ от 29 декабря 2021 г. №2571) </w:t>
            </w:r>
            <w:r>
              <w:rPr>
                <w:highlight w:val="white"/>
              </w:rPr>
              <w:t>в соответствии с </w:t>
            </w:r>
            <w:r>
              <w:rPr>
                <w:rStyle w:val="Style_12_ch"/>
                <w:color w:val="000000"/>
                <w:highlight w:val="white"/>
              </w:rPr>
              <w:fldChar w:fldCharType="begin"/>
            </w:r>
            <w:r>
              <w:rPr>
                <w:rStyle w:val="Style_12_ch"/>
                <w:color w:val="000000"/>
                <w:highlight w:val="white"/>
              </w:rPr>
              <w:instrText>HYPERLINK "http://ivo.garant.ru/#/document/70353464/entry/3130"</w:instrText>
            </w:r>
            <w:r>
              <w:rPr>
                <w:rStyle w:val="Style_12_ch"/>
                <w:color w:val="000000"/>
                <w:highlight w:val="white"/>
              </w:rPr>
              <w:fldChar w:fldCharType="separate"/>
            </w:r>
            <w:r>
              <w:rPr>
                <w:rStyle w:val="Style_12_ch"/>
                <w:color w:val="000000"/>
                <w:highlight w:val="white"/>
              </w:rPr>
              <w:t>ч. 3 ст. 31</w:t>
            </w:r>
            <w:r>
              <w:rPr>
                <w:rStyle w:val="Style_12_ch"/>
                <w:color w:val="000000"/>
                <w:highlight w:val="white"/>
              </w:rPr>
              <w:fldChar w:fldCharType="end"/>
            </w:r>
            <w:r>
              <w:rPr>
                <w:highlight w:val="white"/>
              </w:rPr>
              <w:t> </w:t>
            </w:r>
            <w:r>
              <w:t>Федерального закона от 05.04.2013г.  №44-ФЗ</w:t>
            </w:r>
            <w:r>
              <w:rPr>
                <w:highlight w:val="white"/>
              </w:rPr>
              <w:t>.</w:t>
            </w:r>
          </w:p>
          <w:p w14:paraId="CC000000">
            <w:pPr>
              <w:spacing w:after="0"/>
              <w:ind/>
              <w:rPr>
                <w:rFonts w:ascii="Arial" w:hAnsi="Arial"/>
                <w:b w:val="1"/>
                <w:color w:val="FFFFFF"/>
                <w:sz w:val="20"/>
              </w:rPr>
            </w:pPr>
            <w:r>
              <w:tab/>
            </w:r>
            <w:r>
              <w:t>2.</w:t>
            </w:r>
            <w:r>
              <w:rPr>
                <w:i w:val="1"/>
              </w:rPr>
              <w:t xml:space="preserve"> </w:t>
            </w:r>
            <w:r>
              <w:rPr>
                <w:shd w:themeFill="background1" w:val="clear"/>
              </w:rPr>
              <w:t xml:space="preserve">Информация и документы </w:t>
            </w:r>
            <w:r>
              <w:rPr>
                <w:highlight w:val="white"/>
              </w:rPr>
              <w:t>(форме электронных документов или в форме электронных образов бумажных документов)</w:t>
            </w:r>
            <w:r>
              <w:rPr>
                <w:shd w:themeFill="background1" w:val="clear"/>
              </w:rPr>
              <w:t>, подтверждающие соответствие участника закупки дополнительным требованиям, установленным в соответствии с ч. </w:t>
            </w:r>
            <w:r>
              <w:rPr>
                <w:highlight w:val="yellow"/>
              </w:rPr>
              <w:fldChar w:fldCharType="begin"/>
            </w:r>
            <w:r>
              <w:rPr>
                <w:highlight w:val="yellow"/>
              </w:rPr>
              <w:instrText>HYPERLINK "http://ivo.garant.ru/#/document/70353464/entry/990272"</w:instrText>
            </w:r>
            <w:r>
              <w:rPr>
                <w:highlight w:val="yellow"/>
              </w:rPr>
              <w:fldChar w:fldCharType="separate"/>
            </w:r>
            <w:r>
              <w:rPr>
                <w:highlight w:val="yellow"/>
              </w:rPr>
              <w:t>2.1</w:t>
            </w:r>
            <w:r>
              <w:rPr>
                <w:highlight w:val="yellow"/>
              </w:rPr>
              <w:fldChar w:fldCharType="end"/>
            </w:r>
            <w:r>
              <w:rPr>
                <w:shd w:themeFill="background1" w:val="clear"/>
              </w:rPr>
              <w:t> (при наличии таких требований) статьи 31 Федерального закона от 05.04.2013г. №44-ФЗ, и предусмотренные </w:t>
            </w:r>
            <w:r>
              <w:rPr>
                <w:shd w:themeFill="background1" w:val="clear"/>
              </w:rPr>
              <w:fldChar w:fldCharType="begin"/>
            </w:r>
            <w:r>
              <w:rPr>
                <w:shd w:themeFill="background1" w:val="clear"/>
              </w:rPr>
              <w:instrText>HYPERLINK "http://ivo.garant.ru/#/document/70353464/entry/431113"</w:instrText>
            </w:r>
            <w:r>
              <w:rPr>
                <w:shd w:themeFill="background1" w:val="clear"/>
              </w:rPr>
              <w:fldChar w:fldCharType="separate"/>
            </w:r>
            <w:r>
              <w:rPr>
                <w:shd w:themeFill="background1" w:val="clear"/>
              </w:rPr>
              <w:t>подпунктом "н" пункта 1 части 1</w:t>
            </w:r>
            <w:r>
              <w:rPr>
                <w:shd w:themeFill="background1" w:val="clear"/>
              </w:rPr>
              <w:fldChar w:fldCharType="end"/>
            </w:r>
            <w:r>
              <w:rPr>
                <w:shd w:themeFill="background1" w:val="clear"/>
              </w:rPr>
              <w:t>  статьи 43 Федерального закона от 05.04.2013г.  №44-ФЗ, не включаются участником закупки в заявку на участие в закупке. Такие информация и документы в случаях, предусмотренных настоящим Федеральным законом от 05.04.2013г.  №44-ФЗ,</w:t>
            </w:r>
            <w:r>
              <w:t xml:space="preserve">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 (п.3 ч.6 ст. </w:t>
            </w:r>
            <w:r>
              <w:t xml:space="preserve">43,  </w:t>
            </w:r>
            <w:r>
              <w:rPr>
                <w:highlight w:val="white"/>
              </w:rPr>
              <w:t>п.4</w:t>
            </w:r>
            <w:r>
              <w:rPr>
                <w:highlight w:val="white"/>
              </w:rPr>
              <w:t xml:space="preserve"> ч.4 ст.49  </w:t>
            </w:r>
            <w:r>
              <w:t>Федерального закона от 05.04.2013г.  №44-ФЗ).</w:t>
            </w:r>
          </w:p>
          <w:p w14:paraId="CD000000">
            <w:pPr>
              <w:spacing w:after="0"/>
              <w:ind/>
              <w:rPr>
                <w:rFonts w:ascii="Arial" w:hAnsi="Arial"/>
                <w:b w:val="1"/>
                <w:color w:val="FFFFFF"/>
                <w:sz w:val="20"/>
              </w:rPr>
            </w:pPr>
          </w:p>
        </w:tc>
      </w:tr>
      <w:tr>
        <w:trPr>
          <w:trHeight w:hRule="atLeast" w:val="610"/>
        </w:trPr>
        <w:tc>
          <w:tcPr>
            <w:tcW w:type="dxa" w:w="851"/>
            <w:tcBorders>
              <w:top w:color="000000" w:sz="4" w:val="single"/>
              <w:left w:color="000000" w:sz="4" w:val="single"/>
              <w:bottom w:color="000000" w:sz="4" w:val="single"/>
              <w:right w:color="000000" w:sz="4" w:val="single"/>
            </w:tcBorders>
            <w:shd w:themeFill="background1" w:themeFillShade="80" w:val="clear"/>
            <w:tcMar>
              <w:top w:type="dxa" w:w="0"/>
              <w:left w:type="dxa" w:w="108"/>
              <w:bottom w:type="dxa" w:w="0"/>
              <w:right w:type="dxa" w:w="108"/>
            </w:tcMar>
            <w:vAlign w:val="center"/>
          </w:tcPr>
          <w:p w14:paraId="CE000000">
            <w:pPr>
              <w:spacing w:after="0"/>
              <w:ind w:firstLine="64" w:left="-64"/>
              <w:jc w:val="center"/>
              <w:rPr>
                <w:rFonts w:ascii="Arial" w:hAnsi="Arial"/>
                <w:b w:val="1"/>
                <w:color w:val="FFFFFF"/>
                <w:sz w:val="20"/>
              </w:rPr>
            </w:pPr>
            <w:r>
              <w:rPr>
                <w:rFonts w:ascii="Arial" w:hAnsi="Arial"/>
                <w:b w:val="1"/>
                <w:color w:val="FFFFFF"/>
                <w:sz w:val="20"/>
              </w:rPr>
              <w:t>29</w:t>
            </w:r>
          </w:p>
        </w:tc>
        <w:tc>
          <w:tcPr>
            <w:tcW w:type="dxa" w:w="9071"/>
            <w:tcBorders>
              <w:top w:color="000000" w:sz="4" w:val="single"/>
              <w:left w:color="000000" w:sz="4" w:val="single"/>
              <w:bottom w:color="000000" w:sz="4" w:val="single"/>
              <w:right w:color="000000" w:sz="4" w:val="single"/>
            </w:tcBorders>
            <w:shd w:themeFill="background1" w:themeFillShade="80" w:val="clear"/>
            <w:tcMar>
              <w:top w:type="dxa" w:w="0"/>
              <w:left w:type="dxa" w:w="108"/>
              <w:bottom w:type="dxa" w:w="0"/>
              <w:right w:type="dxa" w:w="108"/>
            </w:tcMar>
            <w:vAlign w:val="center"/>
          </w:tcPr>
          <w:p w14:paraId="CF000000">
            <w:pPr>
              <w:spacing w:after="0"/>
              <w:ind/>
              <w:jc w:val="center"/>
              <w:rPr>
                <w:rFonts w:ascii="Arial" w:hAnsi="Arial"/>
                <w:b w:val="1"/>
                <w:color w:val="FFFFFF"/>
                <w:sz w:val="20"/>
              </w:rPr>
            </w:pPr>
            <w:r>
              <w:rPr>
                <w:rFonts w:ascii="Arial" w:hAnsi="Arial"/>
                <w:b w:val="1"/>
                <w:color w:val="FFFFFF"/>
                <w:sz w:val="20"/>
              </w:rPr>
              <w:t>Предупреждение об административной и уголовной ответственности</w:t>
            </w:r>
          </w:p>
        </w:tc>
      </w:tr>
      <w:tr>
        <w:trPr>
          <w:trHeight w:hRule="atLeast" w:val="610"/>
        </w:trPr>
        <w:tc>
          <w:tcPr>
            <w:tcW w:type="dxa" w:w="9922"/>
            <w:gridSpan w:val="2"/>
            <w:tcBorders>
              <w:top w:color="000000" w:sz="4" w:val="single"/>
              <w:left w:color="000000" w:sz="4" w:val="single"/>
              <w:bottom w:color="000000" w:sz="4" w:val="single"/>
              <w:right w:color="000000" w:sz="4" w:val="single"/>
            </w:tcBorders>
            <w:shd w:themeFill="background1" w:val="clear"/>
            <w:tcMar>
              <w:top w:type="dxa" w:w="0"/>
              <w:left w:type="dxa" w:w="108"/>
              <w:bottom w:type="dxa" w:w="0"/>
              <w:right w:type="dxa" w:w="108"/>
            </w:tcMar>
            <w:vAlign w:val="center"/>
          </w:tcPr>
          <w:p w14:paraId="D0000000">
            <w:pPr>
              <w:spacing w:after="0"/>
              <w:ind/>
              <w:rPr>
                <w:rFonts w:ascii="Arial" w:hAnsi="Arial"/>
                <w:b w:val="1"/>
                <w:color w:val="FFFFFF"/>
                <w:sz w:val="20"/>
              </w:rPr>
            </w:pPr>
            <w:r>
              <w:tab/>
            </w:r>
            <w:r>
              <w:rPr>
                <w:highlight w:val="white"/>
              </w:rPr>
              <w:t>Участник закупки несет административную и уголовную ответственность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p>
        </w:tc>
      </w:tr>
    </w:tbl>
    <w:p w14:paraId="D1000000">
      <w:pPr>
        <w:spacing w:after="0"/>
        <w:ind/>
        <w:jc w:val="left"/>
        <w:rPr>
          <w:b w:val="1"/>
        </w:rPr>
      </w:pPr>
      <w:bookmarkStart w:id="16" w:name="_Ref166315600"/>
      <w:bookmarkEnd w:id="16"/>
      <w:bookmarkStart w:id="17" w:name="_Ref166267388"/>
      <w:bookmarkEnd w:id="17"/>
      <w:bookmarkStart w:id="18" w:name="_Ref166267499"/>
      <w:bookmarkEnd w:id="18"/>
      <w:bookmarkStart w:id="19" w:name="_Ref166312503"/>
      <w:bookmarkEnd w:id="19"/>
      <w:bookmarkStart w:id="20" w:name="_Ref166313061"/>
      <w:bookmarkEnd w:id="20"/>
      <w:bookmarkStart w:id="21" w:name="_Ref166314817"/>
      <w:bookmarkEnd w:id="21"/>
      <w:bookmarkStart w:id="22" w:name="_Ref166315159"/>
      <w:bookmarkEnd w:id="22"/>
      <w:bookmarkStart w:id="23" w:name="_Ref166315233"/>
      <w:bookmarkEnd w:id="23"/>
    </w:p>
    <w:p w14:paraId="D2000000">
      <w:pPr>
        <w:ind w:left="720"/>
        <w:jc w:val="center"/>
        <w:outlineLvl w:val="2"/>
        <w:rPr>
          <w:b w:val="1"/>
        </w:rPr>
      </w:pPr>
      <w:r>
        <w:rPr>
          <w:b w:val="1"/>
        </w:rPr>
        <w:t>Требования требование о выполнении участником закупки самостоятельно без привлечения других лиц к исполнению своих обязательств по государственному (муниципальному) контракту в соответствии с ч. 2 ст. 110.2 Федерального закона 44-ФЗ от 05.04.2013г. №44-ФЗ</w:t>
      </w:r>
    </w:p>
    <w:p w14:paraId="D3000000">
      <w:pPr>
        <w:spacing w:after="0"/>
        <w:ind/>
        <w:jc w:val="left"/>
        <w:rPr>
          <w:b w:val="1"/>
        </w:rPr>
      </w:pPr>
    </w:p>
    <w:tbl>
      <w:tblPr>
        <w:tblStyle w:val="Style_7"/>
        <w:tblW w:type="auto" w:w="0"/>
        <w:tblInd w:type="dxa" w:w="-34"/>
        <w:tblLayout w:type="fixed"/>
      </w:tblPr>
      <w:tblGrid>
        <w:gridCol w:w="1712"/>
        <w:gridCol w:w="8211"/>
      </w:tblGrid>
      <w:tr>
        <w:tc>
          <w:tcPr>
            <w:tcW w:type="dxa" w:w="1712"/>
            <w:tcBorders>
              <w:top w:color="000000" w:sz="4" w:val="single"/>
              <w:left w:color="000000" w:sz="4" w:val="single"/>
              <w:bottom w:color="000000" w:sz="4" w:val="single"/>
              <w:right w:color="000000" w:sz="4" w:val="single"/>
            </w:tcBorders>
            <w:shd w:fill="808080" w:val="clear"/>
            <w:tcMar>
              <w:top w:type="dxa" w:w="0"/>
              <w:left w:type="dxa" w:w="108"/>
              <w:bottom w:type="dxa" w:w="0"/>
              <w:right w:type="dxa" w:w="108"/>
            </w:tcMar>
            <w:vAlign w:val="center"/>
          </w:tcPr>
          <w:p w14:paraId="D4000000">
            <w:pPr>
              <w:ind/>
              <w:jc w:val="center"/>
              <w:rPr>
                <w:rFonts w:ascii="Arial" w:hAnsi="Arial"/>
                <w:b w:val="1"/>
                <w:color w:val="FFFFFF"/>
                <w:sz w:val="20"/>
              </w:rPr>
            </w:pPr>
            <w:r>
              <w:rPr>
                <w:rFonts w:ascii="Arial" w:hAnsi="Arial"/>
                <w:b w:val="1"/>
                <w:color w:val="FFFFFF"/>
                <w:sz w:val="20"/>
              </w:rPr>
              <w:t>30</w:t>
            </w:r>
          </w:p>
        </w:tc>
        <w:tc>
          <w:tcPr>
            <w:tcW w:type="dxa" w:w="8211"/>
            <w:tcBorders>
              <w:top w:color="000000" w:sz="4" w:val="single"/>
              <w:left w:color="000000" w:sz="4" w:val="single"/>
              <w:bottom w:color="000000" w:sz="4" w:val="single"/>
              <w:right w:color="000000" w:sz="4" w:val="single"/>
            </w:tcBorders>
            <w:shd w:fill="808080" w:val="clear"/>
            <w:tcMar>
              <w:top w:type="dxa" w:w="0"/>
              <w:left w:type="dxa" w:w="108"/>
              <w:bottom w:type="dxa" w:w="0"/>
              <w:right w:type="dxa" w:w="108"/>
            </w:tcMar>
            <w:vAlign w:val="center"/>
          </w:tcPr>
          <w:p w14:paraId="D5000000">
            <w:pPr>
              <w:spacing w:after="0"/>
              <w:ind w:firstLine="323"/>
              <w:jc w:val="center"/>
              <w:rPr>
                <w:rFonts w:ascii="Arial" w:hAnsi="Arial"/>
                <w:b w:val="1"/>
                <w:color w:val="FFFFFF"/>
                <w:sz w:val="20"/>
              </w:rPr>
            </w:pPr>
            <w:r>
              <w:rPr>
                <w:rFonts w:ascii="Arial" w:hAnsi="Arial"/>
                <w:b w:val="1"/>
                <w:color w:val="FFFFFF"/>
                <w:sz w:val="20"/>
              </w:rPr>
              <w:t>Виды и объемы работ по строительству, реконструкции объектов капитального строительства, которые подрядчик обязан выполнить самостоятельно без привлечения других лиц к исполнению своих обязательств по государственному (муниципальному) контракту в соответствии с ч. 2 ст. 110.2 Федерального закона 44-ФЗ</w:t>
            </w:r>
          </w:p>
        </w:tc>
      </w:tr>
      <w:tr>
        <w:tc>
          <w:tcPr>
            <w:tcW w:type="dxa" w:w="9923"/>
            <w:gridSpan w:val="2"/>
            <w:tcBorders>
              <w:top w:color="000000" w:sz="4" w:val="single"/>
              <w:left w:color="000000" w:sz="4" w:val="single"/>
              <w:bottom w:color="000000" w:sz="4" w:val="single"/>
              <w:right w:color="000000" w:sz="4" w:val="single"/>
            </w:tcBorders>
            <w:shd w:fill="auto" w:val="clear"/>
            <w:tcMar>
              <w:top w:type="dxa" w:w="0"/>
              <w:left w:type="dxa" w:w="108"/>
              <w:bottom w:type="dxa" w:w="0"/>
              <w:right w:type="dxa" w:w="108"/>
            </w:tcMar>
            <w:vAlign w:val="center"/>
          </w:tcPr>
          <w:p w14:paraId="D6000000">
            <w:pPr>
              <w:spacing w:after="0"/>
              <w:ind w:firstLine="323"/>
              <w:rPr>
                <w:rFonts w:ascii="Arial" w:hAnsi="Arial"/>
                <w:b w:val="1"/>
                <w:color w:val="FFFFFF"/>
                <w:sz w:val="20"/>
              </w:rPr>
            </w:pPr>
            <w:r>
              <w:t xml:space="preserve">Заказчиком </w:t>
            </w:r>
            <w:r>
              <w:rPr>
                <w:highlight w:val="lightGray"/>
              </w:rPr>
              <w:t>не установлено</w:t>
            </w:r>
            <w:r>
              <w:t xml:space="preserve"> требование о выполнении подрядчиком самостоятельно без привлечения других лиц к исполнению своих обязательств </w:t>
            </w:r>
            <w:r>
              <w:rPr>
                <w:b w:val="1"/>
              </w:rPr>
              <w:t>по государственному (муниципальному) контракту</w:t>
            </w:r>
            <w:r>
              <w:t xml:space="preserve"> в соответствии с ч. 2 ст. 110.2 Федерального закона 44-ФЗ и Постановлением Правительства РФ от 15 мая 2017 г. № 570 "Об установлении видов и объемов работ по строительству, </w:t>
            </w:r>
            <w:r>
              <w:rPr>
                <w:highlight w:val="white"/>
              </w:rPr>
              <w:t>реконструкции объектов капитального строительства на территории Российской Федерации, которые подрядчик</w:t>
            </w:r>
            <w:r>
              <w:t xml:space="preserve"> обязан выполнить самостоятельно без привлечения других лиц</w:t>
            </w:r>
            <w:r>
              <w:rPr>
                <w:highlight w:val="white"/>
              </w:rPr>
              <w:t xml:space="preserve">, </w:t>
            </w:r>
            <w:r>
              <w:rPr>
                <w:rStyle w:val="Style_8_ch"/>
                <w:i w:val="1"/>
                <w:color w:val="22272F"/>
                <w:sz w:val="23"/>
                <w:highlight w:val="white"/>
              </w:rPr>
              <w:t xml:space="preserve"> за исключением дочерних обществ такого подрядчика,</w:t>
            </w:r>
            <w:r>
              <w:rPr>
                <w:highlight w:val="white"/>
              </w:rPr>
              <w:t xml:space="preserve"> к исполнению своих обязательств по государственному и (или) муниципальному контрактам, и о внесении изменений в Правила определения размера штрафа, начисляемого в случае ненадлежащего исполнения заказчиком, поставщиком (подрядчиком, исполнителем) обязательств, предусмотренных контрактом</w:t>
            </w:r>
            <w:r>
              <w:t xml:space="preserve">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w:t>
            </w:r>
          </w:p>
        </w:tc>
      </w:tr>
    </w:tbl>
    <w:p w14:paraId="D7000000">
      <w:pPr>
        <w:spacing w:after="0"/>
        <w:ind/>
        <w:jc w:val="left"/>
        <w:rPr>
          <w:b w:val="1"/>
        </w:rPr>
      </w:pPr>
    </w:p>
    <w:p w14:paraId="D8000000">
      <w:pPr>
        <w:spacing w:after="0"/>
        <w:ind/>
        <w:jc w:val="left"/>
        <w:rPr>
          <w:b w:val="1"/>
        </w:rPr>
      </w:pPr>
    </w:p>
    <w:p w14:paraId="D9000000">
      <w:pPr>
        <w:spacing w:after="0"/>
        <w:ind/>
        <w:jc w:val="left"/>
        <w:rPr>
          <w:b w:val="1"/>
        </w:rPr>
      </w:pPr>
    </w:p>
    <w:p w14:paraId="DA000000">
      <w:pPr>
        <w:spacing w:after="0"/>
        <w:ind/>
        <w:jc w:val="left"/>
        <w:rPr>
          <w:b w:val="1"/>
        </w:rPr>
      </w:pPr>
    </w:p>
    <w:p w14:paraId="DB000000">
      <w:pPr>
        <w:spacing w:after="0"/>
        <w:ind/>
        <w:jc w:val="center"/>
        <w:rPr>
          <w:b w:val="1"/>
          <w:color w:val="000080"/>
        </w:rPr>
      </w:pPr>
      <w:r>
        <w:rPr>
          <w:b w:val="1"/>
          <w:color w:val="000080"/>
        </w:rPr>
        <w:t xml:space="preserve">ТРЕБОВАНИЯ К СОДЕРЖАНИЮ, СОСТАВУ ЗАЯВКИ НА </w:t>
      </w:r>
    </w:p>
    <w:p w14:paraId="DC000000">
      <w:pPr>
        <w:spacing w:after="0"/>
        <w:ind/>
        <w:jc w:val="center"/>
        <w:rPr>
          <w:b w:val="1"/>
          <w:color w:val="000080"/>
        </w:rPr>
      </w:pPr>
      <w:r>
        <w:rPr>
          <w:b w:val="1"/>
          <w:color w:val="000080"/>
        </w:rPr>
        <w:t>УЧАСТИЕ В ЗАКУПКЕ И ИНСТРУКЦИЯ ПО ЕЕ ЗАПОЛНЕНИЮ</w:t>
      </w:r>
    </w:p>
    <w:p w14:paraId="DD000000">
      <w:pPr>
        <w:spacing w:after="0" w:before="120"/>
        <w:ind w:firstLine="709"/>
      </w:pPr>
      <w:r>
        <w:t>Требования к содержанию, составу заявки на участие в закупке и инструкция по ее заполнению приложены отдельным файлом</w:t>
      </w:r>
    </w:p>
    <w:p w14:paraId="DE000000">
      <w:pPr>
        <w:pStyle w:val="Style_5"/>
        <w:widowControl w:val="1"/>
        <w:tabs>
          <w:tab w:leader="none" w:pos="360" w:val="left"/>
        </w:tabs>
        <w:spacing w:before="360"/>
        <w:ind w:firstLine="0" w:left="1077"/>
        <w:jc w:val="center"/>
        <w:outlineLvl w:val="1"/>
        <w:rPr>
          <w:rFonts w:ascii="Times New Roman" w:hAnsi="Times New Roman"/>
          <w:b w:val="1"/>
          <w:color w:val="000080"/>
          <w:sz w:val="24"/>
        </w:rPr>
      </w:pPr>
      <w:r>
        <w:rPr>
          <w:rFonts w:ascii="Times New Roman" w:hAnsi="Times New Roman"/>
          <w:b w:val="1"/>
          <w:color w:val="000080"/>
          <w:sz w:val="24"/>
        </w:rPr>
        <w:t>ОПИСАНИЕ ОБЪЕКТА ЗАКУПКИ</w:t>
      </w:r>
    </w:p>
    <w:p w14:paraId="DF000000">
      <w:pPr>
        <w:spacing w:after="0" w:before="120"/>
        <w:ind w:firstLine="709"/>
      </w:pPr>
      <w:r>
        <w:t>Описание объекта закупки приложен отдельным (отдельными) файлом (файлами)</w:t>
      </w:r>
    </w:p>
    <w:p w14:paraId="E0000000">
      <w:pPr>
        <w:pStyle w:val="Style_4"/>
        <w:numPr>
          <w:ilvl w:val="0"/>
          <w:numId w:val="0"/>
        </w:numPr>
        <w:spacing w:after="0" w:before="360"/>
        <w:ind/>
        <w:rPr>
          <w:color w:val="000080"/>
          <w:sz w:val="24"/>
        </w:rPr>
      </w:pPr>
      <w:bookmarkStart w:id="24" w:name="Обоснование_нач_цены"/>
      <w:r>
        <w:rPr>
          <w:color w:val="000080"/>
          <w:sz w:val="24"/>
        </w:rPr>
        <w:t>ОБОСНОВАНИ</w:t>
      </w:r>
      <w:bookmarkEnd w:id="24"/>
      <w:r>
        <w:rPr>
          <w:color w:val="000080"/>
          <w:sz w:val="24"/>
        </w:rPr>
        <w:t xml:space="preserve">Е НАЧАЛЬНОЙ (МАКСИМАЛЬНОЙ) ЦЕНЫ КОНТРАКТА </w:t>
      </w:r>
    </w:p>
    <w:p w14:paraId="E1000000">
      <w:pPr>
        <w:spacing w:after="0" w:before="120"/>
        <w:ind w:firstLine="709"/>
      </w:pPr>
      <w:bookmarkStart w:id="25" w:name="ПРОЕКТ_ГОСУДАРСТВЕННОГО_контракта"/>
      <w:bookmarkEnd w:id="25"/>
      <w:r>
        <w:t>Обоснование начальной (максимальной) цены контракта, цены единицы товара работы, услуги приложен отдельным (отдельными) файлом (файлами)</w:t>
      </w:r>
    </w:p>
    <w:p w14:paraId="E2000000">
      <w:pPr>
        <w:spacing w:after="0"/>
        <w:ind w:firstLine="708"/>
        <w:rPr>
          <w:color w:val="000080"/>
        </w:rPr>
      </w:pPr>
    </w:p>
    <w:p w14:paraId="E3000000">
      <w:pPr>
        <w:spacing w:after="0"/>
        <w:ind w:firstLine="708"/>
        <w:jc w:val="center"/>
        <w:rPr>
          <w:b w:val="1"/>
          <w:color w:val="000080"/>
        </w:rPr>
      </w:pPr>
      <w:r>
        <w:rPr>
          <w:b w:val="1"/>
          <w:color w:val="000080"/>
        </w:rPr>
        <w:t>ПРОЕКТ КОНТРАКТА</w:t>
      </w:r>
    </w:p>
    <w:p w14:paraId="E4000000">
      <w:pPr>
        <w:spacing w:after="0" w:before="120"/>
        <w:ind w:firstLine="709"/>
      </w:pPr>
      <w:r>
        <w:t>Проект контракта приложен отдельным (отдельными) файлом (файлами)</w:t>
      </w:r>
    </w:p>
    <w:p w14:paraId="E5000000">
      <w:pPr>
        <w:spacing w:after="0"/>
        <w:ind w:firstLine="708"/>
      </w:pPr>
    </w:p>
    <w:sectPr>
      <w:headerReference r:id="rId1" w:type="default"/>
      <w:headerReference r:id="rId4" w:type="first"/>
      <w:footerReference r:id="rId2" w:type="default"/>
      <w:footerReference r:id="rId3" w:type="even"/>
      <w:pgSz w:h="16838" w:orient="portrait" w:w="11906"/>
      <w:pgMar w:bottom="766" w:footer="709" w:gutter="0" w:header="709" w:left="1321" w:right="868" w:top="902"/>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2.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pStyle w:val="Style_1"/>
      <w:ind w:right="360"/>
    </w:pPr>
    <w: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false" distB="0" distL="0" distR="0" distT="0" layoutInCell="true" locked="false" relativeHeight="251658240" simplePos="false">
              <wp:simplePos x="0" y="0"/>
              <wp:positionH relativeFrom="margin">
                <wp:align>right</wp:align>
              </wp:positionH>
              <wp:positionV relativeFrom="paragraph">
                <wp:posOffset>635</wp:posOffset>
              </wp:positionV>
              <wp:extent cx="14605" cy="175260"/>
              <wp:wrapSquare distB="0" distL="0" distR="0" distT="0" wrapText="bothSides"/>
              <wp:docPr hidden="false" id="1" name="Picture 1"/>
              <a:graphic>
                <a:graphicData uri="http://schemas.microsoft.com/office/word/2010/wordprocessingShape">
                  <wps:wsp>
                    <wps:cNvSpPr txBox="true"/>
                    <wps:spPr>
                      <a:xfrm flipH="false" flipV="false" rot="0">
                        <a:off x="0" y="0"/>
                        <a:ext cx="14605" cy="175260"/>
                      </a:xfrm>
                      <a:prstGeom prst="rect">
                        <a:avLst/>
                      </a:prstGeom>
                      <a:solidFill>
                        <a:srgbClr val="FFFFFF">
                          <a:alpha val="0"/>
                        </a:srgbClr>
                      </a:solidFill>
                    </wps:spPr>
                    <wps:txbx>
                      <w:txbxContent>
                        <w:p w14:paraId="03000000">
                          <w:pPr>
                            <w:pStyle w:val="Style_1"/>
                            <w:rPr>
                              <w:rStyle w:val="Style_2_ch"/>
                              <w:rFonts w:ascii="Times New Roman" w:hAnsi="Times New Roman"/>
                              <w:color w:val="000000"/>
                            </w:rPr>
                          </w:pPr>
                        </w:p>
                      </w:txbxContent>
                    </wps:txbx>
                    <wps:bodyPr anchor="t" bIns="0" lIns="0" rIns="0" tIns="0">
                      <a:spAutoFit/>
                    </wps:bodyPr>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ftr>
</file>

<file path=word/footer3.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4000000">
    <w:pPr>
      <w:pStyle w:val="Style_1"/>
      <w:ind w:right="360"/>
    </w:pPr>
    <w:r>
      <mc:AlternateContent>
        <mc:Choice Requires="wps">
          <w:draw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wp:anchor allowOverlap="true" behindDoc="false" distB="0" distL="0" distR="0" distT="0" layoutInCell="true" locked="false" relativeHeight="251658240" simplePos="false">
              <wp:simplePos x="0" y="0"/>
              <wp:positionH relativeFrom="margin">
                <wp:align>right</wp:align>
              </wp:positionH>
              <wp:positionV relativeFrom="paragraph">
                <wp:posOffset>635</wp:posOffset>
              </wp:positionV>
              <wp:extent cx="14605" cy="14605"/>
              <wp:wrapSquare distB="0" distL="0" distR="0" distT="0" wrapText="bothSides"/>
              <wp:docPr hidden="false" id="2" name="Picture 2"/>
              <a:graphic>
                <a:graphicData uri="http://schemas.microsoft.com/office/word/2010/wordprocessingShape">
                  <wps:wsp>
                    <wps:cNvSpPr txBox="true"/>
                    <wps:spPr>
                      <a:xfrm flipH="false" flipV="false" rot="0">
                        <a:off x="0" y="0"/>
                        <a:ext cx="14605" cy="14605"/>
                      </a:xfrm>
                      <a:prstGeom prst="rect">
                        <a:avLst/>
                      </a:prstGeom>
                      <a:solidFill>
                        <a:srgbClr val="FFFFFF">
                          <a:alpha val="0"/>
                        </a:srgbClr>
                      </a:solidFill>
                    </wps:spPr>
                    <wps:txbx>
                      <w:txbxContent>
                        <w:p w14:paraId="05000000">
                          <w:pPr>
                            <w:pStyle w:val="Style_1"/>
                            <w:rPr>
                              <w:rStyle w:val="Style_2_ch"/>
                              <w:rFonts w:ascii="Times New Roman" w:hAnsi="Times New Roman"/>
                              <w:color w:val="000000"/>
                            </w:rPr>
                          </w:pPr>
                          <w:r>
                            <w:rPr>
                              <w:rStyle w:val="Style_2_ch"/>
                              <w:rFonts w:ascii="Times New Roman" w:hAnsi="Times New Roman"/>
                              <w:color w:val="000000"/>
                            </w:rPr>
                            <w:fldChar w:fldCharType="begin"/>
                          </w:r>
                          <w:r>
                            <w:rPr>
                              <w:rStyle w:val="Style_2_ch"/>
                              <w:rFonts w:ascii="Times New Roman" w:hAnsi="Times New Roman"/>
                              <w:color w:val="000000"/>
                            </w:rPr>
                            <w:instrText xml:space="preserve">PAGE </w:instrText>
                          </w:r>
                          <w:r>
                            <w:rPr>
                              <w:rStyle w:val="Style_2_ch"/>
                              <w:rFonts w:ascii="Times New Roman" w:hAnsi="Times New Roman"/>
                              <w:color w:val="000000"/>
                            </w:rPr>
                            <w:fldChar w:fldCharType="separate"/>
                          </w:r>
                          <w:r>
                            <w:rPr>
                              <w:rStyle w:val="Style_2_ch"/>
                              <w:rFonts w:ascii="Times New Roman" w:hAnsi="Times New Roman"/>
                              <w:color w:val="000000"/>
                            </w:rPr>
                            <w:t xml:space="preserve"> </w:t>
                          </w:r>
                          <w:r>
                            <w:rPr>
                              <w:rStyle w:val="Style_2_ch"/>
                              <w:rFonts w:ascii="Times New Roman" w:hAnsi="Times New Roman"/>
                              <w:color w:val="000000"/>
                            </w:rPr>
                            <w:fldChar w:fldCharType="end"/>
                          </w:r>
                        </w:p>
                      </w:txbxContent>
                    </wps:txbx>
                    <wps:bodyPr anchor="t" bIns="0" lIns="0" rIns="0" tIns="0">
                      <a:spAutoFit/>
                    </wps:bodyPr>
                  </wps:wsp>
                </a:graphicData>
              </a:graphic>
            </wp:anchor>
          </w:drawing>
        </mc:Choice>
        <mc:Fallback>
          <w:pic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Fallback>
      </mc:AlternateContent>
    </w:r>
  </w:p>
</w:ftr>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keepNext w:val="1"/>
      <w:keepLines w:val="1"/>
      <w:widowControl w:val="0"/>
      <w:spacing w:line="360" w:lineRule="auto"/>
      <w:ind/>
      <w:jc w:val="right"/>
      <w:rPr>
        <w:color w:val="999999"/>
        <w:sz w:val="18"/>
      </w:rPr>
    </w:pPr>
    <w:r>
      <w:rPr>
        <w:color w:val="999999"/>
        <w:sz w:val="18"/>
      </w:rPr>
      <w:t>Заявка услуга, работа 2.0</w:t>
    </w:r>
    <w:r>
      <w:rPr>
        <w:color w:val="999999"/>
        <w:sz w:val="18"/>
      </w:rPr>
      <w:t>3</w:t>
    </w:r>
    <w:r>
      <w:rPr>
        <w:color w:val="999999"/>
        <w:sz w:val="18"/>
      </w:rPr>
      <w:t>.26  44-ФЗ</w:t>
    </w:r>
  </w:p>
</w:hdr>
</file>

<file path=word/header4.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6000000">
    <w:pPr>
      <w:keepNext w:val="1"/>
      <w:keepLines w:val="1"/>
      <w:widowControl w:val="0"/>
      <w:spacing w:line="360" w:lineRule="auto"/>
      <w:ind/>
      <w:jc w:val="right"/>
      <w:rPr>
        <w:color w:val="999999"/>
        <w:sz w:val="18"/>
      </w:rPr>
    </w:pPr>
    <w:r>
      <w:rPr>
        <w:color w:val="999999"/>
        <w:sz w:val="18"/>
      </w:rPr>
      <w:t>Заявка услуга, работа 2.0</w:t>
    </w:r>
    <w:r>
      <w:rPr>
        <w:color w:val="999999"/>
        <w:sz w:val="18"/>
      </w:rPr>
      <w:t>3</w:t>
    </w:r>
    <w:r>
      <w:rPr>
        <w:color w:val="999999"/>
        <w:sz w:val="18"/>
      </w:rPr>
      <w:t>.26 44-ФЗ</w:t>
    </w:r>
  </w:p>
  <w:p w14:paraId="07000000">
    <w:pPr>
      <w:pStyle w:val="Style_3"/>
    </w:pPr>
  </w:p>
  <w:p w14:paraId="08000000">
    <w:pPr>
      <w:pStyle w:val="Style_3"/>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pStyle w:val="Style_75"/>
      <w:lvlText w:val="%1."/>
      <w:lvlJc w:val="left"/>
      <w:pPr>
        <w:tabs>
          <w:tab w:leader="none" w:pos="432" w:val="left"/>
        </w:tabs>
        <w:ind w:hanging="432" w:left="432"/>
      </w:pPr>
      <w:rPr>
        <w:rFonts w:ascii="Times New Roman" w:hAnsi="Times New Roman"/>
        <w:b w:val="0"/>
        <w:sz w:val="22"/>
      </w:rPr>
    </w:lvl>
    <w:lvl w:ilvl="1">
      <w:start w:val="1"/>
      <w:numFmt w:val="decimal"/>
      <w:pStyle w:val="Style_4"/>
      <w:lvlText w:val="%1.%2."/>
      <w:lvlJc w:val="left"/>
      <w:pPr>
        <w:tabs>
          <w:tab w:leader="none" w:pos="576" w:val="left"/>
        </w:tabs>
        <w:ind w:hanging="576" w:left="576"/>
      </w:pPr>
    </w:lvl>
    <w:lvl w:ilvl="2">
      <w:start w:val="1"/>
      <w:numFmt w:val="decimal"/>
      <w:pStyle w:val="Style_6"/>
      <w:lvlText w:val="%1.%2.%3."/>
      <w:lvlJc w:val="left"/>
      <w:pPr>
        <w:tabs>
          <w:tab w:leader="none" w:pos="170" w:val="left"/>
        </w:tabs>
        <w:ind w:hanging="720" w:left="720"/>
      </w:pPr>
      <w:rPr>
        <w:rFonts w:ascii="Times New Roman" w:hAnsi="Times New Roman"/>
        <w:b w:val="0"/>
        <w:i w:val="0"/>
        <w:sz w:val="26"/>
      </w:rPr>
    </w:lvl>
    <w:lvl w:ilvl="3">
      <w:start w:val="1"/>
      <w:numFmt w:val="decimal"/>
      <w:lvlText w:val="%4)"/>
      <w:lvlJc w:val="left"/>
      <w:pPr>
        <w:tabs>
          <w:tab w:leader="none" w:pos="360" w:val="left"/>
        </w:tabs>
        <w:ind w:hanging="360" w:left="360"/>
      </w:pPr>
      <w:rPr>
        <w:b w:val="0"/>
        <w:sz w:val="24"/>
      </w:rPr>
    </w:lvl>
    <w:lvl w:ilvl="4">
      <w:start w:val="1"/>
      <w:numFmt w:val="russianLower"/>
      <w:lvlText w:val="%5)"/>
      <w:lvlJc w:val="left"/>
      <w:pPr>
        <w:tabs>
          <w:tab w:leader="none" w:pos="1800" w:val="left"/>
        </w:tabs>
        <w:ind w:hanging="360" w:left="1800"/>
      </w:pPr>
      <w:rPr>
        <w:sz w:val="26"/>
      </w:rPr>
    </w:lvl>
    <w:lvl w:ilvl="5">
      <w:start w:val="1"/>
      <w:numFmt w:val="decimal"/>
      <w:lvlText w:val="%5.%6."/>
      <w:lvlJc w:val="left"/>
      <w:pPr>
        <w:tabs>
          <w:tab w:leader="none" w:pos="1152" w:val="left"/>
        </w:tabs>
        <w:ind w:hanging="1152" w:left="1152"/>
      </w:pPr>
    </w:lvl>
    <w:lvl w:ilvl="6">
      <w:start w:val="1"/>
      <w:numFmt w:val="decimal"/>
      <w:lvlText w:val="%1.%2.%3.%4.%5.%6.%7"/>
      <w:lvlJc w:val="left"/>
      <w:pPr>
        <w:tabs>
          <w:tab w:leader="none" w:pos="1296" w:val="left"/>
        </w:tabs>
        <w:ind w:hanging="1296" w:left="1296"/>
      </w:pPr>
    </w:lvl>
    <w:lvl w:ilvl="7">
      <w:start w:val="1"/>
      <w:numFmt w:val="decimal"/>
      <w:lvlText w:val="%1.%2.%3.%4.%5.%6.%7.%8"/>
      <w:lvlJc w:val="left"/>
      <w:pPr>
        <w:tabs>
          <w:tab w:leader="none" w:pos="1440" w:val="left"/>
        </w:tabs>
        <w:ind w:hanging="1440" w:left="1440"/>
      </w:pPr>
    </w:lvl>
    <w:lvl w:ilvl="8">
      <w:start w:val="1"/>
      <w:numFmt w:val="decimal"/>
      <w:lvlText w:val="%1.%2.%3.%4.%5.%6.%7.%8.%9"/>
      <w:lvlJc w:val="left"/>
      <w:pPr>
        <w:tabs>
          <w:tab w:leader="none" w:pos="1584" w:val="left"/>
        </w:tabs>
        <w:ind w:hanging="1584" w:left="1584"/>
      </w:pPr>
    </w:lvl>
  </w:abstractNum>
  <w:abstractNum w:abstractNumId="1">
    <w:lvl w:ilvl="0">
      <w:start w:val="1"/>
      <w:numFmt w:val="decimal"/>
      <w:pStyle w:val="Style_47"/>
      <w:lvlText w:val="%1."/>
      <w:lvlJc w:val="left"/>
      <w:pPr>
        <w:tabs>
          <w:tab w:leader="none" w:pos="432" w:val="left"/>
        </w:tabs>
        <w:ind w:hanging="432" w:left="432"/>
      </w:pPr>
    </w:lvl>
    <w:lvl w:ilvl="1">
      <w:start w:val="1"/>
      <w:numFmt w:val="decimal"/>
      <w:lvlText w:val="%1.%2"/>
      <w:lvlJc w:val="left"/>
      <w:pPr>
        <w:tabs>
          <w:tab w:leader="none" w:pos="576" w:val="left"/>
        </w:tabs>
        <w:ind w:hanging="576" w:left="576"/>
      </w:pPr>
    </w:lvl>
    <w:lvl w:ilvl="2">
      <w:start w:val="1"/>
      <w:numFmt w:val="decimal"/>
      <w:pStyle w:val="Style_91"/>
      <w:lvlText w:val="%1.%2.%3"/>
      <w:lvlJc w:val="left"/>
      <w:pPr>
        <w:tabs>
          <w:tab w:leader="none" w:pos="227" w:val="left"/>
        </w:tabs>
        <w:ind w:firstLine="0" w:left="0"/>
      </w:pPr>
    </w:lvl>
    <w:lvl w:ilvl="3">
      <w:start w:val="1"/>
      <w:numFmt w:val="decimal"/>
      <w:lvlText w:val="%1.%2.%3.%4"/>
      <w:lvlJc w:val="left"/>
      <w:pPr>
        <w:tabs>
          <w:tab w:leader="none" w:pos="864" w:val="left"/>
        </w:tabs>
        <w:ind w:hanging="864" w:left="864"/>
      </w:pPr>
    </w:lvl>
    <w:lvl w:ilvl="4">
      <w:start w:val="1"/>
      <w:numFmt w:val="decimal"/>
      <w:lvlText w:val="%1.%2.%3.%4.%5"/>
      <w:lvlJc w:val="left"/>
      <w:pPr>
        <w:tabs>
          <w:tab w:leader="none" w:pos="1008" w:val="left"/>
        </w:tabs>
        <w:ind w:hanging="1008" w:left="1008"/>
      </w:pPr>
    </w:lvl>
    <w:lvl w:ilvl="5">
      <w:start w:val="1"/>
      <w:numFmt w:val="decimal"/>
      <w:lvlText w:val="%1.%2.%3.%4.%5.%6"/>
      <w:lvlJc w:val="left"/>
      <w:pPr>
        <w:tabs>
          <w:tab w:leader="none" w:pos="1152" w:val="left"/>
        </w:tabs>
        <w:ind w:hanging="1152" w:left="1152"/>
      </w:pPr>
    </w:lvl>
    <w:lvl w:ilvl="6">
      <w:start w:val="1"/>
      <w:numFmt w:val="decimal"/>
      <w:lvlText w:val="%1.%2.%3.%4.%5.%6.%7"/>
      <w:lvlJc w:val="left"/>
      <w:pPr>
        <w:tabs>
          <w:tab w:leader="none" w:pos="1296" w:val="left"/>
        </w:tabs>
        <w:ind w:hanging="1296" w:left="1296"/>
      </w:pPr>
    </w:lvl>
    <w:lvl w:ilvl="7">
      <w:start w:val="1"/>
      <w:numFmt w:val="decimal"/>
      <w:lvlText w:val="%1.%2.%3.%4.%5.%6.%7.%8"/>
      <w:lvlJc w:val="left"/>
      <w:pPr>
        <w:tabs>
          <w:tab w:leader="none" w:pos="1440" w:val="left"/>
        </w:tabs>
        <w:ind w:hanging="1440" w:left="1440"/>
      </w:pPr>
    </w:lvl>
    <w:lvl w:ilvl="8">
      <w:start w:val="1"/>
      <w:numFmt w:val="decimal"/>
      <w:lvlText w:val="%1.%2.%3.%4.%5.%6.%7.%8.%9"/>
      <w:lvlJc w:val="left"/>
      <w:pPr>
        <w:tabs>
          <w:tab w:leader="none" w:pos="1584" w:val="left"/>
        </w:tabs>
        <w:ind w:hanging="1584" w:left="1584"/>
      </w:pPr>
    </w:lvl>
  </w:abstractNum>
  <w:abstractNum w:abstractNumId="2">
    <w:lvl w:ilvl="0">
      <w:start w:val="1"/>
      <w:numFmt w:val="decimal"/>
      <w:pStyle w:val="Style_67"/>
      <w:lvlText w:val="%1."/>
      <w:lvlJc w:val="left"/>
      <w:pPr>
        <w:tabs>
          <w:tab w:leader="none" w:pos="432" w:val="left"/>
        </w:tabs>
        <w:ind w:hanging="432" w:left="432"/>
      </w:pPr>
    </w:lvl>
    <w:lvl w:ilvl="1">
      <w:start w:val="1"/>
      <w:numFmt w:val="decimal"/>
      <w:lvlText w:val="%1.%2"/>
      <w:lvlJc w:val="left"/>
      <w:pPr>
        <w:tabs>
          <w:tab w:leader="none" w:pos="576" w:val="left"/>
        </w:tabs>
        <w:ind w:hanging="576" w:left="576"/>
      </w:pPr>
    </w:lvl>
    <w:lvl w:ilvl="2">
      <w:start w:val="1"/>
      <w:numFmt w:val="decimal"/>
      <w:lvlText w:val="%1.%2.%3"/>
      <w:lvlJc w:val="left"/>
      <w:pPr>
        <w:tabs>
          <w:tab w:leader="none" w:pos="227" w:val="left"/>
        </w:tabs>
        <w:ind w:firstLine="0" w:left="0"/>
      </w:pPr>
    </w:lvl>
    <w:lvl w:ilvl="3">
      <w:start w:val="1"/>
      <w:numFmt w:val="decimal"/>
      <w:lvlText w:val="%1.%2.%3.%4"/>
      <w:lvlJc w:val="left"/>
      <w:pPr>
        <w:tabs>
          <w:tab w:leader="none" w:pos="864" w:val="left"/>
        </w:tabs>
        <w:ind w:hanging="864" w:left="864"/>
      </w:pPr>
    </w:lvl>
    <w:lvl w:ilvl="4">
      <w:start w:val="1"/>
      <w:numFmt w:val="decimal"/>
      <w:lvlText w:val="%1.%2.%3.%4.%5"/>
      <w:lvlJc w:val="left"/>
      <w:pPr>
        <w:tabs>
          <w:tab w:leader="none" w:pos="1008" w:val="left"/>
        </w:tabs>
        <w:ind w:hanging="1008" w:left="1008"/>
      </w:pPr>
    </w:lvl>
    <w:lvl w:ilvl="5">
      <w:start w:val="1"/>
      <w:numFmt w:val="decimal"/>
      <w:lvlText w:val="%1.%2.%3.%4.%5.%6"/>
      <w:lvlJc w:val="left"/>
      <w:pPr>
        <w:tabs>
          <w:tab w:leader="none" w:pos="1152" w:val="left"/>
        </w:tabs>
        <w:ind w:hanging="1152" w:left="1152"/>
      </w:pPr>
    </w:lvl>
    <w:lvl w:ilvl="6">
      <w:start w:val="1"/>
      <w:numFmt w:val="decimal"/>
      <w:lvlText w:val="%1.%2.%3.%4.%5.%6.%7"/>
      <w:lvlJc w:val="left"/>
      <w:pPr>
        <w:tabs>
          <w:tab w:leader="none" w:pos="1296" w:val="left"/>
        </w:tabs>
        <w:ind w:hanging="1296" w:left="1296"/>
      </w:pPr>
    </w:lvl>
    <w:lvl w:ilvl="7">
      <w:start w:val="1"/>
      <w:numFmt w:val="decimal"/>
      <w:lvlText w:val="%1.%2.%3.%4.%5.%6.%7.%8"/>
      <w:lvlJc w:val="left"/>
      <w:pPr>
        <w:tabs>
          <w:tab w:leader="none" w:pos="1440" w:val="left"/>
        </w:tabs>
        <w:ind w:hanging="1440" w:left="1440"/>
      </w:pPr>
    </w:lvl>
    <w:lvl w:ilvl="8">
      <w:start w:val="1"/>
      <w:numFmt w:val="decimal"/>
      <w:lvlText w:val="%1.%2.%3.%4.%5.%6.%7.%8.%9"/>
      <w:lvlJc w:val="left"/>
      <w:pPr>
        <w:tabs>
          <w:tab w:leader="none" w:pos="1584" w:val="left"/>
        </w:tabs>
        <w:ind w:hanging="1584" w:left="1584"/>
      </w:pPr>
    </w:lvl>
  </w:abstractNum>
  <w:abstractNum w:abstractNumId="3">
    <w:lvl w:ilvl="0">
      <w:start w:val="1"/>
      <w:numFmt w:val="bullet"/>
      <w:pStyle w:val="Style_95"/>
      <w:lvlText w:val=""/>
      <w:lvlJc w:val="left"/>
      <w:pPr>
        <w:tabs>
          <w:tab w:leader="none" w:pos="643" w:val="left"/>
        </w:tabs>
        <w:ind w:hanging="360" w:left="643"/>
      </w:pPr>
      <w:rPr>
        <w:rFonts w:ascii="Symbol" w:hAnsi="Symbol"/>
      </w:rPr>
    </w:lvl>
    <w:lvl w:ilvl="1">
      <w:start w:val="1"/>
      <w:numFmt w:val="decimal"/>
      <w:lvlText w:val="%2."/>
      <w:lvlJc w:val="left"/>
      <w:pPr>
        <w:tabs>
          <w:tab w:leader="none" w:pos="1080" w:val="left"/>
        </w:tabs>
        <w:ind w:hanging="360" w:left="1080"/>
      </w:pPr>
    </w:lvl>
    <w:lvl w:ilvl="2">
      <w:start w:val="1"/>
      <w:numFmt w:val="decimal"/>
      <w:lvlText w:val="%3."/>
      <w:lvlJc w:val="left"/>
      <w:pPr>
        <w:tabs>
          <w:tab w:leader="none" w:pos="1440" w:val="left"/>
        </w:tabs>
        <w:ind w:hanging="360" w:left="1440"/>
      </w:pPr>
    </w:lvl>
    <w:lvl w:ilvl="3">
      <w:start w:val="1"/>
      <w:numFmt w:val="decimal"/>
      <w:lvlText w:val="%4."/>
      <w:lvlJc w:val="left"/>
      <w:pPr>
        <w:tabs>
          <w:tab w:leader="none" w:pos="1800" w:val="left"/>
        </w:tabs>
        <w:ind w:hanging="360" w:left="1800"/>
      </w:pPr>
    </w:lvl>
    <w:lvl w:ilvl="4">
      <w:start w:val="1"/>
      <w:numFmt w:val="decimal"/>
      <w:lvlText w:val="%5."/>
      <w:lvlJc w:val="left"/>
      <w:pPr>
        <w:tabs>
          <w:tab w:leader="none" w:pos="2160" w:val="left"/>
        </w:tabs>
        <w:ind w:hanging="360" w:left="2160"/>
      </w:pPr>
    </w:lvl>
    <w:lvl w:ilvl="5">
      <w:start w:val="1"/>
      <w:numFmt w:val="decimal"/>
      <w:lvlText w:val="%6."/>
      <w:lvlJc w:val="left"/>
      <w:pPr>
        <w:tabs>
          <w:tab w:leader="none" w:pos="2520" w:val="left"/>
        </w:tabs>
        <w:ind w:hanging="360" w:left="2520"/>
      </w:pPr>
    </w:lvl>
    <w:lvl w:ilvl="6">
      <w:start w:val="1"/>
      <w:numFmt w:val="decimal"/>
      <w:lvlText w:val="%7."/>
      <w:lvlJc w:val="left"/>
      <w:pPr>
        <w:tabs>
          <w:tab w:leader="none" w:pos="2880" w:val="left"/>
        </w:tabs>
        <w:ind w:hanging="360" w:left="2880"/>
      </w:pPr>
    </w:lvl>
    <w:lvl w:ilvl="7">
      <w:start w:val="1"/>
      <w:numFmt w:val="decimal"/>
      <w:lvlText w:val="%8."/>
      <w:lvlJc w:val="left"/>
      <w:pPr>
        <w:tabs>
          <w:tab w:leader="none" w:pos="3240" w:val="left"/>
        </w:tabs>
        <w:ind w:hanging="360" w:left="3240"/>
      </w:pPr>
    </w:lvl>
    <w:lvl w:ilvl="8">
      <w:start w:val="1"/>
      <w:numFmt w:val="decimal"/>
      <w:lvlText w:val="%9."/>
      <w:lvlJc w:val="left"/>
      <w:pPr>
        <w:tabs>
          <w:tab w:leader="none" w:pos="3600" w:val="left"/>
        </w:tabs>
        <w:ind w:hanging="360" w:left="3600"/>
      </w:pPr>
    </w:lvl>
  </w:abstractNum>
  <w:num w:numId="1">
    <w:abstractNumId w:val="0"/>
  </w:num>
  <w:num w:numId="2">
    <w:abstractNumId w:val="1"/>
  </w:num>
  <w:num w:numId="3">
    <w:abstractNumId w:val="2"/>
  </w:num>
  <w:num w:numId="4">
    <w:abstractNumId w:val="3"/>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0"/>
      </w:rPr>
    </w:rPrDefault>
    <w:pPrDefault>
      <w:pPr>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1" w:uiPriority="9" w:unhideWhenUsed="1"/>
    <w:lsdException w:name="heading 8" w:qFormat="1" w:semiHidden="0" w:uiPriority="9" w:unhideWhenUsed="0"/>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3" w:type="paragraph">
    <w:name w:val="Normal"/>
    <w:link w:val="Style_13_ch"/>
    <w:uiPriority w:val="0"/>
    <w:qFormat/>
    <w:pPr>
      <w:spacing w:after="60"/>
      <w:ind/>
      <w:jc w:val="both"/>
    </w:pPr>
    <w:rPr>
      <w:sz w:val="24"/>
    </w:rPr>
  </w:style>
  <w:style w:default="1" w:styleId="Style_13_ch" w:type="character">
    <w:name w:val="Normal"/>
    <w:link w:val="Style_13"/>
    <w:rPr>
      <w:sz w:val="24"/>
    </w:rPr>
  </w:style>
  <w:style w:styleId="Style_14" w:type="paragraph">
    <w:name w:val="Стиль3 Знак Знак"/>
    <w:basedOn w:val="Style_15"/>
    <w:link w:val="Style_14_ch"/>
    <w:pPr>
      <w:widowControl w:val="0"/>
      <w:tabs>
        <w:tab w:leader="none" w:pos="227" w:val="left"/>
      </w:tabs>
      <w:spacing w:after="0" w:line="240" w:lineRule="auto"/>
      <w:ind w:left="0"/>
    </w:pPr>
  </w:style>
  <w:style w:styleId="Style_14_ch" w:type="character">
    <w:name w:val="Стиль3 Знак Знак"/>
    <w:basedOn w:val="Style_15_ch"/>
    <w:link w:val="Style_14"/>
  </w:style>
  <w:style w:styleId="Style_16" w:type="paragraph">
    <w:name w:val="toc 2"/>
    <w:basedOn w:val="Style_13"/>
    <w:next w:val="Style_13"/>
    <w:link w:val="Style_16_ch"/>
    <w:uiPriority w:val="39"/>
    <w:pPr>
      <w:spacing w:after="0"/>
      <w:ind w:left="240"/>
      <w:jc w:val="left"/>
    </w:pPr>
    <w:rPr>
      <w:smallCaps w:val="1"/>
      <w:sz w:val="20"/>
    </w:rPr>
  </w:style>
  <w:style w:styleId="Style_16_ch" w:type="character">
    <w:name w:val="toc 2"/>
    <w:basedOn w:val="Style_13_ch"/>
    <w:link w:val="Style_16"/>
    <w:rPr>
      <w:smallCaps w:val="1"/>
      <w:sz w:val="20"/>
    </w:rPr>
  </w:style>
  <w:style w:styleId="Style_9" w:type="paragraph">
    <w:name w:val="s_1"/>
    <w:basedOn w:val="Style_13"/>
    <w:link w:val="Style_9_ch"/>
    <w:pPr>
      <w:spacing w:after="0"/>
      <w:ind w:firstLine="720"/>
    </w:pPr>
    <w:rPr>
      <w:rFonts w:ascii="Arial" w:hAnsi="Arial"/>
      <w:sz w:val="28"/>
    </w:rPr>
  </w:style>
  <w:style w:styleId="Style_9_ch" w:type="character">
    <w:name w:val="s_1"/>
    <w:basedOn w:val="Style_13_ch"/>
    <w:link w:val="Style_9"/>
    <w:rPr>
      <w:rFonts w:ascii="Arial" w:hAnsi="Arial"/>
      <w:sz w:val="28"/>
    </w:rPr>
  </w:style>
  <w:style w:styleId="Style_17" w:type="paragraph">
    <w:name w:val="HTML Preformatted"/>
    <w:basedOn w:val="Style_13"/>
    <w:link w:val="Style_17_ch"/>
    <w:pPr>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spacing w:after="0"/>
      <w:ind/>
      <w:jc w:val="left"/>
    </w:pPr>
    <w:rPr>
      <w:rFonts w:ascii="Courier New" w:hAnsi="Courier New"/>
      <w:sz w:val="20"/>
    </w:rPr>
  </w:style>
  <w:style w:styleId="Style_17_ch" w:type="character">
    <w:name w:val="HTML Preformatted"/>
    <w:basedOn w:val="Style_13_ch"/>
    <w:link w:val="Style_17"/>
    <w:rPr>
      <w:rFonts w:ascii="Courier New" w:hAnsi="Courier New"/>
      <w:sz w:val="20"/>
    </w:rPr>
  </w:style>
  <w:style w:styleId="Style_18" w:type="paragraph">
    <w:name w:val="annotation subject"/>
    <w:basedOn w:val="Style_19"/>
    <w:next w:val="Style_19"/>
    <w:link w:val="Style_18_ch"/>
    <w:rPr>
      <w:b w:val="1"/>
    </w:rPr>
  </w:style>
  <w:style w:styleId="Style_18_ch" w:type="character">
    <w:name w:val="annotation subject"/>
    <w:basedOn w:val="Style_19_ch"/>
    <w:link w:val="Style_18"/>
    <w:rPr>
      <w:b w:val="1"/>
    </w:rPr>
  </w:style>
  <w:style w:styleId="Style_15" w:type="paragraph">
    <w:name w:val="Body Text Indent 2"/>
    <w:basedOn w:val="Style_13"/>
    <w:link w:val="Style_15_ch"/>
    <w:pPr>
      <w:spacing w:after="120" w:line="480" w:lineRule="auto"/>
      <w:ind w:left="283"/>
    </w:pPr>
  </w:style>
  <w:style w:styleId="Style_15_ch" w:type="character">
    <w:name w:val="Body Text Indent 2"/>
    <w:basedOn w:val="Style_13_ch"/>
    <w:link w:val="Style_15"/>
  </w:style>
  <w:style w:styleId="Style_20" w:type="paragraph">
    <w:name w:val="Цветовое выделение"/>
    <w:link w:val="Style_20_ch"/>
    <w:rPr>
      <w:b w:val="1"/>
      <w:color w:val="26282F"/>
    </w:rPr>
  </w:style>
  <w:style w:styleId="Style_20_ch" w:type="character">
    <w:name w:val="Цветовое выделение"/>
    <w:link w:val="Style_20"/>
    <w:rPr>
      <w:b w:val="1"/>
      <w:color w:val="26282F"/>
    </w:rPr>
  </w:style>
  <w:style w:styleId="Style_21" w:type="paragraph">
    <w:name w:val="toc 4"/>
    <w:next w:val="Style_13"/>
    <w:link w:val="Style_21_ch"/>
    <w:uiPriority w:val="39"/>
    <w:pPr>
      <w:ind w:left="600"/>
    </w:pPr>
    <w:rPr>
      <w:rFonts w:ascii="XO Thames" w:hAnsi="XO Thames"/>
      <w:sz w:val="28"/>
    </w:rPr>
  </w:style>
  <w:style w:styleId="Style_21_ch" w:type="character">
    <w:name w:val="toc 4"/>
    <w:link w:val="Style_21"/>
    <w:rPr>
      <w:rFonts w:ascii="XO Thames" w:hAnsi="XO Thames"/>
      <w:sz w:val="28"/>
    </w:rPr>
  </w:style>
  <w:style w:styleId="Style_22" w:type="paragraph">
    <w:name w:val="Document Map"/>
    <w:basedOn w:val="Style_13"/>
    <w:link w:val="Style_22_ch"/>
    <w:rPr>
      <w:rFonts w:ascii="Tahoma" w:hAnsi="Tahoma"/>
      <w:sz w:val="20"/>
    </w:rPr>
  </w:style>
  <w:style w:styleId="Style_22_ch" w:type="character">
    <w:name w:val="Document Map"/>
    <w:basedOn w:val="Style_13_ch"/>
    <w:link w:val="Style_22"/>
    <w:rPr>
      <w:rFonts w:ascii="Tahoma" w:hAnsi="Tahoma"/>
      <w:sz w:val="20"/>
    </w:rPr>
  </w:style>
  <w:style w:styleId="Style_23" w:type="paragraph">
    <w:name w:val="s_9"/>
    <w:basedOn w:val="Style_13"/>
    <w:link w:val="Style_23_ch"/>
    <w:pPr>
      <w:spacing w:after="0"/>
      <w:ind/>
    </w:pPr>
    <w:rPr>
      <w:rFonts w:ascii="Arial" w:hAnsi="Arial"/>
      <w:color w:val="353842"/>
      <w:sz w:val="26"/>
    </w:rPr>
  </w:style>
  <w:style w:styleId="Style_23_ch" w:type="character">
    <w:name w:val="s_9"/>
    <w:basedOn w:val="Style_13_ch"/>
    <w:link w:val="Style_23"/>
    <w:rPr>
      <w:rFonts w:ascii="Arial" w:hAnsi="Arial"/>
      <w:color w:val="353842"/>
      <w:sz w:val="26"/>
    </w:rPr>
  </w:style>
  <w:style w:styleId="Style_24" w:type="paragraph">
    <w:name w:val="Обычный1"/>
    <w:link w:val="Style_24_ch"/>
    <w:pPr>
      <w:widowControl w:val="0"/>
      <w:ind/>
      <w:jc w:val="both"/>
    </w:pPr>
    <w:rPr>
      <w:rFonts w:ascii="Arial" w:hAnsi="Arial"/>
      <w:spacing w:val="-5"/>
      <w:sz w:val="25"/>
    </w:rPr>
  </w:style>
  <w:style w:styleId="Style_24_ch" w:type="character">
    <w:name w:val="Обычный1"/>
    <w:link w:val="Style_24"/>
    <w:rPr>
      <w:rFonts w:ascii="Arial" w:hAnsi="Arial"/>
      <w:spacing w:val="-5"/>
      <w:sz w:val="25"/>
    </w:rPr>
  </w:style>
  <w:style w:styleId="Style_25" w:type="paragraph">
    <w:name w:val="Знак Знак2 Char Char Знак Знак Char Char Знак Знак Char Char Знак Знак Char Char Знак Знак Char Char Знак Знак Char Char Знак Знак Char Char Знак Знак Char Char"/>
    <w:basedOn w:val="Style_13"/>
    <w:link w:val="Style_25_ch"/>
    <w:pPr>
      <w:spacing w:afterAutospacing="on" w:beforeAutospacing="on"/>
      <w:ind/>
      <w:jc w:val="left"/>
    </w:pPr>
    <w:rPr>
      <w:rFonts w:ascii="Tahoma" w:hAnsi="Tahoma"/>
      <w:sz w:val="20"/>
    </w:rPr>
  </w:style>
  <w:style w:styleId="Style_25_ch" w:type="character">
    <w:name w:val="Знак Знак2 Char Char Знак Знак Char Char Знак Знак Char Char Знак Знак Char Char Знак Знак Char Char Знак Знак Char Char Знак Знак Char Char Знак Знак Char Char"/>
    <w:basedOn w:val="Style_13_ch"/>
    <w:link w:val="Style_25"/>
    <w:rPr>
      <w:rFonts w:ascii="Tahoma" w:hAnsi="Tahoma"/>
      <w:sz w:val="20"/>
    </w:rPr>
  </w:style>
  <w:style w:styleId="Style_26" w:type="paragraph">
    <w:name w:val="Обычный1"/>
    <w:link w:val="Style_26_ch"/>
    <w:rPr>
      <w:rFonts w:ascii="Times New Roman" w:hAnsi="Times New Roman"/>
      <w:color w:val="000000"/>
      <w:sz w:val="24"/>
    </w:rPr>
  </w:style>
  <w:style w:styleId="Style_26_ch" w:type="character">
    <w:name w:val="Обычный1"/>
    <w:link w:val="Style_26"/>
    <w:rPr>
      <w:rFonts w:ascii="Times New Roman" w:hAnsi="Times New Roman"/>
      <w:color w:val="000000"/>
      <w:sz w:val="24"/>
    </w:rPr>
  </w:style>
  <w:style w:styleId="Style_1" w:type="paragraph">
    <w:name w:val="footer"/>
    <w:basedOn w:val="Style_13"/>
    <w:link w:val="Style_1_ch"/>
    <w:pPr>
      <w:tabs>
        <w:tab w:leader="none" w:pos="4677" w:val="center"/>
        <w:tab w:leader="none" w:pos="9355" w:val="right"/>
      </w:tabs>
      <w:ind/>
    </w:pPr>
  </w:style>
  <w:style w:styleId="Style_1_ch" w:type="character">
    <w:name w:val="footer"/>
    <w:basedOn w:val="Style_13_ch"/>
    <w:link w:val="Style_1"/>
  </w:style>
  <w:style w:styleId="Style_27" w:type="paragraph">
    <w:name w:val="toc 6"/>
    <w:next w:val="Style_13"/>
    <w:link w:val="Style_27_ch"/>
    <w:uiPriority w:val="39"/>
    <w:pPr>
      <w:ind w:left="1000"/>
    </w:pPr>
    <w:rPr>
      <w:rFonts w:ascii="XO Thames" w:hAnsi="XO Thames"/>
      <w:sz w:val="28"/>
    </w:rPr>
  </w:style>
  <w:style w:styleId="Style_27_ch" w:type="character">
    <w:name w:val="toc 6"/>
    <w:link w:val="Style_27"/>
    <w:rPr>
      <w:rFonts w:ascii="XO Thames" w:hAnsi="XO Thames"/>
      <w:sz w:val="28"/>
    </w:rPr>
  </w:style>
  <w:style w:styleId="Style_28" w:type="paragraph">
    <w:name w:val="Знак"/>
    <w:basedOn w:val="Style_13"/>
    <w:link w:val="Style_28_ch"/>
    <w:pPr>
      <w:spacing w:after="160" w:line="240" w:lineRule="exact"/>
      <w:ind/>
      <w:jc w:val="left"/>
    </w:pPr>
    <w:rPr>
      <w:sz w:val="20"/>
    </w:rPr>
  </w:style>
  <w:style w:styleId="Style_28_ch" w:type="character">
    <w:name w:val="Знак"/>
    <w:basedOn w:val="Style_13_ch"/>
    <w:link w:val="Style_28"/>
    <w:rPr>
      <w:sz w:val="20"/>
    </w:rPr>
  </w:style>
  <w:style w:styleId="Style_29" w:type="paragraph">
    <w:name w:val="toc 7"/>
    <w:next w:val="Style_13"/>
    <w:link w:val="Style_29_ch"/>
    <w:uiPriority w:val="39"/>
    <w:pPr>
      <w:ind w:left="1200"/>
    </w:pPr>
    <w:rPr>
      <w:rFonts w:ascii="XO Thames" w:hAnsi="XO Thames"/>
      <w:sz w:val="28"/>
    </w:rPr>
  </w:style>
  <w:style w:styleId="Style_29_ch" w:type="character">
    <w:name w:val="toc 7"/>
    <w:link w:val="Style_29"/>
    <w:rPr>
      <w:rFonts w:ascii="XO Thames" w:hAnsi="XO Thames"/>
      <w:sz w:val="28"/>
    </w:rPr>
  </w:style>
  <w:style w:styleId="Style_30" w:type="paragraph">
    <w:name w:val="No Spacing"/>
    <w:link w:val="Style_30_ch"/>
    <w:pPr>
      <w:ind/>
      <w:jc w:val="both"/>
    </w:pPr>
    <w:rPr>
      <w:sz w:val="24"/>
    </w:rPr>
  </w:style>
  <w:style w:styleId="Style_30_ch" w:type="character">
    <w:name w:val="No Spacing"/>
    <w:link w:val="Style_30"/>
    <w:rPr>
      <w:sz w:val="24"/>
    </w:rPr>
  </w:style>
  <w:style w:styleId="Style_31" w:type="paragraph">
    <w:name w:val="Body Text 22"/>
    <w:basedOn w:val="Style_13"/>
    <w:link w:val="Style_31_ch"/>
    <w:pPr>
      <w:spacing w:after="0"/>
      <w:ind/>
    </w:pPr>
    <w:rPr>
      <w:sz w:val="28"/>
    </w:rPr>
  </w:style>
  <w:style w:styleId="Style_31_ch" w:type="character">
    <w:name w:val="Body Text 22"/>
    <w:basedOn w:val="Style_13_ch"/>
    <w:link w:val="Style_31"/>
    <w:rPr>
      <w:sz w:val="28"/>
    </w:rPr>
  </w:style>
  <w:style w:styleId="Style_32" w:type="paragraph">
    <w:name w:val="Block Text"/>
    <w:basedOn w:val="Style_13"/>
    <w:link w:val="Style_32_ch"/>
    <w:pPr>
      <w:spacing w:after="0"/>
      <w:ind w:left="-108" w:right="-108"/>
      <w:jc w:val="left"/>
    </w:pPr>
    <w:rPr>
      <w:color w:val="0000FF"/>
    </w:rPr>
  </w:style>
  <w:style w:styleId="Style_32_ch" w:type="character">
    <w:name w:val="Block Text"/>
    <w:basedOn w:val="Style_13_ch"/>
    <w:link w:val="Style_32"/>
    <w:rPr>
      <w:color w:val="0000FF"/>
    </w:rPr>
  </w:style>
  <w:style w:styleId="Style_33" w:type="paragraph">
    <w:name w:val="Заголовок 4 Знак"/>
    <w:basedOn w:val="Style_34"/>
    <w:link w:val="Style_33_ch"/>
    <w:rPr>
      <w:rFonts w:ascii="Calibri" w:hAnsi="Calibri"/>
      <w:b w:val="1"/>
      <w:sz w:val="28"/>
    </w:rPr>
  </w:style>
  <w:style w:styleId="Style_33_ch" w:type="character">
    <w:name w:val="Заголовок 4 Знак"/>
    <w:basedOn w:val="Style_34_ch"/>
    <w:link w:val="Style_33"/>
    <w:rPr>
      <w:rFonts w:ascii="Calibri" w:hAnsi="Calibri"/>
      <w:b w:val="1"/>
      <w:sz w:val="28"/>
    </w:rPr>
  </w:style>
  <w:style w:styleId="Style_3" w:type="paragraph">
    <w:name w:val="header"/>
    <w:basedOn w:val="Style_13"/>
    <w:link w:val="Style_3_ch"/>
    <w:pPr>
      <w:tabs>
        <w:tab w:leader="none" w:pos="4677" w:val="center"/>
        <w:tab w:leader="none" w:pos="9355" w:val="right"/>
      </w:tabs>
      <w:ind/>
    </w:pPr>
  </w:style>
  <w:style w:styleId="Style_3_ch" w:type="character">
    <w:name w:val="header"/>
    <w:basedOn w:val="Style_13_ch"/>
    <w:link w:val="Style_3"/>
  </w:style>
  <w:style w:styleId="Style_35" w:type="paragraph">
    <w:name w:val="Style8"/>
    <w:basedOn w:val="Style_13"/>
    <w:link w:val="Style_35_ch"/>
    <w:pPr>
      <w:widowControl w:val="0"/>
      <w:spacing w:after="0" w:line="278" w:lineRule="exact"/>
      <w:ind/>
      <w:jc w:val="center"/>
    </w:pPr>
  </w:style>
  <w:style w:styleId="Style_35_ch" w:type="character">
    <w:name w:val="Style8"/>
    <w:basedOn w:val="Style_13_ch"/>
    <w:link w:val="Style_35"/>
  </w:style>
  <w:style w:styleId="Style_36" w:type="paragraph">
    <w:name w:val="Колонтитул"/>
    <w:basedOn w:val="Style_13"/>
    <w:link w:val="Style_36_ch"/>
  </w:style>
  <w:style w:styleId="Style_36_ch" w:type="character">
    <w:name w:val="Колонтитул"/>
    <w:basedOn w:val="Style_13_ch"/>
    <w:link w:val="Style_36"/>
  </w:style>
  <w:style w:styleId="Style_37" w:type="paragraph">
    <w:name w:val="Символ сноски"/>
    <w:basedOn w:val="Style_34"/>
    <w:link w:val="Style_37_ch"/>
    <w:rPr>
      <w:vertAlign w:val="superscript"/>
    </w:rPr>
  </w:style>
  <w:style w:styleId="Style_37_ch" w:type="character">
    <w:name w:val="Символ сноски"/>
    <w:basedOn w:val="Style_34_ch"/>
    <w:link w:val="Style_37"/>
    <w:rPr>
      <w:vertAlign w:val="superscript"/>
    </w:rPr>
  </w:style>
  <w:style w:styleId="Style_38" w:type="paragraph">
    <w:name w:val="ConsPlusNonformat"/>
    <w:link w:val="Style_38_ch"/>
    <w:pPr>
      <w:widowControl w:val="0"/>
      <w:ind/>
    </w:pPr>
    <w:rPr>
      <w:rFonts w:ascii="Courier New" w:hAnsi="Courier New"/>
    </w:rPr>
  </w:style>
  <w:style w:styleId="Style_38_ch" w:type="character">
    <w:name w:val="ConsPlusNonformat"/>
    <w:link w:val="Style_38"/>
    <w:rPr>
      <w:rFonts w:ascii="Courier New" w:hAnsi="Courier New"/>
    </w:rPr>
  </w:style>
  <w:style w:styleId="Style_39" w:type="paragraph">
    <w:name w:val="Заголовок1"/>
    <w:basedOn w:val="Style_13"/>
    <w:next w:val="Style_10"/>
    <w:link w:val="Style_39_ch"/>
    <w:pPr>
      <w:keepNext w:val="1"/>
      <w:spacing w:after="120" w:before="240"/>
      <w:ind/>
    </w:pPr>
    <w:rPr>
      <w:rFonts w:ascii="Open Sans" w:hAnsi="Open Sans"/>
      <w:sz w:val="28"/>
    </w:rPr>
  </w:style>
  <w:style w:styleId="Style_39_ch" w:type="character">
    <w:name w:val="Заголовок1"/>
    <w:basedOn w:val="Style_13_ch"/>
    <w:link w:val="Style_39"/>
    <w:rPr>
      <w:rFonts w:ascii="Open Sans" w:hAnsi="Open Sans"/>
      <w:sz w:val="28"/>
    </w:rPr>
  </w:style>
  <w:style w:styleId="Style_40" w:type="paragraph">
    <w:name w:val="ConsNormal"/>
    <w:link w:val="Style_40_ch"/>
    <w:pPr>
      <w:widowControl w:val="0"/>
      <w:ind w:firstLine="720" w:left="709" w:right="19772"/>
      <w:jc w:val="both"/>
    </w:pPr>
    <w:rPr>
      <w:rFonts w:ascii="Arial" w:hAnsi="Arial"/>
    </w:rPr>
  </w:style>
  <w:style w:styleId="Style_40_ch" w:type="character">
    <w:name w:val="ConsNormal"/>
    <w:link w:val="Style_40"/>
    <w:rPr>
      <w:rFonts w:ascii="Arial" w:hAnsi="Arial"/>
    </w:rPr>
  </w:style>
  <w:style w:styleId="Style_41" w:type="paragraph">
    <w:name w:val="Просмотренная гиперссылка1"/>
    <w:basedOn w:val="Style_34"/>
    <w:link w:val="Style_41_ch"/>
    <w:rPr>
      <w:color w:val="800080"/>
      <w:u w:val="single"/>
    </w:rPr>
  </w:style>
  <w:style w:styleId="Style_41_ch" w:type="character">
    <w:name w:val="Просмотренная гиперссылка1"/>
    <w:basedOn w:val="Style_34_ch"/>
    <w:link w:val="Style_41"/>
    <w:rPr>
      <w:color w:val="800080"/>
      <w:u w:val="single"/>
    </w:rPr>
  </w:style>
  <w:style w:styleId="Style_42" w:type="paragraph">
    <w:name w:val="Endnote"/>
    <w:basedOn w:val="Style_13"/>
    <w:link w:val="Style_42_ch"/>
    <w:pPr>
      <w:widowControl w:val="0"/>
      <w:spacing w:after="0"/>
      <w:ind/>
      <w:jc w:val="left"/>
    </w:pPr>
    <w:rPr>
      <w:sz w:val="20"/>
    </w:rPr>
  </w:style>
  <w:style w:styleId="Style_42_ch" w:type="character">
    <w:name w:val="Endnote"/>
    <w:basedOn w:val="Style_13_ch"/>
    <w:link w:val="Style_42"/>
    <w:rPr>
      <w:sz w:val="20"/>
    </w:rPr>
  </w:style>
  <w:style w:styleId="Style_6" w:type="paragraph">
    <w:name w:val="heading 3"/>
    <w:basedOn w:val="Style_13"/>
    <w:next w:val="Style_13"/>
    <w:link w:val="Style_6_ch"/>
    <w:uiPriority w:val="9"/>
    <w:qFormat/>
    <w:pPr>
      <w:keepNext w:val="1"/>
      <w:numPr>
        <w:ilvl w:val="2"/>
        <w:numId w:val="1"/>
      </w:numPr>
      <w:spacing w:before="240"/>
      <w:ind/>
      <w:outlineLvl w:val="2"/>
    </w:pPr>
    <w:rPr>
      <w:rFonts w:ascii="Arial" w:hAnsi="Arial"/>
      <w:b w:val="1"/>
    </w:rPr>
  </w:style>
  <w:style w:styleId="Style_6_ch" w:type="character">
    <w:name w:val="heading 3"/>
    <w:basedOn w:val="Style_13_ch"/>
    <w:link w:val="Style_6"/>
    <w:rPr>
      <w:rFonts w:ascii="Arial" w:hAnsi="Arial"/>
      <w:b w:val="1"/>
    </w:rPr>
  </w:style>
  <w:style w:styleId="Style_43" w:type="paragraph">
    <w:name w:val="Font Style27"/>
    <w:basedOn w:val="Style_34"/>
    <w:link w:val="Style_43_ch"/>
    <w:rPr>
      <w:b w:val="1"/>
      <w:sz w:val="22"/>
    </w:rPr>
  </w:style>
  <w:style w:styleId="Style_43_ch" w:type="character">
    <w:name w:val="Font Style27"/>
    <w:basedOn w:val="Style_34_ch"/>
    <w:link w:val="Style_43"/>
    <w:rPr>
      <w:b w:val="1"/>
      <w:sz w:val="22"/>
    </w:rPr>
  </w:style>
  <w:style w:styleId="Style_44" w:type="paragraph">
    <w:name w:val="Заголовок статьи"/>
    <w:basedOn w:val="Style_13"/>
    <w:next w:val="Style_13"/>
    <w:link w:val="Style_44_ch"/>
    <w:pPr>
      <w:spacing w:after="0"/>
      <w:ind w:hanging="892" w:left="1612"/>
    </w:pPr>
    <w:rPr>
      <w:rFonts w:ascii="Arial" w:hAnsi="Arial"/>
    </w:rPr>
  </w:style>
  <w:style w:styleId="Style_44_ch" w:type="character">
    <w:name w:val="Заголовок статьи"/>
    <w:basedOn w:val="Style_13_ch"/>
    <w:link w:val="Style_44"/>
    <w:rPr>
      <w:rFonts w:ascii="Arial" w:hAnsi="Arial"/>
    </w:rPr>
  </w:style>
  <w:style w:styleId="Style_45" w:type="paragraph">
    <w:name w:val="Style5"/>
    <w:basedOn w:val="Style_13"/>
    <w:link w:val="Style_45_ch"/>
    <w:pPr>
      <w:widowControl w:val="0"/>
      <w:spacing w:after="0" w:line="298" w:lineRule="exact"/>
      <w:ind w:hanging="115"/>
      <w:jc w:val="left"/>
    </w:pPr>
    <w:rPr>
      <w:sz w:val="20"/>
    </w:rPr>
  </w:style>
  <w:style w:styleId="Style_45_ch" w:type="character">
    <w:name w:val="Style5"/>
    <w:basedOn w:val="Style_13_ch"/>
    <w:link w:val="Style_45"/>
    <w:rPr>
      <w:sz w:val="20"/>
    </w:rPr>
  </w:style>
  <w:style w:styleId="Style_46" w:type="paragraph">
    <w:name w:val="caption1"/>
    <w:basedOn w:val="Style_13"/>
    <w:next w:val="Style_13"/>
    <w:link w:val="Style_46_ch"/>
    <w:rPr>
      <w:b w:val="1"/>
      <w:sz w:val="20"/>
    </w:rPr>
  </w:style>
  <w:style w:styleId="Style_46_ch" w:type="character">
    <w:name w:val="caption1"/>
    <w:basedOn w:val="Style_13_ch"/>
    <w:link w:val="Style_46"/>
    <w:rPr>
      <w:b w:val="1"/>
      <w:sz w:val="20"/>
    </w:rPr>
  </w:style>
  <w:style w:styleId="Style_47" w:type="paragraph">
    <w:name w:val="Стиль1"/>
    <w:basedOn w:val="Style_13"/>
    <w:link w:val="Style_47_ch"/>
    <w:pPr>
      <w:keepNext w:val="1"/>
      <w:keepLines w:val="1"/>
      <w:widowControl w:val="0"/>
      <w:numPr>
        <w:numId w:val="2"/>
      </w:numPr>
      <w:ind/>
    </w:pPr>
    <w:rPr>
      <w:b w:val="1"/>
      <w:sz w:val="28"/>
    </w:rPr>
  </w:style>
  <w:style w:styleId="Style_47_ch" w:type="character">
    <w:name w:val="Стиль1"/>
    <w:basedOn w:val="Style_13_ch"/>
    <w:link w:val="Style_47"/>
    <w:rPr>
      <w:b w:val="1"/>
      <w:sz w:val="28"/>
    </w:rPr>
  </w:style>
  <w:style w:styleId="Style_2" w:type="paragraph">
    <w:name w:val="Номер страницы1"/>
    <w:basedOn w:val="Style_34"/>
    <w:link w:val="Style_2_ch"/>
  </w:style>
  <w:style w:styleId="Style_2_ch" w:type="character">
    <w:name w:val="Номер страницы1"/>
    <w:basedOn w:val="Style_34_ch"/>
    <w:link w:val="Style_2"/>
  </w:style>
  <w:style w:styleId="Style_12" w:type="paragraph">
    <w:name w:val="Гиперссылка1"/>
    <w:basedOn w:val="Style_34"/>
    <w:link w:val="Style_12_ch"/>
    <w:rPr>
      <w:color w:val="0000FF"/>
      <w:u w:val="single"/>
    </w:rPr>
  </w:style>
  <w:style w:styleId="Style_12_ch" w:type="character">
    <w:name w:val="Гиперссылка1"/>
    <w:basedOn w:val="Style_34_ch"/>
    <w:link w:val="Style_12"/>
    <w:rPr>
      <w:color w:val="0000FF"/>
      <w:u w:val="single"/>
    </w:rPr>
  </w:style>
  <w:style w:styleId="Style_48" w:type="paragraph">
    <w:name w:val="caption"/>
    <w:basedOn w:val="Style_13"/>
    <w:link w:val="Style_48_ch"/>
    <w:pPr>
      <w:spacing w:after="120" w:before="120"/>
      <w:ind/>
    </w:pPr>
    <w:rPr>
      <w:i w:val="1"/>
    </w:rPr>
  </w:style>
  <w:style w:styleId="Style_48_ch" w:type="character">
    <w:name w:val="caption"/>
    <w:basedOn w:val="Style_13_ch"/>
    <w:link w:val="Style_48"/>
    <w:rPr>
      <w:i w:val="1"/>
    </w:rPr>
  </w:style>
  <w:style w:styleId="Style_34" w:type="paragraph">
    <w:name w:val="Основной шрифт абзаца1"/>
    <w:link w:val="Style_34_ch"/>
  </w:style>
  <w:style w:styleId="Style_34_ch" w:type="character">
    <w:name w:val="Основной шрифт абзаца1"/>
    <w:link w:val="Style_34"/>
  </w:style>
  <w:style w:styleId="Style_49" w:type="paragraph">
    <w:name w:val="Содержимое врезки"/>
    <w:basedOn w:val="Style_13"/>
    <w:link w:val="Style_49_ch"/>
  </w:style>
  <w:style w:styleId="Style_49_ch" w:type="character">
    <w:name w:val="Содержимое врезки"/>
    <w:basedOn w:val="Style_13_ch"/>
    <w:link w:val="Style_49"/>
  </w:style>
  <w:style w:styleId="Style_50" w:type="paragraph">
    <w:name w:val="Заголовок 1 Знак"/>
    <w:basedOn w:val="Style_34"/>
    <w:link w:val="Style_50_ch"/>
    <w:rPr>
      <w:b w:val="1"/>
      <w:sz w:val="36"/>
    </w:rPr>
  </w:style>
  <w:style w:styleId="Style_50_ch" w:type="character">
    <w:name w:val="Заголовок 1 Знак"/>
    <w:basedOn w:val="Style_34_ch"/>
    <w:link w:val="Style_50"/>
    <w:rPr>
      <w:b w:val="1"/>
      <w:sz w:val="36"/>
    </w:rPr>
  </w:style>
  <w:style w:styleId="Style_51" w:type="paragraph">
    <w:name w:val="List"/>
    <w:basedOn w:val="Style_10"/>
    <w:link w:val="Style_51_ch"/>
  </w:style>
  <w:style w:styleId="Style_51_ch" w:type="character">
    <w:name w:val="List"/>
    <w:basedOn w:val="Style_10_ch"/>
    <w:link w:val="Style_51"/>
  </w:style>
  <w:style w:styleId="Style_52" w:type="paragraph">
    <w:name w:val="link"/>
    <w:basedOn w:val="Style_34"/>
    <w:link w:val="Style_52_ch"/>
  </w:style>
  <w:style w:styleId="Style_52_ch" w:type="character">
    <w:name w:val="link"/>
    <w:basedOn w:val="Style_34_ch"/>
    <w:link w:val="Style_52"/>
  </w:style>
  <w:style w:styleId="Style_53" w:type="paragraph">
    <w:name w:val="Normal (Web)"/>
    <w:basedOn w:val="Style_13"/>
    <w:link w:val="Style_53_ch"/>
    <w:pPr>
      <w:spacing w:afterAutospacing="on" w:beforeAutospacing="on"/>
      <w:ind/>
      <w:jc w:val="left"/>
    </w:pPr>
  </w:style>
  <w:style w:styleId="Style_53_ch" w:type="character">
    <w:name w:val="Normal (Web)"/>
    <w:basedOn w:val="Style_13_ch"/>
    <w:link w:val="Style_53"/>
  </w:style>
  <w:style w:styleId="Style_54" w:type="paragraph">
    <w:name w:val="Font Style76"/>
    <w:link w:val="Style_54_ch"/>
    <w:rPr>
      <w:sz w:val="22"/>
    </w:rPr>
  </w:style>
  <w:style w:styleId="Style_54_ch" w:type="character">
    <w:name w:val="Font Style76"/>
    <w:link w:val="Style_54"/>
    <w:rPr>
      <w:sz w:val="22"/>
    </w:rPr>
  </w:style>
  <w:style w:styleId="Style_55" w:type="paragraph">
    <w:name w:val="Заголовок 6 Знак"/>
    <w:basedOn w:val="Style_34"/>
    <w:link w:val="Style_55_ch"/>
    <w:rPr>
      <w:rFonts w:ascii="Calibri" w:hAnsi="Calibri"/>
      <w:b w:val="1"/>
    </w:rPr>
  </w:style>
  <w:style w:styleId="Style_55_ch" w:type="character">
    <w:name w:val="Заголовок 6 Знак"/>
    <w:basedOn w:val="Style_34_ch"/>
    <w:link w:val="Style_55"/>
    <w:rPr>
      <w:rFonts w:ascii="Calibri" w:hAnsi="Calibri"/>
      <w:b w:val="1"/>
    </w:rPr>
  </w:style>
  <w:style w:styleId="Style_5" w:type="paragraph">
    <w:name w:val="ConsPlusNormal"/>
    <w:link w:val="Style_5_ch"/>
    <w:pPr>
      <w:widowControl w:val="0"/>
      <w:ind w:firstLine="720"/>
    </w:pPr>
    <w:rPr>
      <w:rFonts w:ascii="Arial" w:hAnsi="Arial"/>
      <w:sz w:val="22"/>
    </w:rPr>
  </w:style>
  <w:style w:styleId="Style_5_ch" w:type="character">
    <w:name w:val="ConsPlusNormal"/>
    <w:link w:val="Style_5"/>
    <w:rPr>
      <w:rFonts w:ascii="Arial" w:hAnsi="Arial"/>
      <w:sz w:val="22"/>
    </w:rPr>
  </w:style>
  <w:style w:styleId="Style_56" w:type="paragraph">
    <w:name w:val="Date"/>
    <w:basedOn w:val="Style_13"/>
    <w:next w:val="Style_13"/>
    <w:link w:val="Style_56_ch"/>
  </w:style>
  <w:style w:styleId="Style_56_ch" w:type="character">
    <w:name w:val="Date"/>
    <w:basedOn w:val="Style_13_ch"/>
    <w:link w:val="Style_56"/>
  </w:style>
  <w:style w:styleId="Style_57" w:type="paragraph">
    <w:name w:val="Контракт-подпункт Знак"/>
    <w:basedOn w:val="Style_34"/>
    <w:link w:val="Style_57_ch"/>
    <w:rPr>
      <w:sz w:val="24"/>
    </w:rPr>
  </w:style>
  <w:style w:styleId="Style_57_ch" w:type="character">
    <w:name w:val="Контракт-подпункт Знак"/>
    <w:basedOn w:val="Style_34_ch"/>
    <w:link w:val="Style_57"/>
    <w:rPr>
      <w:sz w:val="24"/>
    </w:rPr>
  </w:style>
  <w:style w:styleId="Style_58" w:type="paragraph">
    <w:name w:val="Заголовок 3 Знак"/>
    <w:basedOn w:val="Style_34"/>
    <w:link w:val="Style_58_ch"/>
    <w:rPr>
      <w:rFonts w:ascii="Arial" w:hAnsi="Arial"/>
      <w:b w:val="1"/>
      <w:sz w:val="24"/>
    </w:rPr>
  </w:style>
  <w:style w:styleId="Style_58_ch" w:type="character">
    <w:name w:val="Заголовок 3 Знак"/>
    <w:basedOn w:val="Style_34_ch"/>
    <w:link w:val="Style_58"/>
    <w:rPr>
      <w:rFonts w:ascii="Arial" w:hAnsi="Arial"/>
      <w:b w:val="1"/>
      <w:sz w:val="24"/>
    </w:rPr>
  </w:style>
  <w:style w:styleId="Style_59" w:type="paragraph">
    <w:name w:val="highlightsearch4"/>
    <w:basedOn w:val="Style_34"/>
    <w:link w:val="Style_59_ch"/>
  </w:style>
  <w:style w:styleId="Style_59_ch" w:type="character">
    <w:name w:val="highlightsearch4"/>
    <w:basedOn w:val="Style_34_ch"/>
    <w:link w:val="Style_59"/>
  </w:style>
  <w:style w:styleId="Style_60" w:type="paragraph">
    <w:name w:val="toc 3"/>
    <w:basedOn w:val="Style_13"/>
    <w:next w:val="Style_13"/>
    <w:link w:val="Style_60_ch"/>
    <w:uiPriority w:val="39"/>
    <w:pPr>
      <w:ind w:left="480"/>
    </w:pPr>
  </w:style>
  <w:style w:styleId="Style_60_ch" w:type="character">
    <w:name w:val="toc 3"/>
    <w:basedOn w:val="Style_13_ch"/>
    <w:link w:val="Style_60"/>
  </w:style>
  <w:style w:styleId="Style_8" w:type="paragraph">
    <w:name w:val="Выделение1"/>
    <w:basedOn w:val="Style_34"/>
    <w:link w:val="Style_8_ch"/>
  </w:style>
  <w:style w:styleId="Style_8_ch" w:type="character">
    <w:name w:val="Выделение1"/>
    <w:basedOn w:val="Style_34_ch"/>
    <w:link w:val="Style_8"/>
  </w:style>
  <w:style w:styleId="Style_61" w:type="paragraph">
    <w:name w:val="Знак сноски1"/>
    <w:link w:val="Style_61_ch"/>
    <w:rPr>
      <w:vertAlign w:val="superscript"/>
    </w:rPr>
  </w:style>
  <w:style w:styleId="Style_61_ch" w:type="character">
    <w:name w:val="Знак сноски1"/>
    <w:link w:val="Style_61"/>
    <w:rPr>
      <w:vertAlign w:val="superscript"/>
    </w:rPr>
  </w:style>
  <w:style w:styleId="Style_62" w:type="paragraph">
    <w:name w:val="Гипертекстовая ссылка"/>
    <w:basedOn w:val="Style_34"/>
    <w:link w:val="Style_62_ch"/>
    <w:rPr>
      <w:color w:val="106BBE"/>
    </w:rPr>
  </w:style>
  <w:style w:styleId="Style_62_ch" w:type="character">
    <w:name w:val="Гипертекстовая ссылка"/>
    <w:basedOn w:val="Style_34_ch"/>
    <w:link w:val="Style_62"/>
    <w:rPr>
      <w:color w:val="106BBE"/>
    </w:rPr>
  </w:style>
  <w:style w:styleId="Style_63" w:type="paragraph">
    <w:name w:val="Заголовок 2 Знак"/>
    <w:basedOn w:val="Style_34"/>
    <w:link w:val="Style_63_ch"/>
    <w:rPr>
      <w:b w:val="1"/>
      <w:sz w:val="30"/>
    </w:rPr>
  </w:style>
  <w:style w:styleId="Style_63_ch" w:type="character">
    <w:name w:val="Заголовок 2 Знак"/>
    <w:basedOn w:val="Style_34_ch"/>
    <w:link w:val="Style_63"/>
    <w:rPr>
      <w:b w:val="1"/>
      <w:sz w:val="30"/>
    </w:rPr>
  </w:style>
  <w:style w:styleId="Style_64" w:type="paragraph">
    <w:name w:val="Font Style45"/>
    <w:basedOn w:val="Style_34"/>
    <w:link w:val="Style_64_ch"/>
    <w:rPr>
      <w:sz w:val="22"/>
    </w:rPr>
  </w:style>
  <w:style w:styleId="Style_64_ch" w:type="character">
    <w:name w:val="Font Style45"/>
    <w:basedOn w:val="Style_34_ch"/>
    <w:link w:val="Style_64"/>
    <w:rPr>
      <w:sz w:val="22"/>
    </w:rPr>
  </w:style>
  <w:style w:styleId="Style_65" w:type="paragraph">
    <w:name w:val="Font Style45 + не полужирный"/>
    <w:basedOn w:val="Style_13"/>
    <w:link w:val="Style_65_ch"/>
    <w:pPr>
      <w:widowControl w:val="0"/>
      <w:spacing w:after="0"/>
      <w:ind/>
    </w:pPr>
    <w:rPr>
      <w:sz w:val="20"/>
    </w:rPr>
  </w:style>
  <w:style w:styleId="Style_65_ch" w:type="character">
    <w:name w:val="Font Style45 + не полужирный"/>
    <w:basedOn w:val="Style_13_ch"/>
    <w:link w:val="Style_65"/>
    <w:rPr>
      <w:sz w:val="20"/>
    </w:rPr>
  </w:style>
  <w:style w:styleId="Style_66" w:type="paragraph">
    <w:name w:val="Заголовок 5 Знак"/>
    <w:basedOn w:val="Style_34"/>
    <w:link w:val="Style_66_ch"/>
    <w:rPr>
      <w:rFonts w:ascii="Calibri" w:hAnsi="Calibri"/>
      <w:b w:val="1"/>
      <w:i w:val="1"/>
      <w:sz w:val="26"/>
    </w:rPr>
  </w:style>
  <w:style w:styleId="Style_66_ch" w:type="character">
    <w:name w:val="Заголовок 5 Знак"/>
    <w:basedOn w:val="Style_34_ch"/>
    <w:link w:val="Style_66"/>
    <w:rPr>
      <w:rFonts w:ascii="Calibri" w:hAnsi="Calibri"/>
      <w:b w:val="1"/>
      <w:i w:val="1"/>
      <w:sz w:val="26"/>
    </w:rPr>
  </w:style>
  <w:style w:styleId="Style_67" w:type="paragraph">
    <w:name w:val="Контракт-пункт"/>
    <w:basedOn w:val="Style_13"/>
    <w:link w:val="Style_67_ch"/>
    <w:pPr>
      <w:numPr>
        <w:numId w:val="3"/>
      </w:numPr>
      <w:spacing w:after="0"/>
      <w:ind/>
    </w:pPr>
  </w:style>
  <w:style w:styleId="Style_67_ch" w:type="character">
    <w:name w:val="Контракт-пункт"/>
    <w:basedOn w:val="Style_13_ch"/>
    <w:link w:val="Style_67"/>
  </w:style>
  <w:style w:styleId="Style_68" w:type="paragraph">
    <w:name w:val="heading 5"/>
    <w:basedOn w:val="Style_13"/>
    <w:next w:val="Style_13"/>
    <w:link w:val="Style_68_ch"/>
    <w:uiPriority w:val="9"/>
    <w:qFormat/>
    <w:pPr>
      <w:spacing w:before="240"/>
      <w:ind/>
      <w:outlineLvl w:val="4"/>
    </w:pPr>
    <w:rPr>
      <w:b w:val="1"/>
      <w:i w:val="1"/>
      <w:sz w:val="26"/>
    </w:rPr>
  </w:style>
  <w:style w:styleId="Style_68_ch" w:type="character">
    <w:name w:val="heading 5"/>
    <w:basedOn w:val="Style_13_ch"/>
    <w:link w:val="Style_68"/>
    <w:rPr>
      <w:b w:val="1"/>
      <w:i w:val="1"/>
      <w:sz w:val="26"/>
    </w:rPr>
  </w:style>
  <w:style w:styleId="Style_69" w:type="paragraph">
    <w:name w:val="Символ концевой сноски"/>
    <w:basedOn w:val="Style_34"/>
    <w:link w:val="Style_69_ch"/>
    <w:rPr>
      <w:vertAlign w:val="superscript"/>
    </w:rPr>
  </w:style>
  <w:style w:styleId="Style_69_ch" w:type="character">
    <w:name w:val="Символ концевой сноски"/>
    <w:basedOn w:val="Style_34_ch"/>
    <w:link w:val="Style_69"/>
    <w:rPr>
      <w:vertAlign w:val="superscript"/>
    </w:rPr>
  </w:style>
  <w:style w:styleId="Style_70" w:type="paragraph">
    <w:name w:val="Обычный таблица"/>
    <w:basedOn w:val="Style_13"/>
    <w:link w:val="Style_70_ch"/>
    <w:pPr>
      <w:spacing w:after="0"/>
      <w:ind/>
      <w:jc w:val="left"/>
    </w:pPr>
    <w:rPr>
      <w:sz w:val="18"/>
    </w:rPr>
  </w:style>
  <w:style w:styleId="Style_70_ch" w:type="character">
    <w:name w:val="Обычный таблица"/>
    <w:basedOn w:val="Style_13_ch"/>
    <w:link w:val="Style_70"/>
    <w:rPr>
      <w:sz w:val="18"/>
    </w:rPr>
  </w:style>
  <w:style w:styleId="Style_71" w:type="paragraph">
    <w:name w:val="Font Style28"/>
    <w:basedOn w:val="Style_34"/>
    <w:link w:val="Style_71_ch"/>
    <w:rPr>
      <w:b w:val="1"/>
      <w:sz w:val="34"/>
    </w:rPr>
  </w:style>
  <w:style w:styleId="Style_71_ch" w:type="character">
    <w:name w:val="Font Style28"/>
    <w:basedOn w:val="Style_34_ch"/>
    <w:link w:val="Style_71"/>
    <w:rPr>
      <w:b w:val="1"/>
      <w:sz w:val="34"/>
    </w:rPr>
  </w:style>
  <w:style w:styleId="Style_72" w:type="paragraph">
    <w:name w:val="Заголовок 1 Знак1"/>
    <w:basedOn w:val="Style_34"/>
    <w:link w:val="Style_72_ch"/>
    <w:rPr>
      <w:b w:val="1"/>
      <w:sz w:val="36"/>
    </w:rPr>
  </w:style>
  <w:style w:styleId="Style_72_ch" w:type="character">
    <w:name w:val="Заголовок 1 Знак1"/>
    <w:basedOn w:val="Style_34_ch"/>
    <w:link w:val="Style_72"/>
    <w:rPr>
      <w:b w:val="1"/>
      <w:sz w:val="36"/>
    </w:rPr>
  </w:style>
  <w:style w:styleId="Style_73" w:type="paragraph">
    <w:name w:val="List Paragraph"/>
    <w:basedOn w:val="Style_13"/>
    <w:link w:val="Style_73_ch"/>
    <w:pPr>
      <w:ind w:left="720"/>
      <w:contextualSpacing w:val="1"/>
    </w:pPr>
  </w:style>
  <w:style w:styleId="Style_73_ch" w:type="character">
    <w:name w:val="List Paragraph"/>
    <w:basedOn w:val="Style_13_ch"/>
    <w:link w:val="Style_73"/>
  </w:style>
  <w:style w:styleId="Style_74" w:type="paragraph">
    <w:name w:val="List Number 2"/>
    <w:basedOn w:val="Style_13"/>
    <w:link w:val="Style_74_ch"/>
    <w:pPr>
      <w:tabs>
        <w:tab w:leader="none" w:pos="432" w:val="left"/>
      </w:tabs>
      <w:ind w:hanging="432" w:left="432"/>
    </w:pPr>
  </w:style>
  <w:style w:styleId="Style_74_ch" w:type="character">
    <w:name w:val="List Number 2"/>
    <w:basedOn w:val="Style_13_ch"/>
    <w:link w:val="Style_74"/>
  </w:style>
  <w:style w:styleId="Style_19" w:type="paragraph">
    <w:name w:val="annotation text"/>
    <w:basedOn w:val="Style_13"/>
    <w:link w:val="Style_19_ch"/>
    <w:rPr>
      <w:sz w:val="20"/>
    </w:rPr>
  </w:style>
  <w:style w:styleId="Style_19_ch" w:type="character">
    <w:name w:val="annotation text"/>
    <w:basedOn w:val="Style_13_ch"/>
    <w:link w:val="Style_19"/>
    <w:rPr>
      <w:sz w:val="20"/>
    </w:rPr>
  </w:style>
  <w:style w:styleId="Style_75" w:type="paragraph">
    <w:name w:val="heading 1"/>
    <w:basedOn w:val="Style_13"/>
    <w:next w:val="Style_13"/>
    <w:link w:val="Style_75_ch"/>
    <w:uiPriority w:val="9"/>
    <w:qFormat/>
    <w:pPr>
      <w:keepNext w:val="1"/>
      <w:numPr>
        <w:numId w:val="1"/>
      </w:numPr>
      <w:spacing w:before="240"/>
      <w:ind/>
      <w:jc w:val="center"/>
      <w:outlineLvl w:val="0"/>
    </w:pPr>
    <w:rPr>
      <w:b w:val="1"/>
      <w:sz w:val="36"/>
    </w:rPr>
  </w:style>
  <w:style w:styleId="Style_75_ch" w:type="character">
    <w:name w:val="heading 1"/>
    <w:basedOn w:val="Style_13_ch"/>
    <w:link w:val="Style_75"/>
    <w:rPr>
      <w:b w:val="1"/>
      <w:sz w:val="36"/>
    </w:rPr>
  </w:style>
  <w:style w:styleId="Style_76" w:type="paragraph">
    <w:name w:val="Body Text Indent 3"/>
    <w:basedOn w:val="Style_13"/>
    <w:link w:val="Style_76_ch"/>
    <w:pPr>
      <w:spacing w:after="120"/>
      <w:ind w:left="283"/>
      <w:jc w:val="left"/>
    </w:pPr>
    <w:rPr>
      <w:sz w:val="16"/>
    </w:rPr>
  </w:style>
  <w:style w:styleId="Style_76_ch" w:type="character">
    <w:name w:val="Body Text Indent 3"/>
    <w:basedOn w:val="Style_13_ch"/>
    <w:link w:val="Style_76"/>
    <w:rPr>
      <w:sz w:val="16"/>
    </w:rPr>
  </w:style>
  <w:style w:styleId="Style_77" w:type="paragraph">
    <w:name w:val="Hyperlink"/>
    <w:link w:val="Style_77_ch"/>
    <w:rPr>
      <w:color w:val="0000FF"/>
      <w:u w:val="single"/>
    </w:rPr>
  </w:style>
  <w:style w:styleId="Style_77_ch" w:type="character">
    <w:name w:val="Hyperlink"/>
    <w:link w:val="Style_77"/>
    <w:rPr>
      <w:color w:val="0000FF"/>
      <w:u w:val="single"/>
    </w:rPr>
  </w:style>
  <w:style w:styleId="Style_78" w:type="paragraph">
    <w:name w:val="Footnote"/>
    <w:basedOn w:val="Style_13"/>
    <w:link w:val="Style_78_ch"/>
    <w:rPr>
      <w:sz w:val="20"/>
    </w:rPr>
  </w:style>
  <w:style w:styleId="Style_78_ch" w:type="character">
    <w:name w:val="Footnote"/>
    <w:basedOn w:val="Style_13_ch"/>
    <w:link w:val="Style_78"/>
    <w:rPr>
      <w:sz w:val="20"/>
    </w:rPr>
  </w:style>
  <w:style w:styleId="Style_79" w:type="paragraph">
    <w:name w:val="heading 8"/>
    <w:basedOn w:val="Style_13"/>
    <w:next w:val="Style_13"/>
    <w:link w:val="Style_79_ch"/>
    <w:uiPriority w:val="9"/>
    <w:qFormat/>
    <w:pPr>
      <w:spacing w:before="240"/>
      <w:ind/>
      <w:outlineLvl w:val="7"/>
    </w:pPr>
    <w:rPr>
      <w:i w:val="1"/>
    </w:rPr>
  </w:style>
  <w:style w:styleId="Style_79_ch" w:type="character">
    <w:name w:val="heading 8"/>
    <w:basedOn w:val="Style_13_ch"/>
    <w:link w:val="Style_79"/>
    <w:rPr>
      <w:i w:val="1"/>
    </w:rPr>
  </w:style>
  <w:style w:styleId="Style_80" w:type="paragraph">
    <w:name w:val="toc 1"/>
    <w:basedOn w:val="Style_13"/>
    <w:next w:val="Style_13"/>
    <w:link w:val="Style_80_ch"/>
    <w:uiPriority w:val="39"/>
    <w:pPr>
      <w:spacing w:after="120" w:before="120"/>
      <w:ind/>
      <w:jc w:val="left"/>
    </w:pPr>
    <w:rPr>
      <w:b w:val="1"/>
      <w:caps w:val="1"/>
      <w:sz w:val="20"/>
    </w:rPr>
  </w:style>
  <w:style w:styleId="Style_80_ch" w:type="character">
    <w:name w:val="toc 1"/>
    <w:basedOn w:val="Style_13_ch"/>
    <w:link w:val="Style_80"/>
    <w:rPr>
      <w:b w:val="1"/>
      <w:caps w:val="1"/>
      <w:sz w:val="20"/>
    </w:rPr>
  </w:style>
  <w:style w:styleId="Style_81" w:type="paragraph">
    <w:name w:val="Header and Footer"/>
    <w:link w:val="Style_81_ch"/>
    <w:pPr>
      <w:ind/>
      <w:jc w:val="both"/>
    </w:pPr>
    <w:rPr>
      <w:rFonts w:ascii="XO Thames" w:hAnsi="XO Thames"/>
      <w:sz w:val="28"/>
    </w:rPr>
  </w:style>
  <w:style w:styleId="Style_81_ch" w:type="character">
    <w:name w:val="Header and Footer"/>
    <w:link w:val="Style_81"/>
    <w:rPr>
      <w:rFonts w:ascii="XO Thames" w:hAnsi="XO Thames"/>
      <w:sz w:val="28"/>
    </w:rPr>
  </w:style>
  <w:style w:styleId="Style_82" w:type="paragraph">
    <w:name w:val="posthilit1"/>
    <w:basedOn w:val="Style_34"/>
    <w:link w:val="Style_82_ch"/>
    <w:rPr>
      <w:highlight w:val="yellow"/>
    </w:rPr>
  </w:style>
  <w:style w:styleId="Style_82_ch" w:type="character">
    <w:name w:val="posthilit1"/>
    <w:basedOn w:val="Style_34_ch"/>
    <w:link w:val="Style_82"/>
    <w:rPr>
      <w:highlight w:val="yellow"/>
    </w:rPr>
  </w:style>
  <w:style w:styleId="Style_83" w:type="paragraph">
    <w:name w:val="Нижний колонтитул Знак"/>
    <w:basedOn w:val="Style_34"/>
    <w:link w:val="Style_83_ch"/>
    <w:rPr>
      <w:sz w:val="24"/>
    </w:rPr>
  </w:style>
  <w:style w:styleId="Style_83_ch" w:type="character">
    <w:name w:val="Нижний колонтитул Знак"/>
    <w:basedOn w:val="Style_34_ch"/>
    <w:link w:val="Style_83"/>
    <w:rPr>
      <w:sz w:val="24"/>
    </w:rPr>
  </w:style>
  <w:style w:styleId="Style_84" w:type="paragraph">
    <w:name w:val="Balloon Text"/>
    <w:basedOn w:val="Style_13"/>
    <w:link w:val="Style_84_ch"/>
    <w:rPr>
      <w:rFonts w:ascii="Tahoma" w:hAnsi="Tahoma"/>
      <w:sz w:val="16"/>
    </w:rPr>
  </w:style>
  <w:style w:styleId="Style_84_ch" w:type="character">
    <w:name w:val="Balloon Text"/>
    <w:basedOn w:val="Style_13_ch"/>
    <w:link w:val="Style_84"/>
    <w:rPr>
      <w:rFonts w:ascii="Tahoma" w:hAnsi="Tahoma"/>
      <w:sz w:val="16"/>
    </w:rPr>
  </w:style>
  <w:style w:styleId="Style_85" w:type="paragraph">
    <w:name w:val="s_22"/>
    <w:basedOn w:val="Style_13"/>
    <w:link w:val="Style_85_ch"/>
    <w:pPr>
      <w:spacing w:after="0"/>
      <w:ind w:firstLine="140"/>
    </w:pPr>
    <w:rPr>
      <w:rFonts w:ascii="Arial" w:hAnsi="Arial"/>
      <w:i w:val="1"/>
      <w:color w:val="353842"/>
      <w:sz w:val="26"/>
    </w:rPr>
  </w:style>
  <w:style w:styleId="Style_85_ch" w:type="character">
    <w:name w:val="s_22"/>
    <w:basedOn w:val="Style_13_ch"/>
    <w:link w:val="Style_85"/>
    <w:rPr>
      <w:rFonts w:ascii="Arial" w:hAnsi="Arial"/>
      <w:i w:val="1"/>
      <w:color w:val="353842"/>
      <w:sz w:val="26"/>
    </w:rPr>
  </w:style>
  <w:style w:styleId="Style_86" w:type="paragraph">
    <w:name w:val="toc 9"/>
    <w:next w:val="Style_13"/>
    <w:link w:val="Style_86_ch"/>
    <w:uiPriority w:val="39"/>
    <w:pPr>
      <w:ind w:left="1600"/>
    </w:pPr>
    <w:rPr>
      <w:rFonts w:ascii="XO Thames" w:hAnsi="XO Thames"/>
      <w:sz w:val="28"/>
    </w:rPr>
  </w:style>
  <w:style w:styleId="Style_86_ch" w:type="character">
    <w:name w:val="toc 9"/>
    <w:link w:val="Style_86"/>
    <w:rPr>
      <w:rFonts w:ascii="XO Thames" w:hAnsi="XO Thames"/>
      <w:sz w:val="28"/>
    </w:rPr>
  </w:style>
  <w:style w:styleId="Style_87" w:type="paragraph">
    <w:name w:val="Font Style23"/>
    <w:basedOn w:val="Style_34"/>
    <w:link w:val="Style_87_ch"/>
    <w:rPr>
      <w:b w:val="1"/>
      <w:sz w:val="26"/>
    </w:rPr>
  </w:style>
  <w:style w:styleId="Style_87_ch" w:type="character">
    <w:name w:val="Font Style23"/>
    <w:basedOn w:val="Style_34_ch"/>
    <w:link w:val="Style_87"/>
    <w:rPr>
      <w:b w:val="1"/>
      <w:sz w:val="26"/>
    </w:rPr>
  </w:style>
  <w:style w:styleId="Style_88" w:type="paragraph">
    <w:name w:val="Текст сноски Знак"/>
    <w:basedOn w:val="Style_34"/>
    <w:link w:val="Style_88_ch"/>
  </w:style>
  <w:style w:styleId="Style_88_ch" w:type="character">
    <w:name w:val="Текст сноски Знак"/>
    <w:basedOn w:val="Style_34_ch"/>
    <w:link w:val="Style_88"/>
  </w:style>
  <w:style w:styleId="Style_89" w:type="paragraph">
    <w:name w:val="Style6"/>
    <w:basedOn w:val="Style_13"/>
    <w:link w:val="Style_89_ch"/>
    <w:pPr>
      <w:widowControl w:val="0"/>
      <w:spacing w:after="0"/>
      <w:ind/>
      <w:jc w:val="left"/>
    </w:pPr>
    <w:rPr>
      <w:rFonts w:ascii="Arial" w:hAnsi="Arial"/>
    </w:rPr>
  </w:style>
  <w:style w:styleId="Style_89_ch" w:type="character">
    <w:name w:val="Style6"/>
    <w:basedOn w:val="Style_13_ch"/>
    <w:link w:val="Style_89"/>
    <w:rPr>
      <w:rFonts w:ascii="Arial" w:hAnsi="Arial"/>
    </w:rPr>
  </w:style>
  <w:style w:styleId="Style_90" w:type="paragraph">
    <w:name w:val="toc 8"/>
    <w:next w:val="Style_13"/>
    <w:link w:val="Style_90_ch"/>
    <w:uiPriority w:val="39"/>
    <w:pPr>
      <w:ind w:left="1400"/>
    </w:pPr>
    <w:rPr>
      <w:rFonts w:ascii="XO Thames" w:hAnsi="XO Thames"/>
      <w:sz w:val="28"/>
    </w:rPr>
  </w:style>
  <w:style w:styleId="Style_90_ch" w:type="character">
    <w:name w:val="toc 8"/>
    <w:link w:val="Style_90"/>
    <w:rPr>
      <w:rFonts w:ascii="XO Thames" w:hAnsi="XO Thames"/>
      <w:sz w:val="28"/>
    </w:rPr>
  </w:style>
  <w:style w:styleId="Style_91" w:type="paragraph">
    <w:name w:val="Стиль3 Знак"/>
    <w:basedOn w:val="Style_15"/>
    <w:link w:val="Style_91_ch"/>
    <w:pPr>
      <w:widowControl w:val="0"/>
      <w:numPr>
        <w:ilvl w:val="2"/>
        <w:numId w:val="2"/>
      </w:numPr>
      <w:spacing w:after="0" w:line="240" w:lineRule="auto"/>
      <w:ind/>
    </w:pPr>
  </w:style>
  <w:style w:styleId="Style_91_ch" w:type="character">
    <w:name w:val="Стиль3 Знак"/>
    <w:basedOn w:val="Style_15_ch"/>
    <w:link w:val="Style_91"/>
  </w:style>
  <w:style w:styleId="Style_92" w:type="paragraph">
    <w:name w:val="Font Style29"/>
    <w:basedOn w:val="Style_34"/>
    <w:link w:val="Style_92_ch"/>
    <w:rPr>
      <w:b w:val="1"/>
      <w:sz w:val="18"/>
    </w:rPr>
  </w:style>
  <w:style w:styleId="Style_92_ch" w:type="character">
    <w:name w:val="Font Style29"/>
    <w:basedOn w:val="Style_34_ch"/>
    <w:link w:val="Style_92"/>
    <w:rPr>
      <w:b w:val="1"/>
      <w:sz w:val="18"/>
    </w:rPr>
  </w:style>
  <w:style w:styleId="Style_93" w:type="paragraph">
    <w:name w:val="Заголовок 8 Знак"/>
    <w:basedOn w:val="Style_34"/>
    <w:link w:val="Style_93_ch"/>
    <w:rPr>
      <w:rFonts w:ascii="Calibri" w:hAnsi="Calibri"/>
      <w:i w:val="1"/>
      <w:sz w:val="24"/>
    </w:rPr>
  </w:style>
  <w:style w:styleId="Style_93_ch" w:type="character">
    <w:name w:val="Заголовок 8 Знак"/>
    <w:basedOn w:val="Style_34_ch"/>
    <w:link w:val="Style_93"/>
    <w:rPr>
      <w:rFonts w:ascii="Calibri" w:hAnsi="Calibri"/>
      <w:i w:val="1"/>
      <w:sz w:val="24"/>
    </w:rPr>
  </w:style>
  <w:style w:styleId="Style_94" w:type="paragraph">
    <w:name w:val="indent_1"/>
    <w:basedOn w:val="Style_13"/>
    <w:link w:val="Style_94_ch"/>
    <w:pPr>
      <w:spacing w:afterAutospacing="on" w:beforeAutospacing="on"/>
      <w:ind/>
      <w:jc w:val="left"/>
    </w:pPr>
  </w:style>
  <w:style w:styleId="Style_94_ch" w:type="character">
    <w:name w:val="indent_1"/>
    <w:basedOn w:val="Style_13_ch"/>
    <w:link w:val="Style_94"/>
  </w:style>
  <w:style w:styleId="Style_95" w:type="paragraph">
    <w:name w:val="List Bullet 2"/>
    <w:basedOn w:val="Style_13"/>
    <w:link w:val="Style_95_ch"/>
    <w:pPr>
      <w:numPr>
        <w:numId w:val="4"/>
      </w:numPr>
    </w:pPr>
  </w:style>
  <w:style w:styleId="Style_95_ch" w:type="character">
    <w:name w:val="List Bullet 2"/>
    <w:basedOn w:val="Style_13_ch"/>
    <w:link w:val="Style_95"/>
  </w:style>
  <w:style w:styleId="Style_96" w:type="paragraph">
    <w:name w:val="Стиль3"/>
    <w:basedOn w:val="Style_15"/>
    <w:link w:val="Style_96_ch"/>
    <w:pPr>
      <w:widowControl w:val="0"/>
      <w:tabs>
        <w:tab w:leader="none" w:pos="1307" w:val="left"/>
      </w:tabs>
      <w:spacing w:after="0" w:line="240" w:lineRule="auto"/>
      <w:ind w:left="1080"/>
    </w:pPr>
  </w:style>
  <w:style w:styleId="Style_96_ch" w:type="character">
    <w:name w:val="Стиль3"/>
    <w:basedOn w:val="Style_15_ch"/>
    <w:link w:val="Style_96"/>
  </w:style>
  <w:style w:styleId="Style_97" w:type="paragraph">
    <w:name w:val="Таблицы (моноширинный)"/>
    <w:basedOn w:val="Style_13"/>
    <w:next w:val="Style_13"/>
    <w:link w:val="Style_97_ch"/>
    <w:pPr>
      <w:spacing w:after="0"/>
      <w:ind/>
      <w:jc w:val="left"/>
    </w:pPr>
    <w:rPr>
      <w:rFonts w:ascii="Courier New" w:hAnsi="Courier New"/>
    </w:rPr>
  </w:style>
  <w:style w:styleId="Style_97_ch" w:type="character">
    <w:name w:val="Таблицы (моноширинный)"/>
    <w:basedOn w:val="Style_13_ch"/>
    <w:link w:val="Style_97"/>
    <w:rPr>
      <w:rFonts w:ascii="Courier New" w:hAnsi="Courier New"/>
    </w:rPr>
  </w:style>
  <w:style w:styleId="Style_98" w:type="paragraph">
    <w:name w:val="Текст концевой сноски Знак"/>
    <w:basedOn w:val="Style_34"/>
    <w:link w:val="Style_98_ch"/>
  </w:style>
  <w:style w:styleId="Style_98_ch" w:type="character">
    <w:name w:val="Текст концевой сноски Знак"/>
    <w:basedOn w:val="Style_34_ch"/>
    <w:link w:val="Style_98"/>
  </w:style>
  <w:style w:styleId="Style_99" w:type="paragraph">
    <w:name w:val="toc 5"/>
    <w:next w:val="Style_13"/>
    <w:link w:val="Style_99_ch"/>
    <w:uiPriority w:val="39"/>
    <w:pPr>
      <w:ind w:left="800"/>
    </w:pPr>
    <w:rPr>
      <w:rFonts w:ascii="XO Thames" w:hAnsi="XO Thames"/>
      <w:sz w:val="28"/>
    </w:rPr>
  </w:style>
  <w:style w:styleId="Style_99_ch" w:type="character">
    <w:name w:val="toc 5"/>
    <w:link w:val="Style_99"/>
    <w:rPr>
      <w:rFonts w:ascii="XO Thames" w:hAnsi="XO Thames"/>
      <w:sz w:val="28"/>
    </w:rPr>
  </w:style>
  <w:style w:styleId="Style_100" w:type="paragraph">
    <w:name w:val="Body Text 3"/>
    <w:basedOn w:val="Style_13"/>
    <w:link w:val="Style_100_ch"/>
    <w:pPr>
      <w:spacing w:after="120"/>
      <w:ind/>
    </w:pPr>
    <w:rPr>
      <w:sz w:val="16"/>
    </w:rPr>
  </w:style>
  <w:style w:styleId="Style_100_ch" w:type="character">
    <w:name w:val="Body Text 3"/>
    <w:basedOn w:val="Style_13_ch"/>
    <w:link w:val="Style_100"/>
    <w:rPr>
      <w:sz w:val="16"/>
    </w:rPr>
  </w:style>
  <w:style w:styleId="Style_101" w:type="paragraph">
    <w:name w:val="Строгий1"/>
    <w:basedOn w:val="Style_34"/>
    <w:link w:val="Style_101_ch"/>
    <w:rPr>
      <w:b w:val="1"/>
    </w:rPr>
  </w:style>
  <w:style w:styleId="Style_101_ch" w:type="character">
    <w:name w:val="Строгий1"/>
    <w:basedOn w:val="Style_34_ch"/>
    <w:link w:val="Style_101"/>
    <w:rPr>
      <w:b w:val="1"/>
    </w:rPr>
  </w:style>
  <w:style w:styleId="Style_102" w:type="paragraph">
    <w:name w:val="Стиль2"/>
    <w:basedOn w:val="Style_74"/>
    <w:link w:val="Style_102_ch"/>
    <w:pPr>
      <w:keepNext w:val="1"/>
      <w:keepLines w:val="1"/>
      <w:widowControl w:val="0"/>
      <w:ind/>
    </w:pPr>
    <w:rPr>
      <w:b w:val="1"/>
    </w:rPr>
  </w:style>
  <w:style w:styleId="Style_102_ch" w:type="character">
    <w:name w:val="Стиль2"/>
    <w:basedOn w:val="Style_74_ch"/>
    <w:link w:val="Style_102"/>
    <w:rPr>
      <w:b w:val="1"/>
    </w:rPr>
  </w:style>
  <w:style w:styleId="Style_103" w:type="paragraph">
    <w:name w:val="xl50"/>
    <w:basedOn w:val="Style_13"/>
    <w:link w:val="Style_103_ch"/>
    <w:pPr>
      <w:spacing w:after="280" w:before="280"/>
      <w:ind/>
      <w:jc w:val="center"/>
    </w:pPr>
  </w:style>
  <w:style w:styleId="Style_103_ch" w:type="character">
    <w:name w:val="xl50"/>
    <w:basedOn w:val="Style_13_ch"/>
    <w:link w:val="Style_103"/>
  </w:style>
  <w:style w:styleId="Style_104" w:type="paragraph">
    <w:name w:val=".HEADERTEXT"/>
    <w:link w:val="Style_104_ch"/>
    <w:pPr>
      <w:widowControl w:val="0"/>
      <w:ind/>
    </w:pPr>
    <w:rPr>
      <w:color w:val="2B4279"/>
      <w:sz w:val="24"/>
    </w:rPr>
  </w:style>
  <w:style w:styleId="Style_104_ch" w:type="character">
    <w:name w:val=".HEADERTEXT"/>
    <w:link w:val="Style_104"/>
    <w:rPr>
      <w:color w:val="2B4279"/>
      <w:sz w:val="24"/>
    </w:rPr>
  </w:style>
  <w:style w:styleId="Style_105" w:type="paragraph">
    <w:name w:val="Body Text 2"/>
    <w:basedOn w:val="Style_13"/>
    <w:link w:val="Style_105_ch"/>
    <w:pPr>
      <w:spacing w:after="120" w:line="480" w:lineRule="auto"/>
      <w:ind/>
    </w:pPr>
  </w:style>
  <w:style w:styleId="Style_105_ch" w:type="character">
    <w:name w:val="Body Text 2"/>
    <w:basedOn w:val="Style_13_ch"/>
    <w:link w:val="Style_105"/>
  </w:style>
  <w:style w:styleId="Style_106" w:type="paragraph">
    <w:name w:val="Subtitle"/>
    <w:next w:val="Style_13"/>
    <w:link w:val="Style_106_ch"/>
    <w:uiPriority w:val="11"/>
    <w:qFormat/>
    <w:pPr>
      <w:ind/>
      <w:jc w:val="both"/>
    </w:pPr>
    <w:rPr>
      <w:rFonts w:ascii="XO Thames" w:hAnsi="XO Thames"/>
      <w:i w:val="1"/>
      <w:sz w:val="24"/>
    </w:rPr>
  </w:style>
  <w:style w:styleId="Style_106_ch" w:type="character">
    <w:name w:val="Subtitle"/>
    <w:link w:val="Style_106"/>
    <w:rPr>
      <w:rFonts w:ascii="XO Thames" w:hAnsi="XO Thames"/>
      <w:i w:val="1"/>
      <w:sz w:val="24"/>
    </w:rPr>
  </w:style>
  <w:style w:styleId="Style_107" w:type="paragraph">
    <w:name w:val="s_91"/>
    <w:basedOn w:val="Style_34"/>
    <w:link w:val="Style_107_ch"/>
  </w:style>
  <w:style w:styleId="Style_107_ch" w:type="character">
    <w:name w:val="s_91"/>
    <w:basedOn w:val="Style_34_ch"/>
    <w:link w:val="Style_107"/>
  </w:style>
  <w:style w:styleId="Style_108" w:type="paragraph">
    <w:name w:val="Default Paragraph Font"/>
    <w:link w:val="Style_108_ch"/>
  </w:style>
  <w:style w:styleId="Style_108_ch" w:type="character">
    <w:name w:val="Default Paragraph Font"/>
    <w:link w:val="Style_108"/>
  </w:style>
  <w:style w:styleId="Style_109" w:type="paragraph">
    <w:name w:val="index heading"/>
    <w:basedOn w:val="Style_13"/>
    <w:link w:val="Style_109_ch"/>
  </w:style>
  <w:style w:styleId="Style_109_ch" w:type="character">
    <w:name w:val="index heading"/>
    <w:basedOn w:val="Style_13_ch"/>
    <w:link w:val="Style_109"/>
  </w:style>
  <w:style w:styleId="Style_110" w:type="paragraph">
    <w:name w:val="Основной текст Знак1"/>
    <w:basedOn w:val="Style_34"/>
    <w:link w:val="Style_110_ch"/>
    <w:rPr>
      <w:sz w:val="24"/>
    </w:rPr>
  </w:style>
  <w:style w:styleId="Style_110_ch" w:type="character">
    <w:name w:val="Основной текст Знак1"/>
    <w:basedOn w:val="Style_34_ch"/>
    <w:link w:val="Style_110"/>
    <w:rPr>
      <w:sz w:val="24"/>
    </w:rPr>
  </w:style>
  <w:style w:styleId="Style_10" w:type="paragraph">
    <w:name w:val="Body Text"/>
    <w:basedOn w:val="Style_13"/>
    <w:link w:val="Style_10_ch"/>
    <w:pPr>
      <w:spacing w:after="120"/>
      <w:ind/>
    </w:pPr>
  </w:style>
  <w:style w:styleId="Style_10_ch" w:type="character">
    <w:name w:val="Body Text"/>
    <w:basedOn w:val="Style_13_ch"/>
    <w:link w:val="Style_10"/>
  </w:style>
  <w:style w:styleId="Style_111" w:type="paragraph">
    <w:name w:val="Title"/>
    <w:next w:val="Style_13"/>
    <w:link w:val="Style_111_ch"/>
    <w:uiPriority w:val="10"/>
    <w:qFormat/>
    <w:pPr>
      <w:spacing w:after="567" w:before="567"/>
      <w:ind/>
      <w:jc w:val="center"/>
    </w:pPr>
    <w:rPr>
      <w:rFonts w:ascii="XO Thames" w:hAnsi="XO Thames"/>
      <w:b w:val="1"/>
      <w:caps w:val="1"/>
      <w:sz w:val="40"/>
    </w:rPr>
  </w:style>
  <w:style w:styleId="Style_111_ch" w:type="character">
    <w:name w:val="Title"/>
    <w:link w:val="Style_111"/>
    <w:rPr>
      <w:rFonts w:ascii="XO Thames" w:hAnsi="XO Thames"/>
      <w:b w:val="1"/>
      <w:caps w:val="1"/>
      <w:sz w:val="40"/>
    </w:rPr>
  </w:style>
  <w:style w:styleId="Style_11" w:type="paragraph">
    <w:name w:val="heading 4"/>
    <w:basedOn w:val="Style_13"/>
    <w:next w:val="Style_13"/>
    <w:link w:val="Style_11_ch"/>
    <w:uiPriority w:val="9"/>
    <w:qFormat/>
    <w:pPr>
      <w:keepNext w:val="1"/>
      <w:spacing w:before="240"/>
      <w:ind/>
      <w:outlineLvl w:val="3"/>
    </w:pPr>
    <w:rPr>
      <w:rFonts w:ascii="Arial" w:hAnsi="Arial"/>
    </w:rPr>
  </w:style>
  <w:style w:styleId="Style_11_ch" w:type="character">
    <w:name w:val="heading 4"/>
    <w:basedOn w:val="Style_13_ch"/>
    <w:link w:val="Style_11"/>
    <w:rPr>
      <w:rFonts w:ascii="Arial" w:hAnsi="Arial"/>
    </w:rPr>
  </w:style>
  <w:style w:styleId="Style_112" w:type="paragraph">
    <w:name w:val="Style16"/>
    <w:basedOn w:val="Style_13"/>
    <w:next w:val="Style_13"/>
    <w:link w:val="Style_112_ch"/>
    <w:pPr>
      <w:widowControl w:val="0"/>
      <w:spacing w:after="0"/>
      <w:ind/>
      <w:jc w:val="left"/>
    </w:pPr>
    <w:rPr>
      <w:sz w:val="20"/>
    </w:rPr>
  </w:style>
  <w:style w:styleId="Style_112_ch" w:type="character">
    <w:name w:val="Style16"/>
    <w:basedOn w:val="Style_13_ch"/>
    <w:link w:val="Style_112"/>
    <w:rPr>
      <w:sz w:val="20"/>
    </w:rPr>
  </w:style>
  <w:style w:styleId="Style_113" w:type="paragraph">
    <w:name w:val="Знак концевой сноски1"/>
    <w:link w:val="Style_113_ch"/>
    <w:rPr>
      <w:vertAlign w:val="superscript"/>
    </w:rPr>
  </w:style>
  <w:style w:styleId="Style_113_ch" w:type="character">
    <w:name w:val="Знак концевой сноски1"/>
    <w:link w:val="Style_113"/>
    <w:rPr>
      <w:vertAlign w:val="superscript"/>
    </w:rPr>
  </w:style>
  <w:style w:styleId="Style_114" w:type="paragraph">
    <w:name w:val="Верхний колонтитул Знак"/>
    <w:basedOn w:val="Style_34"/>
    <w:link w:val="Style_114_ch"/>
    <w:rPr>
      <w:sz w:val="24"/>
    </w:rPr>
  </w:style>
  <w:style w:styleId="Style_114_ch" w:type="character">
    <w:name w:val="Верхний колонтитул Знак"/>
    <w:basedOn w:val="Style_34_ch"/>
    <w:link w:val="Style_114"/>
    <w:rPr>
      <w:sz w:val="24"/>
    </w:rPr>
  </w:style>
  <w:style w:styleId="Style_115" w:type="paragraph">
    <w:name w:val="s_10"/>
    <w:basedOn w:val="Style_34"/>
    <w:link w:val="Style_115_ch"/>
  </w:style>
  <w:style w:styleId="Style_115_ch" w:type="character">
    <w:name w:val="s_10"/>
    <w:basedOn w:val="Style_34_ch"/>
    <w:link w:val="Style_115"/>
  </w:style>
  <w:style w:styleId="Style_4" w:type="paragraph">
    <w:name w:val="heading 2"/>
    <w:basedOn w:val="Style_13"/>
    <w:next w:val="Style_13"/>
    <w:link w:val="Style_4_ch"/>
    <w:uiPriority w:val="9"/>
    <w:qFormat/>
    <w:pPr>
      <w:keepNext w:val="1"/>
      <w:numPr>
        <w:ilvl w:val="1"/>
        <w:numId w:val="1"/>
      </w:numPr>
      <w:ind/>
      <w:jc w:val="center"/>
      <w:outlineLvl w:val="1"/>
    </w:pPr>
    <w:rPr>
      <w:b w:val="1"/>
      <w:sz w:val="30"/>
    </w:rPr>
  </w:style>
  <w:style w:styleId="Style_4_ch" w:type="character">
    <w:name w:val="heading 2"/>
    <w:basedOn w:val="Style_13_ch"/>
    <w:link w:val="Style_4"/>
    <w:rPr>
      <w:b w:val="1"/>
      <w:sz w:val="30"/>
    </w:rPr>
  </w:style>
  <w:style w:styleId="Style_116" w:type="paragraph">
    <w:name w:val="ConsPlusTitle"/>
    <w:link w:val="Style_116_ch"/>
    <w:pPr>
      <w:widowControl w:val="0"/>
      <w:ind/>
    </w:pPr>
    <w:rPr>
      <w:rFonts w:ascii="Arial" w:hAnsi="Arial"/>
      <w:b w:val="1"/>
      <w:sz w:val="16"/>
    </w:rPr>
  </w:style>
  <w:style w:styleId="Style_116_ch" w:type="character">
    <w:name w:val="ConsPlusTitle"/>
    <w:link w:val="Style_116"/>
    <w:rPr>
      <w:rFonts w:ascii="Arial" w:hAnsi="Arial"/>
      <w:b w:val="1"/>
      <w:sz w:val="16"/>
    </w:rPr>
  </w:style>
  <w:style w:styleId="Style_117" w:type="paragraph">
    <w:name w:val="Знак примечания1"/>
    <w:basedOn w:val="Style_34"/>
    <w:link w:val="Style_117_ch"/>
    <w:rPr>
      <w:sz w:val="16"/>
    </w:rPr>
  </w:style>
  <w:style w:styleId="Style_117_ch" w:type="character">
    <w:name w:val="Знак примечания1"/>
    <w:basedOn w:val="Style_34_ch"/>
    <w:link w:val="Style_117"/>
    <w:rPr>
      <w:sz w:val="16"/>
    </w:rPr>
  </w:style>
  <w:style w:styleId="Style_118" w:type="paragraph">
    <w:name w:val="heading 6"/>
    <w:basedOn w:val="Style_13"/>
    <w:next w:val="Style_13"/>
    <w:link w:val="Style_118_ch"/>
    <w:uiPriority w:val="9"/>
    <w:qFormat/>
    <w:pPr>
      <w:spacing w:before="240"/>
      <w:ind/>
      <w:outlineLvl w:val="5"/>
    </w:pPr>
    <w:rPr>
      <w:b w:val="1"/>
      <w:sz w:val="22"/>
    </w:rPr>
  </w:style>
  <w:style w:styleId="Style_118_ch" w:type="character">
    <w:name w:val="heading 6"/>
    <w:basedOn w:val="Style_13_ch"/>
    <w:link w:val="Style_118"/>
    <w:rPr>
      <w:b w:val="1"/>
      <w:sz w:val="22"/>
    </w:rPr>
  </w:style>
  <w:style w:styleId="Style_119" w:type="paragraph">
    <w:name w:val=".FORMATTEXT"/>
    <w:link w:val="Style_119_ch"/>
    <w:pPr>
      <w:widowControl w:val="0"/>
      <w:ind/>
    </w:pPr>
    <w:rPr>
      <w:sz w:val="24"/>
    </w:rPr>
  </w:style>
  <w:style w:styleId="Style_119_ch" w:type="character">
    <w:name w:val=".FORMATTEXT"/>
    <w:link w:val="Style_119"/>
    <w:rPr>
      <w:sz w:val="24"/>
    </w:rPr>
  </w:style>
  <w:style w:styleId="Style_120" w:type="table">
    <w:name w:val="Table Grid"/>
    <w:basedOn w:val="Style_7"/>
    <w:pPr>
      <w:spacing w:after="60"/>
      <w:ind/>
      <w:jc w:val="both"/>
    </w:pPr>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7"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settings.xml" Type="http://schemas.openxmlformats.org/officeDocument/2006/relationships/settings"/>
  <Relationship Id="rId1" Target="header1.xml" Type="http://schemas.openxmlformats.org/officeDocument/2006/relationships/header"/>
  <Relationship Id="rId10" Target="theme/theme1.xml" Type="http://schemas.openxmlformats.org/officeDocument/2006/relationships/theme"/>
  <Relationship Id="rId2" Target="footer2.xml" Type="http://schemas.openxmlformats.org/officeDocument/2006/relationships/footer"/>
  <Relationship Id="rId3" Target="footer3.xml" Type="http://schemas.openxmlformats.org/officeDocument/2006/relationships/footer"/>
  <Relationship Id="rId8" Target="stylesWithEffects.xml" Type="http://schemas.microsoft.com/office/2007/relationships/stylesWithEffects"/>
  <Relationship Id="rId4" Target="header4.xml" Type="http://schemas.openxmlformats.org/officeDocument/2006/relationships/header"/>
  <Relationship Id="rId11" Target="numbering.xml" Type="http://schemas.openxmlformats.org/officeDocument/2006/relationships/numbering"/>
  <Relationship Id="rId9" Target="webSettings.xml" Type="http://schemas.openxmlformats.org/officeDocument/2006/relationships/webSettings"/>
  <Relationship Id="rId7" Target="styles.xml" Type="http://schemas.openxmlformats.org/officeDocument/2006/relationships/styles"/>
  <Relationship Id="rId5" Target="fontTable.xml" Type="http://schemas.openxmlformats.org/officeDocument/2006/relationships/fontTable"/>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
      <a:fillStyleLst>
        <a:solidFill>
          <a:schemeClr val="phClr"/>
        </a:solidFill>
        <a:gradFill>
          <a:gsLst>
            <a:gs pos="0">
              <a:schemeClr val="phClr">
                <a:tint val="50000"/>
              </a:schemeClr>
            </a:gs>
            <a:gs pos="35000">
              <a:schemeClr val="phClr">
                <a:tint val="37000"/>
              </a:schemeClr>
            </a:gs>
            <a:gs pos="100000">
              <a:schemeClr val="phClr">
                <a:tint val="15000"/>
              </a:schemeClr>
            </a:gs>
          </a:gsLst>
        </a:gradFill>
        <a:gradFill>
          <a:gsLst>
            <a:gs pos="0">
              <a:schemeClr val="phClr">
                <a:shade val="51000"/>
              </a:schemeClr>
            </a:gs>
            <a:gs pos="80000">
              <a:schemeClr val="phClr">
                <a:shade val="93000"/>
              </a:schemeClr>
            </a:gs>
            <a:gs pos="100000">
              <a:schemeClr val="phClr">
                <a:shade val="94000"/>
              </a:schemeClr>
            </a:gs>
          </a:gsLst>
        </a:gradFill>
      </a:fillStyleLst>
      <a:lnStyleLst>
        <a:ln w="9525">
          <a:prstDash val="solid"/>
        </a:ln>
        <a:ln w="25400">
          <a:prstDash val="solid"/>
        </a:ln>
        <a:ln w="38100">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gradFill>
        <a:gradFill>
          <a:gsLst>
            <a:gs pos="0">
              <a:schemeClr val="phClr">
                <a:tint val="80000"/>
              </a:schemeClr>
            </a:gs>
            <a:gs pos="100000">
              <a:schemeClr val="phClr">
                <a:shade val="3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MyOffice-CoreFramework-Linux/34-1238.862.9476.867.1@a81bcf6e81fbb8f5605a803e4664e1d7bed15bf0</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2026-10-13T07:34:43Z</dcterms:modified>
</cp:coreProperties>
</file>