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keepNext w:val="1"/>
        <w:keepLines w:val="1"/>
        <w:widowControl w:val="0"/>
        <w:spacing w:after="0"/>
        <w:ind/>
        <w:jc w:val="right"/>
      </w:pPr>
      <w:bookmarkStart w:id="1" w:name="ТекстовоеПоле101"/>
      <w:r>
        <w:t>Приложение №1</w:t>
      </w:r>
    </w:p>
    <w:p w14:paraId="03000000">
      <w:pPr>
        <w:keepNext w:val="1"/>
        <w:keepLines w:val="1"/>
        <w:widowControl w:val="0"/>
        <w:spacing w:after="0"/>
        <w:ind/>
        <w:jc w:val="right"/>
      </w:pPr>
      <w:bookmarkEnd w:id="1"/>
    </w:p>
    <w:p w14:paraId="04000000">
      <w:pPr>
        <w:keepNext w:val="1"/>
        <w:keepLines w:val="1"/>
        <w:widowControl w:val="0"/>
        <w:spacing w:after="0"/>
        <w:ind/>
        <w:jc w:val="right"/>
      </w:pPr>
      <w:r>
        <w:rPr>
          <w:color w:val="383838"/>
          <w:highlight w:val="white"/>
        </w:rPr>
        <w:t>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№19357 от 04.10.2023)</w:t>
      </w:r>
    </w:p>
    <w:p w14:paraId="05000000">
      <w:pPr>
        <w:keepNext w:val="1"/>
        <w:keepLines w:val="1"/>
        <w:widowControl w:val="0"/>
        <w:spacing w:after="0"/>
        <w:ind/>
        <w:jc w:val="right"/>
        <w:rPr>
          <w:i w:val="1"/>
          <w:sz w:val="22"/>
        </w:rPr>
      </w:pPr>
      <w:r>
        <w:rPr>
          <w:i w:val="1"/>
          <w:sz w:val="18"/>
        </w:rPr>
        <w:t>наименование объекта закупки</w:t>
      </w:r>
    </w:p>
    <w:p w14:paraId="06000000">
      <w:pPr>
        <w:pStyle w:val="Style_1"/>
        <w:widowControl w:val="1"/>
        <w:tabs>
          <w:tab w:leader="none" w:pos="360" w:val="left"/>
        </w:tabs>
        <w:ind w:firstLine="0" w:left="720"/>
        <w:jc w:val="center"/>
        <w:outlineLvl w:val="2"/>
        <w:rPr>
          <w:rFonts w:ascii="Times New Roman" w:hAnsi="Times New Roman"/>
          <w:b w:val="1"/>
          <w:color w:val="000080"/>
          <w:sz w:val="24"/>
        </w:rPr>
      </w:pPr>
    </w:p>
    <w:p w14:paraId="07000000">
      <w:pPr>
        <w:pStyle w:val="Style_1"/>
        <w:widowControl w:val="1"/>
        <w:tabs>
          <w:tab w:leader="none" w:pos="360" w:val="left"/>
        </w:tabs>
        <w:ind w:firstLine="0" w:left="720"/>
        <w:jc w:val="center"/>
        <w:outlineLvl w:val="2"/>
        <w:rPr>
          <w:rFonts w:ascii="Times New Roman" w:hAnsi="Times New Roman"/>
          <w:b w:val="1"/>
          <w:color w:val="000080"/>
          <w:sz w:val="24"/>
        </w:rPr>
      </w:pPr>
      <w:r>
        <w:rPr>
          <w:rFonts w:ascii="Times New Roman" w:hAnsi="Times New Roman"/>
          <w:b w:val="1"/>
          <w:color w:val="000080"/>
          <w:sz w:val="24"/>
        </w:rPr>
        <w:t xml:space="preserve">ТРЕБОВАНИЯ К СОДЕРЖАНИЮ, СОСТАВУ ЗАЯВКИ НА УЧАСТИЕ В ЗАКУПКЕ И ИНСТРУКЦИЯ ПО ЕЕ ЗАПОЛНЕНИЮ  </w:t>
      </w:r>
    </w:p>
    <w:p w14:paraId="08000000">
      <w:pPr>
        <w:pStyle w:val="Style_1"/>
        <w:widowControl w:val="1"/>
        <w:tabs>
          <w:tab w:leader="none" w:pos="360" w:val="left"/>
        </w:tabs>
        <w:ind w:firstLine="0" w:left="720"/>
        <w:jc w:val="center"/>
        <w:outlineLvl w:val="2"/>
        <w:rPr>
          <w:rFonts w:ascii="Times New Roman" w:hAnsi="Times New Roman"/>
          <w:b w:val="1"/>
          <w:color w:val="000080"/>
          <w:sz w:val="24"/>
        </w:rPr>
      </w:pPr>
    </w:p>
    <w:tbl>
      <w:tblPr>
        <w:tblStyle w:val="Style_2"/>
        <w:tblW w:type="auto" w:w="0"/>
        <w:tblInd w:type="dxa" w:w="-31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782"/>
      </w:tblGrid>
      <w:tr>
        <w:trPr>
          <w:trHeight w:hRule="atLeast" w:val="830"/>
        </w:trPr>
        <w:tc>
          <w:tcPr>
            <w:tcW w:type="dxa" w:w="9782"/>
            <w:tcBorders>
              <w:top w:color="000000" w:sz="4" w:val="single"/>
              <w:left w:color="000000" w:sz="4" w:val="single"/>
              <w:bottom w:color="000000" w:sz="4" w:val="single"/>
              <w:right w:color="000000" w:sz="4" w:val="single"/>
            </w:tcBorders>
            <w:shd w:themeFill="background1" w:themeFillShade="80" w:val="clear"/>
            <w:vAlign w:val="center"/>
          </w:tcPr>
          <w:p w14:paraId="09000000">
            <w:pPr>
              <w:spacing w:after="0"/>
              <w:ind/>
              <w:jc w:val="center"/>
              <w:rPr>
                <w:rFonts w:ascii="Arial" w:hAnsi="Arial"/>
                <w:b w:val="1"/>
                <w:color w:val="FFFFFF"/>
                <w:sz w:val="20"/>
              </w:rPr>
            </w:pPr>
            <w:r>
              <w:rPr>
                <w:rFonts w:ascii="Arial" w:hAnsi="Arial"/>
                <w:b w:val="1"/>
                <w:color w:val="FFFFFF"/>
                <w:sz w:val="20"/>
              </w:rPr>
              <w:t>Требования к содержанию, составу заявки на участие в закупке в соответствии со ст. 43 Федерального закона №44-ФЗ</w:t>
            </w:r>
          </w:p>
        </w:tc>
      </w:tr>
      <w:tr>
        <w:trPr>
          <w:trHeight w:hRule="atLeast" w:val="1191"/>
        </w:trPr>
        <w:tc>
          <w:tcPr>
            <w:tcW w:type="dxa" w:w="9782"/>
            <w:tcBorders>
              <w:top w:color="000000" w:sz="4" w:val="single"/>
              <w:left w:color="000000" w:sz="4" w:val="single"/>
              <w:bottom w:sz="4" w:val="nil"/>
              <w:right w:color="000000" w:sz="4" w:val="single"/>
            </w:tcBorders>
            <w:vAlign w:val="center"/>
          </w:tcPr>
          <w:p w14:paraId="0A000000">
            <w:pPr>
              <w:spacing w:after="0"/>
              <w:ind/>
            </w:pPr>
            <w:r>
              <w:tab/>
            </w:r>
            <w:bookmarkStart w:id="2" w:name="sub_669"/>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B000000">
            <w:pPr>
              <w:spacing w:after="0"/>
              <w:ind/>
              <w:rPr>
                <w:b w:val="1"/>
              </w:rPr>
            </w:pPr>
            <w:r>
              <w:tab/>
            </w:r>
            <w:r>
              <w:rPr>
                <w:b w:val="1"/>
              </w:rPr>
              <w:t>Для участия в закупке заявка на участие в закупке должна содержать:</w:t>
            </w:r>
          </w:p>
          <w:p w14:paraId="0C000000">
            <w:pPr>
              <w:spacing w:after="0"/>
              <w:ind/>
              <w:jc w:val="left"/>
              <w:rPr>
                <w:b w:val="1"/>
              </w:rPr>
            </w:pPr>
            <w:r>
              <w:tab/>
            </w:r>
            <w:r>
              <w:rPr>
                <w:b w:val="1"/>
              </w:rPr>
              <w:t>1)  информацию и документы об участнике закупки:</w:t>
            </w:r>
          </w:p>
          <w:p w14:paraId="0D000000">
            <w:pPr>
              <w:spacing w:after="0"/>
              <w:ind/>
              <w:rPr>
                <w:rStyle w:val="Style_3_ch"/>
                <w:color w:val="22272F"/>
                <w:shd w:fill="ABE0FF" w:val="clear"/>
              </w:rPr>
            </w:pPr>
            <w:r>
              <w:tab/>
            </w:r>
            <w:r>
              <w:t>а)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E000000">
            <w:r>
              <w:tab/>
            </w:r>
            <w:r>
              <w:t>б)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0F000000">
            <w:r>
              <w:tab/>
            </w:r>
            <w:r>
              <w:t xml:space="preserve">в) декларация о соответствии участника закупки требованиям, установленным пунктами 3-5, 7-11 части 1 статьи 31 Федерального закона от 05.04.2013 № 44-ФЗ </w:t>
            </w:r>
            <w:r>
              <w:rPr>
                <w:color w:val="22272F"/>
                <w:sz w:val="23"/>
                <w:shd w:themeFill="accent3" w:themeFillTint="99" w:val="clear"/>
              </w:rPr>
              <w:t>(если информация и документы, которые подтверждают соответствие участника закупки требованиям, установленным </w:t>
            </w:r>
            <w:r>
              <w:rPr>
                <w:rStyle w:val="Style_4_ch"/>
                <w:color w:val="3272C0"/>
                <w:sz w:val="23"/>
                <w:u w:val="none"/>
                <w:shd w:themeFill="accent3" w:themeFillTint="99" w:val="clear"/>
              </w:rPr>
              <w:fldChar w:fldCharType="begin"/>
            </w:r>
            <w:r>
              <w:rPr>
                <w:rStyle w:val="Style_4_ch"/>
                <w:color w:val="3272C0"/>
                <w:sz w:val="23"/>
                <w:u w:val="none"/>
                <w:shd w:themeFill="accent3" w:themeFillTint="99" w:val="clear"/>
              </w:rPr>
              <w:instrText>HYPERLINK "https://ivo.garant.ru/#/document/70353464/entry/3111"</w:instrText>
            </w:r>
            <w:r>
              <w:rPr>
                <w:rStyle w:val="Style_4_ch"/>
                <w:color w:val="3272C0"/>
                <w:sz w:val="23"/>
                <w:u w:val="none"/>
                <w:shd w:themeFill="accent3" w:themeFillTint="99" w:val="clear"/>
              </w:rPr>
              <w:fldChar w:fldCharType="separate"/>
            </w:r>
            <w:r>
              <w:rPr>
                <w:rStyle w:val="Style_4_ch"/>
                <w:color w:val="3272C0"/>
                <w:sz w:val="23"/>
                <w:u w:val="none"/>
                <w:shd w:themeFill="accent3" w:themeFillTint="99" w:val="clear"/>
              </w:rPr>
              <w:t>п. 1 ч. 1 ст.</w:t>
            </w:r>
            <w:r>
              <w:rPr>
                <w:rStyle w:val="Style_4_ch"/>
                <w:color w:val="3272C0"/>
                <w:sz w:val="23"/>
                <w:u w:val="none"/>
                <w:shd w:themeFill="accent3" w:themeFillTint="99" w:val="clear"/>
              </w:rPr>
              <w:fldChar w:fldCharType="end"/>
            </w:r>
            <w:r>
              <w:rPr>
                <w:color w:val="3272C0"/>
                <w:sz w:val="23"/>
                <w:shd w:themeFill="accent3" w:themeFillTint="99" w:val="clear"/>
              </w:rPr>
              <w:t xml:space="preserve"> </w:t>
            </w:r>
            <w:r>
              <w:rPr>
                <w:rStyle w:val="Style_4_ch"/>
                <w:color w:val="3272C0"/>
                <w:sz w:val="23"/>
                <w:u w:val="none"/>
                <w:shd w:themeFill="accent3" w:themeFillTint="99" w:val="clear"/>
              </w:rPr>
              <w:fldChar w:fldCharType="begin"/>
            </w:r>
            <w:r>
              <w:rPr>
                <w:rStyle w:val="Style_4_ch"/>
                <w:color w:val="3272C0"/>
                <w:sz w:val="23"/>
                <w:u w:val="none"/>
                <w:shd w:themeFill="accent3" w:themeFillTint="99" w:val="clear"/>
              </w:rPr>
              <w:instrText>HYPERLINK "https://ivo.garant.ru/#/document/70353464/entry/3111"</w:instrText>
            </w:r>
            <w:r>
              <w:rPr>
                <w:rStyle w:val="Style_4_ch"/>
                <w:color w:val="3272C0"/>
                <w:sz w:val="23"/>
                <w:u w:val="none"/>
                <w:shd w:themeFill="accent3" w:themeFillTint="99" w:val="clear"/>
              </w:rPr>
              <w:fldChar w:fldCharType="separate"/>
            </w:r>
            <w:r>
              <w:rPr>
                <w:rStyle w:val="Style_4_ch"/>
                <w:color w:val="3272C0"/>
                <w:sz w:val="23"/>
                <w:u w:val="none"/>
                <w:shd w:themeFill="accent3" w:themeFillTint="99" w:val="clear"/>
              </w:rPr>
              <w:t>31</w:t>
            </w:r>
            <w:r>
              <w:rPr>
                <w:rStyle w:val="Style_4_ch"/>
                <w:color w:val="3272C0"/>
                <w:sz w:val="23"/>
                <w:u w:val="none"/>
                <w:shd w:themeFill="accent3" w:themeFillTint="99" w:val="clear"/>
              </w:rPr>
              <w:fldChar w:fldCharType="end"/>
            </w:r>
            <w:r>
              <w:rPr>
                <w:color w:val="22272F"/>
                <w:sz w:val="23"/>
                <w:shd w:themeFill="accent3" w:themeFillTint="99" w:val="clear"/>
              </w:rPr>
              <w:t xml:space="preserve">  Федерального закона от 05.04.2013 № 44-ФЗ, содержатся в открытых и общедоступных государственных реестрах, размещенных в информационно - 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п.1 ч.1 ст.31 Федерального закона </w:t>
            </w:r>
            <w:r>
              <w:rPr>
                <w:shd w:themeFill="accent3" w:themeFillTint="99" w:val="clear"/>
              </w:rPr>
              <w:t>от 05.04.2013 № 44-ФЗ</w:t>
            </w:r>
            <w:r>
              <w:rPr>
                <w:color w:val="22272F"/>
                <w:sz w:val="23"/>
                <w:shd w:themeFill="accent3" w:themeFillTint="99" w:val="clear"/>
              </w:rPr>
              <w:t xml:space="preserve"> с указанием адреса сайта или страницы сайта в информационно - телекоммуникационной сети "Интернет", на которых размещены такие информация и документы)</w:t>
            </w:r>
            <w:r>
              <w:rPr>
                <w:shd w:themeFill="accent3" w:themeFillTint="99" w:val="clear"/>
              </w:rPr>
              <w:t>;</w:t>
            </w:r>
          </w:p>
          <w:p w14:paraId="10000000">
            <w:pPr>
              <w:spacing w:after="0"/>
              <w:ind/>
              <w:rPr>
                <w:shd w:themeFill="background1" w:val="clear"/>
              </w:rPr>
            </w:pPr>
            <w:r>
              <w:rPr>
                <w:color w:val="22272F"/>
                <w:shd w:themeFill="background1" w:val="clear"/>
              </w:rPr>
              <w:t xml:space="preserve">г) </w:t>
            </w:r>
            <w:r>
              <w:rPr>
                <w:color w:val="22272F"/>
                <w:shd w:themeFill="accent3" w:themeFillTint="99" w:val="clear"/>
              </w:rPr>
              <w:t>информация и</w:t>
            </w:r>
            <w:r>
              <w:rPr>
                <w:color w:val="22272F"/>
                <w:shd w:themeFill="background1" w:val="clear"/>
              </w:rPr>
              <w:t xml:space="preserve"> </w:t>
            </w:r>
            <w:r>
              <w:rPr>
                <w:shd w:themeFill="background1" w:val="clear"/>
              </w:rPr>
              <w:t xml:space="preserve">документы, </w:t>
            </w:r>
            <w:r>
              <w:rPr>
                <w:shd w:themeFill="accent3" w:themeFillTint="99" w:val="clear"/>
              </w:rPr>
              <w:t>которые подтверждают</w:t>
            </w:r>
            <w:r>
              <w:rPr>
                <w:shd w:themeFill="background1" w:val="clear"/>
              </w:rPr>
              <w:t xml:space="preserve"> соответствие участника закупки требованиям, установленным п. </w:t>
            </w:r>
            <w:r>
              <w:rPr>
                <w:highlight w:val="yellow"/>
              </w:rPr>
              <w:t>1 ч. 1 ст. 31</w:t>
            </w:r>
            <w:r>
              <w:rPr>
                <w:shd w:themeFill="background1" w:val="clear"/>
              </w:rPr>
              <w:t xml:space="preserve"> Федерального закона от 05.04.2013 № 44-ФЗ (</w:t>
            </w:r>
            <w:r>
              <w:rPr>
                <w:shd w:themeFill="accent3" w:themeFillTint="99" w:val="clear"/>
              </w:rPr>
              <w:t xml:space="preserve">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 - телекоммуникационной сети "Интернет", и в такую заявку включена предусмотренная </w:t>
            </w:r>
            <w:r>
              <w:rPr>
                <w:shd w:themeFill="accent3" w:themeFillTint="99" w:val="clear"/>
              </w:rPr>
              <w:fldChar w:fldCharType="begin"/>
            </w:r>
            <w:r>
              <w:rPr>
                <w:shd w:themeFill="accent3" w:themeFillTint="99" w:val="clear"/>
              </w:rPr>
              <w:instrText>HYPERLINK "https://ivo.garant.ru/#/document/70353464/entry/431114"</w:instrText>
            </w:r>
            <w:r>
              <w:rPr>
                <w:shd w:themeFill="accent3" w:themeFillTint="99" w:val="clear"/>
              </w:rPr>
              <w:fldChar w:fldCharType="separate"/>
            </w:r>
            <w:r>
              <w:rPr>
                <w:shd w:themeFill="accent3" w:themeFillTint="99" w:val="clear"/>
              </w:rPr>
              <w:t>подпунктом "о"</w:t>
            </w:r>
            <w:r>
              <w:rPr>
                <w:shd w:themeFill="accent3" w:themeFillTint="99" w:val="clear"/>
              </w:rPr>
              <w:fldChar w:fldCharType="end"/>
            </w:r>
            <w:r>
              <w:rPr>
                <w:shd w:themeFill="accent3" w:themeFillTint="99" w:val="clear"/>
              </w:rPr>
              <w:t>  п.1 ч.1 ст.43 Федерального закона от 05.04.2013 № 44-ФЗ декларация о соответствии участника закупки требованиям, установленным п.1 ч.1 ст. 31 Федерального закона)</w:t>
            </w:r>
            <w:r>
              <w:rPr>
                <w:b w:val="1"/>
                <w:color w:val="FF0000"/>
                <w:vertAlign w:val="superscript"/>
              </w:rPr>
              <w:t>1</w:t>
            </w:r>
            <w:r>
              <w:rPr>
                <w:shd w:themeFill="background1" w:val="clear"/>
              </w:rPr>
              <w:t xml:space="preserve">: </w:t>
            </w:r>
          </w:p>
          <w:p w14:paraId="11000000">
            <w:pPr>
              <w:spacing w:after="0"/>
              <w:ind/>
              <w:rPr>
                <w:i w:val="1"/>
                <w:shd w:fill="FFD821" w:val="clear"/>
              </w:rPr>
            </w:pPr>
            <w:r>
              <w:rPr>
                <w:i w:val="1"/>
                <w:shd w:fill="FFD821" w:val="clear"/>
              </w:rPr>
              <w:t xml:space="preserve">информация и/или документ подтверждающий </w:t>
            </w:r>
          </w:p>
          <w:p w14:paraId="12000000">
            <w:pPr>
              <w:spacing w:after="0"/>
              <w:ind/>
              <w:rPr>
                <w:i w:val="1"/>
                <w:color w:val="C00000"/>
                <w:shd w:fill="FFD821" w:val="clear"/>
              </w:rPr>
            </w:pPr>
            <w:bookmarkStart w:id="3" w:name="_GoBack"/>
            <w:bookmarkEnd w:id="3"/>
            <w:r>
              <w:rPr>
                <w:i w:val="1"/>
                <w:color w:val="C00000"/>
                <w:shd w:fill="FFD821" w:val="clear"/>
              </w:rPr>
              <w:t>- свидетельство о государственной регистрации программного обеспечения;</w:t>
            </w:r>
          </w:p>
          <w:p w14:paraId="13000000">
            <w:pPr>
              <w:spacing w:after="0"/>
              <w:ind/>
              <w:rPr>
                <w:i w:val="1"/>
                <w:color w:val="C00000"/>
                <w:shd w:fill="FFD821" w:val="clear"/>
              </w:rPr>
            </w:pPr>
            <w:r>
              <w:rPr>
                <w:i w:val="1"/>
                <w:color w:val="C00000"/>
                <w:shd w:fill="FFD821" w:val="clear"/>
              </w:rPr>
              <w:t xml:space="preserve"> - лицензионный договор (лицензия, лицензионное соглашение, партнёрское соглашение); </w:t>
            </w:r>
          </w:p>
          <w:p w14:paraId="14000000">
            <w:pPr>
              <w:spacing w:after="0"/>
              <w:ind/>
              <w:rPr>
                <w:i w:val="1"/>
                <w:color w:val="C00000"/>
                <w:shd w:fill="FFD821" w:val="clear"/>
              </w:rPr>
            </w:pPr>
            <w:r>
              <w:rPr>
                <w:i w:val="1"/>
                <w:color w:val="C00000"/>
                <w:shd w:fill="FFD821" w:val="clear"/>
              </w:rPr>
              <w:t xml:space="preserve">- </w:t>
            </w:r>
            <w:r>
              <w:rPr>
                <w:i w:val="1"/>
                <w:color w:val="C00000"/>
                <w:shd w:fill="FFD821" w:val="clear"/>
              </w:rPr>
              <w:t>сублицензионный</w:t>
            </w:r>
            <w:r>
              <w:rPr>
                <w:i w:val="1"/>
                <w:color w:val="C00000"/>
                <w:shd w:fill="FFD821" w:val="clear"/>
              </w:rPr>
              <w:t xml:space="preserve"> договор</w:t>
            </w:r>
            <w:r>
              <w:rPr>
                <w:i w:val="1"/>
                <w:shd w:fill="FFD821" w:val="clear"/>
              </w:rPr>
              <w:t>;</w:t>
            </w:r>
          </w:p>
          <w:p w14:paraId="15000000">
            <w:r>
              <w:rPr>
                <w:shd w:themeFill="background1" w:val="clear"/>
              </w:rPr>
              <w:tab/>
            </w:r>
            <w:r>
              <w:rPr>
                <w:shd w:themeFill="background1" w:val="clear"/>
              </w:rPr>
              <w:t xml:space="preserve">д) </w:t>
            </w:r>
            <w:r>
              <w:rPr>
                <w:shd w:themeFill="accent3" w:themeFillTint="99" w:val="clear"/>
              </w:rPr>
              <w:t>информация и</w:t>
            </w:r>
            <w:r>
              <w:t xml:space="preserve"> документы, </w:t>
            </w:r>
            <w:r>
              <w:rPr>
                <w:shd w:themeFill="accent3" w:themeFillTint="99" w:val="clear"/>
              </w:rPr>
              <w:t>которые подтверждают</w:t>
            </w:r>
            <w:r>
              <w:t xml:space="preserve"> </w:t>
            </w:r>
            <w:r>
              <w:rPr>
                <w:shd w:themeFill="background1" w:val="clear"/>
              </w:rPr>
              <w:t xml:space="preserve">соответствие участников закупки  дополнительным требованиям, установленным  в соответствии с </w:t>
            </w:r>
            <w:r>
              <w:rPr>
                <w:highlight w:val="yellow"/>
              </w:rPr>
              <w:t>ч. 2 ст. 31</w:t>
            </w:r>
            <w:r>
              <w:rPr>
                <w:shd w:themeFill="background1" w:val="clear"/>
              </w:rPr>
              <w:t xml:space="preserve"> Федерального закона от 05.04.2013г. №44-ФЗ  и с позицией </w:t>
            </w:r>
            <w:r>
              <w:rPr>
                <w:highlight w:val="lightGray"/>
              </w:rPr>
              <w:t>___</w:t>
            </w:r>
            <w:r>
              <w:rPr>
                <w:shd w:themeFill="background1" w:val="clear"/>
              </w:rPr>
              <w:t xml:space="preserve"> приложения к постановлению Правительства РФ от 29 декабря 2021  №2571 </w:t>
            </w:r>
            <w:r>
              <w:rPr>
                <w:sz w:val="23"/>
                <w:shd w:themeFill="background1" w:val="clear"/>
              </w:rPr>
              <w:t>(при</w:t>
            </w:r>
            <w:r>
              <w:rPr>
                <w:sz w:val="23"/>
                <w:highlight w:val="white"/>
              </w:rPr>
              <w:t xml:space="preserve"> указании таких требований в извещении о закупке)</w:t>
            </w:r>
            <w:r>
              <w:rPr>
                <w:b w:val="1"/>
                <w:color w:val="FF0000"/>
                <w:vertAlign w:val="superscript"/>
              </w:rPr>
              <w:t>2</w:t>
            </w:r>
            <w:r>
              <w:rPr>
                <w:highlight w:val="white"/>
              </w:rPr>
              <w:t>:</w:t>
            </w:r>
            <w:r>
              <w:rPr>
                <w:i w:val="1"/>
                <w:shd w:themeFill="background1" w:val="clear"/>
              </w:rPr>
              <w:t xml:space="preserve"> </w:t>
            </w:r>
            <w:r>
              <w:rPr>
                <w:i w:val="1"/>
                <w:highlight w:val="lightGray"/>
              </w:rPr>
              <w:t> </w:t>
            </w:r>
            <w:r>
              <w:rPr>
                <w:i w:val="1"/>
                <w:highlight w:val="lightGray"/>
              </w:rPr>
              <w:t> </w:t>
            </w:r>
            <w:r>
              <w:rPr>
                <w:i w:val="1"/>
                <w:highlight w:val="lightGray"/>
              </w:rPr>
              <w:t> </w:t>
            </w:r>
            <w:r>
              <w:rPr>
                <w:i w:val="1"/>
                <w:highlight w:val="lightGray"/>
              </w:rPr>
              <w:t> </w:t>
            </w:r>
            <w:r>
              <w:rPr>
                <w:i w:val="1"/>
                <w:highlight w:val="lightGray"/>
              </w:rPr>
              <w:t> </w:t>
            </w:r>
            <w:r>
              <w:rPr>
                <w:i w:val="1"/>
                <w:shd w:themeFill="background1" w:val="clear"/>
              </w:rPr>
              <w:t xml:space="preserve"> </w:t>
            </w:r>
            <w:r>
              <w:rPr>
                <w:i w:val="1"/>
                <w:highlight w:val="lightGray"/>
              </w:rPr>
              <w:t xml:space="preserve"> требование не установлено</w:t>
            </w:r>
            <w:r>
              <w:t>.</w:t>
            </w:r>
          </w:p>
          <w:p w14:paraId="16000000">
            <w:r>
              <w:rPr>
                <w:i w:val="1"/>
                <w:shd w:themeFill="background1" w:val="clear"/>
              </w:rPr>
              <w:tab/>
            </w:r>
            <w:r>
              <w:rPr>
                <w:shd w:themeFill="background1" w:val="clear"/>
              </w:rPr>
              <w:t>е)</w:t>
            </w:r>
            <w:r>
              <w:t xml:space="preserve"> </w:t>
            </w:r>
            <w:r>
              <w:rPr>
                <w:shd w:themeFill="accent3" w:themeFillTint="99" w:val="clear"/>
              </w:rPr>
              <w:t>информация и</w:t>
            </w:r>
            <w:r>
              <w:t xml:space="preserve"> документы, </w:t>
            </w:r>
            <w:r>
              <w:rPr>
                <w:shd w:themeFill="accent3" w:themeFillTint="99" w:val="clear"/>
              </w:rPr>
              <w:t>которые подтверждают</w:t>
            </w:r>
            <w:r>
              <w:t xml:space="preserve"> соответствие участников закупки  дополнительным требованиям, установленным  в соответствии </w:t>
            </w:r>
            <w:r>
              <w:rPr>
                <w:highlight w:val="yellow"/>
              </w:rPr>
              <w:t>с ч. 2.1 ст. 31</w:t>
            </w:r>
            <w:r>
              <w:t xml:space="preserve"> Федерального закона от 05.04.2013г. №44-ФЗ   и п. 4 постановления Правительства РФ от 29 декабря 2021 №2571</w:t>
            </w:r>
            <w:r>
              <w:rPr>
                <w:color w:val="22272F"/>
                <w:sz w:val="23"/>
                <w:highlight w:val="white"/>
              </w:rPr>
              <w:t xml:space="preserve"> (</w:t>
            </w:r>
            <w:r>
              <w:rPr>
                <w:sz w:val="23"/>
                <w:highlight w:val="white"/>
              </w:rPr>
              <w:t>при указании таких требований в извещении о закупке</w:t>
            </w:r>
            <w:r>
              <w:t>)</w:t>
            </w:r>
            <w:r>
              <w:rPr>
                <w:b w:val="1"/>
                <w:color w:val="FF0000"/>
                <w:vertAlign w:val="superscript"/>
              </w:rPr>
              <w:t>3</w:t>
            </w:r>
            <w:r>
              <w:t>:</w:t>
            </w:r>
            <w:r>
              <w:rPr>
                <w:color w:val="FF0000"/>
                <w:shd w:themeFill="accent3" w:themeFillTint="66" w:val="clear"/>
              </w:rPr>
              <w:t xml:space="preserve"> </w:t>
            </w:r>
            <w:r>
              <w:rPr>
                <w:i w:val="1"/>
                <w:color w:val="C00000"/>
                <w:highlight w:val="lightGray"/>
              </w:rPr>
              <w:t> </w:t>
            </w:r>
            <w:r>
              <w:rPr>
                <w:i w:val="1"/>
                <w:color w:val="C00000"/>
                <w:highlight w:val="lightGray"/>
              </w:rPr>
              <w:t> </w:t>
            </w:r>
            <w:r>
              <w:rPr>
                <w:i w:val="1"/>
                <w:color w:val="C00000"/>
                <w:highlight w:val="lightGray"/>
              </w:rPr>
              <w:t> </w:t>
            </w:r>
            <w:r>
              <w:rPr>
                <w:i w:val="1"/>
                <w:color w:val="C00000"/>
                <w:highlight w:val="lightGray"/>
              </w:rPr>
              <w:t> </w:t>
            </w:r>
            <w:r>
              <w:rPr>
                <w:i w:val="1"/>
                <w:color w:val="C00000"/>
                <w:highlight w:val="lightGray"/>
              </w:rPr>
              <w:t> </w:t>
            </w:r>
            <w:r>
              <w:rPr>
                <w:i w:val="1"/>
                <w:color w:val="C00000"/>
                <w:shd w:themeFill="background1" w:val="clear"/>
              </w:rPr>
              <w:t xml:space="preserve"> </w:t>
            </w:r>
            <w:r>
              <w:rPr>
                <w:i w:val="1"/>
                <w:highlight w:val="lightGray"/>
              </w:rPr>
              <w:t xml:space="preserve"> требование не установлено</w:t>
            </w:r>
            <w:r>
              <w:t>.</w:t>
            </w:r>
          </w:p>
          <w:p w14:paraId="17000000">
            <w:pPr>
              <w:rPr>
                <w:b w:val="1"/>
              </w:rPr>
            </w:pPr>
            <w:r>
              <w:rPr>
                <w:highlight w:val="white"/>
              </w:rPr>
              <w:tab/>
            </w:r>
            <w:r>
              <w:rPr>
                <w:b w:val="1"/>
              </w:rPr>
              <w:t>2) предложение участника закупки в отношении объекта закупки:</w:t>
            </w:r>
          </w:p>
          <w:p w14:paraId="18000000">
            <w:r>
              <w:tab/>
            </w:r>
            <w:r>
              <w:t>а)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закупке:</w:t>
            </w:r>
            <w:r>
              <w:rPr>
                <w:i w:val="1"/>
                <w:highlight w:val="lightGray"/>
              </w:rPr>
              <w:t xml:space="preserve"> требование не установлено</w:t>
            </w:r>
            <w:r>
              <w:rPr>
                <w:i w:val="1"/>
                <w:shd w:themeFill="accent3" w:themeFillTint="99" w:val="clear"/>
              </w:rPr>
              <w:t>.</w:t>
            </w:r>
            <w:r>
              <w:t xml:space="preserve">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9000000">
            <w:r>
              <w:tab/>
            </w:r>
            <w:r>
              <w:t xml:space="preserve">б) иные информация и документы, в том числе эскиз, рисунок, чертеж, фотография, иное изображение предлагаемого участником закупки товара </w:t>
            </w:r>
            <w:r>
              <w:rPr>
                <w:shd w:themeFill="accent1" w:themeFillTint="66" w:val="clear"/>
              </w:rPr>
              <w:t>(предоставление данных сведений и документов необязательно)</w:t>
            </w:r>
            <w:r>
              <w:t>. При этом отсутствие таких информации и документов не является основанием для отклонения заявки на участие в закупке;</w:t>
            </w:r>
          </w:p>
          <w:p w14:paraId="1A000000">
            <w:pPr>
              <w:spacing w:after="0"/>
              <w:ind/>
              <w:rPr>
                <w:color w:val="22272F"/>
                <w:highlight w:val="white"/>
              </w:rPr>
            </w:pPr>
            <w:r>
              <w:tab/>
            </w:r>
            <w:r>
              <w:t xml:space="preserve">в)  в случае </w:t>
            </w:r>
            <w:r>
              <w:rPr>
                <w:color w:val="22272F"/>
                <w:highlight w:val="white"/>
              </w:rPr>
              <w:t xml:space="preserve">осуществления закупки товара, поставляемого заказчику при выполнении закупаемых работ, оказании закупаемых услуг с </w:t>
            </w:r>
            <w:r>
              <w:rPr>
                <w:color w:val="22272F"/>
                <w:shd w:themeFill="accent1" w:themeFillTint="66" w:val="clear"/>
              </w:rPr>
              <w:t>учетом положений </w:t>
            </w:r>
            <w:r>
              <w:rPr>
                <w:rStyle w:val="Style_4_ch"/>
                <w:color w:val="3272C0"/>
                <w:shd w:themeFill="accent1" w:themeFillTint="66" w:val="clear"/>
              </w:rPr>
              <w:fldChar w:fldCharType="begin"/>
            </w:r>
            <w:r>
              <w:rPr>
                <w:rStyle w:val="Style_4_ch"/>
                <w:color w:val="3272C0"/>
                <w:shd w:themeFill="accent1" w:themeFillTint="66" w:val="clear"/>
              </w:rPr>
              <w:instrText>HYPERLINK "http://ivo.garant.ru/#/document/70353464/entry/432"</w:instrText>
            </w:r>
            <w:r>
              <w:rPr>
                <w:rStyle w:val="Style_4_ch"/>
                <w:color w:val="3272C0"/>
                <w:shd w:themeFill="accent1" w:themeFillTint="66" w:val="clear"/>
              </w:rPr>
              <w:fldChar w:fldCharType="separate"/>
            </w:r>
            <w:r>
              <w:rPr>
                <w:rStyle w:val="Style_4_ch"/>
                <w:color w:val="3272C0"/>
                <w:shd w:themeFill="accent1" w:themeFillTint="66" w:val="clear"/>
              </w:rPr>
              <w:t>ч.2</w:t>
            </w:r>
            <w:r>
              <w:rPr>
                <w:rStyle w:val="Style_4_ch"/>
                <w:color w:val="3272C0"/>
                <w:shd w:themeFill="accent1" w:themeFillTint="66" w:val="clear"/>
              </w:rPr>
              <w:fldChar w:fldCharType="end"/>
            </w:r>
            <w:r>
              <w:rPr>
                <w:color w:val="22272F"/>
                <w:shd w:themeFill="accent1" w:themeFillTint="66" w:val="clear"/>
              </w:rPr>
              <w:t xml:space="preserve">  ст. 43 </w:t>
            </w:r>
            <w:r>
              <w:rPr>
                <w:shd w:themeFill="accent1" w:themeFillTint="66" w:val="clear"/>
              </w:rPr>
              <w:t>Федерального</w:t>
            </w:r>
            <w:r>
              <w:t xml:space="preserve"> закона от 05.04.2013г. №44-ФЗ</w:t>
            </w:r>
            <w:r>
              <w:rPr>
                <w:color w:val="22272F"/>
                <w:highlight w:val="white"/>
              </w:rPr>
              <w:t xml:space="preserve"> заявка на участие в </w:t>
            </w:r>
            <w:r>
              <w:rPr>
                <w:color w:val="22272F"/>
                <w:shd w:themeFill="accent1" w:themeFillTint="66" w:val="clear"/>
              </w:rPr>
              <w:t>закупке также должна содержать:</w:t>
            </w:r>
          </w:p>
          <w:p w14:paraId="1B000000">
            <w:r>
              <w:rPr>
                <w:color w:val="22272F"/>
                <w:highlight w:val="white"/>
              </w:rPr>
              <w:tab/>
            </w:r>
            <w:r>
              <w:rPr>
                <w:color w:val="22272F"/>
                <w:highlight w:val="white"/>
              </w:rPr>
              <w:t xml:space="preserve">- </w:t>
            </w:r>
            <w:r>
              <w:t>характеристики предлагаемого участником закупки товара (</w:t>
            </w:r>
            <w:r>
              <w:rPr>
                <w:color w:val="22272F"/>
                <w:highlight w:val="white"/>
              </w:rPr>
              <w:t>с учетом положений </w:t>
            </w:r>
            <w:r>
              <w:rPr>
                <w:rStyle w:val="Style_4_ch"/>
                <w:color w:val="3272C0"/>
                <w:highlight w:val="white"/>
              </w:rPr>
              <w:fldChar w:fldCharType="begin"/>
            </w:r>
            <w:r>
              <w:rPr>
                <w:rStyle w:val="Style_4_ch"/>
                <w:color w:val="3272C0"/>
                <w:highlight w:val="white"/>
              </w:rPr>
              <w:instrText>HYPERLINK "http://ivo.garant.ru/#/document/70353464/entry/432"</w:instrText>
            </w:r>
            <w:r>
              <w:rPr>
                <w:rStyle w:val="Style_4_ch"/>
                <w:color w:val="3272C0"/>
                <w:highlight w:val="white"/>
              </w:rPr>
              <w:fldChar w:fldCharType="separate"/>
            </w:r>
            <w:r>
              <w:rPr>
                <w:rStyle w:val="Style_4_ch"/>
                <w:color w:val="3272C0"/>
                <w:highlight w:val="white"/>
              </w:rPr>
              <w:t>ч.2</w:t>
            </w:r>
            <w:r>
              <w:rPr>
                <w:rStyle w:val="Style_4_ch"/>
                <w:color w:val="3272C0"/>
                <w:highlight w:val="white"/>
              </w:rPr>
              <w:fldChar w:fldCharType="end"/>
            </w:r>
            <w:r>
              <w:rPr>
                <w:color w:val="22272F"/>
                <w:highlight w:val="white"/>
              </w:rPr>
              <w:t xml:space="preserve">  ст. 43 </w:t>
            </w:r>
            <w:r>
              <w:t>Федерального закона от 05.04.2013г. №44-ФЗ), соответствующие показателям, установленным в описании объекта закупки в соответствии с частью 2 статьи 33 Федерального закона от 05.04.2013 № 44-ФЗ, товарный знак (при наличии у товара товарного знака)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в соответствии с п.1 ч.1 ст.43 Федерального закона от 05.04.2013г. №44-ФЗ или в случае включения заказчиком в соответствии с пунктом 8 части 1 статьи 33 Федерального закона от 05.04.2013г.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в соответствии с пунктами 1 и 2  части 1 статьи 43 Федерального закона от 05.04.2013г. №44-ФЗ);</w:t>
            </w:r>
          </w:p>
          <w:p w14:paraId="1C000000">
            <w:pPr>
              <w:spacing w:after="0"/>
              <w:ind/>
            </w:pPr>
            <w:r>
              <w:tab/>
            </w:r>
            <w:r>
              <w:t>-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 2 ст. 43 Федерального закона от 05.04.2013 № 44-ФЗ;</w:t>
            </w:r>
          </w:p>
          <w:p w14:paraId="1D000000">
            <w:pPr>
              <w:rPr>
                <w:b w:val="1"/>
              </w:rPr>
            </w:pPr>
            <w:r>
              <w:tab/>
            </w:r>
            <w:r>
              <w:rPr>
                <w:b w:val="1"/>
              </w:rPr>
              <w:t xml:space="preserve">3) информация и документы, определенные в соответствии с п. 2 ч. 2 ст. 14 Федерального закона </w:t>
            </w:r>
            <w:r>
              <w:t>от 05.04.2013 №44-ФЗ</w:t>
            </w:r>
            <w:r>
              <w:rPr>
                <w:b w:val="1"/>
              </w:rPr>
              <w:t xml:space="preserve">  </w:t>
            </w:r>
            <w:r>
              <w:t>(в случае, если в извещении об осуществлении закупки установлены предусмотренные указанной статьей запрет, ограничение, преимущество)</w:t>
            </w:r>
            <w:r>
              <w:rPr>
                <w:color w:val="FF0000"/>
                <w:vertAlign w:val="superscript"/>
              </w:rPr>
              <w:t>4</w:t>
            </w:r>
            <w:r>
              <w:t>:</w:t>
            </w:r>
          </w:p>
          <w:p w14:paraId="1E000000">
            <w:pPr>
              <w:pStyle w:val="Style_5"/>
              <w:ind w:firstLine="709"/>
              <w:jc w:val="both"/>
              <w:rPr>
                <w:sz w:val="24"/>
              </w:rPr>
            </w:pPr>
            <w:r>
              <w:rPr>
                <w:sz w:val="24"/>
              </w:rPr>
              <w:t xml:space="preserve">для подтверждения происхождения программного обеспечения, указанного в </w:t>
            </w:r>
            <w:r>
              <w:rPr>
                <w:i w:val="1"/>
                <w:sz w:val="24"/>
              </w:rPr>
              <w:t>позиции 146 приложения № 1</w:t>
            </w:r>
            <w:r>
              <w:rPr>
                <w:sz w:val="24"/>
              </w:rPr>
              <w:t xml:space="preserve"> к постановлению Правительства РФ от 23.12.2024 № 1875 из Российской Федерации: </w:t>
            </w:r>
          </w:p>
          <w:p w14:paraId="1F000000">
            <w:pPr>
              <w:pStyle w:val="Style_5"/>
              <w:ind w:firstLine="709"/>
              <w:jc w:val="both"/>
              <w:rPr>
                <w:sz w:val="24"/>
              </w:rPr>
            </w:pPr>
            <w:r>
              <w:rPr>
                <w:sz w:val="24"/>
              </w:rPr>
              <w:t>- информацией и документами, подтверждающими страну происхождения программного обеспечения для целей постановления Правительства РФ от 23.12.2024 № 1875 являются:</w:t>
            </w:r>
            <w:r>
              <w:tab/>
            </w:r>
            <w:r>
              <w:tab/>
            </w:r>
          </w:p>
          <w:p w14:paraId="20000000">
            <w:pPr>
              <w:pStyle w:val="Style_5"/>
              <w:ind w:firstLine="709"/>
              <w:jc w:val="both"/>
              <w:rPr>
                <w:sz w:val="24"/>
              </w:rPr>
            </w:pPr>
            <w:r>
              <w:tab/>
            </w:r>
            <w:r>
              <w:rPr>
                <w:sz w:val="24"/>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21000000">
            <w:pPr>
              <w:pStyle w:val="Style_5"/>
              <w:widowControl w:val="1"/>
              <w:spacing w:line="288" w:lineRule="atLeast"/>
              <w:ind w:firstLine="540"/>
              <w:jc w:val="both"/>
              <w:rPr>
                <w:sz w:val="24"/>
              </w:rPr>
            </w:pPr>
            <w:r>
              <w:tab/>
            </w:r>
            <w:r>
              <w:tab/>
            </w:r>
            <w:r>
              <w:rPr>
                <w:sz w:val="24"/>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w:t>
            </w:r>
            <w:r>
              <w:rPr>
                <w:sz w:val="24"/>
              </w:rPr>
              <w:t xml:space="preserve">требованиям к доверенному программному обеспечению </w:t>
            </w:r>
            <w:r>
              <w:rPr>
                <w:sz w:val="24"/>
              </w:rPr>
              <w:t>(</w:t>
            </w:r>
            <w:r>
              <w:rPr>
                <w:i w:val="1"/>
                <w:sz w:val="24"/>
              </w:rPr>
              <w:t xml:space="preserve">для программного обеспечения, в отношении которого установлены </w:t>
            </w:r>
            <w:r>
              <w:rPr>
                <w:i w:val="1"/>
                <w:sz w:val="24"/>
              </w:rPr>
              <w:t xml:space="preserve">требования к доверенному программному обеспечению в соответствии с </w:t>
            </w:r>
            <w:r>
              <w:rPr>
                <w:i w:val="1"/>
                <w:color w:val="0000FF"/>
                <w:sz w:val="24"/>
                <w:u w:val="single"/>
              </w:rPr>
              <w:fldChar w:fldCharType="begin"/>
            </w:r>
            <w:r>
              <w:rPr>
                <w:i w:val="1"/>
                <w:color w:val="0000FF"/>
                <w:sz w:val="24"/>
                <w:u w:val="single"/>
              </w:rPr>
              <w:instrText>HYPERLINK "https://login.consultant.ru/link/?req=doc&amp;base=LAW&amp;n=512715&amp;dst=13&amp;field=134&amp;date=26.02.2026"</w:instrText>
            </w:r>
            <w:r>
              <w:rPr>
                <w:i w:val="1"/>
                <w:color w:val="0000FF"/>
                <w:sz w:val="24"/>
                <w:u w:val="single"/>
              </w:rPr>
              <w:fldChar w:fldCharType="separate"/>
            </w:r>
            <w:r>
              <w:rPr>
                <w:i w:val="1"/>
                <w:color w:val="0000FF"/>
                <w:sz w:val="24"/>
                <w:u w:val="single"/>
              </w:rPr>
              <w:t>частями 3.7</w:t>
            </w:r>
            <w:r>
              <w:rPr>
                <w:i w:val="1"/>
                <w:color w:val="0000FF"/>
                <w:sz w:val="24"/>
                <w:u w:val="single"/>
              </w:rPr>
              <w:fldChar w:fldCharType="end"/>
            </w:r>
            <w:r>
              <w:rPr>
                <w:i w:val="1"/>
                <w:sz w:val="24"/>
              </w:rPr>
              <w:t xml:space="preserve"> и </w:t>
            </w:r>
            <w:r>
              <w:rPr>
                <w:i w:val="1"/>
                <w:color w:val="0000FF"/>
                <w:sz w:val="24"/>
                <w:u w:val="single"/>
              </w:rPr>
              <w:fldChar w:fldCharType="begin"/>
            </w:r>
            <w:r>
              <w:rPr>
                <w:i w:val="1"/>
                <w:color w:val="0000FF"/>
                <w:sz w:val="24"/>
                <w:u w:val="single"/>
              </w:rPr>
              <w:instrText>HYPERLINK "https://login.consultant.ru/link/?req=doc&amp;base=LAW&amp;n=512715&amp;dst=23&amp;field=134&amp;date=26.02.2026"</w:instrText>
            </w:r>
            <w:r>
              <w:rPr>
                <w:i w:val="1"/>
                <w:color w:val="0000FF"/>
                <w:sz w:val="24"/>
                <w:u w:val="single"/>
              </w:rPr>
              <w:fldChar w:fldCharType="separate"/>
            </w:r>
            <w:r>
              <w:rPr>
                <w:i w:val="1"/>
                <w:color w:val="0000FF"/>
                <w:sz w:val="24"/>
                <w:u w:val="single"/>
              </w:rPr>
              <w:t>3.9 статьи 2</w:t>
            </w:r>
            <w:r>
              <w:rPr>
                <w:i w:val="1"/>
                <w:color w:val="0000FF"/>
                <w:sz w:val="24"/>
                <w:u w:val="single"/>
              </w:rPr>
              <w:fldChar w:fldCharType="end"/>
            </w:r>
            <w:r>
              <w:rPr>
                <w:i w:val="1"/>
                <w:sz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r>
              <w:rPr>
                <w:i w:val="1"/>
                <w:sz w:val="24"/>
              </w:rPr>
              <w:t>);</w:t>
            </w:r>
          </w:p>
          <w:p w14:paraId="22000000">
            <w:pPr>
              <w:pStyle w:val="Style_5"/>
              <w:ind w:firstLine="709"/>
              <w:jc w:val="both"/>
              <w:rPr>
                <w:sz w:val="24"/>
              </w:rPr>
            </w:pPr>
            <w:r>
              <w:tab/>
            </w:r>
            <w:r>
              <w:rPr>
                <w:sz w:val="24"/>
              </w:rPr>
              <w:t xml:space="preserve">для подтверждения происхождения программного обеспечения, указанного в </w:t>
            </w:r>
            <w:r>
              <w:rPr>
                <w:i w:val="1"/>
                <w:sz w:val="24"/>
              </w:rPr>
              <w:t>позиции 146 приложения № 1</w:t>
            </w:r>
            <w:r>
              <w:rPr>
                <w:sz w:val="24"/>
              </w:rPr>
              <w:t xml:space="preserve"> к постановлению Правительства РФ от 23.12.2024 № 1875 </w:t>
            </w:r>
            <w:r>
              <w:rPr>
                <w:sz w:val="24"/>
                <w:u w:val="single"/>
              </w:rPr>
              <w:t>из государств - членов Евразийского экономического союза, за исключением Российской Федерации</w:t>
            </w:r>
            <w:r>
              <w:rPr>
                <w:sz w:val="24"/>
              </w:rPr>
              <w:t xml:space="preserve">: </w:t>
            </w:r>
          </w:p>
          <w:p w14:paraId="23000000">
            <w:pPr>
              <w:pStyle w:val="Style_5"/>
              <w:ind w:firstLine="709"/>
              <w:jc w:val="both"/>
              <w:rPr>
                <w:sz w:val="24"/>
              </w:rPr>
            </w:pPr>
            <w:r>
              <w:rPr>
                <w:sz w:val="24"/>
              </w:rPr>
              <w:t>- информацией и документами, подтверждающими страну происхождения программного обеспечения для целей постановления Правительства РФ от 23.12.2024 № 1875  являются:</w:t>
            </w:r>
            <w:r>
              <w:tab/>
            </w:r>
            <w:r>
              <w:rPr>
                <w:sz w:val="24"/>
              </w:rPr>
              <w:t xml:space="preserve"> </w:t>
            </w:r>
          </w:p>
          <w:p w14:paraId="24000000">
            <w:pPr>
              <w:pStyle w:val="Style_5"/>
              <w:ind w:firstLine="709"/>
              <w:jc w:val="both"/>
              <w:rPr>
                <w:sz w:val="24"/>
              </w:rPr>
            </w:pPr>
            <w:r>
              <w:tab/>
            </w:r>
            <w:r>
              <w:rPr>
                <w:sz w:val="24"/>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25000000">
            <w:pPr>
              <w:rPr>
                <w:b w:val="1"/>
              </w:rPr>
            </w:pPr>
            <w:r>
              <w:tab/>
            </w:r>
            <w:r>
              <w:rPr>
                <w:sz w:val="24"/>
              </w:rP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w:t>
            </w:r>
            <w:r>
              <w:rPr>
                <w:sz w:val="24"/>
              </w:rPr>
              <w:t xml:space="preserve">требованиям к доверенному программному обеспечению </w:t>
            </w:r>
            <w:r>
              <w:rPr>
                <w:sz w:val="24"/>
              </w:rPr>
              <w:t>(</w:t>
            </w:r>
            <w:r>
              <w:rPr>
                <w:i w:val="1"/>
                <w:sz w:val="24"/>
              </w:rPr>
              <w:t xml:space="preserve">для программного обеспечения, в отношении которого установлены </w:t>
            </w:r>
            <w:r>
              <w:rPr>
                <w:i w:val="1"/>
                <w:sz w:val="24"/>
              </w:rPr>
              <w:t xml:space="preserve">требования к доверенному программному обеспечению в соответствии с </w:t>
            </w:r>
            <w:r>
              <w:rPr>
                <w:i w:val="1"/>
                <w:color w:val="0000FF"/>
                <w:sz w:val="24"/>
                <w:u w:val="single"/>
              </w:rPr>
              <w:fldChar w:fldCharType="begin"/>
            </w:r>
            <w:r>
              <w:rPr>
                <w:i w:val="1"/>
                <w:color w:val="0000FF"/>
                <w:sz w:val="24"/>
                <w:u w:val="single"/>
              </w:rPr>
              <w:instrText>HYPERLINK "https://login.consultant.ru/link/?req=doc&amp;base=LAW&amp;n=512715&amp;dst=13&amp;field=134&amp;date=26.02.2026"</w:instrText>
            </w:r>
            <w:r>
              <w:rPr>
                <w:i w:val="1"/>
                <w:color w:val="0000FF"/>
                <w:sz w:val="24"/>
                <w:u w:val="single"/>
              </w:rPr>
              <w:fldChar w:fldCharType="separate"/>
            </w:r>
            <w:r>
              <w:rPr>
                <w:i w:val="1"/>
                <w:color w:val="0000FF"/>
                <w:sz w:val="24"/>
                <w:u w:val="single"/>
              </w:rPr>
              <w:t>частями 3.7</w:t>
            </w:r>
            <w:r>
              <w:rPr>
                <w:i w:val="1"/>
                <w:color w:val="0000FF"/>
                <w:sz w:val="24"/>
                <w:u w:val="single"/>
              </w:rPr>
              <w:fldChar w:fldCharType="end"/>
            </w:r>
            <w:r>
              <w:rPr>
                <w:i w:val="1"/>
                <w:sz w:val="24"/>
              </w:rPr>
              <w:t xml:space="preserve"> и </w:t>
            </w:r>
            <w:r>
              <w:rPr>
                <w:i w:val="1"/>
                <w:color w:val="0000FF"/>
                <w:sz w:val="24"/>
                <w:u w:val="single"/>
              </w:rPr>
              <w:fldChar w:fldCharType="begin"/>
            </w:r>
            <w:r>
              <w:rPr>
                <w:i w:val="1"/>
                <w:color w:val="0000FF"/>
                <w:sz w:val="24"/>
                <w:u w:val="single"/>
              </w:rPr>
              <w:instrText>HYPERLINK "https://login.consultant.ru/link/?req=doc&amp;base=LAW&amp;n=512715&amp;dst=23&amp;field=134&amp;date=26.02.2026"</w:instrText>
            </w:r>
            <w:r>
              <w:rPr>
                <w:i w:val="1"/>
                <w:color w:val="0000FF"/>
                <w:sz w:val="24"/>
                <w:u w:val="single"/>
              </w:rPr>
              <w:fldChar w:fldCharType="separate"/>
            </w:r>
            <w:r>
              <w:rPr>
                <w:i w:val="1"/>
                <w:color w:val="0000FF"/>
                <w:sz w:val="24"/>
                <w:u w:val="single"/>
              </w:rPr>
              <w:t>3.9 статьи 2</w:t>
            </w:r>
            <w:r>
              <w:rPr>
                <w:i w:val="1"/>
                <w:color w:val="0000FF"/>
                <w:sz w:val="24"/>
                <w:u w:val="single"/>
              </w:rPr>
              <w:fldChar w:fldCharType="end"/>
            </w:r>
            <w:r>
              <w:rPr>
                <w:i w:val="1"/>
                <w:sz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r>
              <w:rPr>
                <w:i w:val="1"/>
                <w:sz w:val="24"/>
              </w:rPr>
              <w:t>)</w:t>
            </w:r>
            <w:r>
              <w:rPr>
                <w:b w:val="1"/>
              </w:rPr>
              <w:tab/>
            </w:r>
            <w: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Pr>
                <w:sz w:val="23"/>
                <w:highlight w:val="white"/>
              </w:rPr>
              <w:t>(если в извещении об осуществлении закупки установлены предусмотренные ст.  14</w:t>
            </w:r>
            <w:r>
              <w:rPr>
                <w:b w:val="1"/>
              </w:rPr>
              <w:t xml:space="preserve"> </w:t>
            </w:r>
            <w:r>
              <w:t>Федерального закона от 05.04.2013г. №44-ФЗ</w:t>
            </w:r>
            <w:r>
              <w:rPr>
                <w:sz w:val="23"/>
                <w:highlight w:val="white"/>
              </w:rPr>
              <w:t xml:space="preserve"> </w:t>
            </w:r>
            <w:r>
              <w:rPr>
                <w:sz w:val="23"/>
                <w:highlight w:val="white"/>
              </w:rPr>
              <w:t>запреты, ограничения, преимущество)</w:t>
            </w:r>
            <w:r>
              <w:t>.</w:t>
            </w:r>
            <w:bookmarkEnd w:id="2"/>
          </w:p>
          <w:p w14:paraId="26000000">
            <w:pPr>
              <w:pStyle w:val="Style_6"/>
              <w:rPr>
                <w:rFonts w:ascii="Times New Roman" w:hAnsi="Times New Roman"/>
                <w:sz w:val="24"/>
              </w:rPr>
            </w:pPr>
            <w:r>
              <w:rPr>
                <w:rFonts w:ascii="Times New Roman" w:hAnsi="Times New Roman"/>
                <w:b w:val="1"/>
                <w:sz w:val="24"/>
              </w:rPr>
              <w:t>4) Информация и документы об участнике закупки, предусмотренные </w:t>
            </w:r>
            <w:r>
              <w:rPr>
                <w:rStyle w:val="Style_4_ch"/>
                <w:rFonts w:ascii="Times New Roman" w:hAnsi="Times New Roman"/>
                <w:b w:val="1"/>
                <w:color w:val="000000"/>
                <w:sz w:val="24"/>
                <w:u w:val="none"/>
              </w:rPr>
              <w:fldChar w:fldCharType="begin"/>
            </w:r>
            <w:r>
              <w:rPr>
                <w:rStyle w:val="Style_4_ch"/>
                <w:rFonts w:ascii="Times New Roman" w:hAnsi="Times New Roman"/>
                <w:b w:val="1"/>
                <w:color w:val="000000"/>
                <w:sz w:val="24"/>
                <w:u w:val="none"/>
              </w:rPr>
              <w:instrText>HYPERLINK "http://ivo.garant.ru/#/document/70353464/entry/431101"</w:instrText>
            </w:r>
            <w:r>
              <w:rPr>
                <w:rStyle w:val="Style_4_ch"/>
                <w:rFonts w:ascii="Times New Roman" w:hAnsi="Times New Roman"/>
                <w:b w:val="1"/>
                <w:color w:val="000000"/>
                <w:sz w:val="24"/>
                <w:u w:val="none"/>
              </w:rPr>
              <w:fldChar w:fldCharType="separate"/>
            </w:r>
            <w:r>
              <w:rPr>
                <w:rStyle w:val="Style_4_ch"/>
                <w:rFonts w:ascii="Times New Roman" w:hAnsi="Times New Roman"/>
                <w:b w:val="1"/>
                <w:color w:val="000000"/>
                <w:sz w:val="24"/>
                <w:u w:val="none"/>
              </w:rPr>
              <w:t>подпунктами "а" - "л" пункта 1 части 1</w:t>
            </w:r>
            <w:r>
              <w:rPr>
                <w:rStyle w:val="Style_4_ch"/>
                <w:rFonts w:ascii="Times New Roman" w:hAnsi="Times New Roman"/>
                <w:b w:val="1"/>
                <w:color w:val="000000"/>
                <w:sz w:val="24"/>
                <w:u w:val="none"/>
              </w:rPr>
              <w:fldChar w:fldCharType="end"/>
            </w:r>
            <w:r>
              <w:rPr>
                <w:rFonts w:ascii="Times New Roman" w:hAnsi="Times New Roman"/>
                <w:b w:val="1"/>
                <w:sz w:val="24"/>
              </w:rPr>
              <w:t xml:space="preserve">  статьи 43 Федерального закона от 05.04.2013г. №44-ФЗ и которые не включаются участником закупки в заявку на участие в закупке, а </w:t>
            </w:r>
            <w:r>
              <w:rPr>
                <w:rFonts w:ascii="Times New Roman" w:hAnsi="Times New Roman"/>
                <w:sz w:val="24"/>
              </w:rPr>
              <w:t xml:space="preserve"> </w:t>
            </w:r>
            <w:r>
              <w:rPr>
                <w:rFonts w:ascii="Times New Roman" w:hAnsi="Times New Roman"/>
                <w:b w:val="1"/>
                <w:sz w:val="24"/>
              </w:rPr>
              <w:t>направляются (</w:t>
            </w:r>
            <w:r>
              <w:rPr>
                <w:rFonts w:ascii="Times New Roman" w:hAnsi="Times New Roman"/>
                <w:sz w:val="24"/>
              </w:rPr>
              <w:t>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в соответствии с п.2 ч. 6 ст. 43</w:t>
            </w:r>
            <w:r>
              <w:rPr>
                <w:rFonts w:ascii="Times New Roman" w:hAnsi="Times New Roman"/>
                <w:b w:val="1"/>
                <w:sz w:val="24"/>
              </w:rPr>
              <w:t xml:space="preserve"> </w:t>
            </w:r>
            <w:r>
              <w:rPr>
                <w:rFonts w:ascii="Times New Roman" w:hAnsi="Times New Roman"/>
                <w:sz w:val="24"/>
              </w:rPr>
              <w:t>Федерального закона от 05.04.2013г. №44-ФЗ:</w:t>
            </w:r>
          </w:p>
          <w:p w14:paraId="27000000">
            <w:pPr>
              <w:pStyle w:val="Style_6"/>
              <w:rPr>
                <w:rFonts w:ascii="Times New Roman" w:hAnsi="Times New Roman"/>
                <w:sz w:val="24"/>
              </w:rPr>
            </w:pPr>
            <w:r>
              <w:rPr>
                <w:rFonts w:ascii="Times New Roman" w:hAnsi="Times New Roman"/>
                <w:sz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28000000">
            <w:pPr>
              <w:pStyle w:val="Style_6"/>
              <w:rPr>
                <w:rFonts w:ascii="Times New Roman" w:hAnsi="Times New Roman"/>
                <w:sz w:val="24"/>
              </w:rPr>
            </w:pPr>
            <w:r>
              <w:rPr>
                <w:rFonts w:ascii="Times New Roman" w:hAnsi="Times New Roman"/>
                <w:sz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9000000">
            <w:pPr>
              <w:pStyle w:val="Style_6"/>
              <w:rPr>
                <w:rFonts w:ascii="Times New Roman" w:hAnsi="Times New Roman"/>
                <w:sz w:val="24"/>
              </w:rPr>
            </w:pPr>
            <w:r>
              <w:rPr>
                <w:rFonts w:ascii="Times New Roman" w:hAnsi="Times New Roman"/>
                <w:sz w:val="24"/>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A000000">
            <w:pPr>
              <w:pStyle w:val="Style_6"/>
              <w:rPr>
                <w:rFonts w:ascii="Times New Roman" w:hAnsi="Times New Roman"/>
                <w:sz w:val="24"/>
              </w:rPr>
            </w:pPr>
            <w:r>
              <w:rPr>
                <w:rFonts w:ascii="Times New Roman" w:hAnsi="Times New Roman"/>
                <w:sz w:val="24"/>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2B000000">
            <w:pPr>
              <w:pStyle w:val="Style_6"/>
              <w:rPr>
                <w:rFonts w:ascii="Times New Roman" w:hAnsi="Times New Roman"/>
                <w:sz w:val="24"/>
              </w:rPr>
            </w:pPr>
            <w:r>
              <w:rPr>
                <w:rFonts w:ascii="Times New Roman" w:hAnsi="Times New Roman"/>
                <w:sz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2C000000">
            <w:pPr>
              <w:spacing w:after="0"/>
              <w:ind/>
              <w:rPr>
                <w:sz w:val="23"/>
              </w:rPr>
            </w:pPr>
            <w:r>
              <w:rPr>
                <w:sz w:val="23"/>
              </w:rPr>
              <w:tab/>
            </w:r>
            <w:r>
              <w:rPr>
                <w:sz w:val="23"/>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w:t>
            </w:r>
            <w:r>
              <w:rPr>
                <w:sz w:val="23"/>
              </w:rPr>
              <w:t>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2D000000">
            <w:pPr>
              <w:spacing w:after="0"/>
              <w:ind/>
              <w:rPr>
                <w:sz w:val="23"/>
              </w:rPr>
            </w:pPr>
            <w:r>
              <w:rPr>
                <w:sz w:val="23"/>
              </w:rPr>
              <w:tab/>
            </w:r>
            <w:r>
              <w:rPr>
                <w:sz w:val="23"/>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2E000000">
            <w:pPr>
              <w:pStyle w:val="Style_6"/>
              <w:rPr>
                <w:rFonts w:ascii="Times New Roman" w:hAnsi="Times New Roman"/>
                <w:sz w:val="24"/>
              </w:rPr>
            </w:pPr>
            <w:r>
              <w:rPr>
                <w:rFonts w:ascii="Times New Roman" w:hAnsi="Times New Roman"/>
                <w:sz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2F000000">
            <w:pPr>
              <w:pStyle w:val="Style_6"/>
              <w:rPr>
                <w:rFonts w:ascii="Times New Roman" w:hAnsi="Times New Roman"/>
                <w:sz w:val="24"/>
              </w:rPr>
            </w:pPr>
            <w:r>
              <w:rPr>
                <w:rFonts w:ascii="Times New Roman" w:hAnsi="Times New Roman"/>
                <w:sz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30000000">
            <w:pPr>
              <w:pStyle w:val="Style_6"/>
              <w:rPr>
                <w:rFonts w:ascii="Times New Roman" w:hAnsi="Times New Roman"/>
                <w:sz w:val="24"/>
              </w:rPr>
            </w:pPr>
            <w:r>
              <w:rPr>
                <w:rFonts w:ascii="Times New Roman" w:hAnsi="Times New Roman"/>
                <w:sz w:val="24"/>
              </w:rPr>
              <w:t>к) декларация о принадлежности участника закупки к организации инвалидов, предусмотренной частью 2 статьи 29 настоящего Федерального закона от 05.04.2013г. №44-ФЗ (если участник закупки является такой организацией);</w:t>
            </w:r>
          </w:p>
          <w:p w14:paraId="31000000">
            <w:pPr>
              <w:pStyle w:val="Style_6"/>
              <w:rPr>
                <w:rFonts w:ascii="Times New Roman" w:hAnsi="Times New Roman"/>
                <w:sz w:val="24"/>
              </w:rPr>
            </w:pPr>
            <w:r>
              <w:rPr>
                <w:rFonts w:ascii="Times New Roman" w:hAnsi="Times New Roman"/>
                <w:sz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от 05.04.2013г. №44-ФЗ.</w:t>
            </w:r>
          </w:p>
          <w:p w14:paraId="32000000">
            <w:pPr>
              <w:pStyle w:val="Style_6"/>
              <w:rPr>
                <w:rFonts w:ascii="Times New Roman" w:hAnsi="Times New Roman"/>
                <w:sz w:val="24"/>
              </w:rPr>
            </w:pPr>
            <w:r>
              <w:rPr>
                <w:rFonts w:ascii="Times New Roman" w:hAnsi="Times New Roman"/>
                <w:color w:val="22272F"/>
                <w:sz w:val="24"/>
              </w:rPr>
              <w:t>5)</w:t>
            </w:r>
            <w:r>
              <w:rPr>
                <w:rFonts w:ascii="Times New Roman" w:hAnsi="Times New Roman"/>
                <w:b w:val="1"/>
                <w:color w:val="22272F"/>
                <w:sz w:val="24"/>
              </w:rPr>
              <w:t xml:space="preserve"> </w:t>
            </w:r>
            <w:r>
              <w:rPr>
                <w:rFonts w:ascii="Times New Roman" w:hAnsi="Times New Roman"/>
                <w:sz w:val="24"/>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w:t>
            </w:r>
          </w:p>
          <w:p w14:paraId="33000000">
            <w:pPr>
              <w:pStyle w:val="Style_6"/>
              <w:rPr>
                <w:rFonts w:ascii="Times New Roman" w:hAnsi="Times New Roman"/>
                <w:sz w:val="24"/>
              </w:rPr>
            </w:pPr>
            <w:r>
              <w:rPr>
                <w:rFonts w:ascii="Times New Roman" w:hAnsi="Times New Roman"/>
                <w:b w:val="1"/>
                <w:sz w:val="24"/>
              </w:rPr>
              <w:t>(в случае если в извещении об осуществлении закупки установлено требование предоставления обеспечения заявки на участие в электронном аукционе)</w:t>
            </w:r>
            <w:r>
              <w:rPr>
                <w:rFonts w:ascii="Times New Roman" w:hAnsi="Times New Roman"/>
                <w:sz w:val="24"/>
              </w:rPr>
              <w:t xml:space="preserve"> </w:t>
            </w:r>
          </w:p>
          <w:p w14:paraId="34000000">
            <w:pPr>
              <w:pStyle w:val="Style_6"/>
              <w:rPr>
                <w:rFonts w:ascii="Times New Roman" w:hAnsi="Times New Roman"/>
                <w:sz w:val="24"/>
              </w:rPr>
            </w:pPr>
            <w:r>
              <w:rPr>
                <w:rFonts w:ascii="Times New Roman" w:hAnsi="Times New Roman"/>
                <w:sz w:val="24"/>
              </w:rPr>
              <w:t xml:space="preserve">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w:t>
            </w:r>
          </w:p>
          <w:p w14:paraId="35000000">
            <w:pPr>
              <w:pStyle w:val="Style_6"/>
              <w:rPr>
                <w:rFonts w:ascii="Times New Roman" w:hAnsi="Times New Roman"/>
                <w:sz w:val="24"/>
              </w:rPr>
            </w:pPr>
            <w:r>
              <w:rPr>
                <w:rFonts w:ascii="Times New Roman" w:hAnsi="Times New Roman"/>
                <w:color w:val="22272F"/>
                <w:sz w:val="24"/>
              </w:rPr>
              <w:t>в</w:t>
            </w:r>
            <w:r>
              <w:rPr>
                <w:rFonts w:ascii="Times New Roman" w:hAnsi="Times New Roman"/>
                <w:sz w:val="24"/>
              </w:rPr>
              <w:t xml:space="preserve"> случае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36000000">
            <w:pPr>
              <w:pStyle w:val="Style_6"/>
              <w:rPr>
                <w:rFonts w:ascii="Times New Roman" w:hAnsi="Times New Roman"/>
                <w:sz w:val="24"/>
              </w:rPr>
            </w:pPr>
            <w:r>
              <w:rPr>
                <w:rFonts w:ascii="Times New Roman" w:hAnsi="Times New Roman"/>
                <w:sz w:val="24"/>
              </w:rPr>
              <w:t xml:space="preserve"> который предоставил </w:t>
            </w:r>
            <w:r>
              <w:rPr>
                <w:rFonts w:ascii="Times New Roman" w:hAnsi="Times New Roman"/>
                <w:b w:val="1"/>
                <w:sz w:val="24"/>
              </w:rPr>
              <w:t xml:space="preserve">обеспечения заявки на участие в </w:t>
            </w:r>
            <w:r>
              <w:rPr>
                <w:rFonts w:ascii="Times New Roman" w:hAnsi="Times New Roman"/>
                <w:b w:val="1"/>
                <w:sz w:val="24"/>
              </w:rPr>
              <w:t>закупке  путем</w:t>
            </w:r>
            <w:r>
              <w:rPr>
                <w:rFonts w:ascii="Times New Roman" w:hAnsi="Times New Roman"/>
                <w:b w:val="1"/>
                <w:sz w:val="24"/>
              </w:rPr>
              <w:t xml:space="preserve"> внесения денежных средств на счет </w:t>
            </w:r>
            <w:r>
              <w:rPr>
                <w:rFonts w:ascii="Times New Roman" w:hAnsi="Times New Roman"/>
                <w:sz w:val="24"/>
              </w:rPr>
              <w:t xml:space="preserve">Комитета по госзаказу ЧР (Уполномоченного органа), на котором в соответствии с законодательством РФ учитываются операции со средствами, поступающими на лицевой счет, указанный Уполномоченным органом в извещении об осуществлении закупки. </w:t>
            </w:r>
          </w:p>
          <w:p w14:paraId="37000000">
            <w:pPr>
              <w:pStyle w:val="Style_6"/>
              <w:rPr>
                <w:rFonts w:ascii="Times New Roman" w:hAnsi="Times New Roman"/>
                <w:sz w:val="24"/>
              </w:rPr>
            </w:pPr>
            <w:r>
              <w:rPr>
                <w:rFonts w:ascii="Times New Roman" w:hAnsi="Times New Roman"/>
                <w:sz w:val="24"/>
              </w:rPr>
              <w:t xml:space="preserve">Участник закупки признается не предоставившим обеспечение заявки на участие в закупке в случае не 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Комитета по госзаказу ЧР (Уполномоченного органа), на котором в соответствии с законодательством РФ учитываются операции со средствами, поступающими на лицевой счет, указанный в извещении об осуществлении закупки. </w:t>
            </w:r>
          </w:p>
          <w:p w14:paraId="38000000">
            <w:pPr>
              <w:pStyle w:val="Style_6"/>
              <w:rPr>
                <w:rFonts w:ascii="Times New Roman" w:hAnsi="Times New Roman"/>
                <w:sz w:val="24"/>
              </w:rPr>
            </w:pPr>
            <w:r>
              <w:rPr>
                <w:rFonts w:ascii="Times New Roman" w:hAnsi="Times New Roman"/>
                <w:b w:val="1"/>
                <w:sz w:val="24"/>
                <w:shd w:themeFill="accent3" w:themeFillTint="99" w:val="clear"/>
              </w:rPr>
              <w:t>Информация и</w:t>
            </w:r>
            <w:r>
              <w:rPr>
                <w:rFonts w:ascii="Times New Roman" w:hAnsi="Times New Roman"/>
                <w:b w:val="1"/>
                <w:sz w:val="24"/>
              </w:rPr>
              <w:t>, подтверждающие соответствие участника закупки дополнительным требованиям, установленным в соответствии с </w:t>
            </w:r>
            <w:r>
              <w:rPr>
                <w:rStyle w:val="Style_4_ch"/>
                <w:rFonts w:ascii="Times New Roman" w:hAnsi="Times New Roman"/>
                <w:b w:val="1"/>
                <w:color w:val="000000"/>
                <w:sz w:val="24"/>
                <w:u w:val="none"/>
              </w:rPr>
              <w:fldChar w:fldCharType="begin"/>
            </w:r>
            <w:r>
              <w:rPr>
                <w:rStyle w:val="Style_4_ch"/>
                <w:rFonts w:ascii="Times New Roman" w:hAnsi="Times New Roman"/>
                <w:b w:val="1"/>
                <w:color w:val="000000"/>
                <w:sz w:val="24"/>
                <w:u w:val="none"/>
              </w:rPr>
              <w:instrText>HYPERLINK "http://ivo.garant.ru/#/document/70353464/entry/3120"</w:instrText>
            </w:r>
            <w:r>
              <w:rPr>
                <w:rStyle w:val="Style_4_ch"/>
                <w:rFonts w:ascii="Times New Roman" w:hAnsi="Times New Roman"/>
                <w:b w:val="1"/>
                <w:color w:val="000000"/>
                <w:sz w:val="24"/>
                <w:u w:val="none"/>
              </w:rPr>
              <w:fldChar w:fldCharType="separate"/>
            </w:r>
            <w:r>
              <w:rPr>
                <w:rStyle w:val="Style_4_ch"/>
                <w:rFonts w:ascii="Times New Roman" w:hAnsi="Times New Roman"/>
                <w:b w:val="1"/>
                <w:color w:val="000000"/>
                <w:sz w:val="24"/>
                <w:u w:val="none"/>
              </w:rPr>
              <w:t>частью 2</w:t>
            </w:r>
            <w:r>
              <w:rPr>
                <w:rStyle w:val="Style_4_ch"/>
                <w:rFonts w:ascii="Times New Roman" w:hAnsi="Times New Roman"/>
                <w:b w:val="1"/>
                <w:color w:val="000000"/>
                <w:sz w:val="24"/>
                <w:u w:val="none"/>
              </w:rPr>
              <w:fldChar w:fldCharType="end"/>
            </w:r>
            <w:r>
              <w:rPr>
                <w:rFonts w:ascii="Times New Roman" w:hAnsi="Times New Roman"/>
                <w:b w:val="1"/>
                <w:sz w:val="24"/>
              </w:rPr>
              <w:t> или </w:t>
            </w:r>
            <w:r>
              <w:rPr>
                <w:rStyle w:val="Style_4_ch"/>
                <w:rFonts w:ascii="Times New Roman" w:hAnsi="Times New Roman"/>
                <w:b w:val="1"/>
                <w:color w:val="000000"/>
                <w:sz w:val="24"/>
                <w:u w:val="none"/>
              </w:rPr>
              <w:fldChar w:fldCharType="begin"/>
            </w:r>
            <w:r>
              <w:rPr>
                <w:rStyle w:val="Style_4_ch"/>
                <w:rFonts w:ascii="Times New Roman" w:hAnsi="Times New Roman"/>
                <w:b w:val="1"/>
                <w:color w:val="000000"/>
                <w:sz w:val="24"/>
                <w:u w:val="none"/>
              </w:rPr>
              <w:instrText>HYPERLINK "http://ivo.garant.ru/#/document/70353464/entry/990272"</w:instrText>
            </w:r>
            <w:r>
              <w:rPr>
                <w:rStyle w:val="Style_4_ch"/>
                <w:rFonts w:ascii="Times New Roman" w:hAnsi="Times New Roman"/>
                <w:b w:val="1"/>
                <w:color w:val="000000"/>
                <w:sz w:val="24"/>
                <w:u w:val="none"/>
              </w:rPr>
              <w:fldChar w:fldCharType="separate"/>
            </w:r>
            <w:r>
              <w:rPr>
                <w:rStyle w:val="Style_4_ch"/>
                <w:rFonts w:ascii="Times New Roman" w:hAnsi="Times New Roman"/>
                <w:b w:val="1"/>
                <w:color w:val="000000"/>
                <w:sz w:val="24"/>
                <w:u w:val="none"/>
              </w:rPr>
              <w:t>2.1</w:t>
            </w:r>
            <w:r>
              <w:rPr>
                <w:rStyle w:val="Style_4_ch"/>
                <w:rFonts w:ascii="Times New Roman" w:hAnsi="Times New Roman"/>
                <w:b w:val="1"/>
                <w:color w:val="000000"/>
                <w:sz w:val="24"/>
                <w:u w:val="none"/>
              </w:rPr>
              <w:fldChar w:fldCharType="end"/>
            </w:r>
            <w:r>
              <w:rPr>
                <w:rFonts w:ascii="Times New Roman" w:hAnsi="Times New Roman"/>
                <w:b w:val="1"/>
                <w:sz w:val="24"/>
              </w:rPr>
              <w:t> (при наличии таких требований) статьи 31 Федерального закона от 05.04.2013г. №44-ФЗ, и предусмотренные </w:t>
            </w:r>
            <w:r>
              <w:rPr>
                <w:rStyle w:val="Style_4_ch"/>
                <w:rFonts w:ascii="Times New Roman" w:hAnsi="Times New Roman"/>
                <w:b w:val="1"/>
                <w:color w:val="000000"/>
                <w:sz w:val="24"/>
                <w:u w:val="none"/>
              </w:rPr>
              <w:fldChar w:fldCharType="begin"/>
            </w:r>
            <w:r>
              <w:rPr>
                <w:rStyle w:val="Style_4_ch"/>
                <w:rFonts w:ascii="Times New Roman" w:hAnsi="Times New Roman"/>
                <w:b w:val="1"/>
                <w:color w:val="000000"/>
                <w:sz w:val="24"/>
                <w:u w:val="none"/>
              </w:rPr>
              <w:instrText>HYPERLINK "http://ivo.garant.ru/#/document/70353464/entry/431113"</w:instrText>
            </w:r>
            <w:r>
              <w:rPr>
                <w:rStyle w:val="Style_4_ch"/>
                <w:rFonts w:ascii="Times New Roman" w:hAnsi="Times New Roman"/>
                <w:b w:val="1"/>
                <w:color w:val="000000"/>
                <w:sz w:val="24"/>
                <w:u w:val="none"/>
              </w:rPr>
              <w:fldChar w:fldCharType="separate"/>
            </w:r>
            <w:r>
              <w:rPr>
                <w:rStyle w:val="Style_4_ch"/>
                <w:rFonts w:ascii="Times New Roman" w:hAnsi="Times New Roman"/>
                <w:b w:val="1"/>
                <w:color w:val="000000"/>
                <w:sz w:val="24"/>
                <w:u w:val="none"/>
              </w:rPr>
              <w:t>подпунктом "н" пункта 1 части 1</w:t>
            </w:r>
            <w:r>
              <w:rPr>
                <w:rStyle w:val="Style_4_ch"/>
                <w:rFonts w:ascii="Times New Roman" w:hAnsi="Times New Roman"/>
                <w:b w:val="1"/>
                <w:color w:val="000000"/>
                <w:sz w:val="24"/>
                <w:u w:val="none"/>
              </w:rPr>
              <w:fldChar w:fldCharType="end"/>
            </w:r>
            <w:r>
              <w:rPr>
                <w:rFonts w:ascii="Times New Roman" w:hAnsi="Times New Roman"/>
                <w:b w:val="1"/>
                <w:sz w:val="24"/>
              </w:rPr>
              <w:t xml:space="preserve">  статьи </w:t>
            </w:r>
            <w:r>
              <w:rPr>
                <w:rFonts w:ascii="Times New Roman" w:hAnsi="Times New Roman"/>
                <w:b w:val="1"/>
                <w:sz w:val="24"/>
                <w:shd w:themeFill="background1" w:val="clear"/>
              </w:rPr>
              <w:t>43 Федерального закона от 05.04.2013г. №44-ФЗ, не включаются участником закупки</w:t>
            </w:r>
            <w:r>
              <w:rPr>
                <w:rFonts w:ascii="Times New Roman" w:hAnsi="Times New Roman"/>
                <w:b w:val="1"/>
                <w:sz w:val="24"/>
              </w:rPr>
              <w:t xml:space="preserve"> в заявку на участие в </w:t>
            </w:r>
            <w:r>
              <w:rPr>
                <w:rFonts w:ascii="Times New Roman" w:hAnsi="Times New Roman"/>
                <w:b w:val="1"/>
                <w:sz w:val="24"/>
              </w:rPr>
              <w:t xml:space="preserve">закупке. </w:t>
            </w:r>
            <w:r>
              <w:rPr>
                <w:rFonts w:ascii="Times New Roman" w:hAnsi="Times New Roman"/>
                <w:sz w:val="24"/>
                <w:shd w:themeFill="accent3" w:themeFillTint="99" w:val="clear"/>
              </w:rPr>
              <w:t>Такие информация и</w:t>
            </w:r>
            <w:r>
              <w:rPr>
                <w:rFonts w:ascii="Times New Roman" w:hAnsi="Times New Roman"/>
                <w:sz w:val="24"/>
              </w:rPr>
              <w:t xml:space="preserve"> в случаях, предусмотренных Федеральным законом </w:t>
            </w:r>
            <w:r>
              <w:rPr>
                <w:rFonts w:ascii="Times New Roman" w:hAnsi="Times New Roman"/>
                <w:b w:val="1"/>
                <w:sz w:val="24"/>
              </w:rPr>
              <w:t>от 05.04.2013г. №44-ФЗ</w:t>
            </w:r>
            <w:r>
              <w:rPr>
                <w:rFonts w:ascii="Times New Roman" w:hAnsi="Times New Roman"/>
                <w:sz w:val="24"/>
              </w:rPr>
              <w:t xml:space="preserve">,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в соответствии </w:t>
            </w:r>
            <w:r>
              <w:rPr>
                <w:rFonts w:ascii="Times New Roman" w:hAnsi="Times New Roman"/>
                <w:sz w:val="24"/>
              </w:rPr>
              <w:t>с  п.3</w:t>
            </w:r>
            <w:r>
              <w:rPr>
                <w:rFonts w:ascii="Times New Roman" w:hAnsi="Times New Roman"/>
                <w:sz w:val="24"/>
              </w:rPr>
              <w:t xml:space="preserve"> ч. 6 ст. 43 Федерального закона от 05.04.2013г. №44-ФЗ).</w:t>
            </w:r>
          </w:p>
          <w:p w14:paraId="39000000">
            <w:pPr>
              <w:pStyle w:val="Style_6"/>
              <w:rPr>
                <w:rFonts w:ascii="Times New Roman" w:hAnsi="Times New Roman"/>
                <w:sz w:val="24"/>
              </w:rPr>
            </w:pPr>
            <w:r>
              <w:rPr>
                <w:rFonts w:ascii="Times New Roman" w:hAnsi="Times New Roman"/>
                <w:b w:val="1"/>
                <w:sz w:val="24"/>
                <w:shd w:themeFill="accent3" w:themeFillTint="99" w:val="clear"/>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trPr>
          <w:trHeight w:hRule="exact" w:val="72"/>
        </w:trPr>
        <w:tc>
          <w:tcPr>
            <w:tcW w:type="dxa" w:w="9782"/>
            <w:tcBorders>
              <w:top w:sz="4" w:val="nil"/>
              <w:left w:color="000000" w:sz="4" w:val="single"/>
              <w:bottom w:color="000000" w:sz="4" w:val="single"/>
              <w:right w:color="000000" w:sz="4" w:val="single"/>
            </w:tcBorders>
            <w:vAlign w:val="center"/>
          </w:tcPr>
          <w:p w14:paraId="3A000000">
            <w:pPr>
              <w:tabs>
                <w:tab w:leader="none" w:pos="432" w:val="left"/>
              </w:tabs>
              <w:spacing w:after="0"/>
              <w:ind/>
            </w:pPr>
          </w:p>
        </w:tc>
      </w:tr>
      <w:tr>
        <w:trPr>
          <w:trHeight w:hRule="atLeast" w:val="403"/>
        </w:trPr>
        <w:tc>
          <w:tcPr>
            <w:tcW w:type="dxa" w:w="9782"/>
            <w:tcBorders>
              <w:top w:color="000000" w:sz="4" w:val="single"/>
              <w:left w:color="000000" w:sz="4" w:val="single"/>
              <w:bottom w:color="000000" w:sz="4" w:val="single"/>
              <w:right w:color="000000" w:sz="4" w:val="single"/>
            </w:tcBorders>
            <w:shd w:themeFill="background1" w:themeFillShade="80" w:val="clear"/>
            <w:vAlign w:val="center"/>
          </w:tcPr>
          <w:p w14:paraId="3B000000">
            <w:pPr>
              <w:spacing w:after="0"/>
              <w:ind/>
              <w:jc w:val="center"/>
              <w:rPr>
                <w:color w:val="FFFFFF"/>
              </w:rPr>
            </w:pPr>
            <w:r>
              <w:rPr>
                <w:rFonts w:ascii="Arial" w:hAnsi="Arial"/>
                <w:b w:val="1"/>
                <w:color w:val="FFFFFF"/>
                <w:sz w:val="20"/>
              </w:rPr>
              <w:t>Инструкция по заполнению заявки на участие в электронном аукционе</w:t>
            </w:r>
          </w:p>
        </w:tc>
      </w:tr>
      <w:tr>
        <w:trPr>
          <w:trHeight w:hRule="atLeast" w:val="271"/>
        </w:trPr>
        <w:tc>
          <w:tcPr>
            <w:tcW w:type="dxa" w:w="9782"/>
            <w:tcBorders>
              <w:top w:color="000000" w:sz="4" w:val="single"/>
              <w:left w:color="000000" w:sz="4" w:val="single"/>
              <w:bottom w:color="000000" w:sz="4" w:val="single"/>
              <w:right w:color="000000" w:sz="4" w:val="single"/>
            </w:tcBorders>
          </w:tcPr>
          <w:p w14:paraId="3C000000">
            <w:pPr>
              <w:spacing w:after="0"/>
              <w:ind/>
            </w:pPr>
            <w:r>
              <w:tab/>
            </w:r>
            <w: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w:t>
            </w:r>
          </w:p>
          <w:p w14:paraId="3D000000">
            <w:pPr>
              <w:spacing w:after="0"/>
              <w:ind/>
            </w:pPr>
            <w:r>
              <w:t xml:space="preserve"> </w:t>
            </w:r>
            <w:r>
              <w:tab/>
            </w:r>
            <w: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p>
          <w:p w14:paraId="3E000000">
            <w:pPr>
              <w:spacing w:after="0"/>
              <w:ind/>
            </w:pPr>
            <w:r>
              <w:tab/>
            </w: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3F000000">
            <w:pPr>
              <w:spacing w:after="0"/>
              <w:ind/>
            </w:pPr>
            <w:r>
              <w:tab/>
            </w:r>
            <w:r>
              <w:t>Все документы, входящие в состав заявки на участие в закупке,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40000000">
            <w:pPr>
              <w:spacing w:after="0"/>
              <w:ind/>
            </w:pPr>
            <w:r>
              <w:tab/>
            </w:r>
            <w:r>
              <w:t>Все документы, входящие в состав заявки в закупке, должны иметь четко читаемый текст.</w:t>
            </w:r>
            <w:r>
              <w:tab/>
            </w:r>
            <w:r>
              <w:t xml:space="preserve">Сведения, содержащиеся в заявке на участие в закупке, в том числе характеристики предлагаемого участником закупки товара </w:t>
            </w:r>
            <w:r>
              <w:rPr>
                <w:shd w:themeFill="accent1" w:themeFillTint="66" w:val="clear"/>
              </w:rPr>
              <w:t>(если при выполнении закупаемых работ, оказании закупаемых услуг осуществляется поставка товара</w:t>
            </w:r>
            <w:r>
              <w:t>), не должны допускать двусмысленных толкований.</w:t>
            </w:r>
          </w:p>
          <w:p w14:paraId="41000000">
            <w:pPr>
              <w:rPr>
                <w:shd w:themeFill="accent1" w:themeFillTint="66" w:val="clear"/>
              </w:rPr>
            </w:pPr>
            <w:r>
              <w:rPr>
                <w:highlight w:val="white"/>
              </w:rPr>
              <w:tab/>
            </w:r>
            <w:r>
              <w:rPr>
                <w:shd w:themeFill="background1" w:val="clear"/>
              </w:rPr>
              <w:t>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r>
              <w:rPr>
                <w:rStyle w:val="Style_4_ch"/>
                <w:color w:val="000000"/>
                <w:shd w:themeFill="background1" w:val="clear"/>
              </w:rPr>
              <w:fldChar w:fldCharType="begin"/>
            </w:r>
            <w:r>
              <w:rPr>
                <w:rStyle w:val="Style_4_ch"/>
                <w:color w:val="000000"/>
                <w:shd w:themeFill="background1" w:val="clear"/>
              </w:rPr>
              <w:instrText>HYPERLINK "http://ivo.garant.ru/#/document/70353464/entry/3120"</w:instrText>
            </w:r>
            <w:r>
              <w:rPr>
                <w:rStyle w:val="Style_4_ch"/>
                <w:color w:val="000000"/>
                <w:shd w:themeFill="background1" w:val="clear"/>
              </w:rPr>
              <w:fldChar w:fldCharType="separate"/>
            </w:r>
            <w:r>
              <w:rPr>
                <w:rStyle w:val="Style_4_ch"/>
                <w:color w:val="000000"/>
                <w:shd w:themeFill="background1" w:val="clear"/>
              </w:rPr>
              <w:t>частями 2</w:t>
            </w:r>
            <w:r>
              <w:rPr>
                <w:rStyle w:val="Style_4_ch"/>
                <w:color w:val="000000"/>
                <w:shd w:themeFill="background1" w:val="clear"/>
              </w:rPr>
              <w:fldChar w:fldCharType="end"/>
            </w:r>
            <w:r>
              <w:rPr>
                <w:shd w:themeFill="background1" w:val="clear"/>
              </w:rPr>
              <w:t> и </w:t>
            </w:r>
            <w:r>
              <w:rPr>
                <w:rStyle w:val="Style_4_ch"/>
                <w:color w:val="000000"/>
                <w:shd w:themeFill="background1" w:val="clear"/>
              </w:rPr>
              <w:fldChar w:fldCharType="begin"/>
            </w:r>
            <w:r>
              <w:rPr>
                <w:rStyle w:val="Style_4_ch"/>
                <w:color w:val="000000"/>
                <w:shd w:themeFill="background1" w:val="clear"/>
              </w:rPr>
              <w:instrText>HYPERLINK "http://ivo.garant.ru/#/document/70353464/entry/990272"</w:instrText>
            </w:r>
            <w:r>
              <w:rPr>
                <w:rStyle w:val="Style_4_ch"/>
                <w:color w:val="000000"/>
                <w:shd w:themeFill="background1" w:val="clear"/>
              </w:rPr>
              <w:fldChar w:fldCharType="separate"/>
            </w:r>
            <w:r>
              <w:rPr>
                <w:rStyle w:val="Style_4_ch"/>
                <w:color w:val="000000"/>
                <w:shd w:themeFill="background1" w:val="clear"/>
              </w:rPr>
              <w:t>2.1 статьи 31</w:t>
            </w:r>
            <w:r>
              <w:rPr>
                <w:rStyle w:val="Style_4_ch"/>
                <w:color w:val="000000"/>
                <w:shd w:themeFill="background1" w:val="clear"/>
              </w:rPr>
              <w:fldChar w:fldCharType="end"/>
            </w:r>
            <w:r>
              <w:rPr>
                <w:shd w:themeFill="background1" w:val="clear"/>
              </w:rPr>
              <w:t>  Федерального закона от 05.04.2013г. №44-ФЗ (в случаях установления таких требований в извещении о закупке), участник закупки, аккредитованный на электронной площадке, заблаговременно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(Постановление Правительства РФ от 29 декабря 2021 г.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Правительства РФ от 29 декабря 2021 г. №2571) в соответствии с </w:t>
            </w:r>
            <w:r>
              <w:rPr>
                <w:rStyle w:val="Style_4_ch"/>
                <w:color w:val="000000"/>
                <w:shd w:themeFill="background1" w:val="clear"/>
              </w:rPr>
              <w:fldChar w:fldCharType="begin"/>
            </w:r>
            <w:r>
              <w:rPr>
                <w:rStyle w:val="Style_4_ch"/>
                <w:color w:val="000000"/>
                <w:shd w:themeFill="background1" w:val="clear"/>
              </w:rPr>
              <w:instrText>HYPERLINK "http://ivo.garant.ru/#/document/70353464/entry/3130"</w:instrText>
            </w:r>
            <w:r>
              <w:rPr>
                <w:rStyle w:val="Style_4_ch"/>
                <w:color w:val="000000"/>
                <w:shd w:themeFill="background1" w:val="clear"/>
              </w:rPr>
              <w:fldChar w:fldCharType="separate"/>
            </w:r>
            <w:r>
              <w:rPr>
                <w:rStyle w:val="Style_4_ch"/>
                <w:color w:val="000000"/>
                <w:shd w:themeFill="background1" w:val="clear"/>
              </w:rPr>
              <w:t>частью 3 статьи 31</w:t>
            </w:r>
            <w:r>
              <w:rPr>
                <w:rStyle w:val="Style_4_ch"/>
                <w:color w:val="000000"/>
                <w:shd w:themeFill="background1" w:val="clear"/>
              </w:rPr>
              <w:fldChar w:fldCharType="end"/>
            </w:r>
            <w:r>
              <w:rPr>
                <w:shd w:themeFill="background1" w:val="clear"/>
              </w:rPr>
              <w:t>  Федерального закона от 05.04.2013г. №44-ФЗ и с частями 12-17 статьи  24.2 Федерального закона от 05.04.2013г. №44-ФЗ</w:t>
            </w:r>
            <w:r>
              <w:rPr>
                <w:highlight w:val="white"/>
              </w:rPr>
              <w:t xml:space="preserve">. </w:t>
            </w:r>
            <w:r>
              <w:rPr>
                <w:shd w:themeFill="accent1" w:themeFillTint="30" w:val="clear"/>
              </w:rPr>
              <w:t xml:space="preserve">При этом участнику закупки при направлении оператору электронной площадки информации и документов, подтверждающих соответствие участников закупки дополнительным требованиям, установленным в соответствии участнику в соответствии с ч. 2 ст. 31 Федерального закона от 05.04.2013г. №44-ФЗ необходимо соблюдать требования, установленные в п. 3 Постановления Правительства Российской Федерации от 29 декабря 2021 г. №2571, а при направлении оператору электронной площадки информации и документов, подтверждающих </w:t>
            </w:r>
            <w:r>
              <w:rPr>
                <w:shd w:themeFill="accent1" w:themeFillTint="30" w:val="clear"/>
              </w:rPr>
              <w:t>соответствие участников закупки дополнительным требованиям, установленным в соответствии участнику в соответствии с ч. 2.1 ст. 31 Федерального закона от 05.04.2013г. №44-ФЗ – соблюдать требования, установленные в п. 4 Постановления Правительства Российской Федерации от 29 декабря 2021 г. №2571.</w:t>
            </w:r>
          </w:p>
          <w:p w14:paraId="42000000">
            <w:r>
              <w:rPr>
                <w:highlight w:val="white"/>
              </w:rPr>
              <w:tab/>
            </w:r>
            <w:r>
              <w:t xml:space="preserve">В случае если при выполнении закупаемых работ, оказании закупаемых услуг осуществляется </w:t>
            </w:r>
            <w:r>
              <w:rPr>
                <w:highlight w:val="yellow"/>
              </w:rPr>
              <w:t>поставка товара</w:t>
            </w:r>
            <w:r>
              <w:t>, требования к техническим характеристикам, к функциональным характеристикам (потребительским свойствам), безопасности, комплектации, параметрам и иным показателям такого товара которые указаны в описании объекта закупки:</w:t>
            </w:r>
          </w:p>
          <w:p w14:paraId="43000000">
            <w:r>
              <w:tab/>
            </w:r>
            <w:r>
              <w:t xml:space="preserve">1. Участнику закупки при указании в соответствии </w:t>
            </w:r>
            <w:r>
              <w:t>с  подпунктом</w:t>
            </w:r>
            <w:r>
              <w:t xml:space="preserve"> «а» пункта  2  части 1 статьи 43  Федерального закона от 05.04.2013г. №44-ФЗ характеристик предлагаемого к поставке при выполнении закупаемых работ, оказании закупаемых услуг товара, участнику закупки необходимо указать такие характеристики по всем показателям товара и в единицах  измерения, указанных в описании объекта закупки, который является приложением к извещению о закупке. При этом товар, предлагаемый участником закупки, должен соответствовать требованиям Заказчика к техническим характеристикам товара, к функциональным характеристикам (потребительским свойствам) товара, безопасности, комплектации, параметрам и иным показателям, связанным с определением соответствия поставляемого товара потребностям Заказчика согласно  описанию объекта закупки, который является приложением к извещению о закупке. </w:t>
            </w:r>
            <w:r>
              <w:rPr>
                <w:highlight w:val="white"/>
              </w:rPr>
              <w:t xml:space="preserve">Информация, предусмотренная </w:t>
            </w:r>
            <w:r>
              <w:rPr>
                <w:shd w:themeFill="accent1" w:themeFillTint="66" w:val="clear"/>
              </w:rPr>
              <w:t>подпунктом "а" пункта 2 части 1 статьи 43</w:t>
            </w:r>
            <w:r>
              <w:rPr>
                <w:highlight w:val="white"/>
              </w:rPr>
              <w:t xml:space="preserve"> </w:t>
            </w:r>
            <w:r>
              <w:t>Федерального закона от 05.04.2013г. №44-ФЗ</w:t>
            </w:r>
            <w:r>
              <w:rPr>
                <w:highlight w:val="white"/>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Также  информация, предусмотренная </w:t>
            </w:r>
            <w:r>
              <w:rPr>
                <w:highlight w:val="white"/>
              </w:rPr>
              <w:fldChar w:fldCharType="begin"/>
            </w:r>
            <w:r>
              <w:rPr>
                <w:highlight w:val="white"/>
              </w:rPr>
              <w:instrText>HYPERLINK "http://ivo.garant.ru/#/document/70353464/entry/431201"</w:instrText>
            </w:r>
            <w:r>
              <w:rPr>
                <w:highlight w:val="white"/>
              </w:rPr>
              <w:fldChar w:fldCharType="separate"/>
            </w:r>
            <w:r>
              <w:rPr>
                <w:highlight w:val="white"/>
              </w:rPr>
              <w:t>подпунктами "а"</w:t>
            </w:r>
            <w:r>
              <w:rPr>
                <w:highlight w:val="white"/>
              </w:rPr>
              <w:fldChar w:fldCharType="end"/>
            </w:r>
            <w:r>
              <w:rPr>
                <w:highlight w:val="white"/>
              </w:rPr>
              <w:fldChar w:fldCharType="begin"/>
            </w:r>
            <w:r>
              <w:rPr>
                <w:highlight w:val="white"/>
              </w:rPr>
              <w:instrText>HYPERLINK "http://ivo.garant.ru/#/document/70353464/entry/431204"</w:instrText>
            </w:r>
            <w:r>
              <w:rPr>
                <w:highlight w:val="white"/>
              </w:rPr>
              <w:fldChar w:fldCharType="separate"/>
            </w:r>
            <w:r>
              <w:rPr>
                <w:highlight w:val="white"/>
              </w:rPr>
              <w:t xml:space="preserve">  2 ч. 1</w:t>
            </w:r>
            <w:r>
              <w:rPr>
                <w:highlight w:val="white"/>
              </w:rPr>
              <w:fldChar w:fldCharType="end"/>
            </w:r>
            <w:r>
              <w:rPr>
                <w:highlight w:val="white"/>
              </w:rPr>
              <w:t>  ст. 43 Федерального закона от 05.04.2013г. №44-ФЗ (характеристики предлагаемого участником закупки товара, соответствующие показателям, установленным в описании объекта закупки в соответствии с </w:t>
            </w:r>
            <w:r>
              <w:rPr>
                <w:highlight w:val="white"/>
              </w:rPr>
              <w:fldChar w:fldCharType="begin"/>
            </w:r>
            <w:r>
              <w:rPr>
                <w:highlight w:val="white"/>
              </w:rPr>
              <w:instrText>HYPERLINK "http://ivo.garant.ru/#/document/70353464/entry/332"</w:instrText>
            </w:r>
            <w:r>
              <w:rPr>
                <w:highlight w:val="white"/>
              </w:rPr>
              <w:fldChar w:fldCharType="separate"/>
            </w:r>
            <w:r>
              <w:rPr>
                <w:highlight w:val="white"/>
              </w:rPr>
              <w:t>частью 2 статьи 33</w:t>
            </w:r>
            <w:r>
              <w:rPr>
                <w:highlight w:val="white"/>
              </w:rPr>
              <w:fldChar w:fldCharType="end"/>
            </w:r>
            <w:r>
              <w:rPr>
                <w:highlight w:val="white"/>
              </w:rPr>
              <w:t>  Федерального закона от 05.04.2013г. №44, товарный знак (при наличии у товара товарного знака)), не включается в заявку на участие в закупке в случае включения заказчиком в соответствии с </w:t>
            </w:r>
            <w:r>
              <w:rPr>
                <w:rStyle w:val="Style_4_ch"/>
                <w:color w:val="000000"/>
                <w:highlight w:val="white"/>
              </w:rPr>
              <w:fldChar w:fldCharType="begin"/>
            </w:r>
            <w:r>
              <w:rPr>
                <w:rStyle w:val="Style_4_ch"/>
                <w:color w:val="000000"/>
                <w:highlight w:val="white"/>
              </w:rPr>
              <w:instrText>HYPERLINK "http://ivo.garant.ru/#/document/70353464/entry/3318"</w:instrText>
            </w:r>
            <w:r>
              <w:rPr>
                <w:rStyle w:val="Style_4_ch"/>
                <w:color w:val="000000"/>
                <w:highlight w:val="white"/>
              </w:rPr>
              <w:fldChar w:fldCharType="separate"/>
            </w:r>
            <w:r>
              <w:rPr>
                <w:rStyle w:val="Style_4_ch"/>
                <w:color w:val="000000"/>
                <w:highlight w:val="white"/>
              </w:rPr>
              <w:t>п. 8 ч. 1 ст. 33</w:t>
            </w:r>
            <w:r>
              <w:rPr>
                <w:rStyle w:val="Style_4_ch"/>
                <w:color w:val="000000"/>
                <w:highlight w:val="white"/>
              </w:rPr>
              <w:fldChar w:fldCharType="end"/>
            </w:r>
            <w:r>
              <w:rPr>
                <w:highlight w:val="white"/>
              </w:rPr>
              <w:t> </w:t>
            </w:r>
            <w:r>
              <w:t>Федерального закона от 05.04.2013г. №44-ФЗ</w:t>
            </w:r>
            <w:r>
              <w:rPr>
                <w:highlight w:val="white"/>
              </w:rPr>
              <w:t xml:space="preserve">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44000000">
            <w:pPr>
              <w:spacing w:after="0"/>
              <w:ind/>
            </w:pPr>
            <w:r>
              <w:tab/>
            </w:r>
            <w:r>
              <w:t xml:space="preserve">2. В случае если участник закупки указывает в своей заявке товарный знак (его словесное обозначение), знак обслуживания, фирменное наименование, патенты, полезные модели, промышленные образцы, наименование страны происхождения товара, такое указание не должно сопровождаться словами «или эквивалент». </w:t>
            </w:r>
          </w:p>
          <w:p w14:paraId="45000000">
            <w:pPr>
              <w:spacing w:after="0"/>
              <w:ind/>
            </w:pPr>
            <w:r>
              <w:tab/>
            </w:r>
            <w:r>
              <w:t>3. Эквивалентность предлагаемого к поставке товара будет устанавливаться по показателям характеристик (технических, функциональных и др.) товара и их значениям,  указанных в описании объекта закупки,  который является приложением к извещению о закупке.</w:t>
            </w:r>
          </w:p>
          <w:p w14:paraId="46000000">
            <w:pPr>
              <w:spacing w:after="0"/>
              <w:ind/>
            </w:pPr>
            <w:r>
              <w:tab/>
            </w:r>
            <w:r>
              <w:t xml:space="preserve">4. Согласно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Российской Федерации от 8 июня 2018г. №656), при формировании предложения участника закупки в отношении объекта закупки, предусмотренного пунктом 2 части 1 статьи 43 от 05.04.2013г. №44-ФЗ, с использованием электронной площадки, специализированной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05.04.2013г. №44-ФЗ. </w:t>
            </w:r>
            <w:r>
              <w:tab/>
            </w:r>
          </w:p>
        </w:tc>
      </w:tr>
    </w:tbl>
    <w:p w14:paraId="47000000">
      <w:pPr>
        <w:spacing w:after="0"/>
        <w:ind/>
        <w:rPr>
          <w:i w:val="1"/>
          <w:color w:val="FF0000"/>
        </w:rPr>
      </w:pPr>
      <w:r>
        <w:rPr>
          <w:i w:val="1"/>
          <w:color w:val="FF0000"/>
          <w:sz w:val="22"/>
          <w:vertAlign w:val="superscript"/>
        </w:rPr>
        <w:tab/>
      </w:r>
      <w:r>
        <w:rPr>
          <w:i w:val="1"/>
          <w:color w:val="FF0000"/>
          <w:vertAlign w:val="superscript"/>
        </w:rPr>
        <w:tab/>
      </w:r>
    </w:p>
    <w:p w14:paraId="48000000"/>
    <w:sectPr>
      <w:head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keepNext w:val="1"/>
      <w:keepLines w:val="1"/>
      <w:widowControl w:val="0"/>
      <w:spacing w:line="360" w:lineRule="auto"/>
      <w:ind/>
      <w:jc w:val="right"/>
    </w:pPr>
    <w:r>
      <w:rPr>
        <w:color w:val="999999"/>
        <w:sz w:val="18"/>
      </w:rPr>
      <w:t>Заявка услуга, работа 2.03</w:t>
    </w:r>
    <w:r>
      <w:rPr>
        <w:color w:val="999999"/>
        <w:sz w:val="18"/>
      </w:rPr>
      <w:t>.26 44-ФЗ</w:t>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spacing w:after="60" w:line="240" w:lineRule="auto"/>
      <w:ind/>
      <w:jc w:val="both"/>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Просмотренная гиперссылка1"/>
    <w:basedOn w:val="Style_8"/>
    <w:link w:val="Style_7_ch"/>
    <w:rPr>
      <w:color w:themeColor="followedHyperlink" w:val="800080"/>
      <w:u w:val="single"/>
    </w:rPr>
  </w:style>
  <w:style w:styleId="Style_7_ch" w:type="character">
    <w:name w:val="Просмотренная гиперссылка1"/>
    <w:basedOn w:val="Style_8_ch"/>
    <w:link w:val="Style_7"/>
    <w:rPr>
      <w:color w:themeColor="followedHyperlink" w:val="800080"/>
      <w:u w:val="single"/>
    </w:rPr>
  </w:style>
  <w:style w:styleId="Style_9" w:type="paragraph">
    <w:name w:val="toc 2"/>
    <w:basedOn w:val="Style_5"/>
    <w:next w:val="Style_5"/>
    <w:link w:val="Style_9_ch"/>
    <w:uiPriority w:val="39"/>
    <w:pPr>
      <w:spacing w:after="0"/>
      <w:ind w:left="240"/>
      <w:jc w:val="left"/>
    </w:pPr>
    <w:rPr>
      <w:smallCaps w:val="1"/>
      <w:sz w:val="20"/>
    </w:rPr>
  </w:style>
  <w:style w:styleId="Style_9_ch" w:type="character">
    <w:name w:val="toc 2"/>
    <w:basedOn w:val="Style_5_ch"/>
    <w:link w:val="Style_9"/>
    <w:rPr>
      <w:smallCaps w:val="1"/>
      <w:sz w:val="20"/>
    </w:rPr>
  </w:style>
  <w:style w:styleId="Style_10" w:type="paragraph">
    <w:name w:val="toc 4"/>
    <w:next w:val="Style_5"/>
    <w:link w:val="Style_10_ch"/>
    <w:uiPriority w:val="39"/>
    <w:pPr>
      <w:ind w:left="600"/>
    </w:pPr>
    <w:rPr>
      <w:rFonts w:ascii="XO Thames" w:hAnsi="XO Thames"/>
      <w:sz w:val="28"/>
    </w:rPr>
  </w:style>
  <w:style w:styleId="Style_10_ch" w:type="character">
    <w:name w:val="toc 4"/>
    <w:link w:val="Style_10"/>
    <w:rPr>
      <w:rFonts w:ascii="XO Thames" w:hAnsi="XO Thames"/>
      <w:sz w:val="28"/>
    </w:rPr>
  </w:style>
  <w:style w:styleId="Style_11" w:type="paragraph">
    <w:name w:val="toc 6"/>
    <w:next w:val="Style_5"/>
    <w:link w:val="Style_11_ch"/>
    <w:uiPriority w:val="39"/>
    <w:pPr>
      <w:ind w:left="1000"/>
    </w:pPr>
    <w:rPr>
      <w:rFonts w:ascii="XO Thames" w:hAnsi="XO Thames"/>
      <w:sz w:val="28"/>
    </w:rPr>
  </w:style>
  <w:style w:styleId="Style_11_ch" w:type="character">
    <w:name w:val="toc 6"/>
    <w:link w:val="Style_11"/>
    <w:rPr>
      <w:rFonts w:ascii="XO Thames" w:hAnsi="XO Thames"/>
      <w:sz w:val="28"/>
    </w:rPr>
  </w:style>
  <w:style w:styleId="Style_12" w:type="paragraph">
    <w:name w:val="toc 7"/>
    <w:next w:val="Style_5"/>
    <w:link w:val="Style_12_ch"/>
    <w:uiPriority w:val="39"/>
    <w:pPr>
      <w:ind w:left="1200"/>
    </w:pPr>
    <w:rPr>
      <w:rFonts w:ascii="XO Thames" w:hAnsi="XO Thames"/>
      <w:sz w:val="28"/>
    </w:rPr>
  </w:style>
  <w:style w:styleId="Style_12_ch" w:type="character">
    <w:name w:val="toc 7"/>
    <w:link w:val="Style_12"/>
    <w:rPr>
      <w:rFonts w:ascii="XO Thames" w:hAnsi="XO Thames"/>
      <w:sz w:val="28"/>
    </w:rPr>
  </w:style>
  <w:style w:styleId="Style_1" w:type="paragraph">
    <w:name w:val="ConsPlusNormal"/>
    <w:link w:val="Style_1_ch"/>
    <w:pPr>
      <w:widowControl w:val="0"/>
      <w:spacing w:after="0" w:line="240" w:lineRule="auto"/>
      <w:ind w:firstLine="720"/>
    </w:pPr>
    <w:rPr>
      <w:rFonts w:ascii="Arial" w:hAnsi="Arial"/>
    </w:rPr>
  </w:style>
  <w:style w:styleId="Style_1_ch" w:type="character">
    <w:name w:val="ConsPlusNormal"/>
    <w:link w:val="Style_1"/>
    <w:rPr>
      <w:rFonts w:ascii="Arial" w:hAnsi="Arial"/>
    </w:rPr>
  </w:style>
  <w:style w:styleId="Style_13" w:type="paragraph">
    <w:name w:val="Endnote"/>
    <w:link w:val="Style_13_ch"/>
    <w:pPr>
      <w:ind w:firstLine="851"/>
      <w:jc w:val="both"/>
    </w:pPr>
    <w:rPr>
      <w:rFonts w:ascii="XO Thames" w:hAnsi="XO Thames"/>
    </w:rPr>
  </w:style>
  <w:style w:styleId="Style_13_ch" w:type="character">
    <w:name w:val="Endnote"/>
    <w:link w:val="Style_13"/>
    <w:rPr>
      <w:rFonts w:ascii="XO Thames" w:hAnsi="XO Thames"/>
    </w:rPr>
  </w:style>
  <w:style w:styleId="Style_14" w:type="paragraph">
    <w:name w:val="heading 3"/>
    <w:next w:val="Style_5"/>
    <w:link w:val="Style_14_ch"/>
    <w:uiPriority w:val="9"/>
    <w:qFormat/>
    <w:pPr>
      <w:spacing w:after="120" w:before="120"/>
      <w:ind/>
      <w:jc w:val="both"/>
      <w:outlineLvl w:val="2"/>
    </w:pPr>
    <w:rPr>
      <w:rFonts w:ascii="XO Thames" w:hAnsi="XO Thames"/>
      <w:b w:val="1"/>
      <w:sz w:val="26"/>
    </w:rPr>
  </w:style>
  <w:style w:styleId="Style_14_ch" w:type="character">
    <w:name w:val="heading 3"/>
    <w:link w:val="Style_14"/>
    <w:rPr>
      <w:rFonts w:ascii="XO Thames" w:hAnsi="XO Thames"/>
      <w:b w:val="1"/>
      <w:sz w:val="26"/>
    </w:rPr>
  </w:style>
  <w:style w:styleId="Style_3" w:type="paragraph">
    <w:name w:val="Выделение1"/>
    <w:basedOn w:val="Style_8"/>
    <w:link w:val="Style_3_ch"/>
  </w:style>
  <w:style w:styleId="Style_3_ch" w:type="character">
    <w:name w:val="Выделение1"/>
    <w:basedOn w:val="Style_8_ch"/>
    <w:link w:val="Style_3"/>
  </w:style>
  <w:style w:styleId="Style_15" w:type="paragraph">
    <w:name w:val="Normal (Web)"/>
    <w:basedOn w:val="Style_5"/>
    <w:link w:val="Style_15_ch"/>
    <w:pPr>
      <w:spacing w:afterAutospacing="on" w:beforeAutospacing="on"/>
      <w:ind/>
      <w:jc w:val="left"/>
    </w:pPr>
  </w:style>
  <w:style w:styleId="Style_15_ch" w:type="character">
    <w:name w:val="Normal (Web)"/>
    <w:basedOn w:val="Style_5_ch"/>
    <w:link w:val="Style_15"/>
  </w:style>
  <w:style w:styleId="Style_16" w:type="paragraph">
    <w:name w:val="Обычный1"/>
    <w:link w:val="Style_16_ch"/>
    <w:rPr>
      <w:rFonts w:ascii="Times New Roman" w:hAnsi="Times New Roman"/>
      <w:sz w:val="24"/>
    </w:rPr>
  </w:style>
  <w:style w:styleId="Style_16_ch" w:type="character">
    <w:name w:val="Обычный1"/>
    <w:link w:val="Style_16"/>
    <w:rPr>
      <w:rFonts w:ascii="Times New Roman" w:hAnsi="Times New Roman"/>
      <w:sz w:val="24"/>
    </w:rPr>
  </w:style>
  <w:style w:styleId="Style_17" w:type="paragraph">
    <w:name w:val="toc 3"/>
    <w:next w:val="Style_5"/>
    <w:link w:val="Style_17_ch"/>
    <w:uiPriority w:val="39"/>
    <w:pPr>
      <w:ind w:left="400"/>
    </w:pPr>
    <w:rPr>
      <w:rFonts w:ascii="XO Thames" w:hAnsi="XO Thames"/>
      <w:sz w:val="28"/>
    </w:rPr>
  </w:style>
  <w:style w:styleId="Style_17_ch" w:type="character">
    <w:name w:val="toc 3"/>
    <w:link w:val="Style_17"/>
    <w:rPr>
      <w:rFonts w:ascii="XO Thames" w:hAnsi="XO Thames"/>
      <w:sz w:val="28"/>
    </w:rPr>
  </w:style>
  <w:style w:styleId="Style_8" w:type="paragraph">
    <w:name w:val="Основной шрифт абзаца1"/>
    <w:link w:val="Style_8_ch"/>
  </w:style>
  <w:style w:styleId="Style_8_ch" w:type="character">
    <w:name w:val="Основной шрифт абзаца1"/>
    <w:link w:val="Style_8"/>
  </w:style>
  <w:style w:styleId="Style_18" w:type="paragraph">
    <w:name w:val="heading 5"/>
    <w:next w:val="Style_5"/>
    <w:link w:val="Style_18_ch"/>
    <w:uiPriority w:val="9"/>
    <w:qFormat/>
    <w:pPr>
      <w:spacing w:after="120" w:before="120"/>
      <w:ind/>
      <w:jc w:val="both"/>
      <w:outlineLvl w:val="4"/>
    </w:pPr>
    <w:rPr>
      <w:rFonts w:ascii="XO Thames" w:hAnsi="XO Thames"/>
      <w:b w:val="1"/>
    </w:rPr>
  </w:style>
  <w:style w:styleId="Style_18_ch" w:type="character">
    <w:name w:val="heading 5"/>
    <w:link w:val="Style_18"/>
    <w:rPr>
      <w:rFonts w:ascii="XO Thames" w:hAnsi="XO Thames"/>
      <w:b w:val="1"/>
    </w:rPr>
  </w:style>
  <w:style w:styleId="Style_19" w:type="paragraph">
    <w:name w:val="header"/>
    <w:basedOn w:val="Style_5"/>
    <w:link w:val="Style_19_ch"/>
    <w:pPr>
      <w:tabs>
        <w:tab w:leader="none" w:pos="4677" w:val="center"/>
        <w:tab w:leader="none" w:pos="9355" w:val="right"/>
      </w:tabs>
      <w:spacing w:after="0"/>
      <w:ind/>
    </w:pPr>
  </w:style>
  <w:style w:styleId="Style_19_ch" w:type="character">
    <w:name w:val="header"/>
    <w:basedOn w:val="Style_5_ch"/>
    <w:link w:val="Style_19"/>
  </w:style>
  <w:style w:styleId="Style_20" w:type="paragraph">
    <w:name w:val="Default Paragraph Font"/>
    <w:link w:val="Style_20_ch"/>
  </w:style>
  <w:style w:styleId="Style_20_ch" w:type="character">
    <w:name w:val="Default Paragraph Font"/>
    <w:link w:val="Style_20"/>
  </w:style>
  <w:style w:styleId="Style_21" w:type="paragraph">
    <w:name w:val="heading 1"/>
    <w:next w:val="Style_5"/>
    <w:link w:val="Style_21_ch"/>
    <w:uiPriority w:val="9"/>
    <w:qFormat/>
    <w:pPr>
      <w:spacing w:after="120" w:before="120"/>
      <w:ind/>
      <w:jc w:val="both"/>
      <w:outlineLvl w:val="0"/>
    </w:pPr>
    <w:rPr>
      <w:rFonts w:ascii="XO Thames" w:hAnsi="XO Thames"/>
      <w:b w:val="1"/>
      <w:sz w:val="32"/>
    </w:rPr>
  </w:style>
  <w:style w:styleId="Style_21_ch" w:type="character">
    <w:name w:val="heading 1"/>
    <w:link w:val="Style_21"/>
    <w:rPr>
      <w:rFonts w:ascii="XO Thames" w:hAnsi="XO Thames"/>
      <w:b w:val="1"/>
      <w:sz w:val="32"/>
    </w:rPr>
  </w:style>
  <w:style w:styleId="Style_22" w:type="paragraph">
    <w:name w:val="Hyperlink"/>
    <w:link w:val="Style_22_ch"/>
    <w:rPr>
      <w:color w:val="0000FF"/>
      <w:u w:val="single"/>
    </w:rPr>
  </w:style>
  <w:style w:styleId="Style_22_ch" w:type="character">
    <w:name w:val="Hyperlink"/>
    <w:link w:val="Style_22"/>
    <w:rPr>
      <w:color w:val="0000FF"/>
      <w:u w:val="single"/>
    </w:rPr>
  </w:style>
  <w:style w:styleId="Style_23" w:type="paragraph">
    <w:name w:val="Footnote"/>
    <w:basedOn w:val="Style_5"/>
    <w:link w:val="Style_23_ch"/>
    <w:rPr>
      <w:sz w:val="20"/>
    </w:rPr>
  </w:style>
  <w:style w:styleId="Style_23_ch" w:type="character">
    <w:name w:val="Footnote"/>
    <w:basedOn w:val="Style_5_ch"/>
    <w:link w:val="Style_23"/>
    <w:rPr>
      <w:sz w:val="20"/>
    </w:rPr>
  </w:style>
  <w:style w:styleId="Style_24" w:type="paragraph">
    <w:name w:val="toc 1"/>
    <w:next w:val="Style_5"/>
    <w:link w:val="Style_24_ch"/>
    <w:uiPriority w:val="39"/>
    <w:rPr>
      <w:rFonts w:ascii="XO Thames" w:hAnsi="XO Thames"/>
      <w:b w:val="1"/>
      <w:sz w:val="28"/>
    </w:rPr>
  </w:style>
  <w:style w:styleId="Style_24_ch" w:type="character">
    <w:name w:val="toc 1"/>
    <w:link w:val="Style_24"/>
    <w:rPr>
      <w:rFonts w:ascii="XO Thames" w:hAnsi="XO Thames"/>
      <w:b w:val="1"/>
      <w:sz w:val="28"/>
    </w:rPr>
  </w:style>
  <w:style w:styleId="Style_25" w:type="paragraph">
    <w:name w:val="List Paragraph"/>
    <w:basedOn w:val="Style_5"/>
    <w:link w:val="Style_25_ch"/>
    <w:pPr>
      <w:ind w:left="720"/>
      <w:contextualSpacing w:val="1"/>
    </w:pPr>
  </w:style>
  <w:style w:styleId="Style_25_ch" w:type="character">
    <w:name w:val="List Paragraph"/>
    <w:basedOn w:val="Style_5_ch"/>
    <w:link w:val="Style_25"/>
  </w:style>
  <w:style w:styleId="Style_26" w:type="paragraph">
    <w:name w:val="Header and Footer"/>
    <w:link w:val="Style_26_ch"/>
    <w:pPr>
      <w:spacing w:line="240" w:lineRule="auto"/>
      <w:ind/>
      <w:jc w:val="both"/>
    </w:pPr>
    <w:rPr>
      <w:rFonts w:ascii="XO Thames" w:hAnsi="XO Thames"/>
      <w:sz w:val="28"/>
    </w:rPr>
  </w:style>
  <w:style w:styleId="Style_26_ch" w:type="character">
    <w:name w:val="Header and Footer"/>
    <w:link w:val="Style_26"/>
    <w:rPr>
      <w:rFonts w:ascii="XO Thames" w:hAnsi="XO Thames"/>
      <w:sz w:val="28"/>
    </w:rPr>
  </w:style>
  <w:style w:styleId="Style_4" w:type="paragraph">
    <w:name w:val="Гиперссылка1"/>
    <w:basedOn w:val="Style_8"/>
    <w:link w:val="Style_4_ch"/>
    <w:rPr>
      <w:color w:val="0000FF"/>
      <w:u w:val="single"/>
    </w:rPr>
  </w:style>
  <w:style w:styleId="Style_4_ch" w:type="character">
    <w:name w:val="Гиперссылка1"/>
    <w:basedOn w:val="Style_8_ch"/>
    <w:link w:val="Style_4"/>
    <w:rPr>
      <w:color w:val="0000FF"/>
      <w:u w:val="single"/>
    </w:rPr>
  </w:style>
  <w:style w:styleId="Style_27" w:type="paragraph">
    <w:name w:val="toc 9"/>
    <w:next w:val="Style_5"/>
    <w:link w:val="Style_27_ch"/>
    <w:uiPriority w:val="39"/>
    <w:pPr>
      <w:ind w:left="1600"/>
    </w:pPr>
    <w:rPr>
      <w:rFonts w:ascii="XO Thames" w:hAnsi="XO Thames"/>
      <w:sz w:val="28"/>
    </w:rPr>
  </w:style>
  <w:style w:styleId="Style_27_ch" w:type="character">
    <w:name w:val="toc 9"/>
    <w:link w:val="Style_27"/>
    <w:rPr>
      <w:rFonts w:ascii="XO Thames" w:hAnsi="XO Thames"/>
      <w:sz w:val="28"/>
    </w:rPr>
  </w:style>
  <w:style w:styleId="Style_28" w:type="paragraph">
    <w:name w:val="toc 8"/>
    <w:next w:val="Style_5"/>
    <w:link w:val="Style_28_ch"/>
    <w:uiPriority w:val="39"/>
    <w:pPr>
      <w:ind w:left="1400"/>
    </w:pPr>
    <w:rPr>
      <w:rFonts w:ascii="XO Thames" w:hAnsi="XO Thames"/>
      <w:sz w:val="28"/>
    </w:rPr>
  </w:style>
  <w:style w:styleId="Style_28_ch" w:type="character">
    <w:name w:val="toc 8"/>
    <w:link w:val="Style_28"/>
    <w:rPr>
      <w:rFonts w:ascii="XO Thames" w:hAnsi="XO Thames"/>
      <w:sz w:val="28"/>
    </w:rPr>
  </w:style>
  <w:style w:styleId="Style_29" w:type="paragraph">
    <w:name w:val="toc 5"/>
    <w:next w:val="Style_5"/>
    <w:link w:val="Style_29_ch"/>
    <w:uiPriority w:val="39"/>
    <w:pPr>
      <w:ind w:left="800"/>
    </w:pPr>
    <w:rPr>
      <w:rFonts w:ascii="XO Thames" w:hAnsi="XO Thames"/>
      <w:sz w:val="28"/>
    </w:rPr>
  </w:style>
  <w:style w:styleId="Style_29_ch" w:type="character">
    <w:name w:val="toc 5"/>
    <w:link w:val="Style_29"/>
    <w:rPr>
      <w:rFonts w:ascii="XO Thames" w:hAnsi="XO Thames"/>
      <w:sz w:val="28"/>
    </w:rPr>
  </w:style>
  <w:style w:styleId="Style_30" w:type="paragraph">
    <w:name w:val="footer"/>
    <w:basedOn w:val="Style_5"/>
    <w:link w:val="Style_30_ch"/>
    <w:pPr>
      <w:tabs>
        <w:tab w:leader="none" w:pos="4677" w:val="center"/>
        <w:tab w:leader="none" w:pos="9355" w:val="right"/>
      </w:tabs>
      <w:spacing w:after="0"/>
      <w:ind/>
    </w:pPr>
  </w:style>
  <w:style w:styleId="Style_30_ch" w:type="character">
    <w:name w:val="footer"/>
    <w:basedOn w:val="Style_5_ch"/>
    <w:link w:val="Style_30"/>
  </w:style>
  <w:style w:styleId="Style_31" w:type="paragraph">
    <w:name w:val="Subtitle"/>
    <w:next w:val="Style_5"/>
    <w:link w:val="Style_31_ch"/>
    <w:uiPriority w:val="11"/>
    <w:qFormat/>
    <w:pPr>
      <w:ind/>
      <w:jc w:val="both"/>
    </w:pPr>
    <w:rPr>
      <w:rFonts w:ascii="XO Thames" w:hAnsi="XO Thames"/>
      <w:i w:val="1"/>
      <w:sz w:val="24"/>
    </w:rPr>
  </w:style>
  <w:style w:styleId="Style_31_ch" w:type="character">
    <w:name w:val="Subtitle"/>
    <w:link w:val="Style_31"/>
    <w:rPr>
      <w:rFonts w:ascii="XO Thames" w:hAnsi="XO Thames"/>
      <w:i w:val="1"/>
      <w:sz w:val="24"/>
    </w:rPr>
  </w:style>
  <w:style w:styleId="Style_6" w:type="paragraph">
    <w:name w:val="s_1"/>
    <w:basedOn w:val="Style_5"/>
    <w:link w:val="Style_6_ch"/>
    <w:pPr>
      <w:spacing w:after="0"/>
      <w:ind w:firstLine="720"/>
    </w:pPr>
    <w:rPr>
      <w:rFonts w:ascii="Arial" w:hAnsi="Arial"/>
      <w:sz w:val="28"/>
    </w:rPr>
  </w:style>
  <w:style w:styleId="Style_6_ch" w:type="character">
    <w:name w:val="s_1"/>
    <w:basedOn w:val="Style_5_ch"/>
    <w:link w:val="Style_6"/>
    <w:rPr>
      <w:rFonts w:ascii="Arial" w:hAnsi="Arial"/>
      <w:sz w:val="28"/>
    </w:rPr>
  </w:style>
  <w:style w:styleId="Style_32" w:type="paragraph">
    <w:name w:val="Title"/>
    <w:next w:val="Style_5"/>
    <w:link w:val="Style_32_ch"/>
    <w:uiPriority w:val="10"/>
    <w:qFormat/>
    <w:pPr>
      <w:spacing w:after="567" w:before="567"/>
      <w:ind/>
      <w:jc w:val="center"/>
    </w:pPr>
    <w:rPr>
      <w:rFonts w:ascii="XO Thames" w:hAnsi="XO Thames"/>
      <w:b w:val="1"/>
      <w:caps w:val="1"/>
      <w:sz w:val="40"/>
    </w:rPr>
  </w:style>
  <w:style w:styleId="Style_32_ch" w:type="character">
    <w:name w:val="Title"/>
    <w:link w:val="Style_32"/>
    <w:rPr>
      <w:rFonts w:ascii="XO Thames" w:hAnsi="XO Thames"/>
      <w:b w:val="1"/>
      <w:caps w:val="1"/>
      <w:sz w:val="40"/>
    </w:rPr>
  </w:style>
  <w:style w:styleId="Style_33" w:type="paragraph">
    <w:name w:val="heading 4"/>
    <w:next w:val="Style_5"/>
    <w:link w:val="Style_33_ch"/>
    <w:uiPriority w:val="9"/>
    <w:qFormat/>
    <w:pPr>
      <w:spacing w:after="120" w:before="120"/>
      <w:ind/>
      <w:jc w:val="both"/>
      <w:outlineLvl w:val="3"/>
    </w:pPr>
    <w:rPr>
      <w:rFonts w:ascii="XO Thames" w:hAnsi="XO Thames"/>
      <w:b w:val="1"/>
      <w:sz w:val="24"/>
    </w:rPr>
  </w:style>
  <w:style w:styleId="Style_33_ch" w:type="character">
    <w:name w:val="heading 4"/>
    <w:link w:val="Style_33"/>
    <w:rPr>
      <w:rFonts w:ascii="XO Thames" w:hAnsi="XO Thames"/>
      <w:b w:val="1"/>
      <w:sz w:val="24"/>
    </w:rPr>
  </w:style>
  <w:style w:styleId="Style_34" w:type="paragraph">
    <w:name w:val="heading 2"/>
    <w:next w:val="Style_5"/>
    <w:link w:val="Style_34_ch"/>
    <w:uiPriority w:val="9"/>
    <w:qFormat/>
    <w:pPr>
      <w:spacing w:after="120" w:before="120"/>
      <w:ind/>
      <w:jc w:val="both"/>
      <w:outlineLvl w:val="1"/>
    </w:pPr>
    <w:rPr>
      <w:rFonts w:ascii="XO Thames" w:hAnsi="XO Thames"/>
      <w:b w:val="1"/>
      <w:sz w:val="28"/>
    </w:rPr>
  </w:style>
  <w:style w:styleId="Style_34_ch" w:type="character">
    <w:name w:val="heading 2"/>
    <w:link w:val="Style_34"/>
    <w:rPr>
      <w:rFonts w:ascii="XO Thames" w:hAnsi="XO Thames"/>
      <w:b w:val="1"/>
      <w:sz w:val="28"/>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MyOffice-CoreFramework-Linux/34-1238.862.9476.867.1@a81bcf6e81fbb8f5605a803e4664e1d7bed15bf0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2026-10-13T12:40:40Z</dcterms:modified>
</cp:coreProperties>
</file>