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keepNext w:val="1"/>
        <w:keepLines w:val="1"/>
        <w:widowControl w:val="0"/>
        <w:spacing w:after="0"/>
        <w:ind/>
        <w:jc w:val="right"/>
      </w:pPr>
      <w:bookmarkStart w:id="1" w:name="ТекстовоеПоле101"/>
      <w:bookmarkStart w:id="2" w:name="ТЕХНИЧЕСКОЕ_ЗАДАНИЕ"/>
      <w:r>
        <w:t>Приложение №2</w:t>
      </w:r>
      <w:bookmarkEnd w:id="1"/>
    </w:p>
    <w:p w14:paraId="04000000">
      <w:pPr>
        <w:keepNext w:val="1"/>
        <w:keepLines w:val="1"/>
        <w:widowControl w:val="0"/>
        <w:spacing w:after="0"/>
        <w:ind/>
        <w:jc w:val="right"/>
      </w:pPr>
      <w:r>
        <w:rPr>
          <w:color w:val="383838"/>
          <w:highlight w:val="white"/>
        </w:rPr>
        <w:t xml:space="preserve">Оказание услуг по предоставлению прав на использование программного обеспечения Автоматизированной системы «Адресная социальная помощь» включая обновления и дополнительные функциональные возможности (регистрационный номер в ЕРРПО </w:t>
      </w:r>
      <w:r>
        <w:rPr>
          <w:color w:val="383838"/>
          <w:highlight w:val="white"/>
          <w:u w:val="single"/>
        </w:rPr>
        <w:t>№19357 от 04.10.2023)</w:t>
      </w:r>
    </w:p>
    <w:p w14:paraId="05000000">
      <w:pPr>
        <w:keepNext w:val="1"/>
        <w:keepLines w:val="1"/>
        <w:widowControl w:val="0"/>
        <w:spacing w:after="0"/>
        <w:ind/>
        <w:jc w:val="right"/>
        <w:rPr>
          <w:i w:val="1"/>
          <w:sz w:val="22"/>
        </w:rPr>
      </w:pPr>
      <w:r>
        <w:rPr>
          <w:i w:val="1"/>
          <w:sz w:val="18"/>
        </w:rPr>
        <w:t>наименование объекта закупки</w:t>
      </w:r>
    </w:p>
    <w:p w14:paraId="06000000">
      <w:pPr>
        <w:pStyle w:val="Style_2"/>
        <w:widowControl w:val="1"/>
        <w:tabs>
          <w:tab w:leader="none" w:pos="360" w:val="left"/>
        </w:tabs>
        <w:ind w:firstLine="0" w:left="1080"/>
        <w:jc w:val="center"/>
        <w:outlineLvl w:val="1"/>
        <w:rPr>
          <w:rFonts w:ascii="Times New Roman" w:hAnsi="Times New Roman"/>
          <w:b w:val="1"/>
          <w:color w:val="000080"/>
          <w:sz w:val="24"/>
        </w:rPr>
      </w:pPr>
    </w:p>
    <w:p w14:paraId="07000000">
      <w:pPr>
        <w:pStyle w:val="Style_2"/>
        <w:widowControl w:val="1"/>
        <w:tabs>
          <w:tab w:leader="none" w:pos="360" w:val="left"/>
        </w:tabs>
        <w:ind w:firstLine="0" w:left="1080"/>
        <w:jc w:val="center"/>
        <w:outlineLvl w:val="1"/>
        <w:rPr>
          <w:rFonts w:ascii="Times New Roman" w:hAnsi="Times New Roman"/>
          <w:b w:val="1"/>
          <w:color w:val="000080"/>
          <w:sz w:val="24"/>
        </w:rPr>
      </w:pPr>
      <w:r>
        <w:rPr>
          <w:rFonts w:ascii="Times New Roman" w:hAnsi="Times New Roman"/>
          <w:b w:val="1"/>
          <w:color w:val="000080"/>
          <w:sz w:val="24"/>
        </w:rPr>
        <w:t xml:space="preserve"> </w:t>
      </w:r>
      <w:bookmarkEnd w:id="2"/>
      <w:r>
        <w:rPr>
          <w:rFonts w:ascii="Times New Roman" w:hAnsi="Times New Roman"/>
          <w:b w:val="1"/>
          <w:color w:val="000080"/>
          <w:sz w:val="24"/>
        </w:rPr>
        <w:t xml:space="preserve">ОПИСАНИЕ ОБЪЕКТА ЗАКУПКИ </w:t>
      </w:r>
    </w:p>
    <w:p w14:paraId="08000000">
      <w:pPr>
        <w:pStyle w:val="Style_2"/>
        <w:widowControl w:val="1"/>
        <w:tabs>
          <w:tab w:leader="none" w:pos="360" w:val="left"/>
        </w:tabs>
        <w:ind w:firstLine="0" w:left="1080"/>
        <w:jc w:val="center"/>
        <w:outlineLvl w:val="1"/>
        <w:rPr>
          <w:rFonts w:ascii="Times New Roman" w:hAnsi="Times New Roman"/>
          <w:b w:val="1"/>
          <w:color w:val="000080"/>
          <w:sz w:val="24"/>
        </w:rPr>
      </w:pPr>
    </w:p>
    <w:p w14:paraId="09000000">
      <w:pPr>
        <w:pStyle w:val="Style_2"/>
        <w:widowControl w:val="1"/>
        <w:ind w:firstLine="0"/>
        <w:outlineLvl w:val="1"/>
        <w:rPr>
          <w:rFonts w:ascii="Times New Roman" w:hAnsi="Times New Roman"/>
        </w:rPr>
      </w:pPr>
      <w:r>
        <w:rPr>
          <w:rFonts w:ascii="Times New Roman" w:hAnsi="Times New Roman"/>
          <w:b w:val="1"/>
          <w:color w:val="000080"/>
          <w:sz w:val="24"/>
        </w:rPr>
        <w:t>1.Тип объекта закупки: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highlight w:val="lightGray"/>
        </w:rPr>
        <w:t>услуга</w:t>
      </w:r>
    </w:p>
    <w:p w14:paraId="0A000000">
      <w:pPr>
        <w:pStyle w:val="Style_2"/>
        <w:widowControl w:val="1"/>
        <w:ind w:firstLine="0"/>
        <w:outlineLvl w:val="1"/>
        <w:rPr>
          <w:rFonts w:ascii="Times New Roman" w:hAnsi="Times New Roman"/>
          <w:b w:val="1"/>
          <w:color w:val="000080"/>
          <w:sz w:val="24"/>
        </w:rPr>
      </w:pPr>
    </w:p>
    <w:p w14:paraId="0B000000">
      <w:pPr>
        <w:pStyle w:val="Style_2"/>
        <w:widowControl w:val="1"/>
        <w:ind w:firstLine="0"/>
        <w:outlineLvl w:val="1"/>
      </w:pPr>
      <w:r>
        <w:rPr>
          <w:rFonts w:ascii="Times New Roman" w:hAnsi="Times New Roman"/>
          <w:b w:val="1"/>
          <w:color w:val="000080"/>
          <w:sz w:val="24"/>
        </w:rPr>
        <w:t xml:space="preserve">2. Наименование объекта </w:t>
      </w:r>
      <w:r>
        <w:rPr>
          <w:rFonts w:ascii="Times New Roman" w:hAnsi="Times New Roman"/>
          <w:b w:val="1"/>
          <w:color w:val="000080"/>
          <w:sz w:val="24"/>
        </w:rPr>
        <w:t xml:space="preserve">закупки:  </w:t>
      </w:r>
      <w:r>
        <w:rPr>
          <w:rFonts w:ascii="Times New Roman" w:hAnsi="Times New Roman"/>
          <w:color w:val="383838"/>
          <w:sz w:val="24"/>
          <w:highlight w:val="white"/>
        </w:rPr>
        <w:t>Оказание</w:t>
      </w:r>
      <w:r>
        <w:rPr>
          <w:rFonts w:ascii="Times New Roman" w:hAnsi="Times New Roman"/>
          <w:color w:val="383838"/>
          <w:sz w:val="24"/>
          <w:highlight w:val="white"/>
        </w:rPr>
        <w:t xml:space="preserve"> услуг по предоставлению прав на использование программного обеспечения Автоматизированной системы «Адресная социальная помощь» включая обновления и дополнительные функциональные возможности (регистрационный номер в ЕРРПО </w:t>
      </w:r>
      <w:r>
        <w:rPr>
          <w:rFonts w:ascii="Times New Roman" w:hAnsi="Times New Roman"/>
          <w:color w:val="383838"/>
          <w:sz w:val="24"/>
          <w:highlight w:val="white"/>
        </w:rPr>
        <w:t>№19357 от 04.10.2023)</w:t>
      </w:r>
      <w:r>
        <w:rPr>
          <w:rFonts w:ascii="Times New Roman" w:hAnsi="Times New Roman"/>
          <w:color w:val="383838"/>
          <w:sz w:val="24"/>
          <w:highlight w:val="white"/>
        </w:rPr>
        <w:t>.</w:t>
      </w:r>
    </w:p>
    <w:p w14:paraId="0C000000">
      <w:pPr>
        <w:pStyle w:val="Style_2"/>
        <w:widowControl w:val="1"/>
        <w:ind w:firstLine="0"/>
        <w:outlineLvl w:val="1"/>
        <w:rPr>
          <w:rFonts w:ascii="Times New Roman" w:hAnsi="Times New Roman"/>
          <w:b w:val="1"/>
          <w:color w:val="000080"/>
          <w:sz w:val="24"/>
        </w:rPr>
      </w:pPr>
    </w:p>
    <w:p w14:paraId="0D000000">
      <w:pPr>
        <w:pStyle w:val="Style_2"/>
        <w:widowControl w:val="1"/>
        <w:ind w:firstLine="0"/>
        <w:outlineLvl w:val="1"/>
      </w:pPr>
      <w:r>
        <w:rPr>
          <w:rFonts w:ascii="Times New Roman" w:hAnsi="Times New Roman"/>
          <w:b w:val="1"/>
          <w:color w:val="000080"/>
          <w:sz w:val="24"/>
        </w:rPr>
        <w:t xml:space="preserve">3. Код объекта закупки в соответствии с каталогом товаров, работ, услуг для обеспечения государственных и муниципальных нужд (КТРУ) или общероссийским классификатором продукции по видам экономической деятельности (ОКПД 2) ОК 034-2014 (КПЕС 2008) </w:t>
      </w:r>
      <w:r>
        <w:rPr>
          <w:rFonts w:ascii="Times New Roman" w:hAnsi="Times New Roman"/>
          <w:b w:val="1"/>
          <w:color w:val="FF0000"/>
          <w:sz w:val="28"/>
          <w:shd w:themeFill="accent1" w:themeFillTint="66" w:val="clear"/>
          <w:vertAlign w:val="superscript"/>
        </w:rPr>
        <w:t>1</w:t>
      </w:r>
      <w:r>
        <w:rPr>
          <w:rFonts w:ascii="Times New Roman" w:hAnsi="Times New Roman"/>
          <w:b w:val="1"/>
          <w:color w:val="000080"/>
          <w:sz w:val="24"/>
        </w:rPr>
        <w:t>:</w:t>
      </w:r>
      <w:r>
        <w:rPr>
          <w:rFonts w:ascii="Times New Roman" w:hAnsi="Times New Roman"/>
          <w:color w:val="000000"/>
          <w:sz w:val="24"/>
          <w:highlight w:val="white"/>
        </w:rPr>
        <w:t xml:space="preserve"> </w:t>
      </w:r>
      <w:r>
        <w:rPr>
          <w:rFonts w:ascii="Times New Roman" w:hAnsi="Times New Roman"/>
          <w:color w:val="000000"/>
          <w:sz w:val="24"/>
          <w:highlight w:val="white"/>
        </w:rPr>
        <w:t>62.02.30.000: Услуги по технической поддержке информационных технологий</w:t>
      </w:r>
    </w:p>
    <w:p w14:paraId="0E000000">
      <w:pPr>
        <w:pStyle w:val="Style_2"/>
        <w:widowControl w:val="1"/>
        <w:ind w:firstLine="0"/>
        <w:outlineLvl w:val="1"/>
      </w:pPr>
    </w:p>
    <w:p w14:paraId="0F000000">
      <w:pPr>
        <w:pStyle w:val="Style_2"/>
        <w:widowControl w:val="1"/>
        <w:ind w:firstLine="0"/>
        <w:outlineLvl w:val="1"/>
      </w:pPr>
      <w:r>
        <w:rPr>
          <w:rFonts w:ascii="Times New Roman" w:hAnsi="Times New Roman"/>
          <w:b w:val="1"/>
          <w:color w:val="000080"/>
          <w:sz w:val="24"/>
        </w:rPr>
        <w:t xml:space="preserve">4. Предоставление национального режима при осуществлении закупок (ст. 14 Федерального закона от 05.04.2013г. №44-ФЗ: </w:t>
      </w:r>
      <w:r>
        <w:rPr>
          <w:rFonts w:ascii="Times New Roman" w:hAnsi="Times New Roman"/>
          <w:i w:val="1"/>
          <w:color w:val="FF0000"/>
          <w:sz w:val="24"/>
        </w:rPr>
        <w:t>запрет закупок для обеспечения государственных и муниципальных нужд, позиция 146 Приложения №1 к постановлению Правительства Российской Федерации от 23 декабря 2024 г. №1875)</w:t>
      </w:r>
      <w:r>
        <w:t>.</w:t>
      </w:r>
    </w:p>
    <w:p w14:paraId="10000000">
      <w:pPr>
        <w:pStyle w:val="Style_2"/>
        <w:widowControl w:val="1"/>
        <w:ind w:firstLine="0"/>
        <w:outlineLvl w:val="1"/>
      </w:pPr>
    </w:p>
    <w:p w14:paraId="11000000">
      <w:pPr>
        <w:spacing w:after="0"/>
        <w:ind/>
        <w:rPr>
          <w:b w:val="1"/>
          <w:color w:val="FF0000"/>
          <w:sz w:val="28"/>
          <w:vertAlign w:val="superscript"/>
        </w:rPr>
      </w:pPr>
      <w:r>
        <w:rPr>
          <w:b w:val="1"/>
          <w:color w:val="000080"/>
        </w:rPr>
        <w:t>5. Требования к техническим и качественным характеристикам, эксплуатационным характеристикам объекта закупки (при необходимости)</w:t>
      </w:r>
    </w:p>
    <w:p w14:paraId="12000000">
      <w:pPr>
        <w:tabs>
          <w:tab w:leader="none" w:pos="709" w:val="left"/>
          <w:tab w:leader="none" w:pos="993" w:val="left"/>
        </w:tabs>
        <w:spacing w:after="0"/>
        <w:ind w:firstLine="720"/>
        <w:rPr>
          <w:color w:val="000000"/>
        </w:rPr>
      </w:pPr>
      <w:r>
        <w:t xml:space="preserve"> </w:t>
      </w:r>
      <w:r>
        <w:rPr>
          <w:color w:val="000000"/>
        </w:rPr>
        <w:t xml:space="preserve">Автоматизированная система «Адресная социальная помощь» (далее – АС «АСП») </w:t>
      </w:r>
      <w:r>
        <w:rPr>
          <w:color w:val="000000"/>
        </w:rPr>
        <w:t>создана на базе автоматизированной системы управления персональными данными «Тула» (далее - АСУПД «Тула»). Исключительные права на АСУПД «Тула» зарегистрированы в Федеральной службе по интеллектуальной собственности, патентам и товарным знакам. Свидетельство об официальной регистрации автоматизированной системы АСУПД «Тула» № 2022683154 от 01.12.2022 года.</w:t>
      </w:r>
    </w:p>
    <w:p w14:paraId="13000000">
      <w:pPr>
        <w:tabs>
          <w:tab w:leader="none" w:pos="709" w:val="left"/>
          <w:tab w:leader="none" w:pos="993" w:val="left"/>
        </w:tabs>
        <w:spacing w:after="0"/>
        <w:ind w:firstLine="720"/>
        <w:rPr>
          <w:color w:val="000000"/>
        </w:rPr>
      </w:pPr>
      <w:r>
        <w:rPr>
          <w:color w:val="000000"/>
        </w:rPr>
        <w:t xml:space="preserve">Программное обеспечение АСУПД «Тула» имеет сертификат соответствия ФСТЭК России по требованиям безопасности информации, удостоверяющим, что оно является защищенным программным средством обработки информации, не содержащим сведения, составляющих государственную тайну, и соответствует требованиям руководящего документа «Защита от несанкционированного доступа к информации. Часть 1. Программное обеспечение средств защиты информации. Классификация по уровню контроля отсутствия </w:t>
      </w:r>
      <w:r>
        <w:rPr>
          <w:color w:val="000000"/>
        </w:rPr>
        <w:t>недекларированных</w:t>
      </w:r>
      <w:r>
        <w:rPr>
          <w:color w:val="000000"/>
        </w:rPr>
        <w:t xml:space="preserve"> возможностей», утвержденного решением Государственной технической комиссии при Президенте РФ от 04.06.1999г. № 114, по 4 уровню контроля.</w:t>
      </w:r>
    </w:p>
    <w:p w14:paraId="14000000">
      <w:pPr>
        <w:spacing w:after="0"/>
        <w:ind w:firstLine="720"/>
        <w:rPr>
          <w:color w:val="000000"/>
        </w:rPr>
      </w:pPr>
      <w:r>
        <w:rPr>
          <w:color w:val="000000"/>
        </w:rPr>
        <w:t xml:space="preserve">Платформа программного обеспечения АСУПД «Тула» архитектурно построена с использованием технологий .NET и оптимизирована в системе </w:t>
      </w:r>
      <w:r>
        <w:rPr>
          <w:color w:val="000000"/>
        </w:rPr>
        <w:t>Windows</w:t>
      </w:r>
      <w:r>
        <w:rPr>
          <w:color w:val="000000"/>
        </w:rPr>
        <w:t>:</w:t>
      </w:r>
    </w:p>
    <w:p w14:paraId="15000000">
      <w:pPr>
        <w:spacing w:after="0"/>
        <w:ind w:firstLine="720"/>
        <w:rPr>
          <w:color w:val="000000"/>
        </w:rPr>
      </w:pPr>
      <w:r>
        <w:rPr>
          <w:color w:val="000000"/>
        </w:rPr>
        <w:t xml:space="preserve">– база данных работает под управлением СУБД </w:t>
      </w:r>
      <w:r>
        <w:rPr>
          <w:color w:val="000000"/>
        </w:rPr>
        <w:t>Microsoft</w:t>
      </w:r>
      <w:r>
        <w:rPr>
          <w:color w:val="000000"/>
        </w:rPr>
        <w:t xml:space="preserve"> SQL </w:t>
      </w:r>
      <w:r>
        <w:rPr>
          <w:color w:val="000000"/>
        </w:rPr>
        <w:t>Server</w:t>
      </w:r>
      <w:r>
        <w:rPr>
          <w:color w:val="000000"/>
        </w:rPr>
        <w:t>;</w:t>
      </w:r>
    </w:p>
    <w:p w14:paraId="16000000">
      <w:pPr>
        <w:spacing w:after="0"/>
        <w:ind w:firstLine="720"/>
        <w:rPr>
          <w:color w:val="000000"/>
        </w:rPr>
      </w:pPr>
      <w:r>
        <w:rPr>
          <w:color w:val="000000"/>
        </w:rPr>
        <w:t>– использует технологии .NET;</w:t>
      </w:r>
    </w:p>
    <w:p w14:paraId="17000000">
      <w:pPr>
        <w:spacing w:after="0"/>
        <w:ind w:firstLine="720"/>
        <w:rPr>
          <w:color w:val="000000"/>
        </w:rPr>
      </w:pPr>
      <w:r>
        <w:rPr>
          <w:color w:val="000000"/>
        </w:rPr>
        <w:t xml:space="preserve">– поддерживает виртуализацию средствами </w:t>
      </w:r>
      <w:r>
        <w:rPr>
          <w:color w:val="000000"/>
        </w:rPr>
        <w:t>VMware</w:t>
      </w:r>
      <w:r>
        <w:rPr>
          <w:color w:val="000000"/>
        </w:rPr>
        <w:t xml:space="preserve"> и </w:t>
      </w:r>
      <w:r>
        <w:rPr>
          <w:color w:val="000000"/>
        </w:rPr>
        <w:t>Hyper</w:t>
      </w:r>
      <w:r>
        <w:rPr>
          <w:color w:val="000000"/>
        </w:rPr>
        <w:t>-V;</w:t>
      </w:r>
    </w:p>
    <w:p w14:paraId="18000000">
      <w:pPr>
        <w:spacing w:after="0"/>
        <w:ind w:firstLine="720"/>
        <w:rPr>
          <w:color w:val="000000"/>
        </w:rPr>
      </w:pPr>
      <w:r>
        <w:rPr>
          <w:color w:val="000000"/>
        </w:rPr>
        <w:t xml:space="preserve">– системные программные средства представлены лицензионной локализованной версией операционной системы </w:t>
      </w:r>
      <w:r>
        <w:rPr>
          <w:color w:val="000000"/>
        </w:rPr>
        <w:t>Windows</w:t>
      </w:r>
      <w:r>
        <w:rPr>
          <w:color w:val="000000"/>
        </w:rPr>
        <w:t xml:space="preserve">, </w:t>
      </w:r>
      <w:r>
        <w:rPr>
          <w:color w:val="000000"/>
        </w:rPr>
        <w:t>WindowsServer</w:t>
      </w:r>
      <w:r>
        <w:rPr>
          <w:color w:val="000000"/>
        </w:rPr>
        <w:t>.</w:t>
      </w:r>
    </w:p>
    <w:p w14:paraId="19000000">
      <w:pPr>
        <w:tabs>
          <w:tab w:leader="none" w:pos="0" w:val="left"/>
          <w:tab w:leader="none" w:pos="900" w:val="left"/>
        </w:tabs>
        <w:spacing w:after="0"/>
        <w:ind w:firstLine="720"/>
        <w:rPr>
          <w:color w:val="000000"/>
        </w:rPr>
      </w:pPr>
      <w:r>
        <w:rPr>
          <w:color w:val="000000"/>
        </w:rPr>
        <w:t>Обеспечена возможность подключения неограниченного количества модулей расширений, наращивания функционала системы за счет разработки и добавления новых функциональных модулей.</w:t>
      </w:r>
    </w:p>
    <w:p w14:paraId="1A000000">
      <w:pPr>
        <w:keepNext w:val="1"/>
        <w:spacing w:after="0"/>
        <w:ind/>
        <w:outlineLvl w:val="1"/>
        <w:rPr>
          <w:b w:val="1"/>
          <w:color w:val="000000"/>
        </w:rPr>
      </w:pPr>
    </w:p>
    <w:p w14:paraId="1B000000">
      <w:pPr>
        <w:keepNext w:val="1"/>
        <w:tabs>
          <w:tab w:leader="none" w:pos="1276" w:val="left"/>
        </w:tabs>
        <w:ind w:firstLine="709"/>
        <w:outlineLvl w:val="1"/>
        <w:rPr>
          <w:b w:val="1"/>
          <w:color w:val="000000"/>
        </w:rPr>
      </w:pPr>
      <w:r>
        <w:rPr>
          <w:b w:val="1"/>
          <w:color w:val="000000"/>
        </w:rPr>
        <w:t>4.1. Объем услуг.</w:t>
      </w:r>
    </w:p>
    <w:p w14:paraId="1C000000">
      <w:pPr>
        <w:keepNext w:val="1"/>
        <w:tabs>
          <w:tab w:leader="none" w:pos="1276" w:val="left"/>
        </w:tabs>
        <w:ind w:firstLine="709"/>
        <w:outlineLvl w:val="1"/>
        <w:rPr>
          <w:color w:val="000000"/>
        </w:rPr>
      </w:pPr>
      <w:r>
        <w:rPr>
          <w:color w:val="000000"/>
        </w:rPr>
        <w:t>4.1.1. Предоставление прав на использование обновлений и дополнительных</w:t>
      </w:r>
      <w:r>
        <w:rPr>
          <w:b w:val="1"/>
          <w:color w:val="000000"/>
        </w:rPr>
        <w:t xml:space="preserve"> </w:t>
      </w:r>
      <w:r>
        <w:rPr>
          <w:color w:val="000000"/>
        </w:rPr>
        <w:t>функциональных возможностей программного обеспечения Автоматизированной системы «Адресная социальная помощь», созданного на платформе и являющегося частью аппаратно-программного комплекса АСУПД «Тула».</w:t>
      </w:r>
    </w:p>
    <w:p w14:paraId="1D000000">
      <w:pPr>
        <w:keepNext w:val="1"/>
        <w:tabs>
          <w:tab w:leader="none" w:pos="1276" w:val="left"/>
        </w:tabs>
        <w:ind w:firstLine="709"/>
        <w:outlineLvl w:val="1"/>
        <w:rPr>
          <w:color w:val="000000"/>
        </w:rPr>
      </w:pPr>
      <w:r>
        <w:rPr>
          <w:color w:val="000000"/>
        </w:rPr>
        <w:t xml:space="preserve">4.1.2. </w:t>
      </w:r>
      <w:r>
        <w:rPr>
          <w:color w:val="000000"/>
        </w:rPr>
        <w:t>Обновленная версия программного обеспечения АС «АСП» включает в себя доработки, выполненные с целью обеспечения работоспособности системы в соответствии с законодательством региона.</w:t>
      </w:r>
    </w:p>
    <w:p w14:paraId="1E000000">
      <w:pPr>
        <w:spacing w:after="0" w:line="120" w:lineRule="auto"/>
        <w:ind w:firstLine="720"/>
        <w:rPr>
          <w:color w:val="000000"/>
        </w:rPr>
      </w:pPr>
    </w:p>
    <w:p w14:paraId="1F000000">
      <w:pPr>
        <w:spacing w:after="0"/>
        <w:ind w:firstLine="720"/>
        <w:rPr>
          <w:color w:val="000000"/>
        </w:rPr>
      </w:pPr>
      <w:r>
        <w:rPr>
          <w:color w:val="000000"/>
        </w:rPr>
        <w:t>Поставка ПО предоставляются по электронным каналам связи уполномоченному лицу, предварительно согласованному с Заказчиком.</w:t>
      </w:r>
    </w:p>
    <w:p w14:paraId="20000000">
      <w:pPr>
        <w:spacing w:after="0"/>
        <w:ind w:firstLine="720"/>
        <w:rPr>
          <w:color w:val="000000"/>
        </w:rPr>
      </w:pPr>
    </w:p>
    <w:p w14:paraId="21000000">
      <w:pPr>
        <w:spacing w:after="0"/>
        <w:ind w:firstLine="708"/>
        <w:rPr>
          <w:color w:val="000000"/>
        </w:rPr>
      </w:pPr>
      <w:r>
        <w:rPr>
          <w:color w:val="000000"/>
        </w:rPr>
        <w:t>4.1.3.</w:t>
      </w:r>
      <w:r>
        <w:rPr>
          <w:b w:val="1"/>
          <w:color w:val="000000"/>
        </w:rPr>
        <w:t xml:space="preserve"> </w:t>
      </w:r>
      <w:r>
        <w:rPr>
          <w:color w:val="000000"/>
        </w:rPr>
        <w:t>«Интеграция с ГИС ЕЦП» в части: Интеграции с банком данных несовершеннолетних узников концлагерей, Интеграции с банком данных ветеранов труда, Интеграции с банком данных пострадавших от радиации, Интеграции с банком данных ветеранов ВОВ</w:t>
      </w:r>
    </w:p>
    <w:p w14:paraId="22000000">
      <w:pPr>
        <w:spacing w:after="0"/>
        <w:ind w:firstLine="708"/>
      </w:pPr>
      <w:r>
        <w:t>Услуги предназначены для передачи в банки данных ГИС ЕЦП решений об отнесении граждан к следующим категориям граждан, имеющих право на получение мер социальной защиты (поддержки) в случаях, предусмотренных законодательством Российской Федерации, и ведение учета сведений о таких гражданах:</w:t>
      </w:r>
    </w:p>
    <w:p w14:paraId="23000000">
      <w:pPr>
        <w:spacing w:after="0"/>
        <w:ind w:firstLine="708"/>
      </w:pPr>
      <w:r>
        <w:tab/>
      </w:r>
      <w:r>
        <w:t>- бывшие несовершеннолетние узники концлагерей, гетто, других мест принудительного содержания, созданных фашистами и их союзниками в период Второй мировой войны;</w:t>
      </w:r>
    </w:p>
    <w:p w14:paraId="24000000">
      <w:pPr>
        <w:spacing w:after="0"/>
        <w:ind w:firstLine="708"/>
      </w:pPr>
      <w:r>
        <w:tab/>
      </w:r>
      <w:r>
        <w:t>- ветераны труда;</w:t>
      </w:r>
    </w:p>
    <w:p w14:paraId="25000000">
      <w:pPr>
        <w:spacing w:after="0"/>
        <w:ind w:firstLine="708"/>
      </w:pPr>
      <w:r>
        <w:tab/>
      </w:r>
      <w:r>
        <w:t>- пострадавшие в результате радиационных или техногенных катастроф;</w:t>
      </w:r>
    </w:p>
    <w:p w14:paraId="26000000">
      <w:pPr>
        <w:spacing w:after="0"/>
        <w:ind w:firstLine="708"/>
      </w:pPr>
      <w:r>
        <w:tab/>
      </w:r>
      <w:r>
        <w:t>- ветераны Великой Отечественной войны, инвалиды Великой Отечественной войны, члены семей погибших (умерших) инвалидов Великой Отечественной войны, участников Великой Отечественной войны;</w:t>
      </w:r>
    </w:p>
    <w:p w14:paraId="27000000">
      <w:pPr>
        <w:spacing w:after="0"/>
        <w:ind w:firstLine="708"/>
      </w:pPr>
      <w:r>
        <w:t>Модернизируемая Система должна обеспечивать следующие функциональные возможности:</w:t>
      </w:r>
    </w:p>
    <w:p w14:paraId="28000000">
      <w:pPr>
        <w:spacing w:after="0"/>
        <w:ind w:firstLine="708"/>
      </w:pPr>
      <w:r>
        <w:t xml:space="preserve">1. Функционал «Выдачи справок и удостоверений», должен в себя включать: </w:t>
      </w:r>
    </w:p>
    <w:p w14:paraId="29000000">
      <w:pPr>
        <w:spacing w:after="0"/>
        <w:ind w:firstLine="708"/>
      </w:pPr>
      <w:r>
        <w:t>•</w:t>
      </w:r>
      <w:r>
        <w:tab/>
      </w:r>
      <w:r>
        <w:t>ведение таблицы настроек для учета правовых особенностей нормативных актов, ведение необходимых справочников-классификаторов для выгрузки данных в ГИС ЕЦП;</w:t>
      </w:r>
    </w:p>
    <w:p w14:paraId="2A000000">
      <w:pPr>
        <w:spacing w:after="0"/>
        <w:ind w:firstLine="708"/>
      </w:pPr>
      <w:r>
        <w:t>•</w:t>
      </w:r>
      <w:r>
        <w:tab/>
      </w:r>
      <w:r>
        <w:t>учет заявлений граждан на получение документов (удостоверений и дубликатов удостоверений);</w:t>
      </w:r>
    </w:p>
    <w:p w14:paraId="2B000000">
      <w:pPr>
        <w:spacing w:after="0"/>
        <w:ind w:firstLine="708"/>
      </w:pPr>
      <w:r>
        <w:t>•</w:t>
      </w:r>
      <w:r>
        <w:tab/>
      </w:r>
      <w:r>
        <w:t>учет в электронном личном деле гражданина подтверждающих документов, требуемых для присвоения статусов, выдачи документов;</w:t>
      </w:r>
    </w:p>
    <w:p w14:paraId="2C000000">
      <w:pPr>
        <w:spacing w:after="0"/>
        <w:ind w:firstLine="708"/>
      </w:pPr>
      <w:r>
        <w:t>•</w:t>
      </w:r>
      <w:r>
        <w:tab/>
      </w:r>
      <w:r>
        <w:t>прием и регистрация заявлений граждан на первичную и повторную выдачу документов, дубликатов документов, продление сроков действия выданных документов, присвоенных статусов;</w:t>
      </w:r>
    </w:p>
    <w:p w14:paraId="2D000000">
      <w:pPr>
        <w:spacing w:after="0"/>
        <w:ind w:firstLine="708"/>
      </w:pPr>
      <w:r>
        <w:t>•</w:t>
      </w:r>
      <w:r>
        <w:tab/>
      </w:r>
      <w:r>
        <w:t>проверка права назначения меры социальной поддержки и принятие решения о выдаче или отказе в выдаче документов, присвоении статусов;</w:t>
      </w:r>
    </w:p>
    <w:p w14:paraId="2E000000">
      <w:pPr>
        <w:spacing w:after="0"/>
        <w:ind w:firstLine="708"/>
      </w:pPr>
      <w:r>
        <w:t>•</w:t>
      </w:r>
      <w:r>
        <w:tab/>
      </w:r>
      <w:r>
        <w:t>возможность формирования печатных форм;</w:t>
      </w:r>
    </w:p>
    <w:p w14:paraId="2F000000">
      <w:pPr>
        <w:spacing w:after="0"/>
        <w:ind w:firstLine="708"/>
      </w:pPr>
      <w:r>
        <w:t>•</w:t>
      </w:r>
      <w:r>
        <w:tab/>
      </w:r>
      <w:r>
        <w:t>проверку права назначения меры социальной поддержки и принятие решения о предоставлении или отказе в выдаче документов, присвоении статусов;</w:t>
      </w:r>
    </w:p>
    <w:p w14:paraId="30000000">
      <w:pPr>
        <w:spacing w:after="0"/>
        <w:ind w:firstLine="708"/>
      </w:pPr>
      <w:r>
        <w:t>•</w:t>
      </w:r>
      <w:r>
        <w:tab/>
      </w:r>
      <w:r>
        <w:t>фиксацию и хранение выданных документов, присвоенных статусов в электронном личном деле гражданина и членов его семьи, фиксацию факта оказания услуги;</w:t>
      </w:r>
    </w:p>
    <w:p w14:paraId="31000000">
      <w:pPr>
        <w:spacing w:after="0"/>
        <w:ind w:firstLine="708"/>
      </w:pPr>
      <w:r>
        <w:t>•</w:t>
      </w:r>
      <w:r>
        <w:tab/>
      </w:r>
      <w:r>
        <w:t>возможность формирования уникального номера документа и номера решения;</w:t>
      </w:r>
    </w:p>
    <w:p w14:paraId="32000000">
      <w:pPr>
        <w:spacing w:after="0"/>
        <w:ind w:firstLine="708"/>
      </w:pPr>
      <w:r>
        <w:t>•</w:t>
      </w:r>
      <w:r>
        <w:tab/>
      </w:r>
      <w:r>
        <w:t>возможность прекращения действия выданных документов, присвоенных статусов при потере права или иных обязательствах;</w:t>
      </w:r>
    </w:p>
    <w:p w14:paraId="33000000">
      <w:pPr>
        <w:spacing w:after="0"/>
        <w:ind w:firstLine="708"/>
      </w:pPr>
      <w:r>
        <w:t>•</w:t>
      </w:r>
      <w:r>
        <w:tab/>
      </w:r>
      <w:r>
        <w:t>обеспечение проверки права по совокупности параметров на получение документов, присвоении статусов с фиксированием всех этапов процесса;</w:t>
      </w:r>
    </w:p>
    <w:p w14:paraId="34000000">
      <w:pPr>
        <w:spacing w:after="0"/>
        <w:ind w:firstLine="708"/>
      </w:pPr>
      <w:r>
        <w:t>•</w:t>
      </w:r>
      <w:r>
        <w:tab/>
      </w:r>
      <w:r>
        <w:t>фиксация выдачи электронного документа наряду с бумажным вариантом;</w:t>
      </w:r>
    </w:p>
    <w:p w14:paraId="35000000">
      <w:pPr>
        <w:spacing w:after="0"/>
        <w:ind w:firstLine="708"/>
      </w:pPr>
      <w:r>
        <w:t>•</w:t>
      </w:r>
      <w:r>
        <w:tab/>
      </w:r>
      <w:r>
        <w:t>подтверждение права получения документа, присвоения статуса посредством электронной подписи с поддержкой QR-кода и сведения о сертификате ЭП;</w:t>
      </w:r>
    </w:p>
    <w:p w14:paraId="36000000">
      <w:pPr>
        <w:spacing w:after="0"/>
        <w:ind w:firstLine="708"/>
      </w:pPr>
      <w:r>
        <w:t>•</w:t>
      </w:r>
      <w:r>
        <w:tab/>
      </w:r>
      <w:r>
        <w:t>формирование заявления в программном комплексе с фиксацией выдачи документа и использование ЭП;</w:t>
      </w:r>
    </w:p>
    <w:p w14:paraId="37000000">
      <w:pPr>
        <w:spacing w:after="0"/>
        <w:ind w:firstLine="708"/>
      </w:pPr>
      <w:r>
        <w:t>•</w:t>
      </w:r>
      <w:r>
        <w:tab/>
      </w:r>
      <w:r>
        <w:t>возможность анализа доходов граждан при проверке права для выдачи документов и присвоении статусов;</w:t>
      </w:r>
    </w:p>
    <w:p w14:paraId="38000000">
      <w:pPr>
        <w:spacing w:after="0"/>
        <w:ind w:firstLine="708"/>
      </w:pPr>
      <w:r>
        <w:t>•</w:t>
      </w:r>
      <w:r>
        <w:tab/>
      </w:r>
      <w:r>
        <w:t>возможность отображения в заявлениях граждан ежемесячных доходов, среднедушевых доходов, величины прожиточного минимума.</w:t>
      </w:r>
    </w:p>
    <w:p w14:paraId="39000000">
      <w:pPr>
        <w:spacing w:after="0"/>
        <w:ind w:firstLine="708"/>
      </w:pPr>
      <w:r>
        <w:t>•</w:t>
      </w:r>
      <w:r>
        <w:tab/>
      </w:r>
      <w:r>
        <w:t>возможность подачи заявления через ЕПГУ по ссылке ttps://www.gosuslugi.ru/600194/1 и отсылки уведомлений о результате;</w:t>
      </w:r>
    </w:p>
    <w:p w14:paraId="3A000000">
      <w:pPr>
        <w:spacing w:after="0"/>
        <w:ind w:firstLine="708"/>
      </w:pPr>
      <w:r>
        <w:t>•</w:t>
      </w:r>
      <w:r>
        <w:tab/>
      </w:r>
      <w:r>
        <w:t>ведение реестра выданных документов;</w:t>
      </w:r>
    </w:p>
    <w:p w14:paraId="3B000000">
      <w:pPr>
        <w:spacing w:after="0"/>
        <w:ind w:firstLine="708"/>
      </w:pPr>
      <w:r>
        <w:t>•</w:t>
      </w:r>
      <w:r>
        <w:tab/>
      </w:r>
      <w:r>
        <w:t>возможность массового формирования заявлений граждан исходя из ранее выданных документов, присвоенных статусов.</w:t>
      </w:r>
    </w:p>
    <w:p w14:paraId="3C000000">
      <w:pPr>
        <w:spacing w:after="0"/>
        <w:ind w:firstLine="708"/>
      </w:pPr>
      <w:r>
        <w:t xml:space="preserve">2. Функционал «Формирование и учет выгрузок в ПФР», должен в себя включать: </w:t>
      </w:r>
    </w:p>
    <w:p w14:paraId="3D000000">
      <w:pPr>
        <w:spacing w:after="0"/>
        <w:ind w:firstLine="708"/>
      </w:pPr>
      <w:r>
        <w:t>•</w:t>
      </w:r>
      <w:r>
        <w:tab/>
      </w:r>
      <w:r>
        <w:t xml:space="preserve">возможность формирования сведений для последующей выгрузки в ГИС ЕЦП посредством </w:t>
      </w:r>
      <w:r>
        <w:t>СМЭВ</w:t>
      </w:r>
      <w:r>
        <w:t xml:space="preserve"> версии 3</w:t>
      </w:r>
      <w:r>
        <w:t>, используя вид сведений в соответствии с п.4. настоящего регламента;</w:t>
      </w:r>
    </w:p>
    <w:p w14:paraId="3E000000">
      <w:pPr>
        <w:spacing w:after="0"/>
        <w:ind w:firstLine="708"/>
      </w:pPr>
      <w:r>
        <w:t>•</w:t>
      </w:r>
      <w:r>
        <w:tab/>
      </w:r>
      <w:r>
        <w:t>формирование выгрузки в виде архивного файла формата .</w:t>
      </w:r>
      <w:r>
        <w:t>zip</w:t>
      </w:r>
      <w:r>
        <w:t xml:space="preserve"> с последующей отправкой по </w:t>
      </w:r>
      <w:r>
        <w:t>СМЭВ</w:t>
      </w:r>
      <w:r>
        <w:t xml:space="preserve"> версии 3</w:t>
      </w:r>
      <w:r>
        <w:t xml:space="preserve"> в формате .</w:t>
      </w:r>
      <w:r>
        <w:t>xml</w:t>
      </w:r>
      <w:r>
        <w:t xml:space="preserve"> согласно утвержденному составу полей на основании постановления Правительства Российской Федерации от 29 декабря 2023 года №2386 «О государственной информационной системе «Единая централизованная цифровая платформа в социальной сфере»;</w:t>
      </w:r>
    </w:p>
    <w:p w14:paraId="3F000000">
      <w:pPr>
        <w:spacing w:after="0"/>
        <w:ind w:firstLine="708"/>
      </w:pPr>
      <w:r>
        <w:t>•</w:t>
      </w:r>
      <w:r>
        <w:tab/>
      </w:r>
      <w:r>
        <w:t>выбор типа выгрузки в зависимости от вида заявлений для формирования соответствующих банков данных в ГИС ЕЦП;</w:t>
      </w:r>
    </w:p>
    <w:p w14:paraId="40000000">
      <w:pPr>
        <w:spacing w:after="0"/>
        <w:ind w:firstLine="708"/>
      </w:pPr>
      <w:r>
        <w:t>•</w:t>
      </w:r>
      <w:r>
        <w:tab/>
      </w:r>
      <w:r>
        <w:t>формирование файлов предупреждений и отклонений в формате при выгрузке;</w:t>
      </w:r>
    </w:p>
    <w:p w14:paraId="41000000">
      <w:pPr>
        <w:spacing w:after="0"/>
        <w:ind w:firstLine="708"/>
      </w:pPr>
      <w:r>
        <w:t>•</w:t>
      </w:r>
      <w:r>
        <w:tab/>
      </w:r>
      <w:r>
        <w:t xml:space="preserve">отображение информации о сформированной выгрузке: наименование, кем создана выгрузка, тип выгрузки, дата выгрузки, период, за который собирается информация, информация о дате направления и получения ответа по </w:t>
      </w:r>
      <w:r>
        <w:t>СМЭВ</w:t>
      </w:r>
      <w:r>
        <w:t xml:space="preserve"> версии 3</w:t>
      </w:r>
      <w:r>
        <w:t>, количество граждан (всего отобранных на выгрузку/подлежащих выгрузке, с предупреждениями, отклоненных), наименование вида выгружаемых заявлений;</w:t>
      </w:r>
    </w:p>
    <w:p w14:paraId="42000000">
      <w:pPr>
        <w:spacing w:after="0"/>
        <w:ind w:firstLine="708"/>
      </w:pPr>
      <w:r>
        <w:t>•</w:t>
      </w:r>
      <w:r>
        <w:tab/>
      </w:r>
      <w:r>
        <w:t xml:space="preserve">возможность перехода в список заявлений граждан, сформированных на выгрузку с отображением вида заявления, ФИО гражданина-заявителя, СНИЛС и адрес заявителя; статуса и даты загрузки сведений по </w:t>
      </w:r>
      <w:r>
        <w:t>СМЭВ</w:t>
      </w:r>
      <w:r>
        <w:t xml:space="preserve"> версии 3</w:t>
      </w:r>
      <w:r>
        <w:t>, статуса обработки данных и отображение реестрового номера записи, присвоенного гражданину в ГИС ЕЦП, причины отклонения информации в ГИС ЕЦП;</w:t>
      </w:r>
    </w:p>
    <w:p w14:paraId="43000000">
      <w:pPr>
        <w:spacing w:after="0"/>
        <w:ind w:firstLine="708"/>
      </w:pPr>
      <w:r>
        <w:t>•</w:t>
      </w:r>
      <w:r>
        <w:tab/>
      </w:r>
      <w:r>
        <w:t>возможность отбора и отображения на экране видов выгрузок и списков заявлений граждан согласно заданному фильтру;</w:t>
      </w:r>
    </w:p>
    <w:p w14:paraId="44000000">
      <w:pPr>
        <w:spacing w:after="0"/>
        <w:ind w:firstLine="708"/>
      </w:pPr>
      <w:r>
        <w:t>•</w:t>
      </w:r>
      <w:r>
        <w:tab/>
      </w:r>
      <w:r>
        <w:t xml:space="preserve">возможность отправки в ГИС ЕЦП сформированной выгрузки по </w:t>
      </w:r>
      <w:r>
        <w:t>СМЭВ</w:t>
      </w:r>
      <w:r>
        <w:t xml:space="preserve"> версии 3</w:t>
      </w:r>
      <w:r>
        <w:t>;</w:t>
      </w:r>
    </w:p>
    <w:p w14:paraId="45000000">
      <w:pPr>
        <w:spacing w:after="0"/>
        <w:ind w:firstLine="708"/>
      </w:pPr>
      <w:r>
        <w:t>•</w:t>
      </w:r>
      <w:r>
        <w:tab/>
      </w:r>
      <w:r>
        <w:t xml:space="preserve">возможность запроса и записи ответов </w:t>
      </w:r>
      <w:r>
        <w:t>СМЭВ</w:t>
      </w:r>
      <w:r>
        <w:t xml:space="preserve"> версии 3</w:t>
      </w:r>
      <w:r>
        <w:t>;</w:t>
      </w:r>
    </w:p>
    <w:p w14:paraId="46000000">
      <w:pPr>
        <w:spacing w:after="0"/>
        <w:ind w:firstLine="708"/>
      </w:pPr>
      <w:r>
        <w:t>•</w:t>
      </w:r>
      <w:r>
        <w:tab/>
      </w:r>
      <w:r>
        <w:t>массовую автоматическую смену статуса выгрузки заявлений, отклоненных в ГИС ЕЦП, для повторной переотправки заявлений;</w:t>
      </w:r>
    </w:p>
    <w:p w14:paraId="47000000">
      <w:pPr>
        <w:spacing w:after="0"/>
        <w:ind w:firstLine="708"/>
      </w:pPr>
      <w:r>
        <w:t>•</w:t>
      </w:r>
      <w:r>
        <w:tab/>
      </w:r>
      <w:r>
        <w:t>возможность печати списков выгрузок и заявлений, вывода на печать файлов выгрузки, предупреждений и отклонений;</w:t>
      </w:r>
    </w:p>
    <w:p w14:paraId="48000000">
      <w:pPr>
        <w:spacing w:after="0"/>
        <w:ind w:firstLine="708"/>
      </w:pPr>
      <w:r>
        <w:t>•</w:t>
      </w:r>
      <w:r>
        <w:tab/>
      </w:r>
      <w:r>
        <w:t xml:space="preserve">обработку статусов выгрузок заявлений с учетом полученных ответов </w:t>
      </w:r>
      <w:r>
        <w:t>СМЭВ</w:t>
      </w:r>
      <w:r>
        <w:t xml:space="preserve"> версии 3</w:t>
      </w:r>
      <w:r>
        <w:t>;</w:t>
      </w:r>
    </w:p>
    <w:p w14:paraId="49000000">
      <w:pPr>
        <w:spacing w:after="0"/>
        <w:ind w:firstLine="708"/>
      </w:pPr>
      <w:r>
        <w:t>•</w:t>
      </w:r>
      <w:r>
        <w:tab/>
      </w:r>
      <w:r>
        <w:t>возможность перехода в заявления граждан по гиперссылке из сформированной выгрузки;</w:t>
      </w:r>
    </w:p>
    <w:p w14:paraId="4A000000">
      <w:pPr>
        <w:spacing w:after="0"/>
        <w:ind w:firstLine="708"/>
      </w:pPr>
      <w:r>
        <w:t>•</w:t>
      </w:r>
      <w:r>
        <w:tab/>
      </w:r>
      <w:r>
        <w:t>переход в ПКУ граждан по гиперссылке из сформированной выгрузки.</w:t>
      </w:r>
    </w:p>
    <w:p w14:paraId="4B000000">
      <w:pPr>
        <w:spacing w:after="0"/>
        <w:ind w:firstLine="708"/>
      </w:pPr>
      <w:r>
        <w:t>3. Функционал поддержки принятия решений, который должен состоять из следующих функциональных модулей:</w:t>
      </w:r>
    </w:p>
    <w:p w14:paraId="4C000000">
      <w:pPr>
        <w:spacing w:after="0"/>
        <w:ind w:firstLine="708"/>
      </w:pPr>
      <w:r>
        <w:t>- «Параметрические таблицы настроек» должны осуществлять формирование специальных параметрических таблиц настроек, позволяющих производить настройку условий и правил предоставления мер социальной поддержки на основании нормативно-справочной информации, определение прав граждан на получение льготных категорий или назначение мер социальной поддержки на основании заданных правил;</w:t>
      </w:r>
    </w:p>
    <w:p w14:paraId="4D000000">
      <w:pPr>
        <w:spacing w:after="0"/>
        <w:ind w:firstLine="708"/>
      </w:pPr>
      <w:r>
        <w:t>- «Нормативно-справочная информация» должна обеспечивать выполнение функций по созданию и ведению справочников-классификаторов, используемых при заполнении информации электронного личного дела гражданина, создания и ведения дополнительных нормативных таблиц, используемых в задачах при назначении мер социальной поддержки.</w:t>
      </w:r>
    </w:p>
    <w:p w14:paraId="4E000000">
      <w:pPr>
        <w:spacing w:after="0"/>
        <w:ind w:firstLine="708"/>
      </w:pPr>
      <w:r>
        <w:t>- «Социальное законодательство» должен осуществлять формирование, обработку и обновление базы данных по социальному законодательству. В законодательной базе должны храниться сведения о федеральных, региональных и муниципальных нормативных правовых актах, на основании которых предоставляются различные льготы, субсидии, компенсации, социальные выплаты. Информация о нормативном правовом акте должна содержать: вид документа, дату принятия и номер документа, кем принят документ, текст документа в формате .</w:t>
      </w:r>
      <w:r>
        <w:t>rtf</w:t>
      </w:r>
      <w:r>
        <w:t>. Должно быть создано формализованное описание каждого документа с целью определения условий на основании каких законов - какие категории – на какие льготы имеют право – какие условия предоставления льготы определены законом.</w:t>
      </w:r>
    </w:p>
    <w:p w14:paraId="4F000000">
      <w:pPr>
        <w:spacing w:after="0"/>
        <w:ind w:firstLine="708"/>
      </w:pPr>
      <w:r>
        <w:t>- «Интерпретатор» должен осуществлять интерпретирование правил, осуществление механизмов логического вывода используя описания специальных параметрических таблиц настроек и информацию базы данных «Социальное законодательство».</w:t>
      </w:r>
    </w:p>
    <w:p w14:paraId="50000000">
      <w:pPr>
        <w:spacing w:after="0"/>
        <w:ind w:firstLine="708"/>
      </w:pPr>
      <w:r>
        <w:t xml:space="preserve">Пользователь Системы должен иметь возможность просмотра и печати существующих в Системе справочников по заданным условиям. </w:t>
      </w:r>
    </w:p>
    <w:p w14:paraId="51000000">
      <w:pPr>
        <w:spacing w:after="0"/>
        <w:ind w:firstLine="708"/>
      </w:pPr>
      <w:r>
        <w:t>При редактировании существующего справочника должна иметься возможность выбрать объект из списка объектов, изменить введенные ранее параметры либо заполнить дополнительные параметры, возможность удалить выбранный объект базы нормативно-справочной информации. При создании справочника должны быть определены обязательные для заполнения реквизиты.</w:t>
      </w:r>
    </w:p>
    <w:p w14:paraId="52000000">
      <w:pPr>
        <w:spacing w:after="0"/>
        <w:ind w:firstLine="708"/>
      </w:pPr>
      <w:r>
        <w:t>Возможность настройки параметров модулей должна определяться ролью пользователя в системе.</w:t>
      </w:r>
    </w:p>
    <w:p w14:paraId="53000000">
      <w:pPr>
        <w:spacing w:after="0"/>
        <w:ind w:firstLine="708"/>
      </w:pPr>
      <w:r>
        <w:t>4. Функционал интеграции с ГИС ЕЦП, где должны быть реализованы:</w:t>
      </w:r>
    </w:p>
    <w:p w14:paraId="54000000">
      <w:pPr>
        <w:spacing w:after="0"/>
        <w:ind w:firstLine="708"/>
      </w:pPr>
      <w:r>
        <w:t>•</w:t>
      </w:r>
      <w:r>
        <w:tab/>
      </w:r>
      <w:r>
        <w:t xml:space="preserve">интеграция с ГИС ЕЦП с помощью ВС СЗБД в </w:t>
      </w:r>
      <w:r>
        <w:t>СМЭВ</w:t>
      </w:r>
      <w:r>
        <w:t xml:space="preserve"> версии 3</w:t>
      </w:r>
      <w:r>
        <w:t>;</w:t>
      </w:r>
    </w:p>
    <w:p w14:paraId="55000000">
      <w:pPr>
        <w:spacing w:after="0"/>
        <w:ind w:firstLine="708"/>
      </w:pPr>
      <w:r>
        <w:t>•</w:t>
      </w:r>
      <w:r>
        <w:tab/>
      </w:r>
      <w:r>
        <w:t xml:space="preserve">механизм взаимодействия с ВС СЗБД по каналам </w:t>
      </w:r>
      <w:r>
        <w:t>СМЭВ</w:t>
      </w:r>
      <w:r>
        <w:t xml:space="preserve"> версии 3 </w:t>
      </w:r>
      <w:r>
        <w:t>в продуктивную среду актуальной версии ГИС ЕЦП;</w:t>
      </w:r>
    </w:p>
    <w:p w14:paraId="56000000">
      <w:pPr>
        <w:spacing w:after="0"/>
        <w:ind w:firstLine="708"/>
      </w:pPr>
      <w:r>
        <w:t>•</w:t>
      </w:r>
      <w:r>
        <w:tab/>
      </w:r>
      <w:r>
        <w:t xml:space="preserve">направление сведений в банки данных ГИС ЕЦП в соответствии с утвержденными форматами данных на основании постановления Правительства Российской Федерации от 29 декабря 2023 года №2386 «О государственной </w:t>
      </w:r>
      <w:r>
        <w:t xml:space="preserve">информационной системе «Единая централизованная цифровая платформа в социальной сфере» </w:t>
      </w:r>
    </w:p>
    <w:p w14:paraId="57000000">
      <w:pPr>
        <w:spacing w:after="0"/>
        <w:ind w:firstLine="708"/>
      </w:pPr>
      <w:r>
        <w:t>•</w:t>
      </w:r>
      <w:r>
        <w:tab/>
      </w:r>
      <w:r>
        <w:t xml:space="preserve">доработка подсистем, задействованных в выгрузке данных в ГИС ЕЦП, согласно изменениям, вносимым в </w:t>
      </w:r>
      <w:r>
        <w:t>xsd</w:t>
      </w:r>
      <w:r>
        <w:t>-схемы, форматы данных и ВС;</w:t>
      </w:r>
    </w:p>
    <w:p w14:paraId="58000000">
      <w:pPr>
        <w:spacing w:after="0"/>
        <w:ind w:firstLine="708"/>
      </w:pPr>
      <w:r>
        <w:t>•</w:t>
      </w:r>
      <w:r>
        <w:tab/>
      </w:r>
      <w:r>
        <w:t xml:space="preserve">прием ответов из ГИС ЕЦП в соответствии с утвержденными форматами с помощью ВС СЗБД в </w:t>
      </w:r>
      <w:r>
        <w:t>СМЭВ</w:t>
      </w:r>
      <w:r>
        <w:t xml:space="preserve"> версии 3</w:t>
      </w:r>
      <w:r>
        <w:t>.</w:t>
      </w:r>
    </w:p>
    <w:p w14:paraId="59000000">
      <w:pPr>
        <w:spacing w:after="0"/>
        <w:ind w:firstLine="708"/>
      </w:pPr>
      <w:r>
        <w:t xml:space="preserve">Актуальная информация о виде сведения размещена на портале в личном кабинете участника взаимодействия </w:t>
      </w:r>
      <w:r>
        <w:rPr>
          <w:color w:val="0000FF"/>
          <w:u w:val="single"/>
        </w:rPr>
        <w:fldChar w:fldCharType="begin"/>
      </w:r>
      <w:r>
        <w:rPr>
          <w:color w:val="0000FF"/>
          <w:u w:val="single"/>
        </w:rPr>
        <w:instrText>HYPERLINK "https://lkuv.gosuslugi.ru/paip-portal/#/inquiries/72c2c0ab-85c7-452b-a10f-008cafd7f34b/versions/89c5aafa-8f1e-4e73-ad09-c58b5b28e508?area=PROD"</w:instrText>
      </w:r>
      <w:r>
        <w:rPr>
          <w:color w:val="0000FF"/>
          <w:u w:val="single"/>
        </w:rPr>
        <w:fldChar w:fldCharType="separate"/>
      </w:r>
      <w:r>
        <w:rPr>
          <w:color w:val="0000FF"/>
          <w:u w:val="single"/>
        </w:rPr>
        <w:t>https://lkuv.gosuslugi.ru/paip-portal/#/inquiries/72c2c0ab-85c7-452b-a10f-008cafd7f34b/versions/89c5aafa-8f1e-4e73-ad09-c58b5b28e508?area=PROD</w:t>
      </w:r>
      <w:r>
        <w:rPr>
          <w:color w:val="0000FF"/>
          <w:u w:val="single"/>
        </w:rPr>
        <w:fldChar w:fldCharType="end"/>
      </w:r>
      <w:r>
        <w:t>.</w:t>
      </w:r>
    </w:p>
    <w:p w14:paraId="5A000000">
      <w:pPr>
        <w:spacing w:after="0"/>
        <w:ind w:firstLine="708"/>
      </w:pPr>
      <w:r>
        <w:t xml:space="preserve">Взаимодействие состоит из отправки сведений и получения ответа посредством </w:t>
      </w:r>
      <w:r>
        <w:t>СМЭВ</w:t>
      </w:r>
      <w:r>
        <w:t xml:space="preserve"> версии 3</w:t>
      </w:r>
      <w:r>
        <w:t>. В одном запросе допускается передача нескольких блоков СЗБД во вложении, содержащих сведения о записи. Для каждого блока СЗБД во вложении будет сформирован и направлен отдельный ответ.</w:t>
      </w:r>
    </w:p>
    <w:p w14:paraId="5B000000">
      <w:pPr>
        <w:spacing w:after="0"/>
        <w:ind w:firstLine="708"/>
        <w:rPr>
          <w:b w:val="1"/>
          <w:color w:val="000000"/>
        </w:rPr>
      </w:pPr>
      <w:r>
        <w:rPr>
          <w:b w:val="1"/>
          <w:color w:val="000000"/>
        </w:rPr>
        <w:t>4.1.4. И</w:t>
      </w:r>
      <w:r>
        <w:rPr>
          <w:b w:val="1"/>
          <w:color w:val="000000"/>
        </w:rPr>
        <w:t>нтеграции с ГИС ЕЦП по сведениям об инвалидности и ИПРА</w:t>
      </w:r>
    </w:p>
    <w:p w14:paraId="5C000000">
      <w:pPr>
        <w:spacing w:after="0"/>
        <w:ind w:firstLine="708"/>
      </w:pPr>
      <w:r>
        <w:t>1. Подсистема должна включать в себя:</w:t>
      </w:r>
    </w:p>
    <w:p w14:paraId="5D000000">
      <w:pPr>
        <w:numPr>
          <w:ilvl w:val="0"/>
          <w:numId w:val="1"/>
        </w:numPr>
        <w:spacing w:after="0"/>
        <w:ind/>
      </w:pPr>
      <w:r>
        <w:t>возможность получения из ГИС ЕЦП сведений об инвалидности и ИПРА посредством СМЭВ;</w:t>
      </w:r>
    </w:p>
    <w:p w14:paraId="5E000000">
      <w:pPr>
        <w:numPr>
          <w:ilvl w:val="0"/>
          <w:numId w:val="1"/>
        </w:numPr>
        <w:spacing w:after="0"/>
        <w:ind/>
      </w:pPr>
      <w:r>
        <w:t>возможность импорта сведений об инвалидности и ИПРА, полученных из ГИС ЕЦП, в Систему;</w:t>
      </w:r>
    </w:p>
    <w:p w14:paraId="5F000000">
      <w:pPr>
        <w:numPr>
          <w:ilvl w:val="0"/>
          <w:numId w:val="1"/>
        </w:numPr>
        <w:spacing w:after="0"/>
        <w:ind/>
      </w:pPr>
      <w:r>
        <w:t>возможность записи в Систему сведений об инвалидности и ИПРА;</w:t>
      </w:r>
    </w:p>
    <w:p w14:paraId="60000000">
      <w:pPr>
        <w:numPr>
          <w:ilvl w:val="0"/>
          <w:numId w:val="1"/>
        </w:numPr>
        <w:spacing w:after="0"/>
        <w:ind/>
      </w:pPr>
      <w:r>
        <w:t>возможность отбора сведений о реализации ИПРА инвалида (ребенка-инвалида) и формирования в файл в соответствии с форматом в Альбоме форматов для размещения ОИВ субъекта РФ в ГИС ЕЦП;</w:t>
      </w:r>
    </w:p>
    <w:p w14:paraId="61000000">
      <w:pPr>
        <w:numPr>
          <w:ilvl w:val="0"/>
          <w:numId w:val="1"/>
        </w:numPr>
        <w:spacing w:after="0"/>
        <w:ind/>
      </w:pPr>
      <w:r>
        <w:t>возможность передачи файлов со сведениями о результатах исполнения ИПРА посредством СМЭВ в ГИС ЕЦП органами исполнительной власти субъектов Российской Федерации.</w:t>
      </w:r>
    </w:p>
    <w:p w14:paraId="62000000">
      <w:pPr>
        <w:spacing w:after="0"/>
        <w:ind w:firstLine="708"/>
      </w:pPr>
      <w:r>
        <w:t>2. В целях исполнения работ Заказчик обязан предоставить актуальные данные:</w:t>
      </w:r>
    </w:p>
    <w:p w14:paraId="63000000">
      <w:pPr>
        <w:numPr>
          <w:ilvl w:val="0"/>
          <w:numId w:val="2"/>
        </w:numPr>
        <w:spacing w:after="0"/>
        <w:ind/>
      </w:pPr>
      <w:r>
        <w:t>xsd</w:t>
      </w:r>
      <w:r>
        <w:t>-схемы;</w:t>
      </w:r>
    </w:p>
    <w:p w14:paraId="64000000">
      <w:pPr>
        <w:numPr>
          <w:ilvl w:val="0"/>
          <w:numId w:val="2"/>
        </w:numPr>
        <w:spacing w:after="0"/>
        <w:ind/>
      </w:pPr>
      <w:r>
        <w:t>методические рекомендации с форматами данных;</w:t>
      </w:r>
    </w:p>
    <w:p w14:paraId="65000000">
      <w:pPr>
        <w:numPr>
          <w:ilvl w:val="0"/>
          <w:numId w:val="2"/>
        </w:numPr>
        <w:spacing w:after="0"/>
        <w:ind/>
      </w:pPr>
      <w:r>
        <w:t>адрес для подключения к видам сведений;</w:t>
      </w:r>
    </w:p>
    <w:p w14:paraId="66000000">
      <w:pPr>
        <w:numPr>
          <w:ilvl w:val="0"/>
          <w:numId w:val="2"/>
        </w:numPr>
        <w:spacing w:after="0"/>
        <w:ind/>
      </w:pPr>
      <w:r>
        <w:t>описание простых типов схем, схемы унифицированных типов;</w:t>
      </w:r>
    </w:p>
    <w:p w14:paraId="67000000">
      <w:pPr>
        <w:numPr>
          <w:ilvl w:val="0"/>
          <w:numId w:val="2"/>
        </w:numPr>
        <w:spacing w:after="0"/>
        <w:ind/>
      </w:pPr>
      <w:r>
        <w:t xml:space="preserve">примеры заполнения </w:t>
      </w:r>
      <w:r>
        <w:t>xml</w:t>
      </w:r>
      <w:r>
        <w:t>-файлов;</w:t>
      </w:r>
    </w:p>
    <w:p w14:paraId="68000000">
      <w:pPr>
        <w:numPr>
          <w:ilvl w:val="0"/>
          <w:numId w:val="2"/>
        </w:numPr>
        <w:spacing w:after="0"/>
        <w:ind/>
      </w:pPr>
      <w:r>
        <w:t>руководства пользователя ВС в СМЭВ;</w:t>
      </w:r>
    </w:p>
    <w:p w14:paraId="69000000">
      <w:pPr>
        <w:numPr>
          <w:ilvl w:val="0"/>
          <w:numId w:val="2"/>
        </w:numPr>
        <w:spacing w:after="0"/>
        <w:ind/>
      </w:pPr>
      <w:r>
        <w:t>коды справочников ЕСНСИ.</w:t>
      </w:r>
    </w:p>
    <w:p w14:paraId="6A000000">
      <w:pPr>
        <w:spacing w:after="0"/>
        <w:ind w:firstLine="708"/>
      </w:pPr>
      <w:r>
        <w:t xml:space="preserve">2.3. </w:t>
      </w:r>
      <w:r>
        <w:rPr>
          <w:u w:val="single"/>
        </w:rPr>
        <w:t>Подсистема интеграции с ГИС ЕЦП</w:t>
      </w:r>
    </w:p>
    <w:p w14:paraId="6B000000">
      <w:pPr>
        <w:spacing w:after="0"/>
        <w:ind w:firstLine="708"/>
      </w:pPr>
      <w:r>
        <w:t>В подсистеме должны быть реализованы:</w:t>
      </w:r>
    </w:p>
    <w:p w14:paraId="6C000000">
      <w:pPr>
        <w:numPr>
          <w:ilvl w:val="0"/>
          <w:numId w:val="3"/>
        </w:numPr>
        <w:spacing w:after="0"/>
        <w:ind/>
      </w:pPr>
      <w:r>
        <w:t xml:space="preserve">интеграция с ГИС ЕЦП с помощью ВС "Рассылка сведений об инвалидности и индивидуальной программе реабилитации и </w:t>
      </w:r>
      <w:r>
        <w:t>абилитации</w:t>
      </w:r>
      <w:r>
        <w:t>" в СМЭВ;</w:t>
      </w:r>
    </w:p>
    <w:p w14:paraId="6D000000">
      <w:pPr>
        <w:numPr>
          <w:ilvl w:val="0"/>
          <w:numId w:val="3"/>
        </w:numPr>
        <w:spacing w:after="0"/>
        <w:ind/>
      </w:pPr>
      <w:r>
        <w:t xml:space="preserve">механизм взаимодействия с ВС "Рассылка сведений об инвалидности и индивидуальной программе реабилитации и </w:t>
      </w:r>
      <w:r>
        <w:t>абилитации</w:t>
      </w:r>
      <w:r>
        <w:t>" по каналам СМЭВ-3 в продуктивную среду актуальной версии;</w:t>
      </w:r>
    </w:p>
    <w:p w14:paraId="6E000000">
      <w:pPr>
        <w:numPr>
          <w:ilvl w:val="0"/>
          <w:numId w:val="3"/>
        </w:numPr>
        <w:spacing w:after="0"/>
        <w:ind/>
      </w:pPr>
      <w:r>
        <w:t xml:space="preserve">механизм формирования выгрузки в файл сведений о реализации ИПРА инвалида (ребенка-инвалида) в соответствии с актуальным форматом (Альбом форматов ЕЦП, "IIPRA") - "Сведения о реализации индивидуальной программы реабилитации и </w:t>
      </w:r>
      <w:r>
        <w:t>абилитации</w:t>
      </w:r>
      <w:r>
        <w:t xml:space="preserve"> инвалида и индивидуальной программы реабилитации и </w:t>
      </w:r>
      <w:r>
        <w:t>абилитации</w:t>
      </w:r>
      <w:r>
        <w:t xml:space="preserve"> ребёнка-инвалида, размещаемые органами исполнительной власти субъектов Российской Федерации в ГИС ЕЦП;</w:t>
      </w:r>
    </w:p>
    <w:p w14:paraId="6F000000">
      <w:pPr>
        <w:numPr>
          <w:ilvl w:val="0"/>
          <w:numId w:val="3"/>
        </w:numPr>
        <w:spacing w:after="0"/>
        <w:ind/>
      </w:pPr>
      <w:r>
        <w:t>механизм передачи файлов со сведениями о результатах исполнения ИПРА посредством СМЭВ в ГИС ЕЦП органами исполнительной власти субъектов Российской Федерации.</w:t>
      </w:r>
    </w:p>
    <w:p w14:paraId="70000000">
      <w:pPr>
        <w:spacing w:after="0"/>
        <w:ind w:firstLine="708"/>
      </w:pPr>
      <w:r>
        <w:t xml:space="preserve">3. ВС "Рассылка сведений об инвалидности и индивидуальной программе реабилитации и </w:t>
      </w:r>
      <w:r>
        <w:t>абилитации</w:t>
      </w:r>
      <w:r>
        <w:t>"</w:t>
      </w:r>
    </w:p>
    <w:p w14:paraId="71000000">
      <w:pPr>
        <w:spacing w:after="0"/>
        <w:ind w:firstLine="708"/>
      </w:pPr>
      <w:r>
        <w:t xml:space="preserve">Доступ для подключения к ВС "Рассылка сведений об инвалидности и индивидуальной программе реабилитации и </w:t>
      </w:r>
      <w:r>
        <w:t>абилитации</w:t>
      </w:r>
      <w:r>
        <w:t>" в единой системе межведомственного электронного взаимодействия с помощью СМЭВ в ЛКУВ получает Заказчик.</w:t>
      </w:r>
    </w:p>
    <w:p w14:paraId="72000000">
      <w:pPr>
        <w:spacing w:after="0"/>
        <w:ind w:firstLine="708"/>
      </w:pPr>
      <w:r>
        <w:t xml:space="preserve">Для получения в инициативном порядке без запроса выписки ИПРА из ГИС ЕЦП, которая содержит сведения, необходимые для исполнения ИПРА органами исполнительной власти субъектов Российской Федерации используется ВС "Рассылка сведений об инвалидности и индивидуальной программе реабилитации и </w:t>
      </w:r>
      <w:r>
        <w:t>абилитации</w:t>
      </w:r>
      <w:r>
        <w:t>".</w:t>
      </w:r>
    </w:p>
    <w:p w14:paraId="73000000">
      <w:pPr>
        <w:spacing w:after="0"/>
        <w:ind w:firstLine="708"/>
      </w:pPr>
      <w:r>
        <w:t xml:space="preserve">Актуальная информация о виде сведения для  получения из ГИС ФРИ сведений об инвалидности и ИПРА посредством СМЭВ размещена на портале в личном кабинете участника взаимодействия </w:t>
      </w:r>
      <w:r>
        <w:rPr>
          <w:color w:val="0000FF"/>
          <w:u w:val="single"/>
        </w:rPr>
        <w:fldChar w:fldCharType="begin"/>
      </w:r>
      <w:r>
        <w:rPr>
          <w:color w:val="0000FF"/>
          <w:u w:val="single"/>
        </w:rPr>
        <w:instrText>HYPERLINK "https://lkuv.gosuslugi.ru/paip-portal/#/inquiries/fd949d5b-ad2f-454c-b323-5efe8e2e49a8/versions/ab71be3a-a06c-45c4-a66f-122dfdb7a902?area=PROD"</w:instrText>
      </w:r>
      <w:r>
        <w:rPr>
          <w:color w:val="0000FF"/>
          <w:u w:val="single"/>
        </w:rPr>
        <w:fldChar w:fldCharType="separate"/>
      </w:r>
      <w:r>
        <w:rPr>
          <w:color w:val="0000FF"/>
          <w:u w:val="single"/>
        </w:rPr>
        <w:t>https://lkuv.gosuslugi.ru/paip-portal/#/inquiries/fd949d5b-ad2f-454c-b323-5efe8e2e49a8/versions/ab71be3a-a06c-45c4-a66f-122dfdb7a902?area=PROD</w:t>
      </w:r>
      <w:r>
        <w:rPr>
          <w:color w:val="0000FF"/>
          <w:u w:val="single"/>
        </w:rPr>
        <w:fldChar w:fldCharType="end"/>
      </w:r>
      <w:r>
        <w:t>.</w:t>
      </w:r>
      <w:r>
        <w:br/>
      </w:r>
      <w:r>
        <w:br/>
      </w:r>
      <w:r>
        <w:t xml:space="preserve">Описание версии вида сведения "Рассылка сведений об инвалидности и индивидуальной программе реабилитации и </w:t>
      </w:r>
      <w:r>
        <w:t>абилитации</w:t>
      </w:r>
      <w:r>
        <w:t>":</w:t>
      </w:r>
    </w:p>
    <w:tbl>
      <w:tblPr>
        <w:tblStyle w:val="Style_3"/>
        <w:tblW w:type="auto" w:w="0"/>
        <w:tblBorders>
          <w:top w:color="000000" w:sz="6" w:val="single"/>
          <w:left w:color="000000" w:sz="6" w:val="single"/>
          <w:bottom w:color="000000" w:sz="6" w:val="single"/>
          <w:right w:color="000000" w:sz="6" w:val="single"/>
        </w:tblBorders>
        <w:tblLayout w:type="fixed"/>
        <w:tblCellMar>
          <w:top w:type="dxa" w:w="15"/>
          <w:left w:type="dxa" w:w="15"/>
          <w:bottom w:type="dxa" w:w="15"/>
          <w:right w:type="dxa" w:w="15"/>
        </w:tblCellMar>
      </w:tblPr>
      <w:tblGrid>
        <w:gridCol w:w="4825"/>
        <w:gridCol w:w="3776"/>
      </w:tblGrid>
      <w:tr>
        <w:tc>
          <w:tcPr>
            <w:tcW w:type="dxa" w:w="482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74000000">
            <w:pPr>
              <w:spacing w:after="0"/>
              <w:ind w:firstLine="708"/>
            </w:pPr>
            <w:r>
              <w:t>Предполагается ли передача вложений по BC</w:t>
            </w:r>
          </w:p>
        </w:tc>
        <w:tc>
          <w:tcPr>
            <w:tcW w:type="dxa" w:w="377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75000000">
            <w:pPr>
              <w:spacing w:after="0"/>
              <w:ind w:firstLine="708"/>
            </w:pPr>
            <w:r>
              <w:t>Да</w:t>
            </w:r>
          </w:p>
        </w:tc>
      </w:tr>
      <w:tr>
        <w:tc>
          <w:tcPr>
            <w:tcW w:type="dxa" w:w="482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76000000">
            <w:pPr>
              <w:spacing w:after="0"/>
              <w:ind w:firstLine="708"/>
            </w:pPr>
            <w:r>
              <w:t>Версия BC</w:t>
            </w:r>
          </w:p>
        </w:tc>
        <w:tc>
          <w:tcPr>
            <w:tcW w:type="dxa" w:w="377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77000000">
            <w:pPr>
              <w:spacing w:after="0"/>
              <w:ind w:firstLine="708"/>
            </w:pPr>
            <w:r>
              <w:t>1.0.1</w:t>
            </w:r>
          </w:p>
        </w:tc>
      </w:tr>
      <w:tr>
        <w:tc>
          <w:tcPr>
            <w:tcW w:type="dxa" w:w="482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78000000">
            <w:pPr>
              <w:spacing w:after="0"/>
              <w:ind w:firstLine="708"/>
            </w:pPr>
            <w:r>
              <w:t>URI</w:t>
            </w:r>
          </w:p>
        </w:tc>
        <w:tc>
          <w:tcPr>
            <w:tcW w:type="dxa" w:w="377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79000000">
            <w:pPr>
              <w:spacing w:after="0"/>
              <w:ind/>
            </w:pPr>
            <w:r>
              <w:rPr>
                <w:color w:val="0000FF"/>
                <w:u w:val="single"/>
              </w:rPr>
              <w:fldChar w:fldCharType="begin"/>
            </w:r>
            <w:r>
              <w:rPr>
                <w:color w:val="0000FF"/>
                <w:u w:val="single"/>
              </w:rPr>
              <w:instrText>HYPERLINK "urn://iis.ecp.ru/mse-invipra-info/1.0.1"</w:instrText>
            </w:r>
            <w:r>
              <w:rPr>
                <w:color w:val="0000FF"/>
                <w:u w:val="single"/>
              </w:rPr>
              <w:fldChar w:fldCharType="separate"/>
            </w:r>
            <w:r>
              <w:rPr>
                <w:color w:val="0000FF"/>
                <w:u w:val="single"/>
              </w:rPr>
              <w:t>urn://iis.ecp.ru/mse-invipra-info/1.0.1</w:t>
            </w:r>
            <w:r>
              <w:rPr>
                <w:color w:val="0000FF"/>
                <w:u w:val="single"/>
              </w:rPr>
              <w:fldChar w:fldCharType="end"/>
            </w:r>
          </w:p>
        </w:tc>
      </w:tr>
    </w:tbl>
    <w:p w14:paraId="7A000000">
      <w:pPr>
        <w:spacing w:after="0"/>
        <w:ind w:firstLine="708"/>
      </w:pPr>
      <w:r>
        <w:t xml:space="preserve">4. ВС "Прием сведений по исполнению индивидуальной программы реабилитации и </w:t>
      </w:r>
      <w:r>
        <w:t>абилитации</w:t>
      </w:r>
      <w:r>
        <w:t xml:space="preserve"> инвалида (ребенка-инвалида)"</w:t>
      </w:r>
    </w:p>
    <w:p w14:paraId="7B000000">
      <w:pPr>
        <w:spacing w:after="0"/>
        <w:ind w:firstLine="708"/>
      </w:pPr>
      <w:r>
        <w:t xml:space="preserve">Доступ для подключения к ВС "Прием сведений по исполнению индивидуальной программы реабилитации и </w:t>
      </w:r>
      <w:r>
        <w:t>абилитации</w:t>
      </w:r>
      <w:r>
        <w:t xml:space="preserve"> инвалида (ребенка-инвалида)" в единой системе межведомственного электронного взаимодействия с помощью СМЭВ в ЛКУВ получает Заказчик.</w:t>
      </w:r>
    </w:p>
    <w:p w14:paraId="7C000000">
      <w:pPr>
        <w:spacing w:after="0"/>
        <w:ind w:firstLine="708"/>
      </w:pPr>
      <w:r>
        <w:t xml:space="preserve">Для формирования сведений о результатах исполнения ИПРА и передачи в ГИС ЕЦП органами исполнительной власти субъектов Российской Федерации используется ВС "Прием сведений по исполнению индивидуальной программы реабилитации и </w:t>
      </w:r>
      <w:r>
        <w:t>абилитации</w:t>
      </w:r>
      <w:r>
        <w:t xml:space="preserve"> инвалида (ребенка-инвалида)".</w:t>
      </w:r>
    </w:p>
    <w:p w14:paraId="7D000000">
      <w:pPr>
        <w:spacing w:after="0"/>
        <w:ind w:firstLine="708"/>
      </w:pPr>
      <w:r>
        <w:t xml:space="preserve">Актуальная информация о виде сведения для передачи сведений результатах исполнения ИПРА посредством СМЭВ размещена на портале в личном кабинете участника взаимодействия: </w:t>
      </w:r>
      <w:r>
        <w:rPr>
          <w:color w:val="0000FF"/>
          <w:u w:val="single"/>
        </w:rPr>
        <w:fldChar w:fldCharType="begin"/>
      </w:r>
      <w:r>
        <w:rPr>
          <w:color w:val="0000FF"/>
          <w:u w:val="single"/>
        </w:rPr>
        <w:instrText>HYPERLINK "https://lkuv.gosuslugi.ru/paip-portal/#/inquiries/card/d7b2a664-40f5-4bcc-8c78-3adb58ed687b?2%5Btab%5D=PROD&amp;tab=2"</w:instrText>
      </w:r>
      <w:r>
        <w:rPr>
          <w:color w:val="0000FF"/>
          <w:u w:val="single"/>
        </w:rPr>
        <w:fldChar w:fldCharType="separate"/>
      </w:r>
      <w:r>
        <w:rPr>
          <w:color w:val="0000FF"/>
          <w:u w:val="single"/>
        </w:rPr>
        <w:t>https://lkuv.gosuslugi.ru/paip-portal/#/inquiries/card/d7b2a664-40f5-4bcc-8c78-3adb58ed687b?2%5Btab%5D=PROD&amp;tab=2</w:t>
      </w:r>
      <w:r>
        <w:rPr>
          <w:color w:val="0000FF"/>
          <w:u w:val="single"/>
        </w:rPr>
        <w:fldChar w:fldCharType="end"/>
      </w:r>
      <w:r>
        <w:t>.</w:t>
      </w:r>
      <w:r>
        <w:br/>
      </w:r>
      <w:r>
        <w:br/>
      </w:r>
      <w:r>
        <w:t xml:space="preserve">Описание версии вида сведения "Прием сведений по исполнению индивидуальной программы реабилитации и </w:t>
      </w:r>
      <w:r>
        <w:t>абилитации</w:t>
      </w:r>
      <w:r>
        <w:t xml:space="preserve"> инвалида (ребенка-инвалида)":</w:t>
      </w:r>
    </w:p>
    <w:tbl>
      <w:tblPr>
        <w:tblStyle w:val="Style_3"/>
        <w:tblW w:type="auto" w:w="0"/>
        <w:tblBorders>
          <w:top w:color="000000" w:sz="6" w:val="single"/>
          <w:left w:color="000000" w:sz="6" w:val="single"/>
          <w:bottom w:color="000000" w:sz="6" w:val="single"/>
          <w:right w:color="000000" w:sz="6" w:val="single"/>
        </w:tblBorders>
        <w:tblLayout w:type="fixed"/>
        <w:tblCellMar>
          <w:top w:type="dxa" w:w="15"/>
          <w:left w:type="dxa" w:w="15"/>
          <w:bottom w:type="dxa" w:w="15"/>
          <w:right w:type="dxa" w:w="15"/>
        </w:tblCellMar>
      </w:tblPr>
      <w:tblGrid>
        <w:gridCol w:w="4825"/>
        <w:gridCol w:w="4016"/>
      </w:tblGrid>
      <w:tr>
        <w:tc>
          <w:tcPr>
            <w:tcW w:type="dxa" w:w="482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7E000000">
            <w:pPr>
              <w:spacing w:after="0"/>
              <w:ind w:firstLine="708"/>
            </w:pPr>
            <w:r>
              <w:t>Предполагается ли передача вложений по BC</w:t>
            </w:r>
          </w:p>
        </w:tc>
        <w:tc>
          <w:tcPr>
            <w:tcW w:type="dxa" w:w="401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7F000000">
            <w:pPr>
              <w:spacing w:after="0"/>
              <w:ind w:firstLine="708"/>
            </w:pPr>
            <w:r>
              <w:t>Да</w:t>
            </w:r>
          </w:p>
        </w:tc>
      </w:tr>
      <w:tr>
        <w:tc>
          <w:tcPr>
            <w:tcW w:type="dxa" w:w="482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80000000">
            <w:pPr>
              <w:spacing w:after="0"/>
              <w:ind w:firstLine="708"/>
            </w:pPr>
            <w:r>
              <w:t>Версия BC</w:t>
            </w:r>
          </w:p>
        </w:tc>
        <w:tc>
          <w:tcPr>
            <w:tcW w:type="dxa" w:w="401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81000000">
            <w:pPr>
              <w:spacing w:after="0"/>
              <w:ind w:firstLine="708"/>
            </w:pPr>
            <w:r>
              <w:t>1.0.0</w:t>
            </w:r>
          </w:p>
        </w:tc>
      </w:tr>
      <w:tr>
        <w:tc>
          <w:tcPr>
            <w:tcW w:type="dxa" w:w="482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82000000">
            <w:pPr>
              <w:spacing w:after="0"/>
              <w:ind w:firstLine="708"/>
            </w:pPr>
            <w:r>
              <w:t>URI</w:t>
            </w:r>
          </w:p>
        </w:tc>
        <w:tc>
          <w:tcPr>
            <w:tcW w:type="dxa" w:w="401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83000000">
            <w:pPr>
              <w:spacing w:after="0"/>
              <w:ind/>
            </w:pPr>
            <w:r>
              <w:rPr>
                <w:color w:val="0000FF"/>
                <w:u w:val="single"/>
              </w:rPr>
              <w:fldChar w:fldCharType="begin"/>
            </w:r>
            <w:r>
              <w:rPr>
                <w:color w:val="0000FF"/>
                <w:u w:val="single"/>
              </w:rPr>
              <w:instrText>HYPERLINK "urn://iis.ecp.ru/execution-ipra-info/1.0.0"</w:instrText>
            </w:r>
            <w:r>
              <w:rPr>
                <w:color w:val="0000FF"/>
                <w:u w:val="single"/>
              </w:rPr>
              <w:fldChar w:fldCharType="separate"/>
            </w:r>
            <w:r>
              <w:rPr>
                <w:color w:val="0000FF"/>
                <w:u w:val="single"/>
              </w:rPr>
              <w:t>urn://iis.ecp.ru/execution-ipra-info/1.0.0</w:t>
            </w:r>
            <w:r>
              <w:rPr>
                <w:color w:val="0000FF"/>
                <w:u w:val="single"/>
              </w:rPr>
              <w:fldChar w:fldCharType="end"/>
            </w:r>
          </w:p>
        </w:tc>
      </w:tr>
    </w:tbl>
    <w:p w14:paraId="84000000">
      <w:pPr>
        <w:spacing w:after="0"/>
        <w:ind w:firstLine="708"/>
      </w:pPr>
      <w:r>
        <w:t>5. Подсистема интеграции со СМЭВ 3.0</w:t>
      </w:r>
    </w:p>
    <w:p w14:paraId="85000000">
      <w:pPr>
        <w:spacing w:after="0"/>
        <w:ind w:firstLine="708"/>
      </w:pPr>
      <w:r>
        <w:t xml:space="preserve">Обмен данными осуществляется с использованием защищенной сети СМЭВ 3 в соответствии с актуальной версией Методических рекомендаций по работе с Единой системой межведомственного электронного взаимодействия версия 3.X.X.X. </w:t>
      </w:r>
    </w:p>
    <w:p w14:paraId="86000000">
      <w:pPr>
        <w:spacing w:after="0"/>
        <w:ind w:firstLine="708"/>
      </w:pPr>
      <w:r>
        <w:t>Функции формирования запросов, получения ответов должны работать в полуавтоматическом режиме. Запуск функций - по команде специалиста.</w:t>
      </w:r>
    </w:p>
    <w:p w14:paraId="87000000">
      <w:pPr>
        <w:spacing w:after="0"/>
        <w:ind w:firstLine="708"/>
      </w:pPr>
      <w:r>
        <w:t>Функции информационного обмена и протоколирования должны работать в автоматическом режиме, начиная работать сразу при получении необходимых данных. Диагностирование системы осуществляется администратором на основе сообщений в протоколе и лог(</w:t>
      </w:r>
      <w:r>
        <w:t>xml</w:t>
      </w:r>
      <w:r>
        <w:t xml:space="preserve">) файлах. Хранимые </w:t>
      </w:r>
      <w:r>
        <w:t>xml</w:t>
      </w:r>
      <w:r>
        <w:t>-файлы могут быть извлечены администратором и использованы для решения спорных ситуаций с поставщиками данных и службой поддержки СМЭВ 3.</w:t>
      </w:r>
    </w:p>
    <w:p w14:paraId="88000000">
      <w:pPr>
        <w:spacing w:after="0"/>
        <w:ind w:firstLine="708"/>
      </w:pPr>
      <w:r>
        <w:t>Работы по организации доступа к СМЭВ. Исполнитель консультирует и оказывает помощь в подготовке документов для регистрации информационной системы в СМЭВ и на всём пути организации необходимого уровня взаимодействия Системы со СМЭВ.</w:t>
      </w:r>
    </w:p>
    <w:p w14:paraId="89000000">
      <w:pPr>
        <w:spacing w:after="0"/>
        <w:ind w:firstLine="708"/>
      </w:pPr>
      <w:r>
        <w:t>Актуальные форматы, описание схем (XSD) и контрольные примеры файлов вложений для получения выписок ИПРА из ГИС ЕЦП размещаются на сайте Социального Фонда России в разделе: "Главная/Дополнительная информация/Форматы, формы документов/Альбом форматов ЕЦП" по адресу: "</w:t>
      </w:r>
      <w:r>
        <w:rPr>
          <w:color w:val="0000FF"/>
          <w:u w:val="single"/>
        </w:rPr>
        <w:fldChar w:fldCharType="begin"/>
      </w:r>
      <w:r>
        <w:rPr>
          <w:color w:val="0000FF"/>
          <w:u w:val="single"/>
        </w:rPr>
        <w:instrText>HYPERLINK "https://sfr.gov.ru/info/af/af_ecp"</w:instrText>
      </w:r>
      <w:r>
        <w:rPr>
          <w:color w:val="0000FF"/>
          <w:u w:val="single"/>
        </w:rPr>
        <w:fldChar w:fldCharType="separate"/>
      </w:r>
      <w:r>
        <w:rPr>
          <w:color w:val="0000FF"/>
          <w:u w:val="single"/>
        </w:rPr>
        <w:t>https://sfr.gov.ru/info/af/af_ecp</w:t>
      </w:r>
      <w:r>
        <w:rPr>
          <w:color w:val="0000FF"/>
          <w:u w:val="single"/>
        </w:rPr>
        <w:fldChar w:fldCharType="end"/>
      </w:r>
      <w:r>
        <w:t>".</w:t>
      </w:r>
    </w:p>
    <w:p w14:paraId="8A000000">
      <w:pPr>
        <w:spacing w:after="0"/>
        <w:ind w:firstLine="708"/>
      </w:pPr>
    </w:p>
    <w:p w14:paraId="8B000000">
      <w:pPr>
        <w:spacing w:after="0"/>
        <w:ind/>
        <w:rPr>
          <w:b w:val="1"/>
          <w:color w:val="000000"/>
        </w:rPr>
      </w:pPr>
      <w:r>
        <w:rPr>
          <w:b w:val="1"/>
          <w:color w:val="000000"/>
        </w:rPr>
        <w:t xml:space="preserve">          5. Описание и качественные характеристики услуг</w:t>
      </w:r>
    </w:p>
    <w:p w14:paraId="8C000000">
      <w:pPr>
        <w:spacing w:after="0" w:line="120" w:lineRule="auto"/>
        <w:ind/>
        <w:jc w:val="center"/>
        <w:rPr>
          <w:b w:val="1"/>
          <w:color w:val="000000"/>
        </w:rPr>
      </w:pPr>
    </w:p>
    <w:p w14:paraId="8D000000">
      <w:pPr>
        <w:spacing w:after="0"/>
        <w:ind w:left="567"/>
        <w:rPr>
          <w:b w:val="1"/>
          <w:color w:val="000000"/>
        </w:rPr>
      </w:pPr>
      <w:r>
        <w:rPr>
          <w:b w:val="1"/>
          <w:color w:val="000000"/>
        </w:rPr>
        <w:t>5.1. Назначение и область применения программного комплекса АС «АСП»</w:t>
      </w:r>
    </w:p>
    <w:p w14:paraId="8E000000">
      <w:pPr>
        <w:spacing w:after="0"/>
        <w:ind w:left="-76"/>
        <w:rPr>
          <w:b w:val="1"/>
          <w:color w:val="000000"/>
        </w:rPr>
      </w:pPr>
    </w:p>
    <w:p w14:paraId="8F000000">
      <w:pPr>
        <w:spacing w:after="0"/>
        <w:ind w:firstLine="709"/>
        <w:rPr>
          <w:color w:val="000000"/>
        </w:rPr>
      </w:pPr>
      <w:r>
        <w:rPr>
          <w:color w:val="000000"/>
        </w:rPr>
        <w:t>Автоматизированная система «АСП» была внедрена в Министерстве труда, занятости и социального развития Чеченской Республики в рамках государственного контракта от 03.07.2018г. № 993615.</w:t>
      </w:r>
    </w:p>
    <w:p w14:paraId="90000000">
      <w:pPr>
        <w:spacing w:after="0"/>
        <w:ind w:firstLine="709"/>
        <w:rPr>
          <w:color w:val="000000"/>
        </w:rPr>
      </w:pPr>
      <w:r>
        <w:rPr>
          <w:color w:val="000000"/>
        </w:rPr>
        <w:t xml:space="preserve">Обновленная </w:t>
      </w:r>
      <w:r>
        <w:rPr>
          <w:color w:val="000000"/>
        </w:rPr>
        <w:t>версия программного обеспечения АС «АСП» поставляется в целях обновления функционала программного обеспечения.</w:t>
      </w:r>
    </w:p>
    <w:p w14:paraId="91000000">
      <w:pPr>
        <w:spacing w:after="0"/>
        <w:ind w:firstLine="709"/>
        <w:rPr>
          <w:color w:val="000000"/>
        </w:rPr>
      </w:pPr>
      <w:r>
        <w:rPr>
          <w:color w:val="000000"/>
        </w:rPr>
        <w:t xml:space="preserve">АС «АСП» обеспечивает </w:t>
      </w:r>
      <w:r>
        <w:rPr>
          <w:color w:val="000000"/>
        </w:rPr>
        <w:t>единую информационную систему в сфере социальной защиты населения с адресным предоставлением мер социальной поддержки</w:t>
      </w:r>
      <w:r>
        <w:rPr>
          <w:color w:val="000000"/>
        </w:rPr>
        <w:t>.</w:t>
      </w:r>
    </w:p>
    <w:p w14:paraId="92000000">
      <w:pPr>
        <w:spacing w:after="0"/>
        <w:ind w:firstLine="720"/>
        <w:rPr>
          <w:color w:val="000000"/>
        </w:rPr>
      </w:pPr>
      <w:r>
        <w:rPr>
          <w:color w:val="000000"/>
        </w:rPr>
        <w:t>АС «</w:t>
      </w:r>
      <w:r>
        <w:rPr>
          <w:color w:val="000000"/>
        </w:rPr>
        <w:t>АСП</w:t>
      </w:r>
      <w:r>
        <w:rPr>
          <w:color w:val="000000"/>
        </w:rPr>
        <w:t>» включена в единый реестр российских программ для электронных вычислительных машин и баз данных.</w:t>
      </w:r>
    </w:p>
    <w:p w14:paraId="93000000">
      <w:pPr>
        <w:tabs>
          <w:tab w:leader="none" w:pos="142" w:val="left"/>
          <w:tab w:leader="none" w:pos="851" w:val="left"/>
        </w:tabs>
        <w:spacing w:after="0"/>
        <w:ind w:firstLine="709"/>
      </w:pPr>
      <w:r>
        <w:rPr>
          <w:color w:val="000000"/>
        </w:rPr>
        <w:t>АС «</w:t>
      </w:r>
      <w:r>
        <w:rPr>
          <w:color w:val="000000"/>
        </w:rPr>
        <w:t>АСП</w:t>
      </w:r>
      <w:r>
        <w:rPr>
          <w:color w:val="000000"/>
        </w:rPr>
        <w:t xml:space="preserve">» </w:t>
      </w:r>
      <w:r>
        <w:t>имеет трехзвенную архитектуру. Основными компонентами являются:</w:t>
      </w:r>
    </w:p>
    <w:p w14:paraId="94000000">
      <w:pPr>
        <w:tabs>
          <w:tab w:leader="none" w:pos="142" w:val="left"/>
          <w:tab w:leader="none" w:pos="851" w:val="left"/>
          <w:tab w:leader="none" w:pos="993" w:val="left"/>
          <w:tab w:leader="none" w:pos="2062" w:val="left"/>
        </w:tabs>
        <w:spacing w:after="0"/>
        <w:ind w:firstLine="709"/>
      </w:pPr>
      <w:r>
        <w:t>- сервер баз данных;</w:t>
      </w:r>
    </w:p>
    <w:p w14:paraId="95000000">
      <w:pPr>
        <w:tabs>
          <w:tab w:leader="none" w:pos="142" w:val="left"/>
          <w:tab w:leader="none" w:pos="851" w:val="left"/>
          <w:tab w:leader="none" w:pos="993" w:val="left"/>
          <w:tab w:leader="none" w:pos="2062" w:val="left"/>
        </w:tabs>
        <w:spacing w:after="0"/>
        <w:ind w:firstLine="709"/>
      </w:pPr>
      <w:r>
        <w:t>- сервер приложений;</w:t>
      </w:r>
    </w:p>
    <w:p w14:paraId="96000000">
      <w:pPr>
        <w:tabs>
          <w:tab w:leader="none" w:pos="142" w:val="left"/>
          <w:tab w:leader="none" w:pos="851" w:val="left"/>
          <w:tab w:leader="none" w:pos="993" w:val="left"/>
          <w:tab w:leader="none" w:pos="2062" w:val="left"/>
        </w:tabs>
        <w:spacing w:after="0"/>
        <w:ind w:firstLine="709"/>
      </w:pPr>
      <w:r>
        <w:t>- клиентское приложение.</w:t>
      </w:r>
    </w:p>
    <w:p w14:paraId="97000000">
      <w:pPr>
        <w:tabs>
          <w:tab w:leader="none" w:pos="142" w:val="left"/>
          <w:tab w:leader="none" w:pos="851" w:val="left"/>
        </w:tabs>
        <w:spacing w:after="0"/>
        <w:ind w:firstLine="709"/>
      </w:pPr>
      <w:r>
        <w:t xml:space="preserve">Сервер баз данных обеспечивает хранение всей информации, используемой </w:t>
      </w:r>
      <w:r>
        <w:rPr>
          <w:color w:val="000000"/>
        </w:rPr>
        <w:t>АС «</w:t>
      </w:r>
      <w:r>
        <w:rPr>
          <w:color w:val="000000"/>
        </w:rPr>
        <w:t>АСП</w:t>
      </w:r>
      <w:r>
        <w:rPr>
          <w:color w:val="000000"/>
        </w:rPr>
        <w:t xml:space="preserve">» </w:t>
      </w:r>
      <w:r>
        <w:t>в процессе функционирования, предоставляет доступ к информации для сервера приложений.</w:t>
      </w:r>
    </w:p>
    <w:p w14:paraId="98000000">
      <w:pPr>
        <w:tabs>
          <w:tab w:leader="none" w:pos="142" w:val="left"/>
          <w:tab w:leader="none" w:pos="851" w:val="left"/>
        </w:tabs>
        <w:spacing w:after="0"/>
        <w:ind w:firstLine="709"/>
      </w:pPr>
      <w:r>
        <w:t xml:space="preserve">Сервер приложений реализует бизнес-логику работы </w:t>
      </w:r>
      <w:r>
        <w:rPr>
          <w:color w:val="000000"/>
        </w:rPr>
        <w:t>АС «</w:t>
      </w:r>
      <w:r>
        <w:rPr>
          <w:color w:val="000000"/>
        </w:rPr>
        <w:t>АСП</w:t>
      </w:r>
      <w:r>
        <w:rPr>
          <w:color w:val="000000"/>
        </w:rPr>
        <w:t>»</w:t>
      </w:r>
      <w:r>
        <w:t>. Он получает команды на выполнение той или иной обработки от клиентского приложения и информацию для обработки от сервера баз данных, обрабатывает информацию, размещает результат обработки на сервере баз данных (при необходимости) и предоставляет его клиентскому приложению для отображения пользователю.</w:t>
      </w:r>
    </w:p>
    <w:p w14:paraId="99000000">
      <w:pPr>
        <w:tabs>
          <w:tab w:leader="none" w:pos="142" w:val="left"/>
          <w:tab w:leader="none" w:pos="851" w:val="left"/>
        </w:tabs>
        <w:spacing w:after="0"/>
        <w:ind w:firstLine="709"/>
      </w:pPr>
      <w:r>
        <w:t>Клиентское приложение взаимодействует с пользователем, предоставляя ему возможность давать команды на выполнение обработки информации и отображать результат обработки. В качестве клиентского приложения выступает интернет-браузер. Обеспечивается доступность и корректность отображения пользовательского интерфейса в браузере: Яндекс Браузер.</w:t>
      </w:r>
    </w:p>
    <w:p w14:paraId="9A000000">
      <w:pPr>
        <w:tabs>
          <w:tab w:leader="none" w:pos="142" w:val="left"/>
          <w:tab w:leader="none" w:pos="851" w:val="left"/>
        </w:tabs>
        <w:spacing w:after="0"/>
        <w:ind w:firstLine="709"/>
      </w:pPr>
      <w:r>
        <w:t xml:space="preserve">Сервер баз данных и сервер приложений </w:t>
      </w:r>
      <w:r>
        <w:rPr>
          <w:color w:val="000000"/>
        </w:rPr>
        <w:t>АС «</w:t>
      </w:r>
      <w:r>
        <w:rPr>
          <w:color w:val="000000"/>
        </w:rPr>
        <w:t>АСП</w:t>
      </w:r>
      <w:r>
        <w:rPr>
          <w:color w:val="000000"/>
        </w:rPr>
        <w:t xml:space="preserve">» </w:t>
      </w:r>
      <w:r>
        <w:t>устанавливаются на региональном уровне и обслуживают единую региональную базу данных либо набор баз данных ЦЗН, установленных в ЦОД. Каждое клиентское приложение получает доступ к серверу приложений по защищенному каналу связи.</w:t>
      </w:r>
    </w:p>
    <w:p w14:paraId="9B000000">
      <w:pPr>
        <w:tabs>
          <w:tab w:leader="none" w:pos="142" w:val="left"/>
          <w:tab w:leader="none" w:pos="851" w:val="left"/>
        </w:tabs>
        <w:spacing w:after="0"/>
        <w:ind w:firstLine="709"/>
      </w:pPr>
    </w:p>
    <w:p w14:paraId="9C000000">
      <w:pPr>
        <w:tabs>
          <w:tab w:leader="none" w:pos="142" w:val="left"/>
          <w:tab w:leader="none" w:pos="851" w:val="left"/>
        </w:tabs>
        <w:spacing w:after="0"/>
        <w:ind w:firstLine="709"/>
      </w:pPr>
    </w:p>
    <w:p w14:paraId="9D000000">
      <w:pPr>
        <w:tabs>
          <w:tab w:leader="none" w:pos="142" w:val="left"/>
          <w:tab w:leader="none" w:pos="851" w:val="left"/>
        </w:tabs>
        <w:spacing w:after="0"/>
        <w:ind w:firstLine="709"/>
      </w:pPr>
    </w:p>
    <w:p w14:paraId="9E000000">
      <w:pPr>
        <w:tabs>
          <w:tab w:leader="none" w:pos="142" w:val="left"/>
          <w:tab w:leader="none" w:pos="851" w:val="left"/>
        </w:tabs>
        <w:spacing w:after="0"/>
        <w:ind w:firstLine="709"/>
      </w:pPr>
    </w:p>
    <w:p w14:paraId="9F000000">
      <w:pPr>
        <w:spacing w:after="0" w:line="264" w:lineRule="auto"/>
        <w:ind/>
        <w:rPr>
          <w:b w:val="1"/>
          <w:color w:val="000000"/>
        </w:rPr>
      </w:pPr>
      <w:r>
        <w:rPr>
          <w:b w:val="1"/>
          <w:color w:val="000000"/>
        </w:rPr>
        <w:t xml:space="preserve">Состав и назначение функциональных подсистем </w:t>
      </w:r>
      <w:r>
        <w:rPr>
          <w:b w:val="1"/>
          <w:color w:val="000000"/>
        </w:rPr>
        <w:t>АС «</w:t>
      </w:r>
      <w:r>
        <w:rPr>
          <w:b w:val="1"/>
          <w:color w:val="000000"/>
        </w:rPr>
        <w:t>АСП</w:t>
      </w:r>
      <w:r>
        <w:rPr>
          <w:b w:val="1"/>
          <w:color w:val="000000"/>
        </w:rPr>
        <w:t>»</w:t>
      </w:r>
    </w:p>
    <w:p w14:paraId="A0000000">
      <w:pPr>
        <w:spacing w:after="0" w:line="264" w:lineRule="auto"/>
        <w:ind w:firstLine="709"/>
        <w:jc w:val="center"/>
        <w:rPr>
          <w:b w:val="1"/>
          <w:color w:val="000000"/>
        </w:rPr>
      </w:pPr>
      <w:r>
        <w:rPr>
          <w:b w:val="1"/>
          <w:color w:val="000000"/>
        </w:rPr>
        <w:t xml:space="preserve">                                                                                                                  Таблица 2</w:t>
      </w:r>
    </w:p>
    <w:tbl>
      <w:tblPr>
        <w:tblStyle w:val="Style_3"/>
        <w:tblW w:type="auto" w:w="0"/>
        <w:tblLayout w:type="fixed"/>
        <w:tblCellMar>
          <w:left w:type="dxa" w:w="28"/>
          <w:right w:type="dxa" w:w="28"/>
        </w:tblCellMar>
      </w:tblPr>
      <w:tblGrid>
        <w:gridCol w:w="701"/>
        <w:gridCol w:w="3263"/>
        <w:gridCol w:w="5387"/>
      </w:tblGrid>
      <w:tr>
        <w:trPr>
          <w:tblHeader/>
        </w:trPr>
        <w:tc>
          <w:tcPr>
            <w:tcW w:type="dxa" w:w="701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  <w:tcMar>
              <w:left w:type="dxa" w:w="28"/>
              <w:right w:type="dxa" w:w="28"/>
            </w:tcMar>
            <w:vAlign w:val="center"/>
          </w:tcPr>
          <w:p w14:paraId="A1000000">
            <w:pPr>
              <w:spacing w:after="0"/>
              <w:ind/>
              <w:jc w:val="right"/>
              <w:rPr>
                <w:b w:val="1"/>
                <w:color w:val="000000"/>
              </w:rPr>
            </w:pPr>
            <w:bookmarkStart w:id="3" w:name="_GoBack"/>
            <w:r>
              <w:rPr>
                <w:b w:val="1"/>
                <w:color w:val="000000"/>
              </w:rPr>
              <w:t>№ п/п</w:t>
            </w:r>
          </w:p>
        </w:tc>
        <w:tc>
          <w:tcPr>
            <w:tcW w:type="dxa" w:w="3263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  <w:tcMar>
              <w:left w:type="dxa" w:w="28"/>
              <w:right w:type="dxa" w:w="28"/>
            </w:tcMar>
            <w:vAlign w:val="center"/>
          </w:tcPr>
          <w:p w14:paraId="A2000000">
            <w:pPr>
              <w:spacing w:after="0"/>
              <w:ind/>
              <w:jc w:val="center"/>
              <w:rPr>
                <w:b w:val="1"/>
                <w:color w:val="000000"/>
              </w:rPr>
            </w:pPr>
            <w:r>
              <w:rPr>
                <w:b w:val="1"/>
                <w:color w:val="000000"/>
              </w:rPr>
              <w:t>Наименование подсистемы</w:t>
            </w:r>
          </w:p>
        </w:tc>
        <w:tc>
          <w:tcPr>
            <w:tcW w:type="dxa" w:w="53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28"/>
              <w:right w:type="dxa" w:w="28"/>
            </w:tcMar>
            <w:vAlign w:val="center"/>
          </w:tcPr>
          <w:p w14:paraId="A3000000">
            <w:pPr>
              <w:spacing w:after="0"/>
              <w:ind/>
              <w:jc w:val="center"/>
              <w:rPr>
                <w:color w:val="000000"/>
              </w:rPr>
            </w:pPr>
            <w:r>
              <w:rPr>
                <w:b w:val="1"/>
                <w:color w:val="000000"/>
              </w:rPr>
              <w:t>Основное назначение подсистемы</w:t>
            </w:r>
          </w:p>
        </w:tc>
      </w:tr>
      <w:tr>
        <w:tc>
          <w:tcPr>
            <w:tcW w:type="dxa" w:w="701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  <w:tcMar>
              <w:left w:type="dxa" w:w="28"/>
              <w:right w:type="dxa" w:w="28"/>
            </w:tcMar>
          </w:tcPr>
          <w:p w14:paraId="A4000000">
            <w:pPr>
              <w:spacing w:after="0"/>
              <w:ind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type="dxa" w:w="3263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  <w:tcMar>
              <w:left w:type="dxa" w:w="28"/>
              <w:right w:type="dxa" w:w="28"/>
            </w:tcMar>
          </w:tcPr>
          <w:p w14:paraId="A5000000">
            <w:pPr>
              <w:spacing w:after="0"/>
              <w:ind/>
              <w:rPr>
                <w:color w:val="000000"/>
              </w:rPr>
            </w:pPr>
            <w:r>
              <w:rPr>
                <w:color w:val="000000"/>
              </w:rPr>
              <w:t>Учетная подсистема</w:t>
            </w:r>
          </w:p>
        </w:tc>
        <w:tc>
          <w:tcPr>
            <w:tcW w:type="dxa" w:w="53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28"/>
              <w:right w:type="dxa" w:w="28"/>
            </w:tcMar>
          </w:tcPr>
          <w:p w14:paraId="A6000000">
            <w:pPr>
              <w:spacing w:after="0"/>
              <w:ind/>
              <w:rPr>
                <w:color w:val="000000"/>
              </w:rPr>
            </w:pPr>
            <w:r>
              <w:rPr>
                <w:color w:val="000000"/>
              </w:rPr>
              <w:t>Подсистема предназначена для организации единой службы приема по принципу «одно окно». Она должна решать задачи, связанные с приемом граждан, оказанием им справочно-консультационных услуг, регистрацией заявлений и обращений граждан, постановкой граждан на учет и создание электронного личного дела, формированием семейных групп граждан, необходимые для принятия решений и автоматизации предоставления (назначения и выплаты) мер социальной поддержки. Подсистема должна позволять вести регистр граждан, обращавшихся в органы социальной защиты и (или) имеющих (имевших) право на социальные услуги, меры социальной поддержки (социальные пособия, льготы, компенсации, субсидии, социальные услуги и пр.), а также регистр адресов (сведений об адресах проживания и регистрации граждан).</w:t>
            </w:r>
          </w:p>
        </w:tc>
      </w:tr>
      <w:tr>
        <w:tc>
          <w:tcPr>
            <w:tcW w:type="dxa" w:w="701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  <w:tcMar>
              <w:left w:type="dxa" w:w="28"/>
              <w:right w:type="dxa" w:w="28"/>
            </w:tcMar>
          </w:tcPr>
          <w:p w14:paraId="A7000000">
            <w:pPr>
              <w:spacing w:after="0"/>
              <w:ind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type="dxa" w:w="3263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  <w:tcMar>
              <w:left w:type="dxa" w:w="28"/>
              <w:right w:type="dxa" w:w="28"/>
            </w:tcMar>
          </w:tcPr>
          <w:p w14:paraId="A8000000">
            <w:pPr>
              <w:spacing w:after="0"/>
              <w:ind/>
              <w:rPr>
                <w:color w:val="000000"/>
              </w:rPr>
            </w:pPr>
            <w:r>
              <w:rPr>
                <w:color w:val="000000"/>
              </w:rPr>
              <w:t>Подсистема назначения пособий гражданам, имеющим детей</w:t>
            </w:r>
          </w:p>
        </w:tc>
        <w:tc>
          <w:tcPr>
            <w:tcW w:type="dxa" w:w="53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28"/>
              <w:right w:type="dxa" w:w="28"/>
            </w:tcMar>
          </w:tcPr>
          <w:p w14:paraId="A9000000">
            <w:pPr>
              <w:spacing w:after="0"/>
              <w:ind/>
              <w:rPr>
                <w:color w:val="000000"/>
              </w:rPr>
            </w:pPr>
            <w:r>
              <w:rPr>
                <w:color w:val="000000"/>
              </w:rPr>
              <w:t xml:space="preserve">Подсистема предназначена для организации единого учета граждан, имеющих детей, </w:t>
            </w:r>
            <w:r>
              <w:rPr>
                <w:color w:val="000000"/>
              </w:rPr>
              <w:t xml:space="preserve">автоматизации процессов </w:t>
            </w:r>
            <w:r>
              <w:rPr>
                <w:color w:val="000000"/>
              </w:rPr>
              <w:t>назначения и выплаты мер социальной поддержки, на которые они имеют право.</w:t>
            </w:r>
          </w:p>
        </w:tc>
      </w:tr>
      <w:tr>
        <w:tc>
          <w:tcPr>
            <w:tcW w:type="dxa" w:w="701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  <w:tcMar>
              <w:left w:type="dxa" w:w="28"/>
              <w:right w:type="dxa" w:w="28"/>
            </w:tcMar>
          </w:tcPr>
          <w:p w14:paraId="AA000000">
            <w:pPr>
              <w:spacing w:after="0"/>
              <w:ind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type="dxa" w:w="3263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  <w:tcMar>
              <w:left w:type="dxa" w:w="28"/>
              <w:right w:type="dxa" w:w="28"/>
            </w:tcMar>
          </w:tcPr>
          <w:p w14:paraId="AB000000">
            <w:pPr>
              <w:spacing w:after="0"/>
              <w:ind/>
              <w:rPr>
                <w:color w:val="000000"/>
              </w:rPr>
            </w:pPr>
            <w:r>
              <w:rPr>
                <w:color w:val="000000"/>
              </w:rPr>
              <w:t>Подсистема назначения и выплат ежемесячных, ежегодных, компенсационных денежных выплат (ЕДВ)</w:t>
            </w:r>
          </w:p>
        </w:tc>
        <w:tc>
          <w:tcPr>
            <w:tcW w:type="dxa" w:w="53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28"/>
              <w:right w:type="dxa" w:w="28"/>
            </w:tcMar>
          </w:tcPr>
          <w:p w14:paraId="AC000000">
            <w:pPr>
              <w:widowControl w:val="0"/>
              <w:spacing w:after="0"/>
              <w:ind/>
              <w:rPr>
                <w:color w:val="000000"/>
              </w:rPr>
            </w:pPr>
            <w:r>
              <w:rPr>
                <w:color w:val="000000"/>
              </w:rPr>
              <w:t xml:space="preserve">Подсистема предназначена для организации единого учета граждан, имеющих льготные категории, </w:t>
            </w:r>
            <w:r>
              <w:rPr>
                <w:color w:val="000000"/>
              </w:rPr>
              <w:t xml:space="preserve">автоматизации процессов </w:t>
            </w:r>
            <w:r>
              <w:rPr>
                <w:color w:val="000000"/>
              </w:rPr>
              <w:t>назначения и выплаты мер социальной поддержки, на которые они имеют право.</w:t>
            </w:r>
          </w:p>
        </w:tc>
      </w:tr>
      <w:tr>
        <w:tc>
          <w:tcPr>
            <w:tcW w:type="dxa" w:w="701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  <w:tcMar>
              <w:left w:type="dxa" w:w="28"/>
              <w:right w:type="dxa" w:w="28"/>
            </w:tcMar>
          </w:tcPr>
          <w:p w14:paraId="AD000000">
            <w:pPr>
              <w:spacing w:after="0"/>
              <w:ind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type="dxa" w:w="3263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  <w:tcMar>
              <w:left w:type="dxa" w:w="28"/>
              <w:right w:type="dxa" w:w="28"/>
            </w:tcMar>
          </w:tcPr>
          <w:p w14:paraId="AE000000">
            <w:pPr>
              <w:spacing w:after="0"/>
              <w:ind/>
              <w:rPr>
                <w:color w:val="000000"/>
              </w:rPr>
            </w:pPr>
            <w:r>
              <w:rPr>
                <w:color w:val="000000"/>
              </w:rPr>
              <w:t>Подсистема назначения и выплаты субсидий на оплату жилья и жилищно-коммунальных услуг</w:t>
            </w:r>
          </w:p>
        </w:tc>
        <w:tc>
          <w:tcPr>
            <w:tcW w:type="dxa" w:w="53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28"/>
              <w:right w:type="dxa" w:w="28"/>
            </w:tcMar>
          </w:tcPr>
          <w:p w14:paraId="AF000000">
            <w:pPr>
              <w:widowControl w:val="0"/>
              <w:spacing w:after="0"/>
              <w:ind/>
              <w:rPr>
                <w:color w:val="000000"/>
              </w:rPr>
            </w:pPr>
            <w:r>
              <w:rPr>
                <w:color w:val="000000"/>
              </w:rPr>
              <w:t>Подсистема предназначена для назначения жилищных субсидий гражданам Российской Федерации, зарегистрированных по месту жительства в пределах Чеченской республики. Позволяет специалистам выполнить с использованием компьютера весь спектр работ, от приема заявления на субсидию до выдачи документов о назначенных субсидиях и получения различных отчетов о предоставленных субсидиях.</w:t>
            </w:r>
          </w:p>
        </w:tc>
      </w:tr>
      <w:tr>
        <w:tc>
          <w:tcPr>
            <w:tcW w:type="dxa" w:w="701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  <w:tcMar>
              <w:left w:type="dxa" w:w="28"/>
              <w:right w:type="dxa" w:w="28"/>
            </w:tcMar>
          </w:tcPr>
          <w:p w14:paraId="B0000000">
            <w:pPr>
              <w:spacing w:after="0"/>
              <w:ind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type="dxa" w:w="3263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  <w:tcMar>
              <w:left w:type="dxa" w:w="28"/>
              <w:right w:type="dxa" w:w="28"/>
            </w:tcMar>
          </w:tcPr>
          <w:p w14:paraId="B1000000">
            <w:pPr>
              <w:spacing w:after="0"/>
              <w:ind/>
              <w:rPr>
                <w:color w:val="000000"/>
              </w:rPr>
            </w:pPr>
            <w:r>
              <w:rPr>
                <w:color w:val="000000"/>
              </w:rPr>
              <w:t>Подсистема назначения и выплаты ежемесячной денежной компенсации расходов на оплату жилого помещения и коммунальных услуг, в том числе на оплату взносов на капитальный ремонт</w:t>
            </w:r>
          </w:p>
        </w:tc>
        <w:tc>
          <w:tcPr>
            <w:tcW w:type="dxa" w:w="53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28"/>
              <w:right w:type="dxa" w:w="28"/>
            </w:tcMar>
          </w:tcPr>
          <w:p w14:paraId="B2000000">
            <w:pPr>
              <w:widowControl w:val="0"/>
              <w:spacing w:after="0"/>
              <w:ind/>
              <w:rPr>
                <w:color w:val="000000"/>
              </w:rPr>
            </w:pPr>
            <w:r>
              <w:rPr>
                <w:color w:val="000000"/>
              </w:rPr>
              <w:t>Подсистема предназначена для учета граждан, имеющих право на меры социальной поддержки по оплате ЖКУ, назначения и выплаты им мер социальной поддержки в виде компенсации на оплату жилого помещения и коммунальных услуг, предусмотренных федеральным и региональным законодательством.</w:t>
            </w:r>
          </w:p>
        </w:tc>
      </w:tr>
      <w:tr>
        <w:tc>
          <w:tcPr>
            <w:tcW w:type="dxa" w:w="701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  <w:tcMar>
              <w:left w:type="dxa" w:w="28"/>
              <w:right w:type="dxa" w:w="28"/>
            </w:tcMar>
          </w:tcPr>
          <w:p w14:paraId="B3000000">
            <w:pPr>
              <w:spacing w:after="0"/>
              <w:ind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type="dxa" w:w="3263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  <w:tcMar>
              <w:left w:type="dxa" w:w="28"/>
              <w:right w:type="dxa" w:w="28"/>
            </w:tcMar>
          </w:tcPr>
          <w:p w14:paraId="B4000000">
            <w:pPr>
              <w:spacing w:after="0"/>
              <w:ind/>
              <w:rPr>
                <w:color w:val="000000"/>
              </w:rPr>
            </w:pPr>
            <w:r>
              <w:rPr>
                <w:color w:val="000000"/>
              </w:rPr>
              <w:t>Подсистема социального обслуживания</w:t>
            </w:r>
          </w:p>
        </w:tc>
        <w:tc>
          <w:tcPr>
            <w:tcW w:type="dxa" w:w="53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28"/>
              <w:right w:type="dxa" w:w="28"/>
            </w:tcMar>
          </w:tcPr>
          <w:p w14:paraId="B5000000">
            <w:pPr>
              <w:widowControl w:val="0"/>
              <w:spacing w:after="0"/>
              <w:ind/>
              <w:rPr>
                <w:color w:val="000000"/>
              </w:rPr>
            </w:pPr>
            <w:r>
              <w:rPr>
                <w:color w:val="000000"/>
              </w:rPr>
              <w:t>Подсистема предназначена обеспечить функционирование следующих задач:</w:t>
            </w:r>
          </w:p>
          <w:p w14:paraId="B6000000">
            <w:pPr>
              <w:widowControl w:val="0"/>
              <w:spacing w:after="0"/>
              <w:ind/>
              <w:rPr>
                <w:color w:val="000000"/>
              </w:rPr>
            </w:pPr>
            <w:r>
              <w:rPr>
                <w:color w:val="000000"/>
              </w:rPr>
              <w:t>- учет граждан, которые признаны нуждающимися в социальном обслуживании и которым предоставляются социальные услуги (Регистр получателей социальных услуг);</w:t>
            </w:r>
          </w:p>
          <w:p w14:paraId="B7000000">
            <w:pPr>
              <w:widowControl w:val="0"/>
              <w:spacing w:after="0"/>
              <w:ind/>
              <w:rPr>
                <w:color w:val="000000"/>
              </w:rPr>
            </w:pPr>
            <w:r>
              <w:rPr>
                <w:color w:val="000000"/>
              </w:rPr>
              <w:t>- учет сведений об учреждениях социального обслуживания (Реестр поставщиков социальных услуг);</w:t>
            </w:r>
          </w:p>
          <w:p w14:paraId="B8000000">
            <w:pPr>
              <w:widowControl w:val="0"/>
              <w:spacing w:after="0"/>
              <w:ind/>
              <w:rPr>
                <w:color w:val="000000"/>
              </w:rPr>
            </w:pPr>
            <w:r>
              <w:rPr>
                <w:color w:val="000000"/>
              </w:rPr>
              <w:t>- прием заявлений граждан на социальное обслуживание, заключение договоров получателей социальных услуг с поставщиками социальных услуг и учет оплаты за оказанные услуги (Социальные службы).</w:t>
            </w:r>
          </w:p>
        </w:tc>
      </w:tr>
      <w:tr>
        <w:tc>
          <w:tcPr>
            <w:tcW w:type="dxa" w:w="701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  <w:tcMar>
              <w:left w:type="dxa" w:w="28"/>
              <w:right w:type="dxa" w:w="28"/>
            </w:tcMar>
          </w:tcPr>
          <w:p w14:paraId="B9000000">
            <w:pPr>
              <w:spacing w:after="0"/>
              <w:ind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type="dxa" w:w="3263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  <w:tcMar>
              <w:left w:type="dxa" w:w="28"/>
              <w:right w:type="dxa" w:w="28"/>
            </w:tcMar>
          </w:tcPr>
          <w:p w14:paraId="BA000000">
            <w:pPr>
              <w:spacing w:after="0"/>
              <w:ind/>
              <w:rPr>
                <w:color w:val="000000"/>
              </w:rPr>
            </w:pPr>
            <w:r>
              <w:rPr>
                <w:color w:val="000000"/>
              </w:rPr>
              <w:t>Подсистема региональной базы данных</w:t>
            </w:r>
          </w:p>
        </w:tc>
        <w:tc>
          <w:tcPr>
            <w:tcW w:type="dxa" w:w="53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28"/>
              <w:right w:type="dxa" w:w="28"/>
            </w:tcMar>
          </w:tcPr>
          <w:p w14:paraId="BB000000">
            <w:pPr>
              <w:widowControl w:val="0"/>
              <w:spacing w:after="0"/>
              <w:ind/>
              <w:rPr>
                <w:color w:val="000000"/>
              </w:rPr>
            </w:pPr>
            <w:r>
              <w:rPr>
                <w:color w:val="000000"/>
              </w:rPr>
              <w:t xml:space="preserve">Подсистема региональной базы данных должна обеспечивать построение единой БД для получения на региональном уровне единого социального регистра населения региона, выполнения контрольных функций, разграничение прав доступа к данным, получение </w:t>
            </w:r>
            <w:r>
              <w:rPr>
                <w:color w:val="000000"/>
              </w:rPr>
              <w:t>разноуровневой</w:t>
            </w:r>
            <w:r>
              <w:rPr>
                <w:color w:val="000000"/>
              </w:rPr>
              <w:t xml:space="preserve"> отчетности и статистики и иных функций.</w:t>
            </w:r>
          </w:p>
        </w:tc>
      </w:tr>
      <w:tr>
        <w:tc>
          <w:tcPr>
            <w:tcW w:type="dxa" w:w="701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  <w:tcMar>
              <w:left w:type="dxa" w:w="28"/>
              <w:right w:type="dxa" w:w="28"/>
            </w:tcMar>
          </w:tcPr>
          <w:p w14:paraId="BC000000">
            <w:pPr>
              <w:spacing w:after="0"/>
              <w:ind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type="dxa" w:w="3263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  <w:tcMar>
              <w:left w:type="dxa" w:w="28"/>
              <w:right w:type="dxa" w:w="28"/>
            </w:tcMar>
          </w:tcPr>
          <w:p w14:paraId="BD000000">
            <w:pPr>
              <w:spacing w:after="0"/>
              <w:ind/>
              <w:rPr>
                <w:color w:val="000000"/>
              </w:rPr>
            </w:pPr>
            <w:r>
              <w:rPr>
                <w:color w:val="000000"/>
              </w:rPr>
              <w:t>Подсистема внутреннего информационного обмена</w:t>
            </w:r>
          </w:p>
        </w:tc>
        <w:tc>
          <w:tcPr>
            <w:tcW w:type="dxa" w:w="53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28"/>
              <w:right w:type="dxa" w:w="28"/>
            </w:tcMar>
          </w:tcPr>
          <w:p w14:paraId="BE000000">
            <w:pPr>
              <w:spacing w:after="0"/>
              <w:ind/>
              <w:rPr>
                <w:color w:val="000000"/>
              </w:rPr>
            </w:pPr>
            <w:r>
              <w:rPr>
                <w:color w:val="000000"/>
              </w:rPr>
              <w:t xml:space="preserve">Подсистема предназначена для обеспечения информационного взаимодействия между участниками Системы с целью поддержания актуальности информации. </w:t>
            </w:r>
          </w:p>
        </w:tc>
      </w:tr>
      <w:tr>
        <w:tc>
          <w:tcPr>
            <w:tcW w:type="dxa" w:w="701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  <w:tcMar>
              <w:left w:type="dxa" w:w="28"/>
              <w:right w:type="dxa" w:w="28"/>
            </w:tcMar>
          </w:tcPr>
          <w:p w14:paraId="BF000000">
            <w:pPr>
              <w:spacing w:after="0"/>
              <w:ind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type="dxa" w:w="3263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  <w:tcMar>
              <w:left w:type="dxa" w:w="28"/>
              <w:right w:type="dxa" w:w="28"/>
            </w:tcMar>
          </w:tcPr>
          <w:p w14:paraId="C0000000">
            <w:pPr>
              <w:spacing w:after="0"/>
              <w:ind/>
              <w:rPr>
                <w:color w:val="000000"/>
              </w:rPr>
            </w:pPr>
            <w:r>
              <w:rPr>
                <w:color w:val="000000"/>
              </w:rPr>
              <w:t>Подсистема «Отчеты, статистика, аналитика»</w:t>
            </w:r>
          </w:p>
        </w:tc>
        <w:tc>
          <w:tcPr>
            <w:tcW w:type="dxa" w:w="53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28"/>
              <w:right w:type="dxa" w:w="28"/>
            </w:tcMar>
          </w:tcPr>
          <w:p w14:paraId="C1000000">
            <w:pPr>
              <w:widowControl w:val="0"/>
              <w:spacing w:after="0"/>
              <w:ind/>
              <w:rPr>
                <w:color w:val="000000"/>
              </w:rPr>
            </w:pPr>
            <w:r>
              <w:rPr>
                <w:color w:val="000000"/>
              </w:rPr>
              <w:t>Подсистема предназначена для обеспечения поиска и выборки данных по заданным критериям, оперативного анализа данных в БД, построения статистических и аналитических отчетов.</w:t>
            </w:r>
          </w:p>
        </w:tc>
      </w:tr>
      <w:tr>
        <w:tc>
          <w:tcPr>
            <w:tcW w:type="dxa" w:w="701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  <w:tcMar>
              <w:left w:type="dxa" w:w="28"/>
              <w:right w:type="dxa" w:w="28"/>
            </w:tcMar>
          </w:tcPr>
          <w:p w14:paraId="C2000000">
            <w:pPr>
              <w:spacing w:after="0"/>
              <w:ind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type="dxa" w:w="3263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  <w:tcMar>
              <w:left w:type="dxa" w:w="28"/>
              <w:right w:type="dxa" w:w="28"/>
            </w:tcMar>
          </w:tcPr>
          <w:p w14:paraId="C3000000">
            <w:pPr>
              <w:spacing w:after="0"/>
              <w:ind/>
              <w:rPr>
                <w:color w:val="000000"/>
              </w:rPr>
            </w:pPr>
            <w:r>
              <w:rPr>
                <w:color w:val="000000"/>
              </w:rPr>
              <w:t>Подсистема «Поддержка принятия решений»</w:t>
            </w:r>
          </w:p>
        </w:tc>
        <w:tc>
          <w:tcPr>
            <w:tcW w:type="dxa" w:w="53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28"/>
              <w:right w:type="dxa" w:w="28"/>
            </w:tcMar>
          </w:tcPr>
          <w:p w14:paraId="C4000000">
            <w:pPr>
              <w:spacing w:after="0"/>
              <w:ind/>
              <w:rPr>
                <w:color w:val="000000"/>
              </w:rPr>
            </w:pPr>
            <w:r>
              <w:rPr>
                <w:color w:val="000000"/>
              </w:rPr>
              <w:t xml:space="preserve">Подсистема предназначена для обеспечения информационной поддержки специалистов </w:t>
            </w:r>
            <w:r>
              <w:rPr>
                <w:color w:val="000000"/>
              </w:rPr>
              <w:t>для принятия решения о праве гражданина на назначение мер социальной поддержки</w:t>
            </w:r>
            <w:r>
              <w:rPr>
                <w:color w:val="000000"/>
              </w:rPr>
              <w:t>.</w:t>
            </w:r>
          </w:p>
        </w:tc>
      </w:tr>
      <w:tr>
        <w:tc>
          <w:tcPr>
            <w:tcW w:type="dxa" w:w="701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  <w:tcMar>
              <w:left w:type="dxa" w:w="28"/>
              <w:right w:type="dxa" w:w="28"/>
            </w:tcMar>
          </w:tcPr>
          <w:p w14:paraId="C5000000">
            <w:pPr>
              <w:spacing w:after="0"/>
              <w:ind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type="dxa" w:w="3263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  <w:tcMar>
              <w:left w:type="dxa" w:w="28"/>
              <w:right w:type="dxa" w:w="28"/>
            </w:tcMar>
          </w:tcPr>
          <w:p w14:paraId="C6000000">
            <w:pPr>
              <w:spacing w:after="0"/>
              <w:ind/>
              <w:rPr>
                <w:color w:val="000000"/>
              </w:rPr>
            </w:pPr>
            <w:r>
              <w:rPr>
                <w:color w:val="000000"/>
              </w:rPr>
              <w:t>Подсистема «Администрирование»</w:t>
            </w:r>
          </w:p>
        </w:tc>
        <w:tc>
          <w:tcPr>
            <w:tcW w:type="dxa" w:w="53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28"/>
              <w:right w:type="dxa" w:w="28"/>
            </w:tcMar>
          </w:tcPr>
          <w:p w14:paraId="C7000000">
            <w:pPr>
              <w:spacing w:after="0"/>
              <w:ind/>
              <w:rPr>
                <w:color w:val="000000"/>
              </w:rPr>
            </w:pPr>
            <w:r>
              <w:rPr>
                <w:color w:val="000000"/>
              </w:rPr>
              <w:t>Подсистема предназначена для осуществления функций администрирования, настройки и модернизации Системы.</w:t>
            </w:r>
          </w:p>
        </w:tc>
      </w:tr>
      <w:tr>
        <w:tc>
          <w:tcPr>
            <w:tcW w:type="dxa" w:w="701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  <w:tcMar>
              <w:left w:type="dxa" w:w="28"/>
              <w:right w:type="dxa" w:w="28"/>
            </w:tcMar>
          </w:tcPr>
          <w:p w14:paraId="C8000000">
            <w:pPr>
              <w:spacing w:after="0"/>
              <w:ind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type="dxa" w:w="3263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  <w:tcMar>
              <w:left w:type="dxa" w:w="28"/>
              <w:right w:type="dxa" w:w="28"/>
            </w:tcMar>
          </w:tcPr>
          <w:p w14:paraId="C9000000">
            <w:pPr>
              <w:spacing w:after="0"/>
              <w:ind/>
              <w:rPr>
                <w:color w:val="000000"/>
              </w:rPr>
            </w:pPr>
            <w:r>
              <w:rPr>
                <w:color w:val="000000"/>
              </w:rPr>
              <w:t>Подсистема «Безопасность»</w:t>
            </w:r>
          </w:p>
        </w:tc>
        <w:tc>
          <w:tcPr>
            <w:tcW w:type="dxa" w:w="53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28"/>
              <w:right w:type="dxa" w:w="28"/>
            </w:tcMar>
          </w:tcPr>
          <w:p w14:paraId="CA000000">
            <w:pPr>
              <w:spacing w:after="0"/>
              <w:ind/>
              <w:rPr>
                <w:color w:val="000000"/>
              </w:rPr>
            </w:pPr>
            <w:r>
              <w:rPr>
                <w:color w:val="000000"/>
              </w:rPr>
              <w:t xml:space="preserve">Подсистема предназначена для обеспечения </w:t>
            </w:r>
            <w:r>
              <w:rPr>
                <w:color w:val="000000"/>
              </w:rPr>
              <w:t>защиты персональных данных в соответствии с требованиями действующего законодательства.</w:t>
            </w:r>
          </w:p>
        </w:tc>
      </w:tr>
      <w:tr>
        <w:tc>
          <w:tcPr>
            <w:tcW w:type="dxa" w:w="701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  <w:tcMar>
              <w:left w:type="dxa" w:w="28"/>
              <w:right w:type="dxa" w:w="28"/>
            </w:tcMar>
          </w:tcPr>
          <w:p w14:paraId="CB000000">
            <w:pPr>
              <w:spacing w:after="0"/>
              <w:ind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type="dxa" w:w="3263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  <w:tcMar>
              <w:left w:type="dxa" w:w="28"/>
              <w:right w:type="dxa" w:w="28"/>
            </w:tcMar>
          </w:tcPr>
          <w:p w14:paraId="CC000000">
            <w:pPr>
              <w:spacing w:after="0"/>
              <w:ind/>
              <w:rPr>
                <w:color w:val="000000"/>
              </w:rPr>
            </w:pPr>
            <w:r>
              <w:rPr>
                <w:color w:val="000000"/>
              </w:rPr>
              <w:t>Подсистема «Интеграция с ЕГИССО»</w:t>
            </w:r>
          </w:p>
        </w:tc>
        <w:tc>
          <w:tcPr>
            <w:tcW w:type="dxa" w:w="53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28"/>
              <w:right w:type="dxa" w:w="28"/>
            </w:tcMar>
          </w:tcPr>
          <w:p w14:paraId="CD000000">
            <w:pPr>
              <w:spacing w:after="0"/>
              <w:ind/>
              <w:rPr>
                <w:color w:val="000000"/>
              </w:rPr>
            </w:pPr>
            <w:r>
              <w:rPr>
                <w:color w:val="000000"/>
              </w:rPr>
              <w:t>Информационное взаимодействие с «Единой государственной информационной системой социального обеспечения» (ЕГИССО), в рамках услуг, оказываемых в подсистемах, описанных во 2 и 3 пункте таблицы.</w:t>
            </w:r>
          </w:p>
        </w:tc>
      </w:tr>
      <w:tr>
        <w:tc>
          <w:tcPr>
            <w:tcW w:type="dxa" w:w="701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  <w:tcMar>
              <w:left w:type="dxa" w:w="28"/>
              <w:right w:type="dxa" w:w="28"/>
            </w:tcMar>
          </w:tcPr>
          <w:p w14:paraId="CE000000">
            <w:pPr>
              <w:spacing w:after="0"/>
              <w:ind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type="dxa" w:w="3263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  <w:tcMar>
              <w:left w:type="dxa" w:w="28"/>
              <w:right w:type="dxa" w:w="28"/>
            </w:tcMar>
          </w:tcPr>
          <w:p w14:paraId="CF000000">
            <w:pPr>
              <w:spacing w:after="0"/>
              <w:ind/>
              <w:rPr>
                <w:color w:val="000000"/>
              </w:rPr>
            </w:pPr>
            <w:r>
              <w:rPr>
                <w:color w:val="000000"/>
              </w:rPr>
              <w:t>Подсистема «Взаимодействие с ГИС ФРИ»</w:t>
            </w:r>
          </w:p>
        </w:tc>
        <w:tc>
          <w:tcPr>
            <w:tcW w:type="dxa" w:w="53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28"/>
              <w:right w:type="dxa" w:w="28"/>
            </w:tcMar>
          </w:tcPr>
          <w:p w14:paraId="D0000000">
            <w:pPr>
              <w:spacing w:after="0"/>
              <w:ind/>
              <w:rPr>
                <w:color w:val="000000"/>
              </w:rPr>
            </w:pPr>
            <w:r>
              <w:rPr>
                <w:color w:val="000000"/>
              </w:rPr>
              <w:t xml:space="preserve">Предназначена для организации взаимодействия информационной системы регионального органа исполнительной власти, которому переданы для осуществления полномочия Российской Федерации в части исполнения мероприятий по ИПРА инвалидов, обеспечения инвалидов техническими средствами реабилитации и услугами, а также путевками на санаторно-курортное лечение в </w:t>
            </w:r>
            <w:r>
              <w:rPr>
                <w:color w:val="000000"/>
              </w:rPr>
              <w:t>рамках оказания государственной социальной помощи в виде набора социальных услуг иных организаций, используемых при предоставлении в электронной форме государственных услуг инвалидам, и иных организаций, участвующих в предоставлении таких услуг, используя ГИС ФРИ по каналам СМЭВ 3.0.</w:t>
            </w:r>
            <w:bookmarkEnd w:id="3"/>
          </w:p>
        </w:tc>
      </w:tr>
    </w:tbl>
    <w:p w14:paraId="D1000000">
      <w:pPr>
        <w:tabs>
          <w:tab w:leader="none" w:pos="142" w:val="left"/>
          <w:tab w:leader="none" w:pos="993" w:val="left"/>
          <w:tab w:leader="none" w:pos="1418" w:val="left"/>
        </w:tabs>
        <w:spacing w:after="0"/>
        <w:ind/>
      </w:pPr>
    </w:p>
    <w:p w14:paraId="D2000000">
      <w:pPr>
        <w:tabs>
          <w:tab w:leader="none" w:pos="709" w:val="left"/>
          <w:tab w:leader="none" w:pos="1418" w:val="left"/>
        </w:tabs>
        <w:spacing w:after="0"/>
        <w:ind w:left="1080"/>
        <w:contextualSpacing w:val="1"/>
        <w:rPr>
          <w:b w:val="1"/>
          <w:color w:val="000000"/>
        </w:rPr>
      </w:pPr>
      <w:r>
        <w:rPr>
          <w:b w:val="1"/>
          <w:color w:val="000000"/>
        </w:rPr>
        <w:t xml:space="preserve">6. Требования к защите информации </w:t>
      </w:r>
    </w:p>
    <w:p w14:paraId="D3000000">
      <w:pPr>
        <w:tabs>
          <w:tab w:leader="none" w:pos="709" w:val="left"/>
          <w:tab w:leader="none" w:pos="1418" w:val="left"/>
        </w:tabs>
        <w:spacing w:after="0" w:line="120" w:lineRule="auto"/>
        <w:ind w:left="1440"/>
        <w:contextualSpacing w:val="1"/>
        <w:rPr>
          <w:b w:val="1"/>
          <w:color w:val="000000"/>
        </w:rPr>
      </w:pPr>
    </w:p>
    <w:p w14:paraId="D4000000">
      <w:pPr>
        <w:tabs>
          <w:tab w:leader="none" w:pos="142" w:val="left"/>
          <w:tab w:leader="none" w:pos="851" w:val="left"/>
        </w:tabs>
        <w:spacing w:after="0"/>
        <w:ind w:firstLine="709"/>
      </w:pPr>
      <w:r>
        <w:t>Учитывая важность и конфиденциальный характер информации, содержащейся в базах данных, при оказании услуг должна быть обеспечена защита информации, как от несанкционированного доступа, так и от потери и разрушения данных.</w:t>
      </w:r>
    </w:p>
    <w:p w14:paraId="D5000000">
      <w:pPr>
        <w:tabs>
          <w:tab w:leader="none" w:pos="142" w:val="left"/>
          <w:tab w:leader="none" w:pos="851" w:val="left"/>
        </w:tabs>
        <w:spacing w:after="0"/>
        <w:ind w:firstLine="709"/>
      </w:pPr>
      <w:r>
        <w:t>Защита информации в базе данных при оказании услуг должна быть обеспечена на нескольких уровнях:</w:t>
      </w:r>
    </w:p>
    <w:p w14:paraId="D6000000">
      <w:pPr>
        <w:tabs>
          <w:tab w:leader="none" w:pos="142" w:val="left"/>
          <w:tab w:leader="none" w:pos="851" w:val="left"/>
        </w:tabs>
        <w:spacing w:after="0"/>
        <w:ind w:firstLine="709"/>
      </w:pPr>
      <w:r>
        <w:t>– уровень файлов: защита жесткого диска сервера с помощью специализированного программного обеспечения;</w:t>
      </w:r>
    </w:p>
    <w:p w14:paraId="D7000000">
      <w:pPr>
        <w:tabs>
          <w:tab w:leader="none" w:pos="142" w:val="left"/>
          <w:tab w:leader="none" w:pos="851" w:val="left"/>
        </w:tabs>
        <w:spacing w:after="0"/>
        <w:ind w:firstLine="709"/>
      </w:pPr>
      <w:r>
        <w:t xml:space="preserve">– программный уровень: для защиты данных на этом уровне должна быть обеспечена система прав и паролей, предохраняющая от несанкционированного доступа к данным; </w:t>
      </w:r>
    </w:p>
    <w:p w14:paraId="D8000000">
      <w:pPr>
        <w:tabs>
          <w:tab w:leader="none" w:pos="142" w:val="left"/>
          <w:tab w:leader="none" w:pos="851" w:val="left"/>
        </w:tabs>
        <w:spacing w:after="0"/>
        <w:ind w:firstLine="709"/>
      </w:pPr>
      <w:r>
        <w:t xml:space="preserve">– протоколирование выполняемых действий по работе с базой данных, что позволит выяснить, кто и когда имел доступ к информации и какие операции выполнялись. </w:t>
      </w:r>
    </w:p>
    <w:p w14:paraId="D9000000">
      <w:pPr>
        <w:tabs>
          <w:tab w:leader="none" w:pos="142" w:val="left"/>
          <w:tab w:leader="none" w:pos="851" w:val="left"/>
        </w:tabs>
        <w:spacing w:after="0"/>
        <w:ind/>
      </w:pPr>
    </w:p>
    <w:p w14:paraId="DA000000">
      <w:pPr>
        <w:spacing w:after="0"/>
        <w:ind w:left="1080"/>
        <w:rPr>
          <w:b w:val="1"/>
          <w:color w:val="000000"/>
        </w:rPr>
      </w:pPr>
      <w:r>
        <w:rPr>
          <w:b w:val="1"/>
          <w:color w:val="000000"/>
        </w:rPr>
        <w:t>7. Место и срок оказания услуг:</w:t>
      </w:r>
    </w:p>
    <w:p w14:paraId="DB000000">
      <w:pPr>
        <w:spacing w:after="0" w:line="120" w:lineRule="auto"/>
        <w:ind w:left="1418"/>
        <w:rPr>
          <w:b w:val="1"/>
          <w:color w:val="000000"/>
        </w:rPr>
      </w:pPr>
    </w:p>
    <w:p w14:paraId="DC000000">
      <w:pPr>
        <w:spacing w:after="0"/>
        <w:ind w:firstLine="784" w:left="-76"/>
        <w:rPr>
          <w:color w:val="000000"/>
        </w:rPr>
      </w:pPr>
      <w:r>
        <w:rPr>
          <w:color w:val="000000"/>
        </w:rPr>
        <w:t xml:space="preserve">Исполнитель обязан осуществить передачу прав </w:t>
      </w:r>
      <w:r>
        <w:rPr>
          <w:color w:val="000000"/>
        </w:rPr>
        <w:t>на  программного</w:t>
      </w:r>
      <w:r>
        <w:rPr>
          <w:color w:val="000000"/>
        </w:rPr>
        <w:t xml:space="preserve"> обеспечения АС «АСП» в течение 5 рабочих дней с даты заключения контракта. </w:t>
      </w:r>
    </w:p>
    <w:p w14:paraId="DD000000">
      <w:pPr>
        <w:spacing w:after="0"/>
        <w:ind w:firstLine="784" w:left="-76"/>
        <w:rPr>
          <w:color w:val="000000"/>
        </w:rPr>
      </w:pPr>
      <w:r>
        <w:rPr>
          <w:color w:val="000000"/>
        </w:rPr>
        <w:t xml:space="preserve">Срок начала работ – </w:t>
      </w:r>
      <w:r>
        <w:rPr>
          <w:color w:val="000000"/>
        </w:rPr>
        <w:t>c</w:t>
      </w:r>
      <w:r>
        <w:rPr>
          <w:color w:val="000000"/>
        </w:rPr>
        <w:t xml:space="preserve"> даты подписания Договора.</w:t>
      </w:r>
    </w:p>
    <w:p w14:paraId="DE000000">
      <w:pPr>
        <w:spacing w:after="0"/>
        <w:ind w:firstLine="784" w:left="-76"/>
        <w:rPr>
          <w:color w:val="000000"/>
        </w:rPr>
      </w:pPr>
      <w:r>
        <w:rPr>
          <w:color w:val="000000"/>
        </w:rPr>
        <w:t>Срок окончания работ –</w:t>
      </w:r>
      <w:r>
        <w:rPr>
          <w:color w:val="000000"/>
          <w:highlight w:val="yellow"/>
        </w:rPr>
        <w:t>12 месяцев с даты подписания Договора.</w:t>
      </w:r>
    </w:p>
    <w:p w14:paraId="DF000000">
      <w:pPr>
        <w:spacing w:after="0"/>
        <w:ind w:firstLine="784" w:left="-76"/>
        <w:rPr>
          <w:color w:val="000000"/>
        </w:rPr>
      </w:pPr>
      <w:r>
        <w:rPr>
          <w:color w:val="000000"/>
        </w:rPr>
        <w:t xml:space="preserve">Поставка новой версии программного обеспечения осуществляется по адресу Заказчика: </w:t>
      </w:r>
      <w:r>
        <w:rPr>
          <w:color w:val="000000"/>
        </w:rPr>
        <w:t>3</w:t>
      </w:r>
      <w:r>
        <w:rPr>
          <w:color w:val="000000"/>
        </w:rPr>
        <w:t>64020, Чеченская республика, г. Грозный, ул. Деловая, 15. Возможно оказание услуг в удалённом формате.</w:t>
      </w:r>
    </w:p>
    <w:p w14:paraId="E0000000">
      <w:pPr>
        <w:spacing w:after="0"/>
        <w:ind w:left="1080"/>
        <w:rPr>
          <w:b w:val="1"/>
          <w:color w:val="000000"/>
        </w:rPr>
      </w:pPr>
    </w:p>
    <w:p w14:paraId="E1000000">
      <w:pPr>
        <w:spacing w:after="0"/>
        <w:ind w:left="1080"/>
        <w:rPr>
          <w:b w:val="1"/>
          <w:color w:val="000000"/>
        </w:rPr>
      </w:pPr>
      <w:r>
        <w:rPr>
          <w:b w:val="1"/>
          <w:color w:val="000000"/>
        </w:rPr>
        <w:t>8. Результат оказания услуг:</w:t>
      </w:r>
    </w:p>
    <w:p w14:paraId="E2000000">
      <w:pPr>
        <w:spacing w:after="0" w:line="120" w:lineRule="auto"/>
        <w:ind w:left="1418"/>
        <w:rPr>
          <w:b w:val="1"/>
          <w:color w:val="000000"/>
        </w:rPr>
      </w:pPr>
    </w:p>
    <w:p w14:paraId="E3000000">
      <w:pPr>
        <w:widowControl w:val="0"/>
        <w:spacing w:after="0"/>
        <w:ind w:firstLine="709" w:right="-1"/>
        <w:rPr>
          <w:color w:val="000000"/>
        </w:rPr>
      </w:pPr>
      <w:r>
        <w:rPr>
          <w:color w:val="000000"/>
        </w:rPr>
        <w:t>В целях исполнения обязательств, Исполнитель должен передать Заказчику права на использование программного обеспечения «Автоматизированная система управления персональными данными «Тула» (АСУПД «Тула»), её обновлений и дополнительных функциональных возможностей (далее – ПО или программный продукт) на условиях простой (неисключительной) лицензии. Права на программное обеспечение считаются переданными с момента подписания документа о приемке.</w:t>
      </w:r>
    </w:p>
    <w:p w14:paraId="E4000000">
      <w:pPr>
        <w:widowControl w:val="0"/>
        <w:spacing w:after="0"/>
        <w:ind w:firstLine="709" w:right="-1"/>
        <w:rPr>
          <w:color w:val="000000"/>
        </w:rPr>
      </w:pPr>
      <w:r>
        <w:rPr>
          <w:color w:val="000000"/>
        </w:rPr>
        <w:t>Права должны предоставлять Заказчику следующие возможности:</w:t>
      </w:r>
    </w:p>
    <w:p w14:paraId="E5000000">
      <w:pPr>
        <w:widowControl w:val="0"/>
        <w:spacing w:after="0"/>
        <w:ind w:firstLine="709" w:right="-1"/>
        <w:rPr>
          <w:color w:val="000000"/>
        </w:rPr>
      </w:pPr>
      <w:r>
        <w:rPr>
          <w:color w:val="000000"/>
        </w:rPr>
        <w:t>-запись и хранение ПО в памяти ЭВМ и осуществление действий, необходимых для функционирования ПО в соответствии с его прямым назначением;</w:t>
      </w:r>
    </w:p>
    <w:p w14:paraId="E6000000">
      <w:pPr>
        <w:widowControl w:val="0"/>
        <w:spacing w:after="0"/>
        <w:ind w:firstLine="709" w:right="-1"/>
        <w:rPr>
          <w:color w:val="000000"/>
        </w:rPr>
      </w:pPr>
      <w:r>
        <w:rPr>
          <w:color w:val="000000"/>
        </w:rPr>
        <w:t>-изготовление копии ПО в соответствии с подпунктом 2 пункта 1 статьи 1280 Гражданского кодекса Российской Федерации;</w:t>
      </w:r>
    </w:p>
    <w:p w14:paraId="E7000000">
      <w:pPr>
        <w:widowControl w:val="0"/>
        <w:spacing w:after="0"/>
        <w:ind w:firstLine="709" w:right="-1"/>
        <w:rPr>
          <w:color w:val="000000"/>
        </w:rPr>
      </w:pPr>
      <w:r>
        <w:rPr>
          <w:color w:val="000000"/>
        </w:rPr>
        <w:t xml:space="preserve">-адаптация </w:t>
      </w:r>
      <w:r>
        <w:rPr>
          <w:color w:val="000000"/>
        </w:rPr>
        <w:t>ПО</w:t>
      </w:r>
      <w:r>
        <w:rPr>
          <w:color w:val="000000"/>
        </w:rPr>
        <w:t xml:space="preserve"> встроенными в него средствами, в том числе с привлечением третьих лиц, с целью использования ПО Заказчиком и подведомственными ему учреждениями;</w:t>
      </w:r>
    </w:p>
    <w:p w14:paraId="E8000000">
      <w:pPr>
        <w:widowControl w:val="0"/>
        <w:spacing w:after="0"/>
        <w:ind w:firstLine="709" w:right="-1"/>
        <w:rPr>
          <w:color w:val="000000"/>
        </w:rPr>
      </w:pPr>
      <w:r>
        <w:rPr>
          <w:color w:val="000000"/>
        </w:rPr>
        <w:t>-разработка производных модулей, подсистем с использованием ПО, в том числе с привлечением третьих лиц.</w:t>
      </w:r>
    </w:p>
    <w:p w14:paraId="E9000000">
      <w:pPr>
        <w:widowControl w:val="0"/>
        <w:spacing w:after="0"/>
        <w:ind w:firstLine="709" w:right="-1"/>
        <w:rPr>
          <w:color w:val="000000"/>
        </w:rPr>
      </w:pPr>
      <w:r>
        <w:rPr>
          <w:color w:val="000000"/>
        </w:rPr>
        <w:t>Исполнитель передает Заказчику права на использование ПО в объеме, необходимом для использования Заказчиком результатов услуг по Контракту (Договору) по их целевому назначению и в соответствии с условиями Технического задания.</w:t>
      </w:r>
    </w:p>
    <w:p w14:paraId="EA000000">
      <w:pPr>
        <w:widowControl w:val="0"/>
        <w:spacing w:after="0"/>
        <w:ind w:firstLine="709" w:right="-1"/>
        <w:rPr>
          <w:color w:val="000000"/>
        </w:rPr>
      </w:pPr>
      <w:r>
        <w:rPr>
          <w:color w:val="000000"/>
        </w:rPr>
        <w:t>Исполнитель предоставляет Заказчику право на обновления ПО на срок действия Контракта (Договора). По истечении срока действия Контракта (Договора) право на использование ПО сохраняется, но обновление на новые версии становится невозможным.</w:t>
      </w:r>
    </w:p>
    <w:p w14:paraId="EB000000">
      <w:pPr>
        <w:widowControl w:val="0"/>
        <w:spacing w:after="0"/>
        <w:ind w:firstLine="709" w:right="-1"/>
        <w:rPr>
          <w:color w:val="000000"/>
        </w:rPr>
      </w:pPr>
      <w:r>
        <w:rPr>
          <w:color w:val="000000"/>
        </w:rPr>
        <w:t>Территория действия простой (неисключительной) лицензии: Чеченская Республика.</w:t>
      </w:r>
    </w:p>
    <w:p w14:paraId="EC000000">
      <w:pPr>
        <w:widowControl w:val="0"/>
        <w:spacing w:after="0"/>
        <w:ind w:firstLine="709" w:right="-1"/>
        <w:rPr>
          <w:color w:val="000000"/>
        </w:rPr>
      </w:pPr>
      <w:r>
        <w:rPr>
          <w:color w:val="000000"/>
        </w:rPr>
        <w:t xml:space="preserve">В рамках исполнения обязательств должны быть переданы права в следующем </w:t>
      </w:r>
      <w:r>
        <w:rPr>
          <w:color w:val="000000"/>
        </w:rPr>
        <w:t>виде:  в</w:t>
      </w:r>
      <w:r>
        <w:rPr>
          <w:color w:val="000000"/>
        </w:rPr>
        <w:t xml:space="preserve"> виде ссылки на ресурс, расположенный в информационно-телекоммуникационной сети Интернет, где ПО находится в постоянном доступе для загрузки Заказчиком, либо по средствам телекоммуникационной связи (по адресу электронной почты).</w:t>
      </w:r>
    </w:p>
    <w:p w14:paraId="ED000000">
      <w:pPr>
        <w:widowControl w:val="0"/>
        <w:spacing w:after="0"/>
        <w:ind w:right="-1"/>
        <w:rPr>
          <w:color w:val="000000"/>
        </w:rPr>
      </w:pPr>
    </w:p>
    <w:p w14:paraId="EE000000">
      <w:pPr>
        <w:widowControl w:val="0"/>
        <w:spacing w:after="0"/>
        <w:ind w:firstLine="709" w:right="-1"/>
        <w:rPr>
          <w:b w:val="1"/>
          <w:color w:val="000000"/>
        </w:rPr>
      </w:pPr>
      <w:r>
        <w:rPr>
          <w:b w:val="1"/>
          <w:color w:val="000000"/>
        </w:rPr>
        <w:t xml:space="preserve">     9. Требования по патентной чистоте</w:t>
      </w:r>
    </w:p>
    <w:p w14:paraId="EF000000">
      <w:pPr>
        <w:widowControl w:val="0"/>
        <w:spacing w:after="0" w:line="120" w:lineRule="auto"/>
        <w:ind w:firstLine="709"/>
        <w:rPr>
          <w:b w:val="1"/>
          <w:color w:val="000000"/>
        </w:rPr>
      </w:pPr>
    </w:p>
    <w:p w14:paraId="F0000000">
      <w:pPr>
        <w:widowControl w:val="0"/>
        <w:spacing w:after="0"/>
        <w:ind w:firstLine="709" w:right="-1"/>
        <w:rPr>
          <w:color w:val="000000"/>
        </w:rPr>
      </w:pPr>
      <w:r>
        <w:rPr>
          <w:color w:val="000000"/>
        </w:rPr>
        <w:t>Исполнитель при оказании услуг должен соблюдать требования по патентной чистоте согласно действующему законодательству.</w:t>
      </w:r>
    </w:p>
    <w:p w14:paraId="F1000000">
      <w:pPr>
        <w:widowControl w:val="0"/>
        <w:spacing w:after="0"/>
        <w:ind w:firstLine="709" w:right="-1"/>
        <w:rPr>
          <w:color w:val="000000"/>
        </w:rPr>
      </w:pPr>
      <w:r>
        <w:rPr>
          <w:color w:val="000000"/>
        </w:rPr>
        <w:t>Так как для оказания услуг требуется модификация кода АС «АСП», исполнитель должен доказать обладание законными правами на такую модификацию. В соответствии со ст. 1270 ч. IV Гражданского кодекса Российской Федерации Исполнитель на стадии подачи заявки должен представить копии документов, подтверждающих его законное право на модификацию и иное использование АС:</w:t>
      </w:r>
    </w:p>
    <w:p w14:paraId="F2000000">
      <w:pPr>
        <w:widowControl w:val="0"/>
        <w:spacing w:after="0"/>
        <w:ind w:firstLine="709" w:right="-1"/>
        <w:rPr>
          <w:color w:val="000000"/>
        </w:rPr>
      </w:pPr>
      <w:r>
        <w:rPr>
          <w:color w:val="000000"/>
        </w:rPr>
        <w:t>- для Исполнителя, являющего автором, иным правообладателем - свидетельство об официальной регистрации АСУПД «Тула» от 09.01.2014г. № 2014610425;</w:t>
      </w:r>
    </w:p>
    <w:p w14:paraId="F3000000">
      <w:pPr>
        <w:widowControl w:val="0"/>
        <w:spacing w:after="0"/>
        <w:ind w:firstLine="709" w:right="-1"/>
        <w:rPr>
          <w:color w:val="000000"/>
        </w:rPr>
      </w:pPr>
      <w:r>
        <w:rPr>
          <w:color w:val="000000"/>
        </w:rPr>
        <w:t>- для Исполнителя, которому права на АСУПД «Тула» переданы автором или правообладателем – договор о передаче участнику прав на модификацию и иное использование АСУПД «Тула», заключенный в письменной форме и устанавливающий объем, способы использования программы и срок действия договора.</w:t>
      </w:r>
    </w:p>
    <w:p w14:paraId="F4000000">
      <w:pPr>
        <w:spacing w:after="0"/>
        <w:ind/>
        <w:rPr>
          <w:i w:val="1"/>
          <w:color w:val="FF0000"/>
        </w:rPr>
      </w:pPr>
      <w:r>
        <w:rPr>
          <w:color w:val="000000"/>
        </w:rPr>
        <w:t>Все программное обеспечение, поставляемое в рамках оказания услуг, должно быть свободно от прав третьих лиц. Исполнитель должен предоставить Заказчику документы, подтверждающие данный факт.</w:t>
      </w:r>
    </w:p>
    <w:p w14:paraId="F5000000">
      <w:pPr>
        <w:rPr>
          <w:i w:val="1"/>
          <w:color w:val="FF0000"/>
        </w:rPr>
      </w:pPr>
    </w:p>
    <w:p w14:paraId="F6000000">
      <w:pPr>
        <w:pStyle w:val="Style_2"/>
        <w:widowControl w:val="1"/>
        <w:tabs>
          <w:tab w:leader="none" w:pos="360" w:val="left"/>
        </w:tabs>
        <w:ind w:firstLine="0" w:left="1080"/>
        <w:jc w:val="center"/>
        <w:outlineLvl w:val="1"/>
        <w:rPr>
          <w:rFonts w:ascii="Times New Roman" w:hAnsi="Times New Roman"/>
          <w:b w:val="1"/>
          <w:color w:val="000080"/>
          <w:sz w:val="24"/>
        </w:rPr>
      </w:pPr>
    </w:p>
    <w:p w14:paraId="F7000000">
      <w:r>
        <w:rPr>
          <w:i w:val="1"/>
          <w:color w:val="C00000"/>
          <w:sz w:val="22"/>
          <w:vertAlign w:val="superscript"/>
        </w:rPr>
        <w:tab/>
      </w:r>
    </w:p>
    <w:sectPr>
      <w:headerReference r:id="rId1" w:type="default"/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keepNext w:val="1"/>
      <w:keepLines w:val="1"/>
      <w:widowControl w:val="0"/>
      <w:spacing w:line="360" w:lineRule="auto"/>
      <w:ind/>
      <w:jc w:val="right"/>
      <w:rPr>
        <w:color w:val="999999"/>
        <w:sz w:val="18"/>
      </w:rPr>
    </w:pPr>
    <w:r>
      <w:rPr>
        <w:color w:val="999999"/>
        <w:sz w:val="18"/>
      </w:rPr>
      <w:t>Заявка услуга, работа 2.0</w:t>
    </w:r>
    <w:r>
      <w:rPr>
        <w:color w:val="999999"/>
        <w:sz w:val="18"/>
      </w:rPr>
      <w:t>3</w:t>
    </w:r>
    <w:r>
      <w:rPr>
        <w:color w:val="999999"/>
        <w:sz w:val="18"/>
      </w:rPr>
      <w:t>.26 44-ФЗ</w:t>
    </w:r>
  </w:p>
  <w:p w14:paraId="02000000">
    <w:pPr>
      <w:pStyle w:val="Style_1"/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1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4" w:type="paragraph">
    <w:name w:val="Normal"/>
    <w:link w:val="Style_4_ch"/>
    <w:uiPriority w:val="0"/>
    <w:qFormat/>
    <w:pPr>
      <w:spacing w:after="60" w:line="240" w:lineRule="auto"/>
      <w:ind/>
      <w:jc w:val="both"/>
    </w:pPr>
    <w:rPr>
      <w:rFonts w:ascii="Times New Roman" w:hAnsi="Times New Roman"/>
      <w:sz w:val="24"/>
    </w:rPr>
  </w:style>
  <w:style w:default="1" w:styleId="Style_4_ch" w:type="character">
    <w:name w:val="Normal"/>
    <w:link w:val="Style_4"/>
    <w:rPr>
      <w:rFonts w:ascii="Times New Roman" w:hAnsi="Times New Roman"/>
      <w:sz w:val="24"/>
    </w:rPr>
  </w:style>
  <w:style w:styleId="Style_5" w:type="paragraph">
    <w:name w:val="toc 2"/>
    <w:next w:val="Style_4"/>
    <w:link w:val="Style_5_ch"/>
    <w:uiPriority w:val="39"/>
    <w:pPr>
      <w:ind w:left="200"/>
    </w:pPr>
    <w:rPr>
      <w:rFonts w:ascii="XO Thames" w:hAnsi="XO Thames"/>
      <w:sz w:val="28"/>
    </w:rPr>
  </w:style>
  <w:style w:styleId="Style_5_ch" w:type="character">
    <w:name w:val="toc 2"/>
    <w:link w:val="Style_5"/>
    <w:rPr>
      <w:rFonts w:ascii="XO Thames" w:hAnsi="XO Thames"/>
      <w:sz w:val="28"/>
    </w:rPr>
  </w:style>
  <w:style w:styleId="Style_6" w:type="paragraph">
    <w:name w:val="toc 4"/>
    <w:next w:val="Style_4"/>
    <w:link w:val="Style_6_ch"/>
    <w:uiPriority w:val="39"/>
    <w:pPr>
      <w:ind w:left="600"/>
    </w:pPr>
    <w:rPr>
      <w:rFonts w:ascii="XO Thames" w:hAnsi="XO Thames"/>
      <w:sz w:val="28"/>
    </w:rPr>
  </w:style>
  <w:style w:styleId="Style_6_ch" w:type="character">
    <w:name w:val="toc 4"/>
    <w:link w:val="Style_6"/>
    <w:rPr>
      <w:rFonts w:ascii="XO Thames" w:hAnsi="XO Thames"/>
      <w:sz w:val="28"/>
    </w:rPr>
  </w:style>
  <w:style w:styleId="Style_7" w:type="paragraph">
    <w:name w:val="toc 6"/>
    <w:next w:val="Style_4"/>
    <w:link w:val="Style_7_ch"/>
    <w:uiPriority w:val="39"/>
    <w:pPr>
      <w:ind w:left="1000"/>
    </w:pPr>
    <w:rPr>
      <w:rFonts w:ascii="XO Thames" w:hAnsi="XO Thames"/>
      <w:sz w:val="28"/>
    </w:rPr>
  </w:style>
  <w:style w:styleId="Style_7_ch" w:type="character">
    <w:name w:val="toc 6"/>
    <w:link w:val="Style_7"/>
    <w:rPr>
      <w:rFonts w:ascii="XO Thames" w:hAnsi="XO Thames"/>
      <w:sz w:val="28"/>
    </w:rPr>
  </w:style>
  <w:style w:styleId="Style_8" w:type="paragraph">
    <w:name w:val="toc 7"/>
    <w:next w:val="Style_4"/>
    <w:link w:val="Style_8_ch"/>
    <w:uiPriority w:val="39"/>
    <w:pPr>
      <w:ind w:left="1200"/>
    </w:pPr>
    <w:rPr>
      <w:rFonts w:ascii="XO Thames" w:hAnsi="XO Thames"/>
      <w:sz w:val="28"/>
    </w:rPr>
  </w:style>
  <w:style w:styleId="Style_8_ch" w:type="character">
    <w:name w:val="toc 7"/>
    <w:link w:val="Style_8"/>
    <w:rPr>
      <w:rFonts w:ascii="XO Thames" w:hAnsi="XO Thames"/>
      <w:sz w:val="28"/>
    </w:rPr>
  </w:style>
  <w:style w:styleId="Style_9" w:type="paragraph">
    <w:name w:val="Endnote"/>
    <w:link w:val="Style_9_ch"/>
    <w:pPr>
      <w:ind w:firstLine="851"/>
      <w:jc w:val="both"/>
    </w:pPr>
    <w:rPr>
      <w:rFonts w:ascii="XO Thames" w:hAnsi="XO Thames"/>
    </w:rPr>
  </w:style>
  <w:style w:styleId="Style_9_ch" w:type="character">
    <w:name w:val="Endnote"/>
    <w:link w:val="Style_9"/>
    <w:rPr>
      <w:rFonts w:ascii="XO Thames" w:hAnsi="XO Thames"/>
    </w:rPr>
  </w:style>
  <w:style w:styleId="Style_10" w:type="paragraph">
    <w:name w:val="heading 3"/>
    <w:next w:val="Style_4"/>
    <w:link w:val="Style_10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0_ch" w:type="character">
    <w:name w:val="heading 3"/>
    <w:link w:val="Style_10"/>
    <w:rPr>
      <w:rFonts w:ascii="XO Thames" w:hAnsi="XO Thames"/>
      <w:b w:val="1"/>
      <w:sz w:val="26"/>
    </w:rPr>
  </w:style>
  <w:style w:styleId="Style_11" w:type="paragraph">
    <w:name w:val="Default Paragraph Font"/>
    <w:link w:val="Style_11_ch"/>
  </w:style>
  <w:style w:styleId="Style_11_ch" w:type="character">
    <w:name w:val="Default Paragraph Font"/>
    <w:link w:val="Style_11"/>
  </w:style>
  <w:style w:styleId="Style_12" w:type="paragraph">
    <w:name w:val="footer"/>
    <w:basedOn w:val="Style_4"/>
    <w:link w:val="Style_12_ch"/>
    <w:pPr>
      <w:tabs>
        <w:tab w:leader="none" w:pos="4677" w:val="center"/>
        <w:tab w:leader="none" w:pos="9355" w:val="right"/>
      </w:tabs>
      <w:spacing w:after="0"/>
      <w:ind/>
    </w:pPr>
  </w:style>
  <w:style w:styleId="Style_12_ch" w:type="character">
    <w:name w:val="footer"/>
    <w:basedOn w:val="Style_4_ch"/>
    <w:link w:val="Style_12"/>
  </w:style>
  <w:style w:styleId="Style_13" w:type="paragraph">
    <w:name w:val="s_1"/>
    <w:basedOn w:val="Style_4"/>
    <w:link w:val="Style_13_ch"/>
    <w:pPr>
      <w:spacing w:after="0"/>
      <w:ind w:firstLine="720"/>
    </w:pPr>
    <w:rPr>
      <w:rFonts w:ascii="Arial" w:hAnsi="Arial"/>
      <w:sz w:val="28"/>
    </w:rPr>
  </w:style>
  <w:style w:styleId="Style_13_ch" w:type="character">
    <w:name w:val="s_1"/>
    <w:basedOn w:val="Style_4_ch"/>
    <w:link w:val="Style_13"/>
    <w:rPr>
      <w:rFonts w:ascii="Arial" w:hAnsi="Arial"/>
      <w:sz w:val="28"/>
    </w:rPr>
  </w:style>
  <w:style w:styleId="Style_14" w:type="paragraph">
    <w:name w:val="toc 3"/>
    <w:next w:val="Style_4"/>
    <w:link w:val="Style_14_ch"/>
    <w:uiPriority w:val="39"/>
    <w:pPr>
      <w:ind w:left="400"/>
    </w:pPr>
    <w:rPr>
      <w:rFonts w:ascii="XO Thames" w:hAnsi="XO Thames"/>
      <w:sz w:val="28"/>
    </w:rPr>
  </w:style>
  <w:style w:styleId="Style_14_ch" w:type="character">
    <w:name w:val="toc 3"/>
    <w:link w:val="Style_14"/>
    <w:rPr>
      <w:rFonts w:ascii="XO Thames" w:hAnsi="XO Thames"/>
      <w:sz w:val="28"/>
    </w:rPr>
  </w:style>
  <w:style w:styleId="Style_15" w:type="paragraph">
    <w:name w:val="Основной шрифт абзаца1"/>
    <w:link w:val="Style_15_ch"/>
  </w:style>
  <w:style w:styleId="Style_15_ch" w:type="character">
    <w:name w:val="Основной шрифт абзаца1"/>
    <w:link w:val="Style_15"/>
  </w:style>
  <w:style w:styleId="Style_16" w:type="paragraph">
    <w:name w:val="heading 5"/>
    <w:next w:val="Style_4"/>
    <w:link w:val="Style_16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</w:rPr>
  </w:style>
  <w:style w:styleId="Style_16_ch" w:type="character">
    <w:name w:val="heading 5"/>
    <w:link w:val="Style_16"/>
    <w:rPr>
      <w:rFonts w:ascii="XO Thames" w:hAnsi="XO Thames"/>
      <w:b w:val="1"/>
    </w:rPr>
  </w:style>
  <w:style w:styleId="Style_17" w:type="paragraph">
    <w:name w:val="heading 1"/>
    <w:next w:val="Style_4"/>
    <w:link w:val="Style_17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7_ch" w:type="character">
    <w:name w:val="heading 1"/>
    <w:link w:val="Style_17"/>
    <w:rPr>
      <w:rFonts w:ascii="XO Thames" w:hAnsi="XO Thames"/>
      <w:b w:val="1"/>
      <w:sz w:val="32"/>
    </w:rPr>
  </w:style>
  <w:style w:styleId="Style_1" w:type="paragraph">
    <w:name w:val="header"/>
    <w:basedOn w:val="Style_4"/>
    <w:link w:val="Style_1_ch"/>
    <w:pPr>
      <w:tabs>
        <w:tab w:leader="none" w:pos="4677" w:val="center"/>
        <w:tab w:leader="none" w:pos="9355" w:val="right"/>
      </w:tabs>
      <w:spacing w:after="0"/>
      <w:ind/>
    </w:pPr>
  </w:style>
  <w:style w:styleId="Style_1_ch" w:type="character">
    <w:name w:val="header"/>
    <w:basedOn w:val="Style_4_ch"/>
    <w:link w:val="Style_1"/>
  </w:style>
  <w:style w:styleId="Style_18" w:type="paragraph">
    <w:name w:val="Hyperlink"/>
    <w:link w:val="Style_18_ch"/>
    <w:rPr>
      <w:color w:val="0000FF"/>
      <w:u w:val="single"/>
    </w:rPr>
  </w:style>
  <w:style w:styleId="Style_18_ch" w:type="character">
    <w:name w:val="Hyperlink"/>
    <w:link w:val="Style_18"/>
    <w:rPr>
      <w:color w:val="0000FF"/>
      <w:u w:val="single"/>
    </w:rPr>
  </w:style>
  <w:style w:styleId="Style_19" w:type="paragraph">
    <w:name w:val="Footnote"/>
    <w:link w:val="Style_19_ch"/>
    <w:pPr>
      <w:ind w:firstLine="851"/>
      <w:jc w:val="both"/>
    </w:pPr>
    <w:rPr>
      <w:rFonts w:ascii="XO Thames" w:hAnsi="XO Thames"/>
    </w:rPr>
  </w:style>
  <w:style w:styleId="Style_19_ch" w:type="character">
    <w:name w:val="Footnote"/>
    <w:link w:val="Style_19"/>
    <w:rPr>
      <w:rFonts w:ascii="XO Thames" w:hAnsi="XO Thames"/>
    </w:rPr>
  </w:style>
  <w:style w:styleId="Style_20" w:type="paragraph">
    <w:name w:val="toc 1"/>
    <w:next w:val="Style_4"/>
    <w:link w:val="Style_20_ch"/>
    <w:uiPriority w:val="39"/>
    <w:rPr>
      <w:rFonts w:ascii="XO Thames" w:hAnsi="XO Thames"/>
      <w:b w:val="1"/>
      <w:sz w:val="28"/>
    </w:rPr>
  </w:style>
  <w:style w:styleId="Style_20_ch" w:type="character">
    <w:name w:val="toc 1"/>
    <w:link w:val="Style_20"/>
    <w:rPr>
      <w:rFonts w:ascii="XO Thames" w:hAnsi="XO Thames"/>
      <w:b w:val="1"/>
      <w:sz w:val="28"/>
    </w:rPr>
  </w:style>
  <w:style w:styleId="Style_21" w:type="paragraph">
    <w:name w:val="Header and Footer"/>
    <w:link w:val="Style_21_ch"/>
    <w:pPr>
      <w:spacing w:line="240" w:lineRule="auto"/>
      <w:ind/>
      <w:jc w:val="both"/>
    </w:pPr>
    <w:rPr>
      <w:rFonts w:ascii="XO Thames" w:hAnsi="XO Thames"/>
      <w:sz w:val="28"/>
    </w:rPr>
  </w:style>
  <w:style w:styleId="Style_21_ch" w:type="character">
    <w:name w:val="Header and Footer"/>
    <w:link w:val="Style_21"/>
    <w:rPr>
      <w:rFonts w:ascii="XO Thames" w:hAnsi="XO Thames"/>
      <w:sz w:val="28"/>
    </w:rPr>
  </w:style>
  <w:style w:styleId="Style_22" w:type="paragraph">
    <w:name w:val="toc 9"/>
    <w:next w:val="Style_4"/>
    <w:link w:val="Style_22_ch"/>
    <w:uiPriority w:val="39"/>
    <w:pPr>
      <w:ind w:left="1600"/>
    </w:pPr>
    <w:rPr>
      <w:rFonts w:ascii="XO Thames" w:hAnsi="XO Thames"/>
      <w:sz w:val="28"/>
    </w:rPr>
  </w:style>
  <w:style w:styleId="Style_22_ch" w:type="character">
    <w:name w:val="toc 9"/>
    <w:link w:val="Style_22"/>
    <w:rPr>
      <w:rFonts w:ascii="XO Thames" w:hAnsi="XO Thames"/>
      <w:sz w:val="28"/>
    </w:rPr>
  </w:style>
  <w:style w:styleId="Style_23" w:type="paragraph">
    <w:name w:val="Обычный1"/>
    <w:link w:val="Style_23_ch"/>
    <w:rPr>
      <w:rFonts w:ascii="Times New Roman" w:hAnsi="Times New Roman"/>
      <w:sz w:val="24"/>
    </w:rPr>
  </w:style>
  <w:style w:styleId="Style_23_ch" w:type="character">
    <w:name w:val="Обычный1"/>
    <w:link w:val="Style_23"/>
    <w:rPr>
      <w:rFonts w:ascii="Times New Roman" w:hAnsi="Times New Roman"/>
      <w:sz w:val="24"/>
    </w:rPr>
  </w:style>
  <w:style w:styleId="Style_24" w:type="paragraph">
    <w:name w:val="toc 8"/>
    <w:next w:val="Style_4"/>
    <w:link w:val="Style_24_ch"/>
    <w:uiPriority w:val="39"/>
    <w:pPr>
      <w:ind w:left="1400"/>
    </w:pPr>
    <w:rPr>
      <w:rFonts w:ascii="XO Thames" w:hAnsi="XO Thames"/>
      <w:sz w:val="28"/>
    </w:rPr>
  </w:style>
  <w:style w:styleId="Style_24_ch" w:type="character">
    <w:name w:val="toc 8"/>
    <w:link w:val="Style_24"/>
    <w:rPr>
      <w:rFonts w:ascii="XO Thames" w:hAnsi="XO Thames"/>
      <w:sz w:val="28"/>
    </w:rPr>
  </w:style>
  <w:style w:styleId="Style_25" w:type="paragraph">
    <w:name w:val="List Paragraph"/>
    <w:basedOn w:val="Style_4"/>
    <w:link w:val="Style_25_ch"/>
    <w:pPr>
      <w:ind w:left="720"/>
      <w:contextualSpacing w:val="1"/>
    </w:pPr>
  </w:style>
  <w:style w:styleId="Style_25_ch" w:type="character">
    <w:name w:val="List Paragraph"/>
    <w:basedOn w:val="Style_4_ch"/>
    <w:link w:val="Style_25"/>
  </w:style>
  <w:style w:styleId="Style_26" w:type="paragraph">
    <w:name w:val="toc 5"/>
    <w:next w:val="Style_4"/>
    <w:link w:val="Style_26_ch"/>
    <w:uiPriority w:val="39"/>
    <w:pPr>
      <w:ind w:left="800"/>
    </w:pPr>
    <w:rPr>
      <w:rFonts w:ascii="XO Thames" w:hAnsi="XO Thames"/>
      <w:sz w:val="28"/>
    </w:rPr>
  </w:style>
  <w:style w:styleId="Style_26_ch" w:type="character">
    <w:name w:val="toc 5"/>
    <w:link w:val="Style_26"/>
    <w:rPr>
      <w:rFonts w:ascii="XO Thames" w:hAnsi="XO Thames"/>
      <w:sz w:val="28"/>
    </w:rPr>
  </w:style>
  <w:style w:styleId="Style_27" w:type="paragraph">
    <w:name w:val="Гиперссылка1"/>
    <w:link w:val="Style_27_ch"/>
    <w:rPr>
      <w:color w:val="0000FF"/>
      <w:u w:val="single"/>
    </w:rPr>
  </w:style>
  <w:style w:styleId="Style_27_ch" w:type="character">
    <w:name w:val="Гиперссылка1"/>
    <w:link w:val="Style_27"/>
    <w:rPr>
      <w:color w:val="0000FF"/>
      <w:u w:val="single"/>
    </w:rPr>
  </w:style>
  <w:style w:styleId="Style_2" w:type="paragraph">
    <w:name w:val="ConsPlusNormal"/>
    <w:link w:val="Style_2_ch"/>
    <w:pPr>
      <w:widowControl w:val="0"/>
      <w:spacing w:after="0" w:line="240" w:lineRule="auto"/>
      <w:ind w:firstLine="720"/>
    </w:pPr>
    <w:rPr>
      <w:rFonts w:ascii="Arial" w:hAnsi="Arial"/>
    </w:rPr>
  </w:style>
  <w:style w:styleId="Style_2_ch" w:type="character">
    <w:name w:val="ConsPlusNormal"/>
    <w:link w:val="Style_2"/>
    <w:rPr>
      <w:rFonts w:ascii="Arial" w:hAnsi="Arial"/>
    </w:rPr>
  </w:style>
  <w:style w:styleId="Style_28" w:type="paragraph">
    <w:name w:val="Subtitle"/>
    <w:next w:val="Style_4"/>
    <w:link w:val="Style_28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8_ch" w:type="character">
    <w:name w:val="Subtitle"/>
    <w:link w:val="Style_28"/>
    <w:rPr>
      <w:rFonts w:ascii="XO Thames" w:hAnsi="XO Thames"/>
      <w:i w:val="1"/>
      <w:sz w:val="24"/>
    </w:rPr>
  </w:style>
  <w:style w:styleId="Style_29" w:type="paragraph">
    <w:name w:val="Title"/>
    <w:next w:val="Style_4"/>
    <w:link w:val="Style_29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9_ch" w:type="character">
    <w:name w:val="Title"/>
    <w:link w:val="Style_29"/>
    <w:rPr>
      <w:rFonts w:ascii="XO Thames" w:hAnsi="XO Thames"/>
      <w:b w:val="1"/>
      <w:caps w:val="1"/>
      <w:sz w:val="40"/>
    </w:rPr>
  </w:style>
  <w:style w:styleId="Style_30" w:type="paragraph">
    <w:name w:val="heading 4"/>
    <w:next w:val="Style_4"/>
    <w:link w:val="Style_30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0_ch" w:type="character">
    <w:name w:val="heading 4"/>
    <w:link w:val="Style_30"/>
    <w:rPr>
      <w:rFonts w:ascii="XO Thames" w:hAnsi="XO Thames"/>
      <w:b w:val="1"/>
      <w:sz w:val="24"/>
    </w:rPr>
  </w:style>
  <w:style w:styleId="Style_31" w:type="paragraph">
    <w:name w:val="heading 2"/>
    <w:next w:val="Style_4"/>
    <w:link w:val="Style_31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1_ch" w:type="character">
    <w:name w:val="heading 2"/>
    <w:link w:val="Style_31"/>
    <w:rPr>
      <w:rFonts w:ascii="XO Thames" w:hAnsi="XO Thames"/>
      <w:b w:val="1"/>
      <w:sz w:val="28"/>
    </w:rPr>
  </w:style>
  <w:style w:default="1" w:styleId="Style_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32" w:type="table">
    <w:name w:val="Table Grid"/>
    <w:basedOn w:val="Style_3"/>
    <w:pPr>
      <w:spacing w:after="60" w:line="240" w:lineRule="auto"/>
      <w:ind/>
      <w:jc w:val="both"/>
    </w:pPr>
    <w:rPr>
      <w:rFonts w:ascii="Times New Roman" w:hAnsi="Times New Roman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webSettings.xml" Type="http://schemas.openxmlformats.org/officeDocument/2006/relationships/webSettings"/>
  <Relationship Id="rId1" Target="header1.xml" Type="http://schemas.openxmlformats.org/officeDocument/2006/relationships/header"/>
  <Relationship Id="rId2" Target="fontTable.xml" Type="http://schemas.openxmlformats.org/officeDocument/2006/relationships/fontTable"/>
  <Relationship Id="rId3" Target="settings.xml" Type="http://schemas.openxmlformats.org/officeDocument/2006/relationships/settings"/>
  <Relationship Id="rId8" Target="numbering.xml" Type="http://schemas.openxmlformats.org/officeDocument/2006/relationships/numbering"/>
  <Relationship Id="rId4" Target="styles.xml" Type="http://schemas.openxmlformats.org/officeDocument/2006/relationships/styles"/>
  <Relationship Id="rId7" Target="theme/theme1.xml" Type="http://schemas.openxmlformats.org/officeDocument/2006/relationships/theme"/>
  <Relationship Id="rId5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MyOffice-CoreFramework-Linux/34-1238.862.9476.867.1@a81bcf6e81fbb8f5605a803e4664e1d7bed15bf0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2026-10-13T07:34:48Z</dcterms:modified>
</cp:coreProperties>
</file>