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3000000">
      <w:pPr>
        <w:keepNext w:val="1"/>
        <w:keepLines w:val="1"/>
        <w:widowControl w:val="0"/>
        <w:spacing w:after="0"/>
        <w:ind/>
        <w:jc w:val="right"/>
      </w:pPr>
      <w:bookmarkStart w:id="1" w:name="ТекстовоеПоле101"/>
      <w:r>
        <w:t>Приложение №4</w:t>
      </w:r>
    </w:p>
    <w:tbl>
      <w:tblPr>
        <w:tblStyle w:val="Style_2"/>
        <w:tblW w:type="auto" w:w="0"/>
        <w:jc w:val="right"/>
        <w:tblBorders>
          <w:top w:color="000000" w:val="nil"/>
          <w:left w:color="000000" w:val="nil"/>
          <w:bottom w:color="000000" w:val="nil"/>
          <w:right w:color="000000" w:val="nil"/>
          <w:insideH w:color="000000" w:val="nil"/>
          <w:insideV w:color="000000" w:val="nil"/>
        </w:tblBorders>
        <w:tblLayout w:type="fixed"/>
      </w:tblPr>
      <w:tblGrid>
        <w:gridCol w:w="4814"/>
      </w:tblGrid>
      <w:tr>
        <w:tc>
          <w:tcPr>
            <w:tcW w:type="dxa" w:w="4814"/>
            <w:tcBorders>
              <w:top w:color="000000" w:val="nil"/>
              <w:left w:color="000000" w:val="nil"/>
              <w:bottom w:color="000000" w:val="nil"/>
              <w:right w:color="000000" w:val="nil"/>
            </w:tcBorders>
          </w:tcPr>
          <w:p w14:paraId="04000000">
            <w:pPr>
              <w:keepNext w:val="1"/>
              <w:keepLines w:val="1"/>
              <w:widowControl w:val="0"/>
              <w:spacing w:after="0"/>
              <w:ind/>
              <w:jc w:val="right"/>
              <w:rPr>
                <w:sz w:val="18"/>
              </w:rPr>
            </w:pPr>
            <w:r>
              <w:rPr>
                <w:sz w:val="18"/>
                <w:highlight w:val="white"/>
              </w:rPr>
              <w:t>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(регистрационный номер в ЕРРПО № 19357 от 04.10.2023)</w:t>
            </w:r>
          </w:p>
        </w:tc>
      </w:tr>
    </w:tbl>
    <w:p w14:paraId="05000000">
      <w:pPr>
        <w:keepNext w:val="1"/>
        <w:keepLines w:val="1"/>
        <w:widowControl w:val="0"/>
        <w:spacing w:after="0"/>
        <w:ind/>
        <w:jc w:val="right"/>
      </w:pPr>
    </w:p>
    <w:p w14:paraId="06000000">
      <w:pPr>
        <w:keepNext w:val="1"/>
        <w:keepLines w:val="1"/>
        <w:widowControl w:val="0"/>
        <w:spacing w:after="0"/>
        <w:ind/>
        <w:jc w:val="right"/>
        <w:rPr>
          <w:i w:val="1"/>
          <w:sz w:val="22"/>
        </w:rPr>
      </w:pPr>
      <w:r>
        <w:rPr>
          <w:i w:val="1"/>
          <w:sz w:val="18"/>
        </w:rPr>
        <w:t>наименование объекта закупки</w:t>
      </w:r>
      <w:bookmarkEnd w:id="1"/>
    </w:p>
    <w:p w14:paraId="07000000">
      <w:pPr>
        <w:keepNext w:val="1"/>
        <w:keepLines w:val="1"/>
        <w:widowControl w:val="0"/>
        <w:spacing w:after="0"/>
        <w:ind/>
        <w:jc w:val="right"/>
      </w:pPr>
    </w:p>
    <w:p w14:paraId="08000000">
      <w:pPr>
        <w:pStyle w:val="Style_3"/>
        <w:numPr>
          <w:ilvl w:val="0"/>
          <w:numId w:val="0"/>
        </w:numPr>
        <w:spacing w:after="0"/>
        <w:ind/>
        <w:rPr>
          <w:color w:val="000080"/>
          <w:sz w:val="24"/>
        </w:rPr>
      </w:pPr>
      <w:r>
        <w:rPr>
          <w:color w:val="000080"/>
          <w:sz w:val="24"/>
        </w:rPr>
        <w:t xml:space="preserve">ПРОЕКТ КОНТРАКТА </w:t>
      </w:r>
    </w:p>
    <w:p w14:paraId="09000000"/>
    <w:p w14:paraId="0A000000">
      <w:pPr>
        <w:widowControl w:val="0"/>
        <w:spacing w:after="0"/>
        <w:ind/>
        <w:jc w:val="center"/>
        <w:rPr>
          <w:b w:val="1"/>
          <w:color w:val="000000"/>
        </w:rPr>
      </w:pPr>
      <w:r>
        <w:rPr>
          <w:b w:val="1"/>
          <w:color w:val="000000"/>
        </w:rPr>
        <w:t>ГОСУДАРСТВЕННЫЙ КОНТРАКТ № ______</w:t>
      </w:r>
    </w:p>
    <w:p w14:paraId="0B000000">
      <w:pPr>
        <w:widowControl w:val="0"/>
        <w:spacing w:after="0"/>
        <w:ind/>
        <w:rPr>
          <w:color w:val="000000"/>
        </w:rPr>
      </w:pPr>
    </w:p>
    <w:p w14:paraId="0C000000">
      <w:pPr>
        <w:widowControl w:val="0"/>
        <w:spacing w:after="0"/>
        <w:ind/>
        <w:rPr>
          <w:color w:val="000000"/>
        </w:rPr>
      </w:pPr>
      <w:r>
        <w:rPr>
          <w:color w:val="000000"/>
        </w:rPr>
        <w:t>г. Грозный</w:t>
      </w:r>
      <w:r>
        <w:rPr>
          <w:color w:val="000000"/>
        </w:rPr>
        <w:t xml:space="preserve"> </w:t>
      </w:r>
      <w:r>
        <w:rPr>
          <w:color w:val="000000"/>
        </w:rPr>
        <w:tab/>
      </w:r>
      <w:r>
        <w:rPr>
          <w:color w:val="000000"/>
        </w:rPr>
        <w:tab/>
      </w:r>
      <w:r>
        <w:rPr>
          <w:color w:val="000000"/>
        </w:rPr>
        <w:tab/>
      </w:r>
      <w:r>
        <w:rPr>
          <w:color w:val="000000"/>
        </w:rPr>
        <w:tab/>
      </w:r>
      <w:r>
        <w:rPr>
          <w:color w:val="000000"/>
        </w:rPr>
        <w:t xml:space="preserve">                     Дата заключения контракта соответствует дате </w:t>
      </w:r>
    </w:p>
    <w:p w14:paraId="0D000000">
      <w:pPr>
        <w:widowControl w:val="0"/>
        <w:spacing w:after="0"/>
        <w:ind/>
        <w:jc w:val="right"/>
        <w:rPr>
          <w:color w:val="000000"/>
        </w:rPr>
      </w:pPr>
      <w:r>
        <w:rPr>
          <w:color w:val="000000"/>
        </w:rPr>
        <w:t xml:space="preserve">подписания контракта Заказчиком в Единой </w:t>
      </w:r>
    </w:p>
    <w:p w14:paraId="0E000000">
      <w:pPr>
        <w:widowControl w:val="0"/>
        <w:spacing w:after="0"/>
        <w:ind/>
        <w:jc w:val="right"/>
        <w:rPr>
          <w:color w:val="000000"/>
        </w:rPr>
      </w:pPr>
      <w:r>
        <w:rPr>
          <w:color w:val="000000"/>
        </w:rPr>
        <w:t>информационной системе в сфере закупок</w:t>
      </w:r>
    </w:p>
    <w:p w14:paraId="0F000000">
      <w:pPr>
        <w:widowControl w:val="0"/>
        <w:spacing w:after="0"/>
        <w:ind/>
        <w:jc w:val="left"/>
        <w:rPr>
          <w:color w:val="000000"/>
        </w:rPr>
      </w:pPr>
    </w:p>
    <w:p w14:paraId="10000000">
      <w:pPr>
        <w:widowControl w:val="0"/>
        <w:spacing w:after="0"/>
        <w:ind w:firstLine="567"/>
        <w:rPr>
          <w:color w:val="000000"/>
        </w:rPr>
      </w:pPr>
      <w:r>
        <w:rPr>
          <w:color w:val="000000"/>
        </w:rPr>
        <w:t xml:space="preserve">Министерство труда, занятости и социального развития Чеченской Республики (Минтруд ЧР),  именуемое  в дальнейшем «Заказчик», </w:t>
      </w:r>
      <w:r>
        <w:rPr>
          <w:color w:val="000000"/>
        </w:rPr>
        <w:t>в лице __________, действующего на основании ______</w:t>
      </w:r>
      <w:r>
        <w:rPr>
          <w:color w:val="000000"/>
        </w:rPr>
        <w:t>,</w:t>
      </w:r>
      <w:r>
        <w:rPr>
          <w:color w:val="000000"/>
        </w:rPr>
        <w:t xml:space="preserve"> с одной стороны, и ________, именуемое в дальнейшем «Исполнитель», в лице __________ действующего на основании ________, с другой стороны, далее по тексту вместе именуемые «Стороны», согласно протокола подведения итогов аукциона в электронной форме от «___» </w:t>
      </w:r>
      <w:r>
        <w:rPr>
          <w:i w:val="1"/>
          <w:color w:val="000000"/>
        </w:rPr>
        <w:t>__________</w:t>
      </w:r>
      <w:r>
        <w:rPr>
          <w:color w:val="000000"/>
        </w:rPr>
        <w:t>202</w:t>
      </w:r>
      <w:r>
        <w:rPr>
          <w:color w:val="000000"/>
        </w:rPr>
        <w:t>6</w:t>
      </w:r>
      <w:r>
        <w:rPr>
          <w:color w:val="000000"/>
        </w:rPr>
        <w:t xml:space="preserve"> г. № ____  заключили настоящий государственный контракт (далее – Контракт) о нижеследующем:</w:t>
      </w:r>
    </w:p>
    <w:p w14:paraId="11000000">
      <w:pPr>
        <w:widowControl w:val="0"/>
        <w:spacing w:after="0"/>
        <w:ind w:firstLine="567"/>
        <w:rPr>
          <w:color w:val="000000"/>
        </w:rPr>
      </w:pPr>
    </w:p>
    <w:p w14:paraId="12000000">
      <w:pPr>
        <w:widowControl w:val="0"/>
        <w:numPr>
          <w:ilvl w:val="0"/>
          <w:numId w:val="1"/>
        </w:numPr>
        <w:spacing w:after="0"/>
        <w:ind/>
        <w:jc w:val="center"/>
        <w:rPr>
          <w:b w:val="1"/>
          <w:color w:val="000000"/>
        </w:rPr>
      </w:pPr>
      <w:r>
        <w:rPr>
          <w:b w:val="1"/>
          <w:color w:val="000000"/>
        </w:rPr>
        <w:t>ПРЕДМЕТ КОНТРАКТА</w:t>
      </w:r>
    </w:p>
    <w:p w14:paraId="13000000">
      <w:pPr>
        <w:widowControl w:val="0"/>
        <w:spacing w:after="0"/>
        <w:ind w:firstLine="567" w:left="1069"/>
        <w:rPr>
          <w:b w:val="1"/>
          <w:color w:val="000000"/>
        </w:rPr>
      </w:pPr>
    </w:p>
    <w:p w14:paraId="14000000">
      <w:pPr>
        <w:spacing w:after="0"/>
        <w:ind w:firstLine="567"/>
        <w:rPr>
          <w:color w:val="000000"/>
        </w:rPr>
      </w:pPr>
      <w:r>
        <w:rPr>
          <w:color w:val="000000"/>
        </w:rPr>
        <w:t xml:space="preserve">1.1. Заказчик поручает, а Исполнитель принимает на себя обязательства </w:t>
      </w:r>
      <w:r>
        <w:t xml:space="preserve">на </w:t>
      </w:r>
      <w:r>
        <w:rPr>
          <w:color w:val="000000"/>
        </w:rPr>
        <w:t xml:space="preserve">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(регистрационный номер в ЕРРПО № 19357 от 04.10.2023) в соответствии с Техническим заданием Заказчика (Приложение № 1 к Контракту) </w:t>
      </w:r>
      <w:r>
        <w:t>(далее – услуги)</w:t>
      </w:r>
      <w:r>
        <w:rPr>
          <w:color w:val="000000"/>
        </w:rPr>
        <w:t xml:space="preserve">. </w:t>
      </w:r>
    </w:p>
    <w:p w14:paraId="15000000">
      <w:pPr>
        <w:widowControl w:val="0"/>
        <w:spacing w:after="0"/>
        <w:ind w:firstLine="567"/>
        <w:rPr>
          <w:color w:val="000000"/>
        </w:rPr>
      </w:pPr>
    </w:p>
    <w:p w14:paraId="16000000">
      <w:pPr>
        <w:widowControl w:val="0"/>
        <w:spacing w:after="0"/>
        <w:ind w:firstLine="567"/>
        <w:rPr>
          <w:color w:val="000000"/>
        </w:rPr>
      </w:pPr>
      <w:r>
        <w:rPr>
          <w:color w:val="000000"/>
        </w:rPr>
        <w:t xml:space="preserve">Идентификационный код закупки: </w:t>
      </w:r>
      <w:r>
        <w:rPr>
          <w:rFonts w:ascii="Tahoma" w:hAnsi="Tahoma"/>
          <w:b w:val="0"/>
          <w:i w:val="0"/>
          <w:caps w:val="0"/>
          <w:color w:val="383838"/>
          <w:spacing w:val="0"/>
          <w:sz w:val="18"/>
          <w:highlight w:val="white"/>
        </w:rPr>
        <w:t>262200500031120140100100280016202242</w:t>
      </w:r>
    </w:p>
    <w:p w14:paraId="17000000">
      <w:pPr>
        <w:widowControl w:val="0"/>
        <w:spacing w:after="0"/>
        <w:ind w:firstLine="567"/>
        <w:rPr>
          <w:color w:val="000000"/>
        </w:rPr>
      </w:pPr>
      <w:r>
        <w:rPr>
          <w:color w:val="000000"/>
        </w:rPr>
        <w:t xml:space="preserve">1.2. </w:t>
      </w:r>
      <w:r>
        <w:rPr>
          <w:color w:val="000000"/>
        </w:rPr>
        <w:t>Срок исполнения контракта - 32 рабочих дней со дня заключения контракта</w:t>
      </w:r>
      <w:r>
        <w:rPr>
          <w:color w:val="000000"/>
        </w:rPr>
        <w:t>.</w:t>
      </w:r>
    </w:p>
    <w:p w14:paraId="18000000">
      <w:pPr>
        <w:widowControl w:val="0"/>
        <w:spacing w:after="0"/>
        <w:ind w:firstLine="567"/>
        <w:rPr>
          <w:color w:val="000000"/>
        </w:rPr>
      </w:pPr>
      <w:r>
        <w:rPr>
          <w:color w:val="000000"/>
        </w:rPr>
        <w:t>1.3. Место оказания услуг: ЧР, г. Грозный, ул. Деловая, 15.</w:t>
      </w:r>
    </w:p>
    <w:p w14:paraId="19000000">
      <w:pPr>
        <w:widowControl w:val="0"/>
        <w:spacing w:after="0"/>
        <w:ind w:firstLine="567"/>
        <w:rPr>
          <w:color w:val="000000"/>
        </w:rPr>
      </w:pPr>
      <w:r>
        <w:rPr>
          <w:color w:val="000000"/>
        </w:rPr>
        <w:t>1.4. Место приемки услуг: по месту нахождения Заказчика.</w:t>
      </w:r>
    </w:p>
    <w:p w14:paraId="1A000000">
      <w:pPr>
        <w:widowControl w:val="0"/>
        <w:spacing w:after="0"/>
        <w:ind w:firstLine="567"/>
        <w:rPr>
          <w:color w:val="000000"/>
        </w:rPr>
      </w:pPr>
      <w:r>
        <w:rPr>
          <w:color w:val="000000"/>
        </w:rPr>
        <w:t xml:space="preserve">1.5. Заказчик при исполнении Контракта не вправе допускать в соответствии с </w:t>
      </w:r>
      <w:r>
        <w:rPr>
          <w:color w:val="000000"/>
        </w:rPr>
        <w:fldChar w:fldCharType="begin"/>
      </w:r>
      <w:r>
        <w:rPr>
          <w:color w:val="000000"/>
        </w:rPr>
        <w:instrText>HYPERLINK "consultantplus://offline/ref=2BD6FC119CA616619832D40FC2612DD3CE5988C136E542EFD4D66280B4F63847C2BC8D7BD6A3v1F"</w:instrText>
      </w:r>
      <w:r>
        <w:rPr>
          <w:color w:val="000000"/>
        </w:rPr>
        <w:fldChar w:fldCharType="separate"/>
      </w:r>
      <w:r>
        <w:rPr>
          <w:color w:val="000000"/>
        </w:rPr>
        <w:t>частью 7 статьи 95</w:t>
      </w:r>
      <w:r>
        <w:rPr>
          <w:color w:val="000000"/>
        </w:rPr>
        <w:fldChar w:fldCharType="end"/>
      </w:r>
      <w:r>
        <w:rPr>
          <w:color w:val="000000"/>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замену программного обеспечения, </w:t>
      </w:r>
      <w:r>
        <w:rPr>
          <w:color w:val="000000"/>
        </w:rPr>
        <w:t>сведения о котором включены в реестр российского программного обеспечения или реестр евразийского программного обеспечения, на иное программное обеспечение.</w:t>
      </w:r>
    </w:p>
    <w:p w14:paraId="1B000000">
      <w:pPr>
        <w:widowControl w:val="0"/>
        <w:spacing w:after="0"/>
        <w:ind w:firstLine="567"/>
        <w:rPr>
          <w:color w:val="000000"/>
        </w:rPr>
      </w:pPr>
    </w:p>
    <w:p w14:paraId="1C000000">
      <w:pPr>
        <w:widowControl w:val="0"/>
        <w:numPr>
          <w:ilvl w:val="0"/>
          <w:numId w:val="1"/>
        </w:numPr>
        <w:spacing w:after="0"/>
        <w:ind/>
        <w:jc w:val="center"/>
        <w:rPr>
          <w:b w:val="1"/>
          <w:color w:val="000000"/>
        </w:rPr>
      </w:pPr>
      <w:r>
        <w:rPr>
          <w:b w:val="1"/>
          <w:color w:val="000000"/>
        </w:rPr>
        <w:t>ЦЕНА И ПОРЯДОК РАСЧЕТОВ</w:t>
      </w:r>
    </w:p>
    <w:p w14:paraId="1D000000">
      <w:pPr>
        <w:widowControl w:val="0"/>
        <w:spacing w:after="0"/>
        <w:ind w:firstLine="567" w:left="1069"/>
        <w:rPr>
          <w:b w:val="1"/>
          <w:color w:val="000000"/>
        </w:rPr>
      </w:pPr>
    </w:p>
    <w:p w14:paraId="1E000000">
      <w:pPr>
        <w:widowControl w:val="0"/>
        <w:spacing w:after="0"/>
        <w:ind w:firstLine="567" w:right="283"/>
        <w:rPr>
          <w:color w:val="000000"/>
        </w:rPr>
      </w:pPr>
      <w:r>
        <w:rPr>
          <w:color w:val="000000"/>
        </w:rPr>
        <w:t>2.1. Цена настоящего Контракта составляет ___________( ____________ ) рублей______ коп.,  включая НДС (_____________________) (в случае, если Исполнитель имеет право на освобождение от уплаты НДС, то слова «включая НДС» заменяются на слова «НДС не облагается».</w:t>
      </w:r>
    </w:p>
    <w:p w14:paraId="1F000000">
      <w:pPr>
        <w:widowControl w:val="0"/>
        <w:spacing w:after="0"/>
        <w:ind w:firstLine="567" w:right="283"/>
        <w:rPr>
          <w:color w:val="000000"/>
        </w:rPr>
      </w:pPr>
      <w:r>
        <w:rPr>
          <w:color w:val="000000"/>
        </w:rPr>
        <w:t xml:space="preserve">В случае заключения Контракта с </w:t>
      </w:r>
      <w:r>
        <w:rPr>
          <w:color w:val="000000"/>
        </w:rPr>
        <w:t>юридическим лицом или</w:t>
      </w:r>
      <w:r>
        <w:rPr>
          <w:color w:val="000000"/>
        </w:rPr>
        <w:t xml:space="preserve"> физическим  лицом, </w:t>
      </w:r>
      <w:r>
        <w:rPr>
          <w:color w:val="000000"/>
        </w:rPr>
        <w:t>в том числе, зарегистрированном в качестве индивидуального предпринимателя</w:t>
      </w:r>
      <w:r>
        <w:rPr>
          <w:color w:val="000000"/>
        </w:rPr>
        <w:t xml:space="preserve">, сумма, подлежащая уплате по Контракту, уменьшается на размер </w:t>
      </w:r>
      <w:r>
        <w:rPr>
          <w:color w:val="000000"/>
        </w:rPr>
        <w:t>налогов, сборов и иных обязательных</w:t>
      </w:r>
      <w:r>
        <w:rPr>
          <w:color w:val="000000"/>
        </w:rPr>
        <w:t xml:space="preserve"> платежей </w:t>
      </w:r>
      <w:r>
        <w:rPr>
          <w:color w:val="000000"/>
        </w:rPr>
        <w:t>в бюджеты бюджетной системы Российской Федерации</w:t>
      </w:r>
      <w:r>
        <w:rPr>
          <w:color w:val="000000"/>
        </w:rPr>
        <w:t>, связанных с оплатой Контракта</w:t>
      </w:r>
      <w:r>
        <w:rPr>
          <w:color w:val="000000"/>
        </w:rPr>
        <w:t xml:space="preserve">, если в соответствии с </w:t>
      </w:r>
      <w:r>
        <w:rPr>
          <w:color w:val="000000"/>
        </w:rPr>
        <w:fldChar w:fldCharType="begin"/>
      </w:r>
      <w:r>
        <w:rPr>
          <w:color w:val="000000"/>
        </w:rPr>
        <w:instrText>HYPERLINK "http://ivo.garant.ru/#/document/10900200/entry/1"</w:instrText>
      </w:r>
      <w:r>
        <w:rPr>
          <w:color w:val="000000"/>
        </w:rPr>
        <w:fldChar w:fldCharType="separate"/>
      </w:r>
      <w:r>
        <w:rPr>
          <w:color w:val="000000"/>
        </w:rPr>
        <w:t>законодательством</w:t>
      </w:r>
      <w:r>
        <w:rPr>
          <w:color w:val="000000"/>
        </w:rPr>
        <w:fldChar w:fldCharType="end"/>
      </w:r>
      <w:r>
        <w:rPr>
          <w:color w:val="000000"/>
        </w:rPr>
        <w:t xml:space="preserve"> Российской </w:t>
      </w:r>
      <w:r>
        <w:rPr>
          <w:color w:val="000000"/>
        </w:rPr>
        <w:t>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Pr>
          <w:color w:val="000000"/>
        </w:rPr>
        <w:t>.</w:t>
      </w:r>
    </w:p>
    <w:p w14:paraId="20000000">
      <w:pPr>
        <w:widowControl w:val="0"/>
        <w:spacing w:after="0"/>
        <w:ind w:firstLine="567"/>
        <w:rPr>
          <w:color w:val="000000"/>
        </w:rPr>
      </w:pPr>
      <w:r>
        <w:rPr>
          <w:color w:val="000000"/>
        </w:rPr>
        <w:t xml:space="preserve">2.2. Цена Контракта включает в себя все расходы, связанные с оказанием услуг, в том числе расходы </w:t>
      </w:r>
      <w:r>
        <w:rPr>
          <w:spacing w:val="-5"/>
        </w:rPr>
        <w:t>на уплату налогов, таможенных пошлин, сборов, и других обязательных платежей</w:t>
      </w:r>
      <w:r>
        <w:rPr>
          <w:color w:val="000000"/>
        </w:rPr>
        <w:t xml:space="preserve">. </w:t>
      </w:r>
    </w:p>
    <w:p w14:paraId="21000000">
      <w:pPr>
        <w:ind w:firstLine="567" w:right="283"/>
        <w:rPr>
          <w:color w:val="000000"/>
        </w:rPr>
      </w:pPr>
      <w:r>
        <w:rPr>
          <w:color w:val="000000"/>
        </w:rPr>
        <w:t xml:space="preserve">2.3. Оплата оказанных услуг производится Заказчиком за счет средств бюджета Чеченской Республики, по безналичному расчету, путем перечисления денежных средств на расчетный счет Исполнителя. </w:t>
      </w:r>
    </w:p>
    <w:p w14:paraId="22000000">
      <w:pPr>
        <w:ind w:firstLine="567" w:right="283"/>
        <w:rPr>
          <w:color w:val="000000"/>
        </w:rPr>
      </w:pPr>
      <w:r>
        <w:rPr>
          <w:color w:val="000000"/>
        </w:rPr>
        <w:t>2.3. Валютой для установления Цены Контракта и расчетов с Исполнителем является российский рубль.</w:t>
      </w:r>
    </w:p>
    <w:p w14:paraId="23000000">
      <w:pPr>
        <w:ind w:firstLine="567" w:right="283"/>
        <w:rPr>
          <w:color w:val="000000"/>
        </w:rPr>
      </w:pPr>
      <w:r>
        <w:rPr>
          <w:color w:val="000000"/>
        </w:rPr>
        <w:t xml:space="preserve">2.4. Оплата исполнения Контракта осуществляется Заказчиком </w:t>
      </w:r>
      <w:r>
        <w:rPr>
          <w:rFonts w:ascii="Times New Roman CYR" w:hAnsi="Times New Roman CYR"/>
          <w:color w:val="000000"/>
        </w:rPr>
        <w:t xml:space="preserve">в течение </w:t>
      </w:r>
      <w:r>
        <w:rPr>
          <w:color w:val="000000"/>
        </w:rPr>
        <w:t xml:space="preserve">7 (семи) рабочих дней с момента подписания Заказчиком документа о приемке, предусмотренного пунктом </w:t>
      </w:r>
      <w:r>
        <w:t>5.1.</w:t>
      </w:r>
      <w:r>
        <w:rPr>
          <w:color w:val="000000"/>
        </w:rPr>
        <w:t xml:space="preserve">  Контракта. </w:t>
      </w:r>
    </w:p>
    <w:p w14:paraId="24000000">
      <w:pPr>
        <w:widowControl w:val="0"/>
        <w:spacing w:after="0"/>
        <w:ind w:firstLine="567" w:right="283"/>
        <w:rPr>
          <w:color w:val="000000"/>
        </w:rPr>
      </w:pPr>
      <w:r>
        <w:rPr>
          <w:color w:val="000000"/>
        </w:rPr>
        <w:t>2.5. 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Федеральным законом от 05.04.2013 г. № 44-ФЗ.</w:t>
      </w:r>
    </w:p>
    <w:p w14:paraId="25000000">
      <w:pPr>
        <w:spacing w:after="0"/>
        <w:ind w:firstLine="567" w:right="283"/>
        <w:rPr>
          <w:color w:val="000000"/>
        </w:rPr>
      </w:pPr>
      <w:r>
        <w:rPr>
          <w:color w:val="000000"/>
        </w:rPr>
        <w:t xml:space="preserve">2.6. </w:t>
      </w:r>
      <w:r>
        <w:rPr>
          <w:color w:val="000000"/>
        </w:rPr>
        <w:t>В случае неисполнения или ненадлежащего исполнения Исполнителем обязательств, предусмотренных настоящим Контрактом, Заказчик производит оплату по Контракту после перечисления Исполнителем соответствующего размера неустойки.</w:t>
      </w:r>
    </w:p>
    <w:p w14:paraId="26000000">
      <w:pPr>
        <w:widowControl w:val="0"/>
        <w:spacing w:after="0"/>
        <w:ind w:firstLine="567"/>
        <w:rPr>
          <w:color w:val="000000"/>
        </w:rPr>
      </w:pPr>
    </w:p>
    <w:p w14:paraId="27000000">
      <w:pPr>
        <w:widowControl w:val="0"/>
        <w:spacing w:after="0"/>
        <w:ind w:right="283"/>
        <w:jc w:val="center"/>
        <w:rPr>
          <w:b w:val="1"/>
          <w:color w:val="000000"/>
        </w:rPr>
      </w:pPr>
      <w:r>
        <w:rPr>
          <w:b w:val="1"/>
          <w:color w:val="000000"/>
        </w:rPr>
        <w:t xml:space="preserve">3. </w:t>
      </w:r>
      <w:r>
        <w:rPr>
          <w:b w:val="1"/>
          <w:color w:val="000000"/>
        </w:rPr>
        <w:t>ПРАВА И ОБЯЗАННОСТИ СТОРОН</w:t>
      </w:r>
    </w:p>
    <w:p w14:paraId="28000000">
      <w:pPr>
        <w:widowControl w:val="0"/>
        <w:spacing w:after="0" w:line="120" w:lineRule="auto"/>
        <w:ind w:firstLine="567" w:right="284"/>
        <w:rPr>
          <w:b w:val="1"/>
          <w:color w:val="000000"/>
        </w:rPr>
      </w:pPr>
    </w:p>
    <w:p w14:paraId="29000000">
      <w:pPr>
        <w:widowControl w:val="0"/>
        <w:spacing w:after="0" w:line="120" w:lineRule="auto"/>
        <w:ind w:firstLine="567" w:right="284"/>
        <w:rPr>
          <w:b w:val="1"/>
          <w:color w:val="000000"/>
        </w:rPr>
      </w:pPr>
    </w:p>
    <w:p w14:paraId="2A000000">
      <w:pPr>
        <w:widowControl w:val="0"/>
        <w:spacing w:after="0"/>
        <w:ind w:firstLine="567"/>
        <w:rPr>
          <w:color w:val="000000"/>
        </w:rPr>
      </w:pPr>
      <w:r>
        <w:rPr>
          <w:color w:val="000000"/>
        </w:rPr>
        <w:t>3.1. Права и обязанности Заказчика.</w:t>
      </w:r>
    </w:p>
    <w:p w14:paraId="2B000000">
      <w:pPr>
        <w:widowControl w:val="0"/>
        <w:spacing w:after="0"/>
        <w:ind w:firstLine="567"/>
        <w:rPr>
          <w:color w:val="000000"/>
        </w:rPr>
      </w:pPr>
      <w:r>
        <w:rPr>
          <w:color w:val="000000"/>
        </w:rPr>
        <w:t>3.1.1. Заказчик имеет право:</w:t>
      </w:r>
    </w:p>
    <w:p w14:paraId="2C000000">
      <w:pPr>
        <w:widowControl w:val="0"/>
        <w:spacing w:after="0"/>
        <w:ind w:firstLine="567"/>
        <w:rPr>
          <w:color w:val="000000"/>
        </w:rPr>
      </w:pPr>
      <w:r>
        <w:rPr>
          <w:color w:val="000000"/>
        </w:rPr>
        <w:t>- проводить проверку работоспособности доработанного программного обеспечения АС «Занятость»,</w:t>
      </w:r>
      <w:r>
        <w:t xml:space="preserve"> а также требовать своевременного устранения выявленных недостатков;</w:t>
      </w:r>
    </w:p>
    <w:p w14:paraId="2D000000">
      <w:pPr>
        <w:spacing w:after="0"/>
        <w:ind w:firstLine="567"/>
        <w:rPr>
          <w:color w:val="000000"/>
        </w:rPr>
      </w:pPr>
      <w:r>
        <w:rPr>
          <w:color w:val="000000"/>
        </w:rPr>
        <w:t>- принять, использовать и тиражировать переданное ему Исполнителем программное обеспечение АС «Занятость» и ТИ для обновления ранее установленного программного обеспечения АС «Занятость» на территории Чеченской Республики в структурных подразделениях Министерства труда, занятости и социального развития Чеченской Республики.</w:t>
      </w:r>
    </w:p>
    <w:p w14:paraId="2E000000">
      <w:pPr>
        <w:widowControl w:val="0"/>
        <w:spacing w:after="0"/>
        <w:ind w:firstLine="567"/>
        <w:rPr>
          <w:color w:val="000000"/>
        </w:rPr>
      </w:pPr>
      <w:r>
        <w:rPr>
          <w:color w:val="000000"/>
        </w:rPr>
        <w:t>3.1.2. Заказчик обязан:</w:t>
      </w:r>
    </w:p>
    <w:p w14:paraId="2F000000">
      <w:pPr>
        <w:widowControl w:val="0"/>
        <w:spacing w:after="0"/>
        <w:ind w:firstLine="567"/>
        <w:rPr>
          <w:color w:val="000000"/>
        </w:rPr>
      </w:pPr>
      <w:r>
        <w:rPr>
          <w:color w:val="000000"/>
        </w:rPr>
        <w:t xml:space="preserve">- обеспечивать специалистам Исполнителя удаленный доступ </w:t>
      </w:r>
      <w:r>
        <w:rPr>
          <w:color w:val="000000"/>
        </w:rPr>
        <w:t>к месту оказания услуг для надлежащего исполнения обязательств по Контракту</w:t>
      </w:r>
      <w:r>
        <w:rPr>
          <w:color w:val="000000"/>
        </w:rPr>
        <w:t>;</w:t>
      </w:r>
    </w:p>
    <w:p w14:paraId="30000000">
      <w:pPr>
        <w:widowControl w:val="0"/>
        <w:spacing w:after="0"/>
        <w:ind w:firstLine="567"/>
        <w:rPr>
          <w:color w:val="000000"/>
        </w:rPr>
      </w:pPr>
      <w:r>
        <w:rPr>
          <w:color w:val="000000"/>
        </w:rPr>
        <w:t>- передавать Исполнителю информацию, необходимую для оказания услуг по К</w:t>
      </w:r>
      <w:r>
        <w:rPr>
          <w:spacing w:val="-6"/>
        </w:rPr>
        <w:t>онтракту</w:t>
      </w:r>
      <w:r>
        <w:rPr>
          <w:color w:val="000000"/>
        </w:rPr>
        <w:t xml:space="preserve">; </w:t>
      </w:r>
    </w:p>
    <w:p w14:paraId="31000000">
      <w:pPr>
        <w:widowControl w:val="0"/>
        <w:spacing w:after="0"/>
        <w:ind w:firstLine="567"/>
        <w:rPr>
          <w:color w:val="000000"/>
        </w:rPr>
      </w:pPr>
      <w:r>
        <w:rPr>
          <w:color w:val="000000"/>
        </w:rPr>
        <w:t>- направлять Исполнителю замечания по оказанию услуг;</w:t>
      </w:r>
    </w:p>
    <w:p w14:paraId="32000000">
      <w:pPr>
        <w:widowControl w:val="0"/>
        <w:spacing w:after="0"/>
        <w:ind w:firstLine="567"/>
        <w:rPr>
          <w:color w:val="000000"/>
        </w:rPr>
      </w:pPr>
      <w:r>
        <w:rPr>
          <w:color w:val="000000"/>
        </w:rPr>
        <w:t>- оплачивать услуги в сроки, предусмотренные разделом 2 К</w:t>
      </w:r>
      <w:r>
        <w:rPr>
          <w:spacing w:val="-6"/>
        </w:rPr>
        <w:t>онтракта</w:t>
      </w:r>
      <w:r>
        <w:rPr>
          <w:color w:val="000000"/>
        </w:rPr>
        <w:t>.</w:t>
      </w:r>
    </w:p>
    <w:p w14:paraId="33000000">
      <w:pPr>
        <w:widowControl w:val="0"/>
        <w:spacing w:after="0"/>
        <w:ind w:firstLine="567"/>
        <w:rPr>
          <w:color w:val="000000"/>
        </w:rPr>
      </w:pPr>
      <w:r>
        <w:rPr>
          <w:color w:val="000000"/>
        </w:rPr>
        <w:t>3.2. Права и обязанности Исполнителя.</w:t>
      </w:r>
    </w:p>
    <w:p w14:paraId="34000000">
      <w:pPr>
        <w:widowControl w:val="0"/>
        <w:spacing w:after="0"/>
        <w:ind w:firstLine="567"/>
        <w:rPr>
          <w:color w:val="000000"/>
        </w:rPr>
      </w:pPr>
      <w:r>
        <w:rPr>
          <w:color w:val="000000"/>
        </w:rPr>
        <w:t>3.2.1. Исполнитель вправе:</w:t>
      </w:r>
    </w:p>
    <w:p w14:paraId="35000000">
      <w:pPr>
        <w:widowControl w:val="0"/>
        <w:spacing w:after="0"/>
        <w:ind w:firstLine="567"/>
        <w:rPr>
          <w:color w:val="000000"/>
        </w:rPr>
      </w:pPr>
      <w:r>
        <w:rPr>
          <w:color w:val="000000"/>
        </w:rPr>
        <w:t>- запрашивать у Заказчика исходные материалы, необходимые для оказания услуг после заключения Контракта.</w:t>
      </w:r>
    </w:p>
    <w:p w14:paraId="36000000">
      <w:pPr>
        <w:widowControl w:val="0"/>
        <w:spacing w:after="0"/>
        <w:ind w:firstLine="567"/>
        <w:rPr>
          <w:color w:val="000000"/>
        </w:rPr>
      </w:pPr>
      <w:r>
        <w:rPr>
          <w:color w:val="000000"/>
        </w:rPr>
        <w:t>3.2.2. Исполнитель обязан:</w:t>
      </w:r>
    </w:p>
    <w:p w14:paraId="37000000">
      <w:pPr>
        <w:widowControl w:val="0"/>
        <w:spacing w:after="0"/>
        <w:ind w:firstLine="567"/>
        <w:rPr>
          <w:color w:val="000000"/>
        </w:rPr>
      </w:pPr>
      <w:r>
        <w:rPr>
          <w:color w:val="000000"/>
        </w:rPr>
        <w:t>- оказать услуги по Контракту качественно, в полном объеме и в соответствии с требованиями Контракта и Технического задания;</w:t>
      </w:r>
    </w:p>
    <w:p w14:paraId="38000000">
      <w:pPr>
        <w:widowControl w:val="0"/>
        <w:spacing w:after="0"/>
        <w:ind w:firstLine="567"/>
        <w:rPr>
          <w:color w:val="000000"/>
          <w:highlight w:val="white"/>
        </w:rPr>
      </w:pPr>
      <w:r>
        <w:rPr>
          <w:color w:val="000000"/>
        </w:rPr>
        <w:t xml:space="preserve">- </w:t>
      </w:r>
      <w:r>
        <w:rPr>
          <w:color w:val="000000"/>
          <w:highlight w:val="white"/>
        </w:rPr>
        <w:t xml:space="preserve">по запросу Заказчика представить копии документов, подтверждающих его законное право на модификацию и иное использование </w:t>
      </w:r>
      <w:r>
        <w:rPr>
          <w:color w:val="000000"/>
        </w:rPr>
        <w:t>АС «Занятость»</w:t>
      </w:r>
      <w:r>
        <w:rPr>
          <w:color w:val="000000"/>
          <w:highlight w:val="white"/>
        </w:rPr>
        <w:t xml:space="preserve">. Исполнитель должен доказать обладание законными правами на такую модификацию. В соответствии со ст. 1270 ч. IV Гражданского кодекса Российской Федерации: </w:t>
      </w:r>
    </w:p>
    <w:p w14:paraId="39000000">
      <w:pPr>
        <w:widowControl w:val="0"/>
        <w:tabs>
          <w:tab w:leader="none" w:pos="3600" w:val="left"/>
        </w:tabs>
        <w:spacing w:after="0"/>
        <w:ind w:firstLine="567"/>
        <w:rPr>
          <w:color w:val="000000"/>
        </w:rPr>
      </w:pPr>
      <w:r>
        <w:rPr>
          <w:color w:val="000000"/>
        </w:rPr>
        <w:t>- не разглашать (не делать доступной третьим лицам, кроме наличия у данных лиц соответствующих полномочий в силу прямого указания закона, либо в случае, когда Заказчик, в письменной форме даст согласие на предоставление информации) конфиденциальную информацию Заказчика, к которой Исполнитель получил доступ в результате оказания услуг по Контракту;</w:t>
      </w:r>
    </w:p>
    <w:p w14:paraId="3A000000">
      <w:pPr>
        <w:widowControl w:val="0"/>
        <w:spacing w:after="0"/>
        <w:ind w:firstLine="567"/>
        <w:rPr>
          <w:color w:val="000000"/>
        </w:rPr>
      </w:pPr>
      <w:r>
        <w:rPr>
          <w:color w:val="000000"/>
        </w:rPr>
        <w:t>- незамедлительно информировать Заказчика об обнаруженной невозможности получить ожидаемые результаты или о нецелесообразности продолжения оказания услуг;</w:t>
      </w:r>
    </w:p>
    <w:p w14:paraId="3B000000">
      <w:pPr>
        <w:widowControl w:val="0"/>
        <w:spacing w:after="0"/>
        <w:ind w:firstLine="567"/>
        <w:rPr>
          <w:color w:val="000000"/>
        </w:rPr>
      </w:pPr>
      <w:r>
        <w:rPr>
          <w:color w:val="000000"/>
        </w:rPr>
        <w:t>-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3C000000">
      <w:pPr>
        <w:widowControl w:val="0"/>
        <w:spacing w:after="0"/>
        <w:ind w:firstLine="567"/>
        <w:rPr>
          <w:color w:val="000000"/>
        </w:rPr>
      </w:pPr>
      <w:r>
        <w:rPr>
          <w:color w:val="000000"/>
        </w:rPr>
        <w:t xml:space="preserve">3.3. Стороны </w:t>
      </w:r>
      <w:r>
        <w:rPr>
          <w:color w:val="000000"/>
        </w:rPr>
        <w:t>договорились считать обязательствами, которые не имеют стоимостного выражения следующие обязательства Исполнителя: несвоевременное предоставление документов, указанных в разделе 5 Контракта.</w:t>
      </w:r>
    </w:p>
    <w:p w14:paraId="3D000000">
      <w:pPr>
        <w:widowControl w:val="0"/>
        <w:spacing w:after="0"/>
        <w:ind w:firstLine="567"/>
        <w:jc w:val="center"/>
        <w:rPr>
          <w:color w:val="000000"/>
        </w:rPr>
      </w:pPr>
    </w:p>
    <w:p w14:paraId="3E000000">
      <w:pPr>
        <w:widowControl w:val="0"/>
        <w:spacing w:after="0"/>
        <w:ind w:right="219"/>
        <w:jc w:val="center"/>
        <w:rPr>
          <w:b w:val="1"/>
          <w:color w:val="000000"/>
        </w:rPr>
      </w:pPr>
      <w:r>
        <w:rPr>
          <w:b w:val="1"/>
          <w:color w:val="000000"/>
        </w:rPr>
        <w:t>4. ГАРАНТИИ КАЧЕСТВА И БЕЗОПАСНОСТИ ОКАЗЫВАЕМЫХ УСЛУГ</w:t>
      </w:r>
    </w:p>
    <w:p w14:paraId="3F000000">
      <w:pPr>
        <w:widowControl w:val="0"/>
        <w:spacing w:after="0" w:line="120" w:lineRule="auto"/>
        <w:ind w:right="221"/>
        <w:rPr>
          <w:b w:val="1"/>
          <w:color w:val="000000"/>
        </w:rPr>
      </w:pPr>
    </w:p>
    <w:p w14:paraId="40000000">
      <w:pPr>
        <w:widowControl w:val="0"/>
        <w:spacing w:after="0" w:line="120" w:lineRule="auto"/>
        <w:ind w:firstLine="567" w:right="221"/>
        <w:rPr>
          <w:b w:val="1"/>
          <w:color w:val="000000"/>
        </w:rPr>
      </w:pPr>
    </w:p>
    <w:p w14:paraId="41000000">
      <w:pPr>
        <w:spacing w:after="0"/>
        <w:ind w:firstLine="567" w:right="219"/>
      </w:pPr>
      <w:r>
        <w:t xml:space="preserve">4.1. Исполнитель гарантирует качественное и своевременное оказание услуг. </w:t>
      </w:r>
    </w:p>
    <w:p w14:paraId="42000000">
      <w:pPr>
        <w:spacing w:after="0"/>
        <w:ind w:firstLine="567" w:right="219"/>
      </w:pPr>
      <w:r>
        <w:t>4.2. Исполнитель гарантирует, что оказываемые им услуги соответствуют требованиям, указанным в описании объекта закупки.</w:t>
      </w:r>
    </w:p>
    <w:p w14:paraId="43000000">
      <w:pPr>
        <w:spacing w:after="0"/>
        <w:ind w:firstLine="567" w:right="219"/>
        <w:rPr>
          <w:b w:val="1"/>
        </w:rPr>
      </w:pPr>
    </w:p>
    <w:p w14:paraId="44000000">
      <w:pPr>
        <w:spacing w:after="0"/>
        <w:ind w:right="219"/>
        <w:jc w:val="center"/>
        <w:rPr>
          <w:b w:val="1"/>
        </w:rPr>
      </w:pPr>
      <w:r>
        <w:rPr>
          <w:b w:val="1"/>
        </w:rPr>
        <w:t>5. ПОРЯДОК СДАЧИ-ПРИЕМКИ УСЛУГ</w:t>
      </w:r>
    </w:p>
    <w:p w14:paraId="45000000">
      <w:pPr>
        <w:spacing w:after="0" w:line="120" w:lineRule="auto"/>
        <w:ind w:firstLine="567" w:right="221"/>
        <w:rPr>
          <w:b w:val="1"/>
        </w:rPr>
      </w:pPr>
    </w:p>
    <w:p w14:paraId="46000000">
      <w:pPr>
        <w:spacing w:after="0" w:line="120" w:lineRule="auto"/>
        <w:ind w:firstLine="567" w:right="221"/>
        <w:rPr>
          <w:b w:val="1"/>
        </w:rPr>
      </w:pPr>
    </w:p>
    <w:p w14:paraId="47000000">
      <w:pPr>
        <w:ind w:firstLine="567" w:right="219"/>
        <w:rPr>
          <w:color w:val="000000"/>
        </w:rPr>
      </w:pPr>
      <w:r>
        <w:rPr>
          <w:color w:val="000000"/>
        </w:rPr>
        <w:t>5.1. Исполнитель в срок не более 5 рабочих дней после оказания услуг по настоящему Контракту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Исполнителя, и размещает в единой информационной системе в сфере закупок документ о приемке, который должен содержать информацию, указанную в подпунктах «а», «б», «д» - «ж» пункта 1 части 13 статьи 94 Закона № 44-ФЗ.</w:t>
      </w:r>
    </w:p>
    <w:p w14:paraId="48000000">
      <w:pPr>
        <w:ind w:firstLine="567" w:right="219"/>
        <w:rPr>
          <w:color w:val="000000"/>
        </w:rPr>
      </w:pPr>
      <w:r>
        <w:rPr>
          <w:color w:val="000000"/>
        </w:rPr>
        <w:t>5.2. Датой поступления Заказчику документа о приемке, подписанного Исполнителем, считается дата размещения в соответствии с пунктом 3 части 13 статьи 94 Закона № 44-ФЗ такого документа в единой информационной системе в сфере закупок в соответствии с часовой зоной, в которой расположен Заказчик.</w:t>
      </w:r>
    </w:p>
    <w:p w14:paraId="49000000">
      <w:pPr>
        <w:tabs>
          <w:tab w:leader="none" w:pos="284" w:val="left"/>
          <w:tab w:leader="none" w:pos="567" w:val="left"/>
          <w:tab w:leader="none" w:pos="9923" w:val="left"/>
        </w:tabs>
        <w:ind w:firstLine="567" w:right="219"/>
        <w:rPr>
          <w:color w:val="000000"/>
        </w:rPr>
      </w:pPr>
      <w:r>
        <w:rPr>
          <w:color w:val="000000"/>
        </w:rPr>
        <w:t xml:space="preserve">5.3. </w:t>
      </w:r>
      <w:r>
        <w:rPr>
          <w:color w:val="000000"/>
        </w:rPr>
        <w:t>Для проверки предоставленных Исполнителем результатов оказанных услуг, предусмотренных Контрактом, в части их соответствия условиям Контракта, Заказчик проводит экспертизу. Экспертиза результатов оказанных услуг, предусмотренных Контрактом, проводится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Законом.</w:t>
      </w:r>
    </w:p>
    <w:p w14:paraId="4A000000">
      <w:pPr>
        <w:ind w:firstLine="567" w:right="219"/>
        <w:rPr>
          <w:color w:val="000000"/>
        </w:rPr>
      </w:pPr>
      <w:r>
        <w:rPr>
          <w:color w:val="000000"/>
        </w:rPr>
        <w:t>5.3.1. В случае, если по результатам такой экспертизы установлены нарушения требований Контракта, не препятствующие приемке оказанной услуги, в заключении могут содержаться предложения об устранении данных нарушений, в том числе с указанием срока их устранения.</w:t>
      </w:r>
    </w:p>
    <w:p w14:paraId="4B000000">
      <w:pPr>
        <w:tabs>
          <w:tab w:leader="none" w:pos="284" w:val="left"/>
          <w:tab w:leader="none" w:pos="567" w:val="left"/>
          <w:tab w:leader="none" w:pos="9923" w:val="left"/>
        </w:tabs>
        <w:ind w:firstLine="567" w:right="219"/>
        <w:rPr>
          <w:color w:val="000000"/>
        </w:rPr>
      </w:pPr>
      <w:r>
        <w:rPr>
          <w:color w:val="000000"/>
        </w:rPr>
        <w:t xml:space="preserve">5.4. </w:t>
      </w:r>
      <w:r>
        <w:rPr>
          <w:color w:val="000000"/>
        </w:rPr>
        <w:t>В течение 20 (двадцати) рабочих дней со дня поступления документа о приемке в соответствии с пунктом 5.2</w:t>
      </w:r>
      <w:r>
        <w:rPr>
          <w:color w:val="000000"/>
        </w:rPr>
        <w:t xml:space="preserve"> настоящего Контракта Заказчик </w:t>
      </w:r>
      <w:r>
        <w:rPr>
          <w:color w:val="000000"/>
        </w:rPr>
        <w:t xml:space="preserve">на основании изучения </w:t>
      </w:r>
      <w:r>
        <w:rPr>
          <w:color w:val="000000"/>
        </w:rPr>
        <w:t>документа о приемке</w:t>
      </w:r>
      <w:r>
        <w:rPr>
          <w:color w:val="000000"/>
        </w:rPr>
        <w:t xml:space="preserve"> и результатов экспертизы, проведенной в соответствии с пунктом 5.3 настоящего Контракта, осуществляет одно из следующих действий:</w:t>
      </w:r>
    </w:p>
    <w:p w14:paraId="4C000000">
      <w:pPr>
        <w:tabs>
          <w:tab w:leader="none" w:pos="567" w:val="left"/>
          <w:tab w:leader="none" w:pos="9923" w:val="left"/>
        </w:tabs>
        <w:spacing w:after="0"/>
        <w:ind w:firstLine="567" w:right="219"/>
        <w:rPr>
          <w:color w:val="000000"/>
        </w:rPr>
      </w:pPr>
      <w:r>
        <w:rPr>
          <w:color w:val="000000"/>
        </w:rPr>
        <w:t>а)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документ о приемке;</w:t>
      </w:r>
    </w:p>
    <w:p w14:paraId="4D000000">
      <w:pPr>
        <w:tabs>
          <w:tab w:leader="none" w:pos="567" w:val="left"/>
          <w:tab w:leader="none" w:pos="9923" w:val="left"/>
        </w:tabs>
        <w:spacing w:after="0"/>
        <w:ind w:firstLine="567" w:right="219"/>
        <w:rPr>
          <w:color w:val="000000"/>
        </w:rPr>
      </w:pPr>
      <w:r>
        <w:rPr>
          <w:color w:val="000000"/>
        </w:rPr>
        <w:t>б) формирует с использованием единой информационной системы в сфере закупок, подписывает усиленной электронной подписью лица, имеющего право действовать от имени Заказчика, и размещает в единой информационной системе в сфере закупок мотивированный отказ от подписания документа о приемке с указанием причин такого отказа, перечня недостатков и сроков их устранения Исполнителем.</w:t>
      </w:r>
    </w:p>
    <w:p w14:paraId="4E000000">
      <w:pPr>
        <w:tabs>
          <w:tab w:leader="none" w:pos="284" w:val="left"/>
          <w:tab w:leader="none" w:pos="567" w:val="left"/>
          <w:tab w:leader="none" w:pos="9923" w:val="left"/>
        </w:tabs>
        <w:ind w:firstLine="567" w:right="219"/>
        <w:rPr>
          <w:color w:val="000000"/>
        </w:rPr>
      </w:pPr>
      <w:r>
        <w:rPr>
          <w:color w:val="000000"/>
        </w:rPr>
        <w:t xml:space="preserve">5.5. </w:t>
      </w:r>
      <w:r>
        <w:rPr>
          <w:color w:val="000000"/>
        </w:rPr>
        <w:t>Заказчик имеет право частично принять оказанные услуги с отражением информации о расхождениях в приемке в соответствии с условиями настоящего Контракта и фактически принятых услугах в документе о приемке.</w:t>
      </w:r>
    </w:p>
    <w:p w14:paraId="4F000000">
      <w:pPr>
        <w:tabs>
          <w:tab w:leader="none" w:pos="284" w:val="left"/>
          <w:tab w:leader="none" w:pos="567" w:val="left"/>
          <w:tab w:leader="none" w:pos="9923" w:val="left"/>
        </w:tabs>
        <w:ind w:firstLine="567" w:right="219"/>
        <w:rPr>
          <w:color w:val="000000"/>
        </w:rPr>
      </w:pPr>
      <w:r>
        <w:rPr>
          <w:color w:val="000000"/>
        </w:rPr>
        <w:t xml:space="preserve">5.6. Датой поступления Исполнителю документа о приемке, мотивированного отказа от подписания документа о приемке считается дата размещения в соответствии с пунктом </w:t>
      </w:r>
      <w:r>
        <w:rPr>
          <w:color w:val="000000"/>
        </w:rPr>
        <w:t>6 части 13 статьи 94 Закона № 44-ФЗ таких документа о приемке, мотивированного отказа в единой информационной системе в сфере закупок в соответствии с часовой зоной, в которой расположен Исполнитель.</w:t>
      </w:r>
    </w:p>
    <w:p w14:paraId="50000000">
      <w:pPr>
        <w:tabs>
          <w:tab w:leader="none" w:pos="284" w:val="left"/>
          <w:tab w:leader="none" w:pos="567" w:val="left"/>
          <w:tab w:leader="none" w:pos="9923" w:val="left"/>
        </w:tabs>
        <w:ind w:firstLine="567" w:right="219"/>
        <w:rPr>
          <w:color w:val="000000"/>
        </w:rPr>
      </w:pPr>
      <w:r>
        <w:rPr>
          <w:color w:val="000000"/>
        </w:rPr>
        <w:t xml:space="preserve">5.7.  В случае получения в соответствии с пунктом 5.4 настоящего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 Контракта. </w:t>
      </w:r>
    </w:p>
    <w:p w14:paraId="51000000">
      <w:pPr>
        <w:tabs>
          <w:tab w:leader="none" w:pos="284" w:val="left"/>
          <w:tab w:leader="none" w:pos="567" w:val="left"/>
          <w:tab w:leader="none" w:pos="9923" w:val="left"/>
        </w:tabs>
        <w:spacing w:after="0"/>
        <w:ind w:firstLine="567" w:right="219"/>
        <w:rPr>
          <w:color w:val="000000"/>
        </w:rPr>
      </w:pPr>
      <w:r>
        <w:rPr>
          <w:color w:val="000000"/>
        </w:rPr>
        <w:t>5.8. Исполнитель обязан устранить все обнаруженные в ходе приемки недостатки своими силами и за свой счет, в сроки, установленные в мотивированном отказе от подписания документа о приемке.</w:t>
      </w:r>
    </w:p>
    <w:p w14:paraId="52000000">
      <w:pPr>
        <w:tabs>
          <w:tab w:leader="none" w:pos="567" w:val="left"/>
          <w:tab w:leader="none" w:pos="9923" w:val="left"/>
        </w:tabs>
        <w:spacing w:after="0"/>
        <w:ind w:firstLine="567" w:right="219"/>
        <w:rPr>
          <w:color w:val="000000"/>
        </w:rPr>
      </w:pPr>
      <w:r>
        <w:rPr>
          <w:color w:val="000000"/>
        </w:rPr>
        <w:t>Устранение Исполнителем выявленных Заказчиком недостатков не освобождает его от уплаты неустойки (штрафа, пени), предусмотренных разделом 6 настоящего Контракта.</w:t>
      </w:r>
    </w:p>
    <w:p w14:paraId="53000000">
      <w:pPr>
        <w:tabs>
          <w:tab w:leader="none" w:pos="284" w:val="left"/>
          <w:tab w:leader="none" w:pos="567" w:val="left"/>
          <w:tab w:leader="none" w:pos="9923" w:val="left"/>
        </w:tabs>
        <w:spacing w:after="0"/>
        <w:ind w:firstLine="567" w:right="219"/>
        <w:rPr>
          <w:color w:val="000000"/>
        </w:rPr>
      </w:pPr>
      <w:r>
        <w:rPr>
          <w:color w:val="000000"/>
        </w:rPr>
        <w:t>5.9. Датой приемки оказанной услуги считается дата размещения в единой информационной системе документа о приемке, подписанного Заказчиком.</w:t>
      </w:r>
    </w:p>
    <w:p w14:paraId="54000000">
      <w:pPr>
        <w:tabs>
          <w:tab w:leader="none" w:pos="567" w:val="left"/>
          <w:tab w:leader="none" w:pos="9923" w:val="left"/>
        </w:tabs>
        <w:spacing w:after="0"/>
        <w:ind w:firstLine="567" w:right="219"/>
        <w:rPr>
          <w:color w:val="000000"/>
        </w:rPr>
      </w:pPr>
      <w:r>
        <w:rPr>
          <w:color w:val="000000"/>
        </w:rPr>
        <w:t>5.10. Внесение исправлений в документ о приемке, оформленный в соответствии с настоящим разделом Контракта осуществляется путем формирования, подписания усиленными электронными подписями лиц, имеющих право действовать от имени Исполнителя, Заказчика, исправленного документа о приемке.</w:t>
      </w:r>
    </w:p>
    <w:p w14:paraId="55000000">
      <w:pPr>
        <w:tabs>
          <w:tab w:leader="none" w:pos="567" w:val="left"/>
          <w:tab w:leader="none" w:pos="9923" w:val="left"/>
        </w:tabs>
        <w:spacing w:after="0"/>
        <w:ind w:firstLine="567" w:right="219"/>
        <w:rPr>
          <w:color w:val="000000"/>
        </w:rPr>
      </w:pPr>
      <w:r>
        <w:rPr>
          <w:color w:val="000000"/>
        </w:rPr>
        <w:t>После устранения недостатков, послуживших основанием для не подписания документа о приемке, Исполнитель и Заказчик подписывают документ о приемке в порядке и сроки, предусмотренные настоящим разделом Контракта.</w:t>
      </w:r>
    </w:p>
    <w:p w14:paraId="56000000">
      <w:pPr>
        <w:tabs>
          <w:tab w:leader="none" w:pos="567" w:val="left"/>
          <w:tab w:leader="none" w:pos="9923" w:val="left"/>
        </w:tabs>
        <w:spacing w:after="0"/>
        <w:ind w:firstLine="567" w:right="219"/>
        <w:rPr>
          <w:color w:val="000000"/>
        </w:rPr>
      </w:pPr>
      <w:r>
        <w:rPr>
          <w:color w:val="000000"/>
        </w:rPr>
        <w:t>Срок исправления Исполнителем документа о приемке при поступлении от Заказчика уведомления об уточнении составляет 2 рабочих дня.</w:t>
      </w:r>
    </w:p>
    <w:p w14:paraId="57000000">
      <w:pPr>
        <w:widowControl w:val="0"/>
        <w:spacing w:after="0"/>
        <w:ind w:firstLine="567"/>
        <w:rPr>
          <w:color w:val="000000"/>
        </w:rPr>
      </w:pPr>
    </w:p>
    <w:p w14:paraId="58000000">
      <w:pPr>
        <w:widowControl w:val="0"/>
        <w:numPr>
          <w:ilvl w:val="0"/>
          <w:numId w:val="2"/>
        </w:numPr>
        <w:spacing w:after="0"/>
        <w:ind/>
        <w:contextualSpacing w:val="1"/>
        <w:jc w:val="center"/>
        <w:rPr>
          <w:b w:val="1"/>
          <w:color w:val="000000"/>
        </w:rPr>
      </w:pPr>
      <w:r>
        <w:rPr>
          <w:b w:val="1"/>
          <w:color w:val="000000"/>
        </w:rPr>
        <w:t>ОТВЕТСТВЕННОСТЬ СТОРОН</w:t>
      </w:r>
    </w:p>
    <w:p w14:paraId="59000000">
      <w:pPr>
        <w:widowControl w:val="0"/>
        <w:spacing w:after="0"/>
        <w:ind w:firstLine="567" w:left="1069"/>
        <w:rPr>
          <w:b w:val="1"/>
          <w:color w:val="000000"/>
        </w:rPr>
      </w:pPr>
    </w:p>
    <w:p w14:paraId="5A000000">
      <w:pPr>
        <w:ind w:firstLine="567"/>
      </w:pPr>
      <w:r>
        <w:t>6.1. За неисполнение или ненадлежащее исполнение обязательств Контракта Стороны несут ответственность в соответствии с действующим законодательством Российской Федерации, в том числе Постановлением Правительства РФ от 30 августа 2017 г.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1063"(далее правила), а также условиями настоящего Контракта.</w:t>
      </w:r>
    </w:p>
    <w:p w14:paraId="5B000000">
      <w:pPr>
        <w:ind w:firstLine="567"/>
      </w:pPr>
      <w:r>
        <w:t>6.2. В случае просрочки исполнения Заказчиком обязательств, предусмотренных настоящим Контрактом, а также в иных случаях неисполнения или ненадлежащего исполнения Заказчиком обязательств, предусмотренных настоящим Контрактом, Исполнитель вправе потребовать уплату неустоек (штрафов, пени).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5C000000">
      <w:pPr>
        <w:ind w:firstLine="567"/>
      </w:pPr>
      <w:r>
        <w:t>6.3.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D000000">
      <w:pPr>
        <w:ind w:firstLine="567"/>
        <w:rPr>
          <w:i w:val="1"/>
        </w:rPr>
      </w:pPr>
      <w:r>
        <w:rPr>
          <w:i w:val="1"/>
        </w:rPr>
        <w:t>а) 1000 рублей, если цена контракта не превышает 3 млн. рублей (включительно);</w:t>
      </w:r>
    </w:p>
    <w:p w14:paraId="5E000000">
      <w:pPr>
        <w:ind w:firstLine="567"/>
        <w:rPr>
          <w:i w:val="1"/>
        </w:rPr>
      </w:pPr>
      <w:r>
        <w:rPr>
          <w:i w:val="1"/>
        </w:rPr>
        <w:t>б) 5000 рублей, если цена контракта составляет от 3 млн. рублей до 50 млн. рублей (включительно);</w:t>
      </w:r>
    </w:p>
    <w:p w14:paraId="5F000000">
      <w:pPr>
        <w:ind w:firstLine="567"/>
        <w:rPr>
          <w:i w:val="1"/>
        </w:rPr>
      </w:pPr>
      <w:r>
        <w:rPr>
          <w:i w:val="1"/>
        </w:rPr>
        <w:t>в) 10000 рублей, если цена контракта составляет от 50 млн. рублей до 100 млн. рублей (включительно);</w:t>
      </w:r>
    </w:p>
    <w:p w14:paraId="60000000">
      <w:pPr>
        <w:ind w:firstLine="567"/>
        <w:rPr>
          <w:i w:val="1"/>
        </w:rPr>
      </w:pPr>
      <w:r>
        <w:rPr>
          <w:i w:val="1"/>
        </w:rPr>
        <w:t>г) 100000 рублей, если цена контракта превышает 100 млн. рублей.</w:t>
      </w:r>
    </w:p>
    <w:p w14:paraId="61000000">
      <w:pPr>
        <w:ind w:firstLine="567"/>
      </w:pPr>
      <w:r>
        <w:t xml:space="preserve">6.4. В случае просрочки исполнения </w:t>
      </w:r>
      <w:r>
        <w:rPr>
          <w:color w:val="000000"/>
        </w:rPr>
        <w:t>Исполнителем</w:t>
      </w:r>
      <w:r>
        <w:t xml:space="preserve"> обязательств (в том числе гарантийного обязательства), предусмотренных Контрактом, а также в иных случаях неисполнения или ненадлежащего исполнения </w:t>
      </w:r>
      <w:r>
        <w:rPr>
          <w:color w:val="000000"/>
        </w:rPr>
        <w:t>Исполнителем</w:t>
      </w:r>
      <w:r>
        <w:t xml:space="preserve"> обязательств, предусмотренных Контрактом, Заказчик направляет </w:t>
      </w:r>
      <w:r>
        <w:rPr>
          <w:color w:val="000000"/>
        </w:rPr>
        <w:t>Исполнителю</w:t>
      </w:r>
      <w:r>
        <w:t xml:space="preserve"> требование об уплате неустоек (штрафов, пеней), (далее соответственно - штраф, пеня).</w:t>
      </w:r>
    </w:p>
    <w:p w14:paraId="62000000">
      <w:pPr>
        <w:ind w:firstLine="567"/>
      </w:pPr>
      <w:r>
        <w:t xml:space="preserve">6.5. Пеня начисляется за каждый день просрочки исполнения Исполнителем (подрядчиком,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r>
        <w:rPr>
          <w:color w:val="0000FF"/>
          <w:u w:val="single"/>
        </w:rPr>
        <w:fldChar w:fldCharType="begin"/>
      </w:r>
      <w:r>
        <w:rPr>
          <w:color w:val="0000FF"/>
          <w:u w:val="single"/>
        </w:rPr>
        <w:instrText>HYPERLINK "http://ivo.garant.ru/#/document/10180094/entry/100"</w:instrText>
      </w:r>
      <w:r>
        <w:rPr>
          <w:color w:val="0000FF"/>
          <w:u w:val="single"/>
        </w:rPr>
        <w:fldChar w:fldCharType="separate"/>
      </w:r>
      <w:r>
        <w:rPr>
          <w:color w:val="0000FF"/>
          <w:u w:val="single"/>
        </w:rPr>
        <w:t>ключевой ставки</w:t>
      </w:r>
      <w:r>
        <w:rPr>
          <w:color w:val="0000FF"/>
          <w:u w:val="single"/>
        </w:rPr>
        <w:fldChar w:fldCharType="end"/>
      </w:r>
      <w: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Исполнителем (подрядчиком, поставщиком), за исключением случаев, если законодательством Российской Федерации установлен иной порядок начисления пени.</w:t>
      </w:r>
    </w:p>
    <w:p w14:paraId="63000000">
      <w:pPr>
        <w:ind w:firstLine="567"/>
        <w:rPr>
          <w:i w:val="1"/>
        </w:rPr>
      </w:pPr>
      <w:r>
        <w:t xml:space="preserve">6.6. За каждый факт неисполнения или ненадлежащего исполнения Исполнителем обязательств, предусмотренных Контрактом, заключенным по результатам определения Исполнителем в соответствии с пунктом 1 части 1 статьи 30 Федерального закона "О контрактной системе в сфере закупок товаров, работ, услуг для обеспечения государственных и муниципальных нужд" (далее - Федеральный закон), за исключением просрочки исполнения обязательств (в том числе гарантийного обязательства), предусмотренных контрактом, размер штрафа устанавливается в </w:t>
      </w:r>
      <w:r>
        <w:rPr>
          <w:i w:val="1"/>
        </w:rPr>
        <w:t>размере 1</w:t>
      </w:r>
      <w:r>
        <w:t xml:space="preserve"> процента цены Контракта (этапа), </w:t>
      </w:r>
      <w:r>
        <w:rPr>
          <w:i w:val="1"/>
        </w:rPr>
        <w:t>но</w:t>
      </w:r>
      <w:r>
        <w:t xml:space="preserve"> не </w:t>
      </w:r>
      <w:r>
        <w:rPr>
          <w:i w:val="1"/>
        </w:rPr>
        <w:t>более 5 тыс</w:t>
      </w:r>
      <w:r>
        <w:t xml:space="preserve">. рублей </w:t>
      </w:r>
      <w:r>
        <w:rPr>
          <w:i w:val="1"/>
        </w:rPr>
        <w:t>и не менее</w:t>
      </w:r>
      <w:r>
        <w:t xml:space="preserve"> 1 </w:t>
      </w:r>
      <w:r>
        <w:rPr>
          <w:i w:val="1"/>
        </w:rPr>
        <w:t>тыс</w:t>
      </w:r>
      <w:r>
        <w:t>. рублей.</w:t>
      </w:r>
    </w:p>
    <w:p w14:paraId="64000000">
      <w:pPr>
        <w:ind w:firstLine="567"/>
      </w:pPr>
      <w:r>
        <w:t>6.7.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 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65000000">
      <w:pPr>
        <w:ind w:firstLine="567"/>
        <w:rPr>
          <w:i w:val="1"/>
        </w:rPr>
      </w:pPr>
      <w:r>
        <w:rPr>
          <w:i w:val="1"/>
        </w:rPr>
        <w:t>а) в случае, если цена контракта не превышает начальную (максимальную) цену контракта:</w:t>
      </w:r>
    </w:p>
    <w:p w14:paraId="66000000">
      <w:pPr>
        <w:ind w:firstLine="567"/>
        <w:rPr>
          <w:i w:val="1"/>
        </w:rPr>
      </w:pPr>
      <w:r>
        <w:rPr>
          <w:i w:val="1"/>
        </w:rPr>
        <w:t>10 процентов начальной (максимальной) цены контракта, если цена контракта не превышает 3 млн. рублей;</w:t>
      </w:r>
    </w:p>
    <w:p w14:paraId="67000000">
      <w:pPr>
        <w:ind w:firstLine="567"/>
        <w:rPr>
          <w:i w:val="1"/>
        </w:rPr>
      </w:pPr>
      <w:r>
        <w:rPr>
          <w:i w:val="1"/>
        </w:rPr>
        <w:t>5 процентов начальной (максимальной) цены контракта, если цена контракта составляет от 3 млн. рублей до 50 млн. рублей (включительно);</w:t>
      </w:r>
    </w:p>
    <w:p w14:paraId="68000000">
      <w:pPr>
        <w:ind w:firstLine="567"/>
        <w:rPr>
          <w:i w:val="1"/>
        </w:rPr>
      </w:pPr>
      <w:r>
        <w:rPr>
          <w:i w:val="1"/>
        </w:rPr>
        <w:t>1 процент начальной (максимальной) цены контракта, если цена контракта составляет от 50 млн. рублей до 100 млн. рублей (включительно);</w:t>
      </w:r>
    </w:p>
    <w:p w14:paraId="69000000">
      <w:pPr>
        <w:ind w:firstLine="567"/>
        <w:rPr>
          <w:i w:val="1"/>
        </w:rPr>
      </w:pPr>
      <w:r>
        <w:rPr>
          <w:i w:val="1"/>
        </w:rPr>
        <w:t>б) в случае, если цена контракта превышает начальную (максимальную) цену контракта:</w:t>
      </w:r>
    </w:p>
    <w:p w14:paraId="6A000000">
      <w:pPr>
        <w:ind w:firstLine="567"/>
        <w:rPr>
          <w:i w:val="1"/>
        </w:rPr>
      </w:pPr>
      <w:r>
        <w:rPr>
          <w:i w:val="1"/>
        </w:rPr>
        <w:t>10 процентов цены контракта, если цена контракта не превышает 3 млн. рублей;</w:t>
      </w:r>
    </w:p>
    <w:p w14:paraId="6B000000">
      <w:pPr>
        <w:ind w:firstLine="567"/>
        <w:rPr>
          <w:i w:val="1"/>
        </w:rPr>
      </w:pPr>
      <w:r>
        <w:rPr>
          <w:i w:val="1"/>
        </w:rPr>
        <w:t>5 процентов цены контракта, если цена контракта составляет от 3 млн. рублей до 50 млн. рублей (включительно);</w:t>
      </w:r>
    </w:p>
    <w:p w14:paraId="6C000000">
      <w:pPr>
        <w:ind w:firstLine="567"/>
        <w:rPr>
          <w:i w:val="1"/>
        </w:rPr>
      </w:pPr>
      <w:r>
        <w:rPr>
          <w:i w:val="1"/>
        </w:rPr>
        <w:t>1 процент цены контракта, если цена контракта составляет от 50 млн. рублей до 100 млн. рублей (включительно).</w:t>
      </w:r>
    </w:p>
    <w:p w14:paraId="6D000000">
      <w:pPr>
        <w:ind w:firstLine="567"/>
      </w:pPr>
      <w:r>
        <w:t xml:space="preserve">6.8. За каждый факт неисполнения или ненадлежащего исполнения Исполнителем (подрядчиком, поставщиком) обязательства, предусмотренного Контрактом, которое не </w:t>
      </w:r>
      <w:r>
        <w:t>имеет стоимостного выражения, размер штрафа устанавливается (при наличии в контракте таких обязательств) в следующем порядке:</w:t>
      </w:r>
    </w:p>
    <w:p w14:paraId="6E000000">
      <w:pPr>
        <w:ind w:firstLine="567"/>
        <w:rPr>
          <w:i w:val="1"/>
        </w:rPr>
      </w:pPr>
      <w:r>
        <w:rPr>
          <w:i w:val="1"/>
        </w:rPr>
        <w:t>а) 1000 рублей, если цена контракта не превышает 3 млн. рублей;</w:t>
      </w:r>
    </w:p>
    <w:p w14:paraId="6F000000">
      <w:pPr>
        <w:ind w:firstLine="567"/>
        <w:rPr>
          <w:i w:val="1"/>
        </w:rPr>
      </w:pPr>
      <w:r>
        <w:rPr>
          <w:i w:val="1"/>
        </w:rPr>
        <w:t>б) 5000 рублей, если цена контракта составляет от 3 млн. рублей до 50 млн. рублей (включительно);</w:t>
      </w:r>
    </w:p>
    <w:p w14:paraId="70000000">
      <w:pPr>
        <w:ind w:firstLine="567"/>
        <w:rPr>
          <w:i w:val="1"/>
        </w:rPr>
      </w:pPr>
      <w:r>
        <w:rPr>
          <w:i w:val="1"/>
        </w:rPr>
        <w:t>в) 10000 рублей, если цена контракта составляет от 50 млн. рублей до 100 млн. рублей (включительно);</w:t>
      </w:r>
    </w:p>
    <w:p w14:paraId="71000000">
      <w:pPr>
        <w:ind w:firstLine="567"/>
      </w:pPr>
      <w:r>
        <w:rPr>
          <w:i w:val="1"/>
        </w:rPr>
        <w:t>г) 100000 рублей, если цена контракта превышает 100 млн. рублей.</w:t>
      </w:r>
    </w:p>
    <w:p w14:paraId="72000000">
      <w:pPr>
        <w:ind w:firstLine="567"/>
      </w:pPr>
      <w:r>
        <w:t xml:space="preserve">6.9. Общая сумма </w:t>
      </w:r>
      <w:r>
        <w:t>начисленных</w:t>
      </w:r>
      <w:r>
        <w:t xml:space="preserve">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73000000">
      <w:pPr>
        <w:ind w:firstLine="567"/>
      </w:pPr>
      <w:r>
        <w:t xml:space="preserve">6.10. Общая сумма </w:t>
      </w:r>
      <w:r>
        <w:t>начисленных</w:t>
      </w:r>
      <w:r>
        <w:t xml:space="preserve"> штрафов за ненадлежащее исполнение Заказчиком обязательств, предусмотренных Контрактом, не может превышать цену Контракта.</w:t>
      </w:r>
    </w:p>
    <w:p w14:paraId="74000000">
      <w:pPr>
        <w:spacing w:after="0"/>
        <w:ind w:firstLine="567"/>
        <w:rPr>
          <w:color w:val="000000"/>
          <w:highlight w:val="yellow"/>
        </w:rPr>
      </w:pPr>
      <w:r>
        <w:t>6.11.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75000000">
      <w:pPr>
        <w:spacing w:after="0"/>
        <w:ind w:firstLine="567"/>
        <w:rPr>
          <w:color w:val="000000"/>
          <w:highlight w:val="yellow"/>
        </w:rPr>
      </w:pPr>
    </w:p>
    <w:p w14:paraId="76000000">
      <w:pPr>
        <w:widowControl w:val="0"/>
        <w:numPr>
          <w:ilvl w:val="0"/>
          <w:numId w:val="2"/>
        </w:numPr>
        <w:spacing w:after="0"/>
        <w:ind/>
        <w:contextualSpacing w:val="1"/>
        <w:jc w:val="center"/>
        <w:rPr>
          <w:b w:val="1"/>
          <w:color w:val="000000"/>
        </w:rPr>
      </w:pPr>
      <w:r>
        <w:rPr>
          <w:b w:val="1"/>
          <w:color w:val="000000"/>
        </w:rPr>
        <w:t>ОБЕСПЕЧЕНИЕ ИСПОЛНЕНИЯ КОНТРАКТА</w:t>
      </w:r>
    </w:p>
    <w:p w14:paraId="77000000">
      <w:pPr>
        <w:widowControl w:val="0"/>
        <w:spacing w:after="0"/>
        <w:ind w:firstLine="567" w:left="1069"/>
        <w:rPr>
          <w:b w:val="1"/>
          <w:color w:val="000000"/>
          <w:highlight w:val="yellow"/>
        </w:rPr>
      </w:pPr>
    </w:p>
    <w:p w14:paraId="78000000">
      <w:pPr>
        <w:spacing w:after="0"/>
        <w:ind w:firstLine="567"/>
        <w:rPr>
          <w:color w:val="000000"/>
        </w:rPr>
      </w:pPr>
      <w:r>
        <w:rPr>
          <w:color w:val="000000"/>
        </w:rPr>
        <w:t>7.1. Исполнитель при заключении Контракта должен предоставить Заказчику обеспечение исполне</w:t>
      </w:r>
      <w:r>
        <w:rPr>
          <w:color w:val="000000"/>
        </w:rPr>
        <w:t xml:space="preserve">ния Контракта в размере 5 % от </w:t>
      </w:r>
      <w:r>
        <w:rPr>
          <w:color w:val="000000"/>
        </w:rPr>
        <w:t>цены Контракта что составляет _____ (_______________________) рублей ____ копеек.</w:t>
      </w:r>
    </w:p>
    <w:p w14:paraId="79000000">
      <w:pPr>
        <w:spacing w:after="0"/>
        <w:ind w:firstLine="567"/>
        <w:rPr>
          <w:color w:val="000000"/>
        </w:rPr>
      </w:pPr>
      <w:r>
        <w:rPr>
          <w:color w:val="000000"/>
        </w:rPr>
        <w:t>Если по итогам проведения аукциона в электронной форм</w:t>
      </w:r>
      <w:r>
        <w:rPr>
          <w:color w:val="000000"/>
        </w:rPr>
        <w:t xml:space="preserve">е Исполнителем предложена цена Контракта, </w:t>
      </w:r>
      <w:r>
        <w:rPr>
          <w:color w:val="000000"/>
        </w:rPr>
        <w:t>которая на двадцать пять и более процентов ниже начальной максимальной цены Контракта сумма цен единиц товара, работы, услуги, которая на двадцать пять и более процентов ниже начальной суммы цен указанных единиц обеспечение исполнения Контракта пред</w:t>
      </w:r>
      <w:r>
        <w:rPr>
          <w:color w:val="000000"/>
        </w:rPr>
        <w:t xml:space="preserve">оставляется с учетом положений </w:t>
      </w:r>
      <w:r>
        <w:rPr>
          <w:color w:val="000000"/>
        </w:rPr>
        <w:t xml:space="preserve">ст. 37 Федерального закона от 05.04.2013 № 44-ФЗ. </w:t>
      </w:r>
    </w:p>
    <w:p w14:paraId="7A000000">
      <w:pPr>
        <w:spacing w:after="0"/>
        <w:ind w:firstLine="567"/>
        <w:rPr>
          <w:color w:val="000000"/>
        </w:rPr>
      </w:pPr>
      <w:r>
        <w:rPr>
          <w:color w:val="000000"/>
        </w:rPr>
        <w:t xml:space="preserve">7.2. Обеспечение исполнения Контракта может обеспечиваться предоставлением банковской гарантии, выданной банком и соответствующей требованиям статьи 45 Федерального закона, или внесением денежных средств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7B000000">
      <w:pPr>
        <w:spacing w:after="0"/>
        <w:ind w:firstLine="567"/>
        <w:rPr>
          <w:color w:val="000000"/>
        </w:rPr>
      </w:pPr>
      <w:r>
        <w:rPr>
          <w:color w:val="000000"/>
        </w:rPr>
        <w:t>Способ обеспечения исполнения Контракта определяется Исполнителем самостоятельно.</w:t>
      </w:r>
    </w:p>
    <w:p w14:paraId="7C000000">
      <w:pPr>
        <w:spacing w:after="0"/>
        <w:ind w:firstLine="567"/>
        <w:rPr>
          <w:color w:val="000000"/>
        </w:rPr>
      </w:pPr>
      <w:r>
        <w:rPr>
          <w:color w:val="000000"/>
        </w:rPr>
        <w:t>7.3. Об</w:t>
      </w:r>
      <w:r>
        <w:rPr>
          <w:color w:val="000000"/>
        </w:rPr>
        <w:t xml:space="preserve">еспечение исполнения Контракта </w:t>
      </w:r>
      <w:r>
        <w:rPr>
          <w:color w:val="000000"/>
        </w:rPr>
        <w:t xml:space="preserve">распространяется на обязательства по возврату аванса (при наличии), уплате неустоек в виде штрафов, пени, предусмотренных Контрактом, убытков, понесенных Заказчиком в связи с неисполнением или ненадлежащим исполнением Исполнителем своих обязательств по Контракту, за исключением гарантийных обязательств (при наличии). </w:t>
      </w:r>
    </w:p>
    <w:p w14:paraId="7D000000">
      <w:pPr>
        <w:spacing w:after="0"/>
        <w:ind w:firstLine="567"/>
        <w:rPr>
          <w:color w:val="000000"/>
        </w:rPr>
      </w:pPr>
      <w:r>
        <w:rPr>
          <w:color w:val="000000"/>
        </w:rPr>
        <w:t>7.4.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Исполнитель обязан предоставить новое об</w:t>
      </w:r>
      <w:r>
        <w:rPr>
          <w:color w:val="000000"/>
        </w:rPr>
        <w:t xml:space="preserve">еспечение исполнения Контракта </w:t>
      </w:r>
      <w:r>
        <w:rPr>
          <w:color w:val="000000"/>
        </w:rPr>
        <w:t xml:space="preserve">не позднее одного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чч. 7, 7.1, 7.2 и 7.3 ст. 96 Федерального закона от 05.04.2013 № 44-ФЗ. </w:t>
      </w:r>
    </w:p>
    <w:p w14:paraId="7E000000">
      <w:pPr>
        <w:spacing w:after="0"/>
        <w:ind w:firstLine="567"/>
        <w:rPr>
          <w:color w:val="000000"/>
        </w:rPr>
      </w:pPr>
      <w:r>
        <w:rPr>
          <w:color w:val="000000"/>
        </w:rPr>
        <w:t>За неисполнения Исполнителем обязательства о предоставлении нового об</w:t>
      </w:r>
      <w:r>
        <w:rPr>
          <w:color w:val="000000"/>
        </w:rPr>
        <w:t xml:space="preserve">еспечения исполнения Контракта </w:t>
      </w:r>
      <w:r>
        <w:rPr>
          <w:color w:val="000000"/>
        </w:rPr>
        <w:t>начисляется пеня в размере и порядке, установленном в п.6.5.  настоящего Контракта.</w:t>
      </w:r>
    </w:p>
    <w:p w14:paraId="7F000000">
      <w:pPr>
        <w:spacing w:after="0"/>
        <w:ind w:firstLine="567"/>
        <w:rPr>
          <w:color w:val="000000"/>
        </w:rPr>
      </w:pPr>
      <w:r>
        <w:rPr>
          <w:color w:val="000000"/>
        </w:rPr>
        <w:t>7.5. В ходе исполнения Контракта Исполнитель вправе изменить способ об</w:t>
      </w:r>
      <w:r>
        <w:rPr>
          <w:color w:val="000000"/>
        </w:rPr>
        <w:t xml:space="preserve">еспечения исполнения Контракта </w:t>
      </w:r>
      <w:r>
        <w:rPr>
          <w:color w:val="000000"/>
        </w:rPr>
        <w:t xml:space="preserve">и (или) предоставить Заказчику взамен ранее предоставленного </w:t>
      </w:r>
      <w:r>
        <w:rPr>
          <w:color w:val="000000"/>
        </w:rPr>
        <w:t>об</w:t>
      </w:r>
      <w:r>
        <w:rPr>
          <w:color w:val="000000"/>
        </w:rPr>
        <w:t xml:space="preserve">еспечения исполнения Контракта </w:t>
      </w:r>
      <w:r>
        <w:rPr>
          <w:color w:val="000000"/>
        </w:rPr>
        <w:t>новое обеспечение исполнения Контракта, размер которого может быть уменьшен в порядке и случаях, которые предусмотрены чч. 7.2 и 7.3       ст. 96 Федерального закона от 05.04.2013 № 44-ФЗ.</w:t>
      </w:r>
    </w:p>
    <w:p w14:paraId="80000000">
      <w:pPr>
        <w:spacing w:after="0"/>
        <w:ind w:firstLine="567"/>
        <w:rPr>
          <w:color w:val="000000"/>
        </w:rPr>
      </w:pPr>
      <w:r>
        <w:rPr>
          <w:color w:val="000000"/>
        </w:rPr>
        <w:t>7.6. В случае о</w:t>
      </w:r>
      <w:r>
        <w:rPr>
          <w:color w:val="000000"/>
        </w:rPr>
        <w:t>беспечения исполнения Контракта</w:t>
      </w:r>
      <w:r>
        <w:rPr>
          <w:color w:val="000000"/>
        </w:rPr>
        <w:t xml:space="preserve"> в виде внесения денежных средств на счет Заказчика, денежные средства возвращаются Исполнителю:</w:t>
      </w:r>
    </w:p>
    <w:p w14:paraId="81000000">
      <w:pPr>
        <w:spacing w:after="0"/>
        <w:ind w:firstLine="567"/>
        <w:rPr>
          <w:color w:val="000000"/>
        </w:rPr>
      </w:pPr>
      <w:r>
        <w:rPr>
          <w:color w:val="000000"/>
        </w:rPr>
        <w:t>а) при условии надлежащего исполнения Исполнителем обязательств, предусмотренных настоящим Контрактом (за исключением гарантийных обязательств), в течение 15 дней с даты исполнения Исполнителем обязательств, предусмотренных настоящим Контрактом;</w:t>
      </w:r>
    </w:p>
    <w:p w14:paraId="82000000">
      <w:pPr>
        <w:spacing w:after="0"/>
        <w:ind w:firstLine="567"/>
        <w:rPr>
          <w:color w:val="000000"/>
        </w:rPr>
      </w:pPr>
      <w:r>
        <w:rPr>
          <w:color w:val="000000"/>
        </w:rPr>
        <w:t>б) при уменьшении размера обеспечения</w:t>
      </w:r>
      <w:r>
        <w:rPr>
          <w:color w:val="000000"/>
        </w:rPr>
        <w:t xml:space="preserve"> исполнения Контракта</w:t>
      </w:r>
      <w:r>
        <w:rPr>
          <w:color w:val="000000"/>
        </w:rPr>
        <w:t xml:space="preserve"> в порядке и случаях, которые предусмотрены частями 7.2 и 7.3 Федерального закона,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 в течение 15 дней с даты исполнения Исполнителем обязательств, предусмотренных Контрактом.</w:t>
      </w:r>
    </w:p>
    <w:p w14:paraId="83000000">
      <w:pPr>
        <w:spacing w:after="0"/>
        <w:ind w:firstLine="567"/>
        <w:rPr>
          <w:color w:val="000000"/>
        </w:rPr>
      </w:pPr>
      <w:r>
        <w:rPr>
          <w:color w:val="000000"/>
        </w:rPr>
        <w:t>7.7. Исполнитель освобождается от предоставления обеспечения исполнения Контракта, в том числе с учетом положений ст. 37 Федерального закона, в случае предоставления таким Исполнителем информации, содержащейся в реестре контрактов, заключенных заказчиками,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такому Исполнителю неустоек (штрафов, пеней). Такая информация представляется Исполнителю до заключения Контракта. При этом сумма цен таких контрактов должна составлять не менее начальной (максимальной) цены Контракта, указанной в извещении об осуществлении закупки и документации о закупке.</w:t>
      </w:r>
    </w:p>
    <w:p w14:paraId="84000000">
      <w:pPr>
        <w:widowControl w:val="0"/>
        <w:spacing w:after="0"/>
        <w:ind w:firstLine="567"/>
        <w:rPr>
          <w:color w:val="000000"/>
        </w:rPr>
      </w:pPr>
    </w:p>
    <w:p w14:paraId="85000000">
      <w:pPr>
        <w:widowControl w:val="0"/>
        <w:spacing w:after="0"/>
        <w:ind w:right="219"/>
        <w:jc w:val="center"/>
        <w:rPr>
          <w:b w:val="1"/>
          <w:color w:val="000000"/>
        </w:rPr>
      </w:pPr>
      <w:bookmarkStart w:id="2" w:name="sub_2900"/>
      <w:r>
        <w:rPr>
          <w:b w:val="1"/>
          <w:color w:val="000000"/>
        </w:rPr>
        <w:t>8. ОБСТОЯТЕЛЬСТВА НЕПРЕОДОЛИМОЙ СИЛЫ</w:t>
      </w:r>
      <w:bookmarkStart w:id="3" w:name="sub_2901"/>
      <w:bookmarkEnd w:id="2"/>
    </w:p>
    <w:p w14:paraId="86000000">
      <w:pPr>
        <w:widowControl w:val="0"/>
        <w:spacing w:after="0" w:line="120" w:lineRule="auto"/>
        <w:ind w:firstLine="567" w:right="221"/>
        <w:rPr>
          <w:color w:val="000000"/>
        </w:rPr>
      </w:pPr>
    </w:p>
    <w:p w14:paraId="87000000">
      <w:pPr>
        <w:widowControl w:val="0"/>
        <w:spacing w:after="0" w:line="120" w:lineRule="auto"/>
        <w:ind w:firstLine="567" w:right="221"/>
        <w:rPr>
          <w:color w:val="000000"/>
        </w:rPr>
      </w:pPr>
    </w:p>
    <w:p w14:paraId="88000000">
      <w:pPr>
        <w:widowControl w:val="0"/>
        <w:tabs>
          <w:tab w:leader="underscore" w:pos="0" w:val="left"/>
        </w:tabs>
        <w:spacing w:after="0"/>
        <w:ind w:firstLine="567" w:right="219"/>
        <w:rPr>
          <w:spacing w:val="-6"/>
        </w:rPr>
      </w:pPr>
      <w:r>
        <w:rPr>
          <w:color w:val="000000"/>
        </w:rPr>
        <w:t>8.1.</w:t>
      </w:r>
      <w:bookmarkEnd w:id="3"/>
      <w:r>
        <w:rPr>
          <w:color w:val="000000"/>
        </w:rPr>
        <w:t xml:space="preserve"> </w:t>
      </w:r>
      <w:r>
        <w:rPr>
          <w:spacing w:val="-4"/>
        </w:rPr>
        <w:t>Стороны освобождаются от ответственности за частичное или полное неисполнение обязательств по настоящему К</w:t>
      </w:r>
      <w:r>
        <w:rPr>
          <w:color w:val="000000"/>
        </w:rPr>
        <w:t>онтракту</w:t>
      </w:r>
      <w:r>
        <w:rPr>
          <w:spacing w:val="-4"/>
        </w:rPr>
        <w:t>, если оно явилось следствием непреодолимой силы (Форс-мажор), делающих невозможным полное или частичное исполнение любой из Сторон обязательств по на</w:t>
      </w:r>
      <w:r>
        <w:rPr>
          <w:spacing w:val="-3"/>
        </w:rPr>
        <w:t>стоящему К</w:t>
      </w:r>
      <w:r>
        <w:rPr>
          <w:color w:val="000000"/>
        </w:rPr>
        <w:t>онтракту</w:t>
      </w:r>
      <w:r>
        <w:rPr>
          <w:spacing w:val="-3"/>
        </w:rPr>
        <w:t>, а именно: пожара, стихийных бедствий, блокады, войны, военных опера</w:t>
      </w:r>
      <w:r>
        <w:rPr>
          <w:spacing w:val="-5"/>
        </w:rPr>
        <w:t>ций, массовых волнений и беспорядков, забастовок или других, не зависящих от Сторон обстоя</w:t>
      </w:r>
      <w:r>
        <w:rPr>
          <w:spacing w:val="-2"/>
        </w:rPr>
        <w:t>тельств</w:t>
      </w:r>
      <w:r>
        <w:rPr>
          <w:spacing w:val="-5"/>
        </w:rPr>
        <w:t xml:space="preserve">. Если эти обстоятельства будут действовать более двух </w:t>
      </w:r>
      <w:r>
        <w:rPr>
          <w:spacing w:val="-4"/>
        </w:rPr>
        <w:t>месяцев, то каждая из Сторон имеет право отказаться от дальнейшего исполнения обяза</w:t>
      </w:r>
      <w:r>
        <w:rPr>
          <w:spacing w:val="-6"/>
        </w:rPr>
        <w:t>тельств по К</w:t>
      </w:r>
      <w:r>
        <w:rPr>
          <w:color w:val="000000"/>
        </w:rPr>
        <w:t>онтракту</w:t>
      </w:r>
      <w:r>
        <w:rPr>
          <w:spacing w:val="-6"/>
        </w:rPr>
        <w:t>.</w:t>
      </w:r>
    </w:p>
    <w:p w14:paraId="89000000">
      <w:pPr>
        <w:widowControl w:val="0"/>
        <w:tabs>
          <w:tab w:leader="underscore" w:pos="0" w:val="left"/>
        </w:tabs>
        <w:spacing w:after="0"/>
        <w:ind w:firstLine="567" w:right="219"/>
        <w:rPr>
          <w:spacing w:val="-7"/>
        </w:rPr>
      </w:pPr>
      <w:r>
        <w:rPr>
          <w:spacing w:val="-5"/>
        </w:rPr>
        <w:t>8.2. Сторона, для которой создалась невозможность исполнения обязательств по К</w:t>
      </w:r>
      <w:r>
        <w:rPr>
          <w:color w:val="000000"/>
        </w:rPr>
        <w:t>онтракту</w:t>
      </w:r>
      <w:r>
        <w:rPr>
          <w:spacing w:val="-5"/>
        </w:rPr>
        <w:t xml:space="preserve">, </w:t>
      </w:r>
      <w:r>
        <w:rPr>
          <w:spacing w:val="-4"/>
        </w:rPr>
        <w:t xml:space="preserve">обязана не позднее 3 дней с момента их поступления известить в письменной форме другую Сторону о наступлении и прекращении указанных обстоятельств. Несвоевременное извещение </w:t>
      </w:r>
      <w:r>
        <w:rPr>
          <w:spacing w:val="-6"/>
        </w:rPr>
        <w:t xml:space="preserve">об обстоятельствах непреодолимой силы лишает соответствующую Сторону права ссылаться на </w:t>
      </w:r>
      <w:r>
        <w:rPr>
          <w:spacing w:val="-7"/>
        </w:rPr>
        <w:t>них в будущем.</w:t>
      </w:r>
    </w:p>
    <w:p w14:paraId="8A000000">
      <w:pPr>
        <w:widowControl w:val="0"/>
        <w:tabs>
          <w:tab w:leader="underscore" w:pos="0" w:val="left"/>
        </w:tabs>
        <w:spacing w:after="0"/>
        <w:ind w:firstLine="567" w:right="219"/>
        <w:rPr>
          <w:spacing w:val="-7"/>
        </w:rPr>
      </w:pPr>
      <w:r>
        <w:rPr>
          <w:color w:val="000000"/>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8B000000">
      <w:pPr>
        <w:widowControl w:val="0"/>
        <w:spacing w:after="0"/>
        <w:ind w:firstLine="567" w:right="219"/>
        <w:rPr>
          <w:spacing w:val="-6"/>
        </w:rPr>
      </w:pPr>
      <w:r>
        <w:rPr>
          <w:spacing w:val="-4"/>
        </w:rPr>
        <w:t xml:space="preserve">8.3. Решение о частичном или полном неисполнении обязательств в силу обстоятельств </w:t>
      </w:r>
      <w:r>
        <w:rPr>
          <w:spacing w:val="-6"/>
        </w:rPr>
        <w:t>непреодолимой силы оформляется дополнительным соглашением.</w:t>
      </w:r>
    </w:p>
    <w:p w14:paraId="8C000000">
      <w:pPr>
        <w:widowControl w:val="0"/>
        <w:spacing w:after="0" w:line="276" w:lineRule="auto"/>
        <w:ind w:firstLine="567" w:right="219"/>
        <w:rPr>
          <w:b w:val="1"/>
          <w:color w:val="000000"/>
        </w:rPr>
      </w:pPr>
    </w:p>
    <w:p w14:paraId="8D000000">
      <w:pPr>
        <w:widowControl w:val="0"/>
        <w:spacing w:after="0"/>
        <w:ind w:right="219"/>
        <w:jc w:val="center"/>
        <w:rPr>
          <w:b w:val="1"/>
          <w:color w:val="000000"/>
        </w:rPr>
      </w:pPr>
      <w:r>
        <w:rPr>
          <w:b w:val="1"/>
          <w:color w:val="000000"/>
        </w:rPr>
        <w:t>9. РАЗРЕШЕНИЯ СПОРОВ</w:t>
      </w:r>
    </w:p>
    <w:p w14:paraId="8E000000">
      <w:pPr>
        <w:widowControl w:val="0"/>
        <w:spacing w:after="0" w:line="120" w:lineRule="auto"/>
        <w:ind w:firstLine="567" w:right="221"/>
        <w:rPr>
          <w:b w:val="1"/>
          <w:color w:val="000000"/>
        </w:rPr>
      </w:pPr>
    </w:p>
    <w:p w14:paraId="8F000000">
      <w:pPr>
        <w:widowControl w:val="0"/>
        <w:spacing w:after="0" w:line="120" w:lineRule="auto"/>
        <w:ind w:firstLine="567" w:right="221"/>
        <w:rPr>
          <w:b w:val="1"/>
          <w:color w:val="000000"/>
        </w:rPr>
      </w:pPr>
    </w:p>
    <w:p w14:paraId="90000000">
      <w:pPr>
        <w:widowControl w:val="0"/>
        <w:spacing w:after="0"/>
        <w:ind w:firstLine="567" w:right="219"/>
        <w:rPr>
          <w:color w:val="000000"/>
        </w:rPr>
      </w:pPr>
      <w:r>
        <w:rPr>
          <w:color w:val="000000"/>
        </w:rPr>
        <w:t>9.1. Все споры или разногласия, возникающие между Сторонами по Контракту или в связи с ним, разрешаются путем переговоров, в том числе в претензионном порядке.</w:t>
      </w:r>
    </w:p>
    <w:p w14:paraId="91000000">
      <w:pPr>
        <w:widowControl w:val="0"/>
        <w:spacing w:after="0"/>
        <w:ind w:firstLine="567" w:right="219"/>
        <w:rPr>
          <w:color w:val="000000"/>
        </w:rPr>
      </w:pPr>
      <w:r>
        <w:rPr>
          <w:color w:val="000000"/>
        </w:rPr>
        <w:t xml:space="preserve">9.2. Претензия оформляется в письменной форме и направляется той Стороне по Контракту, которой допущены нарушения его условий.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w:t>
      </w:r>
      <w:r>
        <w:rPr>
          <w:color w:val="000000"/>
        </w:rPr>
        <w:t>Стороной для устранения нарушений.</w:t>
      </w:r>
    </w:p>
    <w:p w14:paraId="92000000">
      <w:pPr>
        <w:widowControl w:val="0"/>
        <w:spacing w:after="0"/>
        <w:ind w:firstLine="567" w:right="219"/>
        <w:rPr>
          <w:color w:val="000000"/>
        </w:rPr>
      </w:pPr>
      <w:r>
        <w:rPr>
          <w:color w:val="000000"/>
        </w:rPr>
        <w:t>9.3. Срок рассмотрения писем, уведомлений или претензий не может превышать 10 (десяти) дней с момента их получения, если иные сроки рассмотрения не предусмотрены настоящим Контрактом. Переписка Сторон может осуществляться в виде письма или телеграммы, а в случаях направления телекса, факса, иного электронного сообщения с последующим предоставлением оригинала документа.</w:t>
      </w:r>
    </w:p>
    <w:p w14:paraId="93000000">
      <w:pPr>
        <w:widowControl w:val="0"/>
        <w:spacing w:after="0"/>
        <w:ind w:firstLine="567" w:right="219"/>
        <w:rPr>
          <w:color w:val="000000"/>
        </w:rPr>
      </w:pPr>
      <w:r>
        <w:rPr>
          <w:color w:val="000000"/>
        </w:rPr>
        <w:t>9.4.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w:t>
      </w:r>
    </w:p>
    <w:p w14:paraId="94000000">
      <w:pPr>
        <w:widowControl w:val="0"/>
        <w:spacing w:after="0" w:line="120" w:lineRule="auto"/>
        <w:ind w:firstLine="567" w:right="221"/>
        <w:rPr>
          <w:b w:val="1"/>
          <w:color w:val="000000"/>
        </w:rPr>
      </w:pPr>
    </w:p>
    <w:p w14:paraId="95000000">
      <w:pPr>
        <w:widowControl w:val="0"/>
        <w:spacing w:after="0" w:line="120" w:lineRule="auto"/>
        <w:ind w:firstLine="567" w:right="221"/>
        <w:rPr>
          <w:b w:val="1"/>
          <w:color w:val="000000"/>
        </w:rPr>
      </w:pPr>
    </w:p>
    <w:p w14:paraId="96000000">
      <w:pPr>
        <w:widowControl w:val="0"/>
        <w:spacing w:after="0"/>
        <w:ind w:right="219"/>
        <w:jc w:val="center"/>
        <w:rPr>
          <w:b w:val="1"/>
          <w:color w:val="000000"/>
        </w:rPr>
      </w:pPr>
      <w:r>
        <w:rPr>
          <w:b w:val="1"/>
          <w:color w:val="000000"/>
        </w:rPr>
        <w:t>10. СРОК ДЕЙСТВИЯ КОНТРАКТА</w:t>
      </w:r>
    </w:p>
    <w:p w14:paraId="97000000">
      <w:pPr>
        <w:widowControl w:val="0"/>
        <w:spacing w:after="0" w:line="120" w:lineRule="auto"/>
        <w:ind w:firstLine="567" w:right="221"/>
        <w:rPr>
          <w:b w:val="1"/>
          <w:color w:val="000000"/>
        </w:rPr>
      </w:pPr>
    </w:p>
    <w:p w14:paraId="98000000">
      <w:pPr>
        <w:widowControl w:val="0"/>
        <w:spacing w:after="0" w:line="120" w:lineRule="auto"/>
        <w:ind w:firstLine="567" w:right="221"/>
        <w:rPr>
          <w:b w:val="1"/>
          <w:color w:val="000000"/>
        </w:rPr>
      </w:pPr>
    </w:p>
    <w:p w14:paraId="99000000">
      <w:pPr>
        <w:widowControl w:val="0"/>
        <w:spacing w:after="0"/>
        <w:ind w:firstLine="567" w:right="219"/>
        <w:rPr>
          <w:color w:val="000000"/>
        </w:rPr>
      </w:pPr>
      <w:r>
        <w:rPr>
          <w:color w:val="000000"/>
        </w:rPr>
        <w:t xml:space="preserve">10.1. </w:t>
      </w:r>
      <w:r>
        <w:rPr>
          <w:color w:val="000000"/>
        </w:rPr>
        <w:t>Настоящий Контракт, вступает в силу с момента его подписания Сторонами и действует по 31 декабря 202</w:t>
      </w:r>
      <w:r>
        <w:rPr>
          <w:color w:val="000000"/>
        </w:rPr>
        <w:t>6</w:t>
      </w:r>
      <w:r>
        <w:rPr>
          <w:color w:val="000000"/>
        </w:rPr>
        <w:t xml:space="preserve"> года. Прекращение срока действия настоящего Контракта не освобождает Стороны от исполнения своих обязательств по настоящему Контракту.</w:t>
      </w:r>
    </w:p>
    <w:p w14:paraId="9A000000">
      <w:pPr>
        <w:widowControl w:val="0"/>
        <w:spacing w:after="0"/>
        <w:ind w:firstLine="567" w:right="219"/>
        <w:rPr>
          <w:color w:val="000000"/>
        </w:rPr>
      </w:pPr>
      <w:r>
        <w:rPr>
          <w:color w:val="000000"/>
        </w:rPr>
        <w:t xml:space="preserve">10.2. </w:t>
      </w:r>
      <w:r>
        <w:rPr>
          <w:color w:val="000000"/>
        </w:rPr>
        <w:t>Настоящий Контракт составлен в форме электронного документа в соответствии с</w:t>
      </w:r>
      <w:r>
        <w:rPr>
          <w:color w:val="000000"/>
        </w:rPr>
        <w:t xml:space="preserve"> </w:t>
      </w:r>
      <w:r>
        <w:rPr>
          <w:color w:val="000000"/>
        </w:rPr>
        <w:t xml:space="preserve">Федеральным законом от 05.04.2013 г. № 44-ФЗ. </w:t>
      </w:r>
    </w:p>
    <w:p w14:paraId="9B000000">
      <w:pPr>
        <w:widowControl w:val="0"/>
        <w:tabs>
          <w:tab w:leader="none" w:pos="3120" w:val="left"/>
        </w:tabs>
        <w:spacing w:after="0" w:line="276" w:lineRule="auto"/>
        <w:ind w:firstLine="567" w:right="221"/>
        <w:rPr>
          <w:color w:val="000000"/>
        </w:rPr>
      </w:pPr>
      <w:r>
        <w:rPr>
          <w:color w:val="000000"/>
        </w:rPr>
        <w:tab/>
      </w:r>
    </w:p>
    <w:p w14:paraId="9C000000">
      <w:pPr>
        <w:widowControl w:val="0"/>
        <w:spacing w:after="0"/>
        <w:ind w:right="219"/>
        <w:jc w:val="center"/>
        <w:rPr>
          <w:b w:val="1"/>
          <w:color w:val="000000"/>
        </w:rPr>
      </w:pPr>
      <w:r>
        <w:rPr>
          <w:b w:val="1"/>
          <w:color w:val="000000"/>
        </w:rPr>
        <w:t>11. ПРОЧИЕ УСЛОВИЯ</w:t>
      </w:r>
    </w:p>
    <w:p w14:paraId="9D000000">
      <w:pPr>
        <w:widowControl w:val="0"/>
        <w:spacing w:after="0" w:line="120" w:lineRule="auto"/>
        <w:ind w:firstLine="567" w:right="221"/>
        <w:rPr>
          <w:b w:val="1"/>
          <w:color w:val="000000"/>
        </w:rPr>
      </w:pPr>
    </w:p>
    <w:p w14:paraId="9E000000">
      <w:pPr>
        <w:widowControl w:val="0"/>
        <w:spacing w:after="0" w:line="120" w:lineRule="auto"/>
        <w:ind w:firstLine="567" w:right="221"/>
        <w:rPr>
          <w:b w:val="1"/>
          <w:color w:val="000000"/>
        </w:rPr>
      </w:pPr>
    </w:p>
    <w:p w14:paraId="9F000000">
      <w:pPr>
        <w:widowControl w:val="0"/>
        <w:spacing w:after="0"/>
        <w:ind w:firstLine="567" w:right="219"/>
        <w:rPr>
          <w:color w:val="000000"/>
        </w:rPr>
      </w:pPr>
      <w:r>
        <w:rPr>
          <w:color w:val="000000"/>
        </w:rPr>
        <w:t xml:space="preserve">11.1. При исполнении Контракта не допускается перемена Исполнителя, за исключение случаев, если новый Исполнитель является правопреемником Исполнителя по такому контракту вследствие реорганизации юридического лица в форме преобразования, слияния или присоединения. </w:t>
      </w:r>
      <w:r>
        <w:rPr>
          <w:color w:val="000000"/>
        </w:rPr>
        <w:t xml:space="preserve">При изменении вместе </w:t>
      </w:r>
      <w:r>
        <w:rPr>
          <w:color w:val="000000"/>
        </w:rPr>
        <w:t xml:space="preserve">или по отдельности организационно-правовой формы, наименования, адреса, банковских реквизитов Стороны информируют друг друга в письменной форме в течение пяти дней со дня соответствующего изменения. </w:t>
      </w:r>
    </w:p>
    <w:p w14:paraId="A0000000">
      <w:pPr>
        <w:widowControl w:val="0"/>
        <w:spacing w:after="0"/>
        <w:ind w:firstLine="567" w:right="219"/>
      </w:pPr>
      <w:r>
        <w:rPr>
          <w:color w:val="000000"/>
        </w:rPr>
        <w:t xml:space="preserve">11.2. </w:t>
      </w:r>
      <w:r>
        <w:t>Расторжение Контракта допускается по соглашению Сторон, по решению суда или в связи с односторонним отказом Стороны Контракта в соответствии с гражданским законодательством.</w:t>
      </w:r>
    </w:p>
    <w:p w14:paraId="A1000000">
      <w:pPr>
        <w:widowControl w:val="0"/>
        <w:spacing w:after="0"/>
        <w:ind w:firstLine="567" w:right="219"/>
        <w:rPr>
          <w:color w:val="000000"/>
        </w:rPr>
      </w:pPr>
      <w:r>
        <w:rPr>
          <w:color w:val="000000"/>
        </w:rPr>
        <w:t>Заказчик вправе принять решение об одностороннем отказе от исполнения Контракта по основаниям, предусмотренным законодательством Российской Федерации для одностороннего отказа от исполнения отдельных видов обязательств.</w:t>
      </w:r>
    </w:p>
    <w:p w14:paraId="A2000000">
      <w:pPr>
        <w:widowControl w:val="0"/>
        <w:spacing w:after="0"/>
        <w:ind w:firstLine="567" w:right="219"/>
        <w:rPr>
          <w:color w:val="000000"/>
        </w:rPr>
      </w:pPr>
      <w:r>
        <w:rPr>
          <w:color w:val="000000"/>
        </w:rPr>
        <w:t>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аукциона в электронной форме.</w:t>
      </w:r>
    </w:p>
    <w:p w14:paraId="A3000000">
      <w:pPr>
        <w:widowControl w:val="0"/>
        <w:tabs>
          <w:tab w:leader="none" w:pos="709" w:val="left"/>
        </w:tabs>
        <w:spacing w:after="0"/>
        <w:ind w:firstLine="567" w:right="219"/>
      </w:pPr>
      <w:r>
        <w:rPr>
          <w:color w:val="000000"/>
        </w:rPr>
        <w:t>Исполнитель вправе принять решение об одностороннем отказе от исполнения Контракта по основаниям, предусмотренным законодательством Российской Федерации для одностороннего отказа от исполнения отдельных видов обязательств.</w:t>
      </w:r>
    </w:p>
    <w:p w14:paraId="A4000000">
      <w:pPr>
        <w:widowControl w:val="0"/>
        <w:spacing w:after="0"/>
        <w:ind w:firstLine="567" w:right="219"/>
        <w:rPr>
          <w:color w:val="000000"/>
        </w:rPr>
      </w:pPr>
      <w:r>
        <w:t xml:space="preserve">11.3. При расторжении Контракта по соглашению Сторон инициативная Сторона должна уведомить другую Сторону о предстоящем расторжении не менее чем за 10 </w:t>
      </w:r>
      <w:r>
        <w:rPr>
          <w:color w:val="000000"/>
        </w:rPr>
        <w:t>дней до даты расторжения Контракта.</w:t>
      </w:r>
    </w:p>
    <w:p w14:paraId="A5000000">
      <w:pPr>
        <w:widowControl w:val="0"/>
        <w:spacing w:after="0"/>
        <w:ind w:firstLine="567" w:right="219"/>
        <w:rPr>
          <w:color w:val="000000"/>
        </w:rPr>
      </w:pPr>
      <w:r>
        <w:rPr>
          <w:color w:val="000000"/>
        </w:rPr>
        <w:t>11.4. В случае расторжения настоящего Контракта Сторонами проводятся взаиморасчеты по всем обязательствам, возникшим при исполнении настоящего Контракта.</w:t>
      </w:r>
    </w:p>
    <w:p w14:paraId="A6000000">
      <w:pPr>
        <w:widowControl w:val="0"/>
        <w:tabs>
          <w:tab w:leader="underscore" w:pos="0" w:val="left"/>
          <w:tab w:leader="none" w:pos="1008" w:val="left"/>
        </w:tabs>
        <w:spacing w:after="0"/>
        <w:ind w:firstLine="567" w:right="219"/>
      </w:pPr>
      <w:r>
        <w:rPr>
          <w:color w:val="000000"/>
        </w:rPr>
        <w:t>11.5. Спорные вопросы, возникающие в ходе исполнения настоящего Контракта, разрешаются</w:t>
      </w:r>
      <w:r>
        <w:t xml:space="preserve"> Сторонами путем переговоров. В случае не достижения согласия путем переговоров, разногласия окончательно разрешаются в Арбитражном суде Чеченской Республики.</w:t>
      </w:r>
    </w:p>
    <w:p w14:paraId="A7000000">
      <w:pPr>
        <w:widowControl w:val="0"/>
        <w:spacing w:after="0"/>
        <w:ind w:firstLine="567" w:right="219"/>
      </w:pPr>
      <w:r>
        <w:t>11.6. При решении вопросов, не оговоренных настоящим Контрактом, Стороны руководствуются Гражданским кодексом РФ и иными законодательными и нормативными правовыми актами РФ.</w:t>
      </w:r>
    </w:p>
    <w:p w14:paraId="A8000000">
      <w:pPr>
        <w:widowControl w:val="0"/>
        <w:spacing w:after="0"/>
        <w:ind w:firstLine="567" w:right="219"/>
      </w:pPr>
      <w:r>
        <w:t xml:space="preserve">11.7. Ни одна из Сторон не вправе передать свои права и обязанности по настоящему </w:t>
      </w:r>
      <w:r>
        <w:t>Контракту третьей Стороне.</w:t>
      </w:r>
    </w:p>
    <w:p w14:paraId="A9000000">
      <w:pPr>
        <w:widowControl w:val="0"/>
        <w:spacing w:after="0"/>
        <w:ind w:firstLine="567" w:right="219"/>
        <w:rPr>
          <w:color w:val="000000"/>
        </w:rPr>
      </w:pPr>
      <w:r>
        <w:rPr>
          <w:color w:val="000000"/>
        </w:rPr>
        <w:t xml:space="preserve">11.8. Дополнения и изменения условий Контракта, в случае если они не противоречат действующему законодательству РФ, </w:t>
      </w:r>
      <w:r>
        <w:rPr>
          <w:color w:val="000000"/>
        </w:rPr>
        <w:t>оформляются в виде дополнительных соглашений</w:t>
      </w:r>
      <w:r>
        <w:rPr>
          <w:color w:val="000000"/>
        </w:rPr>
        <w:t xml:space="preserve"> с использованием единой информационной системы в сфере закупок</w:t>
      </w:r>
      <w:r>
        <w:rPr>
          <w:color w:val="000000"/>
        </w:rPr>
        <w:t>, которые после их подписания обеими Сторонами, являются его неотъемлемой частью.</w:t>
      </w:r>
    </w:p>
    <w:p w14:paraId="AA000000">
      <w:pPr>
        <w:widowControl w:val="0"/>
        <w:spacing w:after="0"/>
        <w:ind w:firstLine="567" w:right="219"/>
      </w:pPr>
      <w:r>
        <w:t>11.9. Все уведомления Сторон, связанные с исполнением Контракта, направляются в письменной форме по почте по фактическому адресу Стороны, указанному в разделе 1</w:t>
      </w:r>
      <w:r>
        <w:t>2</w:t>
      </w:r>
      <w:r>
        <w:t xml:space="preserve"> Контракта или с использованием факсимильной связи, с последующим предоставлением оригинала. В случае отправления уведомлений посредством факсимильной связи уведомления считаются полученными Стороной при подтверждении должностным лицом, принявшим уведомление.</w:t>
      </w:r>
    </w:p>
    <w:p w14:paraId="AB000000">
      <w:pPr>
        <w:widowControl w:val="0"/>
        <w:spacing w:after="0"/>
        <w:ind w:firstLine="567" w:right="219"/>
        <w:rPr>
          <w:color w:val="000000"/>
        </w:rPr>
      </w:pPr>
      <w:r>
        <w:rPr>
          <w:color w:val="000000"/>
        </w:rPr>
        <w:t>11.10. По всем вопросам, вытекающим из настоящего Контракта и неурегулированным им, включая ответственность Сторон, Стороны руководствуются законодательством Российской Федерации.</w:t>
      </w:r>
    </w:p>
    <w:p w14:paraId="AC000000">
      <w:pPr>
        <w:widowControl w:val="0"/>
        <w:ind w:firstLine="567" w:right="219"/>
        <w:rPr>
          <w:color w:val="000000"/>
        </w:rPr>
      </w:pPr>
      <w:r>
        <w:rPr>
          <w:color w:val="000000"/>
        </w:rPr>
        <w:t>11.11. Все перечисленные ниже приложения являются неотъемлемой частью настоящего Контракта:</w:t>
      </w:r>
    </w:p>
    <w:p w14:paraId="AD000000">
      <w:pPr>
        <w:widowControl w:val="0"/>
        <w:spacing w:after="0"/>
        <w:ind w:firstLine="284" w:right="219"/>
        <w:rPr>
          <w:color w:val="000000"/>
        </w:rPr>
      </w:pPr>
      <w:r>
        <w:rPr>
          <w:color w:val="000000"/>
        </w:rPr>
        <w:t xml:space="preserve">Приложение № 1 – </w:t>
      </w:r>
      <w:r>
        <w:rPr>
          <w:color w:val="000000"/>
        </w:rPr>
        <w:t>«</w:t>
      </w:r>
      <w:r>
        <w:rPr>
          <w:color w:val="000000"/>
        </w:rPr>
        <w:t>Техническое задание</w:t>
      </w:r>
      <w:r>
        <w:rPr>
          <w:color w:val="000000"/>
        </w:rPr>
        <w:t>»</w:t>
      </w:r>
      <w:r>
        <w:rPr>
          <w:color w:val="000000"/>
        </w:rPr>
        <w:t>.</w:t>
      </w:r>
    </w:p>
    <w:p w14:paraId="AE000000">
      <w:pPr>
        <w:widowControl w:val="0"/>
        <w:spacing w:after="0"/>
        <w:ind/>
        <w:rPr>
          <w:color w:val="000000"/>
        </w:rPr>
      </w:pPr>
    </w:p>
    <w:p w14:paraId="AF000000">
      <w:pPr>
        <w:widowControl w:val="0"/>
        <w:spacing w:after="0"/>
        <w:ind w:firstLine="709"/>
        <w:jc w:val="center"/>
        <w:rPr>
          <w:b w:val="1"/>
          <w:color w:val="000000"/>
        </w:rPr>
      </w:pPr>
      <w:r>
        <w:rPr>
          <w:b w:val="1"/>
          <w:color w:val="000000"/>
        </w:rPr>
        <w:t>12. АДРЕСА И ПЛАТЕЖНЫЕ РЕКВИЗИТЫ СТОРОН</w:t>
      </w:r>
    </w:p>
    <w:p w14:paraId="B0000000">
      <w:pPr>
        <w:keepNext w:val="1"/>
        <w:keepLines w:val="1"/>
        <w:spacing w:after="0"/>
        <w:ind/>
        <w:jc w:val="left"/>
        <w:rPr>
          <w:color w:val="000000"/>
        </w:rPr>
      </w:pPr>
    </w:p>
    <w:tbl>
      <w:tblPr>
        <w:tblStyle w:val="Style_4"/>
        <w:tblW w:type="auto" w:w="0"/>
        <w:tblInd w:type="dxa" w:w="-318"/>
        <w:tblLayout w:type="fixed"/>
      </w:tblPr>
      <w:tblGrid>
        <w:gridCol w:w="4962"/>
        <w:gridCol w:w="4820"/>
      </w:tblGrid>
      <w:tr>
        <w:trPr>
          <w:trHeight w:hRule="atLeast" w:val="80"/>
        </w:trPr>
        <w:tc>
          <w:tcPr>
            <w:tcW w:type="dxa" w:w="4962"/>
          </w:tcPr>
          <w:p w14:paraId="B1000000">
            <w:pPr>
              <w:widowControl w:val="0"/>
              <w:spacing w:after="0"/>
              <w:ind w:right="283"/>
              <w:jc w:val="center"/>
              <w:rPr>
                <w:color w:val="000000"/>
              </w:rPr>
            </w:pPr>
            <w:r>
              <w:rPr>
                <w:color w:val="000000"/>
                <w:u w:val="single"/>
              </w:rPr>
              <w:t>Заказчик</w:t>
            </w:r>
            <w:r>
              <w:rPr>
                <w:color w:val="000000"/>
              </w:rPr>
              <w:t>:</w:t>
            </w:r>
          </w:p>
          <w:p w14:paraId="B2000000">
            <w:pPr>
              <w:widowControl w:val="0"/>
              <w:spacing w:after="0"/>
              <w:ind w:right="283"/>
              <w:jc w:val="center"/>
              <w:rPr>
                <w:color w:val="000000"/>
                <w:u w:val="single"/>
              </w:rPr>
            </w:pPr>
          </w:p>
        </w:tc>
        <w:tc>
          <w:tcPr>
            <w:tcW w:type="dxa" w:w="4820"/>
          </w:tcPr>
          <w:p w14:paraId="B3000000">
            <w:pPr>
              <w:widowControl w:val="0"/>
              <w:spacing w:after="0"/>
              <w:ind w:right="283"/>
              <w:jc w:val="center"/>
              <w:rPr>
                <w:color w:val="000000"/>
              </w:rPr>
            </w:pPr>
            <w:r>
              <w:rPr>
                <w:color w:val="000000"/>
                <w:u w:val="single"/>
              </w:rPr>
              <w:t>Исполнитель</w:t>
            </w:r>
            <w:r>
              <w:rPr>
                <w:color w:val="000000"/>
              </w:rPr>
              <w:t>:</w:t>
            </w:r>
          </w:p>
          <w:p w14:paraId="B4000000">
            <w:pPr>
              <w:widowControl w:val="0"/>
              <w:spacing w:after="0"/>
              <w:ind w:right="283"/>
              <w:jc w:val="center"/>
              <w:rPr>
                <w:color w:val="000000"/>
                <w:u w:val="single"/>
              </w:rPr>
            </w:pPr>
          </w:p>
        </w:tc>
      </w:tr>
      <w:tr>
        <w:trPr>
          <w:trHeight w:hRule="atLeast" w:val="80"/>
        </w:trPr>
        <w:tc>
          <w:tcPr>
            <w:tcW w:type="dxa" w:w="4962"/>
          </w:tcPr>
          <w:p w14:paraId="B5000000">
            <w:pPr>
              <w:spacing w:after="0"/>
              <w:ind/>
              <w:jc w:val="left"/>
              <w:rPr>
                <w:color w:val="000000"/>
              </w:rPr>
            </w:pPr>
            <w:r>
              <w:rPr>
                <w:color w:val="000000"/>
              </w:rPr>
              <w:t xml:space="preserve">Министерство труда, занятости и </w:t>
            </w:r>
          </w:p>
          <w:p w14:paraId="B6000000">
            <w:pPr>
              <w:spacing w:after="0"/>
              <w:ind/>
              <w:jc w:val="left"/>
              <w:rPr>
                <w:color w:val="000000"/>
              </w:rPr>
            </w:pPr>
            <w:r>
              <w:rPr>
                <w:color w:val="000000"/>
              </w:rPr>
              <w:t>социального развития ЧР (Минтруд ЧР)</w:t>
            </w:r>
          </w:p>
          <w:p w14:paraId="B7000000">
            <w:pPr>
              <w:spacing w:after="0"/>
              <w:ind/>
              <w:jc w:val="left"/>
              <w:rPr>
                <w:color w:val="000000"/>
              </w:rPr>
            </w:pPr>
            <w:r>
              <w:rPr>
                <w:color w:val="000000"/>
              </w:rPr>
              <w:t>Юридический адрес: 364020, ЧР,</w:t>
            </w:r>
          </w:p>
          <w:p w14:paraId="B8000000">
            <w:pPr>
              <w:spacing w:after="0"/>
              <w:ind/>
              <w:jc w:val="left"/>
              <w:rPr>
                <w:color w:val="000000"/>
              </w:rPr>
            </w:pPr>
            <w:r>
              <w:rPr>
                <w:color w:val="000000"/>
              </w:rPr>
              <w:t xml:space="preserve">г. Грозный, ул. Деловая, 15  </w:t>
            </w:r>
          </w:p>
          <w:p w14:paraId="B9000000">
            <w:pPr>
              <w:spacing w:after="0"/>
              <w:ind/>
              <w:jc w:val="left"/>
              <w:rPr>
                <w:b w:val="1"/>
                <w:color w:val="000000"/>
              </w:rPr>
            </w:pPr>
            <w:r>
              <w:rPr>
                <w:color w:val="000000"/>
              </w:rPr>
              <w:t>Телефон, факс: 8(8712) 22-37-32</w:t>
            </w:r>
          </w:p>
          <w:p w14:paraId="BA000000">
            <w:pPr>
              <w:spacing w:after="0"/>
              <w:ind/>
              <w:jc w:val="left"/>
              <w:rPr>
                <w:color w:val="000000"/>
              </w:rPr>
            </w:pPr>
            <w:r>
              <w:rPr>
                <w:color w:val="000000"/>
              </w:rPr>
              <w:t xml:space="preserve">ИНН 2005000311 </w:t>
            </w:r>
          </w:p>
          <w:p w14:paraId="BB000000">
            <w:pPr>
              <w:spacing w:after="0"/>
              <w:ind/>
              <w:jc w:val="left"/>
              <w:rPr>
                <w:color w:val="000000"/>
              </w:rPr>
            </w:pPr>
            <w:r>
              <w:rPr>
                <w:color w:val="000000"/>
              </w:rPr>
              <w:t>КПП 201401001</w:t>
            </w:r>
          </w:p>
          <w:p w14:paraId="BC000000">
            <w:pPr>
              <w:spacing w:after="0"/>
              <w:ind/>
              <w:jc w:val="left"/>
              <w:rPr>
                <w:color w:val="000000"/>
              </w:rPr>
            </w:pPr>
            <w:r>
              <w:rPr>
                <w:color w:val="000000"/>
              </w:rPr>
              <w:t>ОГРН 1022002542506</w:t>
            </w:r>
          </w:p>
          <w:p w14:paraId="BD000000">
            <w:pPr>
              <w:spacing w:after="0"/>
              <w:ind/>
              <w:jc w:val="left"/>
              <w:rPr>
                <w:color w:val="000000"/>
              </w:rPr>
            </w:pPr>
            <w:r>
              <w:rPr>
                <w:color w:val="000000"/>
              </w:rPr>
              <w:t>л/с 03942000740 в УФК по</w:t>
            </w:r>
          </w:p>
          <w:p w14:paraId="BE000000">
            <w:pPr>
              <w:spacing w:after="0"/>
              <w:ind/>
              <w:jc w:val="left"/>
              <w:rPr>
                <w:color w:val="000000"/>
              </w:rPr>
            </w:pPr>
            <w:r>
              <w:rPr>
                <w:color w:val="000000"/>
              </w:rPr>
              <w:t>Чеченской Республике</w:t>
            </w:r>
          </w:p>
          <w:p w14:paraId="BF000000">
            <w:pPr>
              <w:spacing w:after="0"/>
              <w:ind/>
              <w:jc w:val="left"/>
              <w:rPr>
                <w:color w:val="000000"/>
              </w:rPr>
            </w:pPr>
            <w:r>
              <w:rPr>
                <w:color w:val="000000"/>
              </w:rPr>
              <w:t>р/с 03221643960000009400</w:t>
            </w:r>
          </w:p>
          <w:p w14:paraId="C0000000">
            <w:pPr>
              <w:spacing w:after="0"/>
              <w:ind/>
              <w:jc w:val="left"/>
              <w:rPr>
                <w:color w:val="000000"/>
              </w:rPr>
            </w:pPr>
            <w:r>
              <w:rPr>
                <w:color w:val="000000"/>
              </w:rPr>
              <w:t>ЕКС 40102810945370000083</w:t>
            </w:r>
          </w:p>
          <w:p w14:paraId="C1000000">
            <w:pPr>
              <w:spacing w:after="0"/>
              <w:ind/>
              <w:jc w:val="left"/>
              <w:rPr>
                <w:color w:val="000000"/>
              </w:rPr>
            </w:pPr>
            <w:r>
              <w:rPr>
                <w:color w:val="000000"/>
              </w:rPr>
              <w:t xml:space="preserve">ОКЦ № 12 ЮГУ Банка России // УФК </w:t>
            </w:r>
          </w:p>
          <w:p w14:paraId="C2000000">
            <w:pPr>
              <w:spacing w:after="0"/>
              <w:ind/>
              <w:jc w:val="left"/>
              <w:rPr>
                <w:color w:val="000000"/>
              </w:rPr>
            </w:pPr>
            <w:r>
              <w:rPr>
                <w:color w:val="000000"/>
              </w:rPr>
              <w:t xml:space="preserve">по Чеченской Республике, г. Грозный </w:t>
            </w:r>
          </w:p>
          <w:p w14:paraId="C3000000">
            <w:pPr>
              <w:spacing w:after="0"/>
              <w:ind/>
              <w:jc w:val="left"/>
              <w:rPr>
                <w:color w:val="000000"/>
              </w:rPr>
            </w:pPr>
            <w:r>
              <w:rPr>
                <w:color w:val="000000"/>
              </w:rPr>
              <w:t>БИК 019690001</w:t>
            </w:r>
          </w:p>
        </w:tc>
        <w:tc>
          <w:tcPr>
            <w:tcW w:type="dxa" w:w="4820"/>
          </w:tcPr>
          <w:p w14:paraId="C4000000">
            <w:pPr>
              <w:widowControl w:val="0"/>
              <w:spacing w:after="0"/>
              <w:ind w:right="283"/>
              <w:jc w:val="center"/>
              <w:rPr>
                <w:color w:val="000000"/>
                <w:u w:val="single"/>
              </w:rPr>
            </w:pPr>
          </w:p>
        </w:tc>
      </w:tr>
      <w:tr>
        <w:trPr>
          <w:trHeight w:hRule="atLeast" w:val="80"/>
        </w:trPr>
        <w:tc>
          <w:tcPr>
            <w:tcW w:type="dxa" w:w="4962"/>
          </w:tcPr>
          <w:p w14:paraId="C5000000">
            <w:pPr>
              <w:spacing w:after="0"/>
              <w:ind w:right="283"/>
              <w:rPr>
                <w:color w:val="000000"/>
              </w:rPr>
            </w:pPr>
          </w:p>
          <w:p w14:paraId="C6000000">
            <w:pPr>
              <w:spacing w:after="0"/>
              <w:ind w:right="283"/>
              <w:rPr>
                <w:color w:val="000000"/>
              </w:rPr>
            </w:pPr>
          </w:p>
          <w:p w14:paraId="C7000000">
            <w:pPr>
              <w:spacing w:after="0"/>
              <w:ind w:right="283"/>
              <w:rPr>
                <w:color w:val="000000"/>
              </w:rPr>
            </w:pPr>
          </w:p>
          <w:p w14:paraId="C8000000">
            <w:pPr>
              <w:spacing w:after="0"/>
              <w:ind w:right="283"/>
              <w:rPr>
                <w:color w:val="000000"/>
              </w:rPr>
            </w:pPr>
          </w:p>
          <w:p w14:paraId="C9000000">
            <w:pPr>
              <w:spacing w:after="0"/>
              <w:ind w:right="283"/>
              <w:rPr>
                <w:color w:val="000000"/>
              </w:rPr>
            </w:pPr>
          </w:p>
          <w:p w14:paraId="CA000000">
            <w:pPr>
              <w:spacing w:after="0"/>
              <w:ind w:right="283"/>
              <w:rPr>
                <w:color w:val="000000"/>
              </w:rPr>
            </w:pPr>
            <w:r>
              <w:rPr>
                <w:color w:val="000000"/>
              </w:rPr>
              <w:t>_________________</w:t>
            </w:r>
            <w:r>
              <w:rPr>
                <w:color w:val="000000"/>
              </w:rPr>
              <w:t xml:space="preserve"> </w:t>
            </w:r>
            <w:r>
              <w:rPr>
                <w:color w:val="000000"/>
              </w:rPr>
              <w:t>/ Ф.И.О/</w:t>
            </w:r>
          </w:p>
          <w:p w14:paraId="CB000000">
            <w:pPr>
              <w:widowControl w:val="0"/>
              <w:spacing w:after="0"/>
              <w:ind w:right="283"/>
              <w:rPr>
                <w:color w:val="000000"/>
                <w:u w:val="single"/>
              </w:rPr>
            </w:pPr>
            <w:r>
              <w:rPr>
                <w:color w:val="000000"/>
              </w:rPr>
              <w:t>Подписано ЭП</w:t>
            </w:r>
          </w:p>
        </w:tc>
        <w:tc>
          <w:tcPr>
            <w:tcW w:type="dxa" w:w="4820"/>
          </w:tcPr>
          <w:p w14:paraId="CC000000">
            <w:pPr>
              <w:rPr>
                <w:color w:val="000000"/>
              </w:rPr>
            </w:pPr>
          </w:p>
          <w:p w14:paraId="CD000000">
            <w:pPr>
              <w:rPr>
                <w:color w:val="000000"/>
              </w:rPr>
            </w:pPr>
          </w:p>
          <w:p w14:paraId="CE000000">
            <w:pPr>
              <w:rPr>
                <w:color w:val="000000"/>
              </w:rPr>
            </w:pPr>
          </w:p>
          <w:p w14:paraId="CF000000">
            <w:pPr>
              <w:spacing w:line="360" w:lineRule="auto"/>
              <w:ind/>
              <w:rPr>
                <w:color w:val="000000"/>
              </w:rPr>
            </w:pPr>
          </w:p>
          <w:p w14:paraId="D0000000">
            <w:pPr>
              <w:ind w:firstLine="34"/>
              <w:rPr>
                <w:color w:val="000000"/>
              </w:rPr>
            </w:pPr>
            <w:r>
              <w:rPr>
                <w:color w:val="000000"/>
              </w:rPr>
              <w:t>____________________ / Ф.И.О/</w:t>
            </w:r>
          </w:p>
          <w:p w14:paraId="D1000000">
            <w:pPr>
              <w:widowControl w:val="0"/>
              <w:spacing w:after="0"/>
              <w:ind w:right="283"/>
              <w:rPr>
                <w:color w:val="000000"/>
                <w:u w:val="single"/>
              </w:rPr>
            </w:pPr>
            <w:r>
              <w:rPr>
                <w:color w:val="000000"/>
              </w:rPr>
              <w:t>Подписано ЭП</w:t>
            </w:r>
          </w:p>
        </w:tc>
      </w:tr>
    </w:tbl>
    <w:p w14:paraId="D2000000">
      <w:pPr>
        <w:sectPr>
          <w:pgSz w:h="16838" w:orient="portrait" w:w="11906"/>
          <w:pgMar w:bottom="851" w:footer="567" w:gutter="0" w:header="709" w:left="1418" w:right="851" w:top="851"/>
          <w:titlePg/>
        </w:sectPr>
      </w:pPr>
    </w:p>
    <w:p w14:paraId="D3000000">
      <w:pPr>
        <w:keepNext w:val="1"/>
        <w:tabs>
          <w:tab w:leader="none" w:pos="708" w:val="left"/>
        </w:tabs>
        <w:spacing w:after="0"/>
        <w:ind/>
        <w:outlineLvl w:val="0"/>
        <w:rPr>
          <w:b w:val="1"/>
          <w:color w:val="000000"/>
          <w:sz w:val="20"/>
        </w:rPr>
      </w:pPr>
    </w:p>
    <w:tbl>
      <w:tblPr>
        <w:tblStyle w:val="Style_4"/>
        <w:tblW w:type="auto" w:w="0"/>
        <w:tblLayout w:type="fixed"/>
      </w:tblPr>
      <w:tblGrid>
        <w:gridCol w:w="4966"/>
        <w:gridCol w:w="4967"/>
      </w:tblGrid>
      <w:tr>
        <w:tc>
          <w:tcPr>
            <w:tcW w:type="dxa" w:w="4966"/>
          </w:tcPr>
          <w:p w14:paraId="D4000000">
            <w:pPr>
              <w:keepNext w:val="1"/>
              <w:tabs>
                <w:tab w:leader="none" w:pos="708" w:val="left"/>
              </w:tabs>
              <w:spacing w:after="0"/>
              <w:ind/>
              <w:jc w:val="center"/>
              <w:outlineLvl w:val="0"/>
              <w:rPr>
                <w:b w:val="1"/>
                <w:color w:val="000000"/>
                <w:sz w:val="20"/>
              </w:rPr>
            </w:pPr>
          </w:p>
        </w:tc>
        <w:tc>
          <w:tcPr>
            <w:tcW w:type="dxa" w:w="4967"/>
          </w:tcPr>
          <w:p w14:paraId="D5000000">
            <w:pPr>
              <w:spacing w:after="0"/>
              <w:ind/>
              <w:jc w:val="right"/>
              <w:rPr>
                <w:color w:val="000000"/>
              </w:rPr>
            </w:pPr>
            <w:r>
              <w:rPr>
                <w:color w:val="000000"/>
              </w:rPr>
              <w:t>Приложение № 1</w:t>
            </w:r>
          </w:p>
          <w:p w14:paraId="D6000000">
            <w:pPr>
              <w:spacing w:after="0"/>
              <w:ind/>
              <w:jc w:val="right"/>
              <w:rPr>
                <w:color w:val="000000"/>
              </w:rPr>
            </w:pPr>
            <w:r>
              <w:rPr>
                <w:color w:val="000000"/>
              </w:rPr>
              <w:t>К</w:t>
            </w:r>
            <w:r>
              <w:rPr>
                <w:color w:val="000000"/>
              </w:rPr>
              <w:t>онтракту №_____</w:t>
            </w:r>
          </w:p>
          <w:p w14:paraId="D7000000">
            <w:pPr>
              <w:spacing w:after="0"/>
              <w:ind/>
              <w:jc w:val="center"/>
              <w:rPr>
                <w:b w:val="1"/>
                <w:color w:val="000000"/>
                <w:sz w:val="20"/>
              </w:rPr>
            </w:pPr>
          </w:p>
        </w:tc>
      </w:tr>
    </w:tbl>
    <w:p w14:paraId="D8000000">
      <w:pPr>
        <w:keepNext w:val="1"/>
        <w:keepLines w:val="1"/>
        <w:tabs>
          <w:tab w:leader="none" w:pos="15593" w:val="left"/>
        </w:tabs>
        <w:spacing w:after="0"/>
        <w:ind w:firstLine="567"/>
        <w:jc w:val="center"/>
        <w:rPr>
          <w:b w:val="1"/>
          <w:color w:val="000000"/>
        </w:rPr>
      </w:pPr>
    </w:p>
    <w:p w14:paraId="D9000000">
      <w:pPr>
        <w:keepNext w:val="1"/>
        <w:keepLines w:val="1"/>
        <w:tabs>
          <w:tab w:leader="none" w:pos="15593" w:val="left"/>
        </w:tabs>
        <w:spacing w:after="0"/>
        <w:ind w:firstLine="567"/>
        <w:jc w:val="center"/>
        <w:rPr>
          <w:b w:val="1"/>
          <w:color w:val="000000"/>
        </w:rPr>
      </w:pPr>
      <w:r>
        <w:rPr>
          <w:b w:val="1"/>
          <w:color w:val="000000"/>
        </w:rPr>
        <w:t>Техническое задание</w:t>
      </w:r>
    </w:p>
    <w:p w14:paraId="DA000000">
      <w:pPr>
        <w:tabs>
          <w:tab w:leader="none" w:pos="4260" w:val="left"/>
        </w:tabs>
        <w:spacing w:after="0"/>
        <w:ind/>
        <w:rPr>
          <w:color w:val="000000"/>
        </w:rPr>
      </w:pPr>
    </w:p>
    <w:p w14:paraId="DB000000">
      <w:pPr>
        <w:spacing w:after="0" w:line="264" w:lineRule="auto"/>
        <w:ind/>
        <w:jc w:val="center"/>
        <w:rPr>
          <w:b w:val="1"/>
          <w:color w:val="000000"/>
        </w:rPr>
      </w:pPr>
      <w:r>
        <w:rPr>
          <w:b w:val="1"/>
          <w:color w:val="000000"/>
        </w:rPr>
        <w:t xml:space="preserve">на </w:t>
      </w:r>
      <w:r>
        <w:rPr>
          <w:b w:val="1"/>
          <w:color w:val="000000"/>
        </w:rPr>
        <w:t>оказание услуг по предоставлению прав на использование программного обеспечения Автоматизированной системы «Адресная социальная помощь» включая обновления и дополнительные функциональные возможности (регистрационный номер в ЕРРПО № 19357 от 04.10.2023)</w:t>
      </w:r>
    </w:p>
    <w:p w14:paraId="DC000000">
      <w:pPr>
        <w:spacing w:after="0" w:line="264" w:lineRule="auto"/>
        <w:ind/>
        <w:jc w:val="center"/>
        <w:rPr>
          <w:b w:val="1"/>
          <w:color w:val="000000"/>
        </w:rPr>
      </w:pPr>
    </w:p>
    <w:p w14:paraId="DD000000">
      <w:pPr>
        <w:tabs>
          <w:tab w:leader="none" w:pos="709" w:val="left"/>
          <w:tab w:leader="none" w:pos="993" w:val="left"/>
        </w:tabs>
        <w:spacing w:after="0"/>
        <w:ind w:firstLine="720"/>
        <w:rPr>
          <w:b w:val="1"/>
          <w:color w:val="000000"/>
        </w:rPr>
      </w:pPr>
      <w:r>
        <w:rPr>
          <w:b w:val="1"/>
          <w:color w:val="000000"/>
        </w:rPr>
        <w:t>1. Функциональные, технические и качественные характеристики услуг:</w:t>
      </w:r>
    </w:p>
    <w:p w14:paraId="DE000000">
      <w:pPr>
        <w:tabs>
          <w:tab w:leader="none" w:pos="709" w:val="left"/>
          <w:tab w:leader="none" w:pos="993" w:val="left"/>
        </w:tabs>
        <w:spacing w:after="0"/>
        <w:ind w:firstLine="720"/>
        <w:rPr>
          <w:color w:val="000000"/>
        </w:rPr>
      </w:pPr>
    </w:p>
    <w:p w14:paraId="DF000000">
      <w:pPr>
        <w:tabs>
          <w:tab w:leader="none" w:pos="709" w:val="left"/>
          <w:tab w:leader="none" w:pos="993" w:val="left"/>
        </w:tabs>
        <w:spacing w:after="0"/>
        <w:ind w:firstLine="720"/>
        <w:rPr>
          <w:color w:val="000000"/>
        </w:rPr>
      </w:pPr>
      <w:r>
        <w:rPr>
          <w:color w:val="000000"/>
        </w:rPr>
        <w:t xml:space="preserve">Автоматизированная система «Адресная социальная помощь» (далее – АС «АСП») </w:t>
      </w:r>
      <w:r>
        <w:rPr>
          <w:color w:val="000000"/>
        </w:rPr>
        <w:t>создана на базе автоматизированной системы управления персональными данными «Тула» (далее - АСУПД «Тула»). Исключительные права на АСУПД «Тула» зарегистрированы в Федеральной службе по интеллектуальной собственности, патентам и товарным знакам. Свидетельство об официальной регистрации автоматизированной системы АСУПД «Тула» № 2022683154 от 01.12.2022 года.</w:t>
      </w:r>
    </w:p>
    <w:p w14:paraId="E0000000">
      <w:pPr>
        <w:tabs>
          <w:tab w:leader="none" w:pos="709" w:val="left"/>
          <w:tab w:leader="none" w:pos="993" w:val="left"/>
        </w:tabs>
        <w:spacing w:after="0"/>
        <w:ind w:firstLine="720"/>
        <w:rPr>
          <w:color w:val="000000"/>
        </w:rPr>
      </w:pPr>
      <w:r>
        <w:rPr>
          <w:color w:val="000000"/>
        </w:rPr>
        <w:t>Программное обеспечение АСУПД «Тула» имеет сертификат соответствия ФСТЭК России по требованиям безопасности информации, удостоверяющим, что оно является защищенным программным средством обработки информации, не содержащим сведения, составляющих государственную тайну, и соответствует требованиям руководящего документа «Защита от несанкционированного доступа к информации. Часть 1. Программное обеспечение средств защиты информации. Классификация по уровню контроля отсутствия недекларированных возможностей», утвержденного решением Государственной технической комиссии при Президенте РФ от 04.06.1999г. № 114, по 4 уровню контроля.</w:t>
      </w:r>
    </w:p>
    <w:p w14:paraId="E1000000">
      <w:pPr>
        <w:spacing w:after="0"/>
        <w:ind w:firstLine="720"/>
        <w:rPr>
          <w:color w:val="000000"/>
        </w:rPr>
      </w:pPr>
      <w:r>
        <w:rPr>
          <w:color w:val="000000"/>
        </w:rPr>
        <w:t>Платформа программного обеспечения АСУПД «Тула» архитектурно построена с использованием технологий .NET и оптимизирована в системе Windows:</w:t>
      </w:r>
    </w:p>
    <w:p w14:paraId="E2000000">
      <w:pPr>
        <w:spacing w:after="0"/>
        <w:ind w:firstLine="720"/>
        <w:rPr>
          <w:color w:val="000000"/>
        </w:rPr>
      </w:pPr>
      <w:r>
        <w:rPr>
          <w:color w:val="000000"/>
        </w:rPr>
        <w:t>– база данных работает под управлением СУБД Microsoft SQL Server;</w:t>
      </w:r>
    </w:p>
    <w:p w14:paraId="E3000000">
      <w:pPr>
        <w:spacing w:after="0"/>
        <w:ind w:firstLine="720"/>
        <w:rPr>
          <w:color w:val="000000"/>
        </w:rPr>
      </w:pPr>
      <w:r>
        <w:rPr>
          <w:color w:val="000000"/>
        </w:rPr>
        <w:t>– использует технологии .NET;</w:t>
      </w:r>
    </w:p>
    <w:p w14:paraId="E4000000">
      <w:pPr>
        <w:spacing w:after="0"/>
        <w:ind w:firstLine="720"/>
        <w:rPr>
          <w:color w:val="000000"/>
        </w:rPr>
      </w:pPr>
      <w:r>
        <w:rPr>
          <w:color w:val="000000"/>
        </w:rPr>
        <w:t>– поддерживает виртуализацию средствами VMware и Hyper-V;</w:t>
      </w:r>
    </w:p>
    <w:p w14:paraId="E5000000">
      <w:pPr>
        <w:spacing w:after="0"/>
        <w:ind w:firstLine="720"/>
        <w:rPr>
          <w:color w:val="000000"/>
        </w:rPr>
      </w:pPr>
      <w:r>
        <w:rPr>
          <w:color w:val="000000"/>
        </w:rPr>
        <w:t>– системные программные средства представлены лицензионной локализованной версией операционной системы Windows, WindowsServer.</w:t>
      </w:r>
    </w:p>
    <w:p w14:paraId="E6000000">
      <w:pPr>
        <w:tabs>
          <w:tab w:leader="none" w:pos="0" w:val="left"/>
          <w:tab w:leader="none" w:pos="900" w:val="left"/>
        </w:tabs>
        <w:spacing w:after="0"/>
        <w:ind w:firstLine="720"/>
        <w:rPr>
          <w:color w:val="000000"/>
        </w:rPr>
      </w:pPr>
      <w:r>
        <w:rPr>
          <w:color w:val="000000"/>
        </w:rPr>
        <w:t>Обеспечена возможность подключения неограниченного количества модулей расширений, наращивания функционала системы за счет разработки и добавления новых функциональных модулей.</w:t>
      </w:r>
    </w:p>
    <w:p w14:paraId="E7000000">
      <w:pPr>
        <w:keepNext w:val="1"/>
        <w:spacing w:after="0"/>
        <w:ind/>
        <w:outlineLvl w:val="1"/>
        <w:rPr>
          <w:b w:val="1"/>
          <w:color w:val="000000"/>
        </w:rPr>
      </w:pPr>
    </w:p>
    <w:p w14:paraId="E8000000">
      <w:pPr>
        <w:keepNext w:val="1"/>
        <w:tabs>
          <w:tab w:leader="none" w:pos="1276" w:val="left"/>
        </w:tabs>
        <w:ind w:firstLine="709"/>
        <w:outlineLvl w:val="1"/>
        <w:rPr>
          <w:b w:val="1"/>
          <w:color w:val="000000"/>
        </w:rPr>
      </w:pPr>
      <w:r>
        <w:rPr>
          <w:b w:val="1"/>
          <w:color w:val="000000"/>
        </w:rPr>
        <w:t>2.1. Объем услуг.</w:t>
      </w:r>
    </w:p>
    <w:p w14:paraId="E9000000">
      <w:pPr>
        <w:keepNext w:val="1"/>
        <w:tabs>
          <w:tab w:leader="none" w:pos="1276" w:val="left"/>
        </w:tabs>
        <w:ind w:firstLine="709"/>
        <w:outlineLvl w:val="1"/>
        <w:rPr>
          <w:color w:val="000000"/>
        </w:rPr>
      </w:pPr>
      <w:r>
        <w:rPr>
          <w:color w:val="000000"/>
        </w:rPr>
        <w:t>2.1.1. Предоставление прав на использование обновлений и дополнительных</w:t>
      </w:r>
      <w:r>
        <w:rPr>
          <w:b w:val="1"/>
          <w:color w:val="000000"/>
        </w:rPr>
        <w:t xml:space="preserve"> </w:t>
      </w:r>
      <w:r>
        <w:rPr>
          <w:color w:val="000000"/>
        </w:rPr>
        <w:t>функциональных возможностей программного обеспечения Автоматизированной системы «Адресная социальная помощь», созданного на платформе и являющегося частью аппаратно-программного комплекса АСУПД «Тула».</w:t>
      </w:r>
    </w:p>
    <w:p w14:paraId="EA000000">
      <w:pPr>
        <w:keepNext w:val="1"/>
        <w:tabs>
          <w:tab w:leader="none" w:pos="1276" w:val="left"/>
        </w:tabs>
        <w:ind w:firstLine="709"/>
        <w:outlineLvl w:val="1"/>
        <w:rPr>
          <w:color w:val="000000"/>
        </w:rPr>
      </w:pPr>
      <w:r>
        <w:rPr>
          <w:color w:val="000000"/>
        </w:rPr>
        <w:t xml:space="preserve">2.1.2. </w:t>
      </w:r>
      <w:r>
        <w:rPr>
          <w:color w:val="000000"/>
        </w:rPr>
        <w:t>Обновленная версия программного обеспечения АС «АСП» включает в себя доработки, выполненные с целью обеспечения работоспособности системы в соответствии с законодательством региона.</w:t>
      </w:r>
    </w:p>
    <w:p w14:paraId="EB000000">
      <w:pPr>
        <w:spacing w:after="0" w:line="120" w:lineRule="auto"/>
        <w:ind w:firstLine="720"/>
        <w:rPr>
          <w:color w:val="000000"/>
        </w:rPr>
      </w:pPr>
    </w:p>
    <w:p w14:paraId="EC000000">
      <w:pPr>
        <w:spacing w:after="0"/>
        <w:ind w:firstLine="720"/>
        <w:rPr>
          <w:color w:val="000000"/>
        </w:rPr>
      </w:pPr>
      <w:r>
        <w:rPr>
          <w:color w:val="000000"/>
        </w:rPr>
        <w:t>Поставка ПО предоставляются по электронным каналам связи уполномоченному лицу, предварительно согласованному с Заказчиком.</w:t>
      </w:r>
    </w:p>
    <w:p w14:paraId="ED000000">
      <w:pPr>
        <w:spacing w:after="0"/>
        <w:ind w:firstLine="720"/>
        <w:rPr>
          <w:color w:val="000000"/>
        </w:rPr>
      </w:pPr>
    </w:p>
    <w:p w14:paraId="EE000000">
      <w:pPr>
        <w:spacing w:after="0"/>
        <w:ind w:firstLine="708"/>
        <w:rPr>
          <w:color w:val="000000"/>
        </w:rPr>
      </w:pPr>
      <w:r>
        <w:rPr>
          <w:color w:val="000000"/>
        </w:rPr>
        <w:t>2.1.3.</w:t>
      </w:r>
      <w:r>
        <w:rPr>
          <w:b w:val="1"/>
          <w:color w:val="000000"/>
        </w:rPr>
        <w:t xml:space="preserve"> </w:t>
      </w:r>
      <w:r>
        <w:rPr>
          <w:color w:val="000000"/>
        </w:rPr>
        <w:t xml:space="preserve">«Интеграция с ГИС ЕЦП» в части: Интеграции с банком данных несовершеннолетних узников концлагерей, Интеграции с банком данных ветеранов труда, </w:t>
      </w:r>
      <w:r>
        <w:rPr>
          <w:color w:val="000000"/>
        </w:rPr>
        <w:t>Интеграции с банком данных пострадавших от радиации, Интеграции с банком данных ветеранов ВОВ</w:t>
      </w:r>
    </w:p>
    <w:p w14:paraId="EF000000">
      <w:pPr>
        <w:spacing w:after="0"/>
        <w:ind w:firstLine="708"/>
      </w:pPr>
      <w:r>
        <w:t>Услуги предназначены для передачи в банки данных ГИС ЕЦП решений об отнесении граждан к следующим категориям граждан, имеющих право на получение мер социальной защиты (поддержки) в случаях, предусмотренных законодательством Российской Федерации, и ведение учета сведений о таких гражданах:</w:t>
      </w:r>
    </w:p>
    <w:p w14:paraId="F0000000">
      <w:pPr>
        <w:spacing w:after="0"/>
        <w:ind w:firstLine="708"/>
      </w:pPr>
      <w:r>
        <w:tab/>
      </w:r>
      <w:r>
        <w:t>- бывшие несовершеннолетние узники концлагерей, гетто, других мест принудительного содержания, созданных фашистами и их союзниками в период Второй мировой войны;</w:t>
      </w:r>
    </w:p>
    <w:p w14:paraId="F1000000">
      <w:pPr>
        <w:spacing w:after="0"/>
        <w:ind w:firstLine="708"/>
      </w:pPr>
      <w:r>
        <w:tab/>
      </w:r>
      <w:r>
        <w:t>- ветераны труда;</w:t>
      </w:r>
    </w:p>
    <w:p w14:paraId="F2000000">
      <w:pPr>
        <w:spacing w:after="0"/>
        <w:ind w:firstLine="708"/>
      </w:pPr>
      <w:r>
        <w:tab/>
      </w:r>
      <w:r>
        <w:t>- пострадавшие в результате радиационных или техногенных катастроф;</w:t>
      </w:r>
    </w:p>
    <w:p w14:paraId="F3000000">
      <w:pPr>
        <w:spacing w:after="0"/>
        <w:ind w:firstLine="708"/>
      </w:pPr>
      <w:r>
        <w:tab/>
      </w:r>
      <w:r>
        <w:t>- ветераны Великой Отечественной войны, инвалиды Великой Отечественной войны, члены семей погибших (умерших) инвалидов Великой Отечественной войны, участников Великой Отечественной войны;</w:t>
      </w:r>
    </w:p>
    <w:p w14:paraId="F4000000">
      <w:pPr>
        <w:spacing w:after="0"/>
        <w:ind w:firstLine="708"/>
      </w:pPr>
      <w:r>
        <w:t>Модернизируемая Система должна обеспечивать следующие функциональные возможности:</w:t>
      </w:r>
    </w:p>
    <w:p w14:paraId="F5000000">
      <w:pPr>
        <w:spacing w:after="0"/>
        <w:ind w:firstLine="708"/>
      </w:pPr>
      <w:r>
        <w:t xml:space="preserve">1. Функционал «Выдачи справок и удостоверений», должен в себя включать: </w:t>
      </w:r>
    </w:p>
    <w:p w14:paraId="F6000000">
      <w:pPr>
        <w:spacing w:after="0"/>
        <w:ind w:firstLine="708"/>
      </w:pPr>
      <w:r>
        <w:t>•</w:t>
      </w:r>
      <w:r>
        <w:tab/>
      </w:r>
      <w:r>
        <w:t>ведение таблицы настроек для учета правовых особенностей нормативных актов, ведение необходимых справочников-классификаторов для выгрузки данных в ГИС ЕЦП;</w:t>
      </w:r>
    </w:p>
    <w:p w14:paraId="F7000000">
      <w:pPr>
        <w:spacing w:after="0"/>
        <w:ind w:firstLine="708"/>
      </w:pPr>
      <w:r>
        <w:t>•</w:t>
      </w:r>
      <w:r>
        <w:tab/>
      </w:r>
      <w:r>
        <w:t>учет заявлений граждан на получение документов (удостоверений и дубликатов удостоверений);</w:t>
      </w:r>
    </w:p>
    <w:p w14:paraId="F8000000">
      <w:pPr>
        <w:spacing w:after="0"/>
        <w:ind w:firstLine="708"/>
      </w:pPr>
      <w:r>
        <w:t>•</w:t>
      </w:r>
      <w:r>
        <w:tab/>
      </w:r>
      <w:r>
        <w:t>учет в электронном личном деле гражданина подтверждающих документов, требуемых для присвоения статусов, выдачи документов;</w:t>
      </w:r>
    </w:p>
    <w:p w14:paraId="F9000000">
      <w:pPr>
        <w:spacing w:after="0"/>
        <w:ind w:firstLine="708"/>
      </w:pPr>
      <w:r>
        <w:t>•</w:t>
      </w:r>
      <w:r>
        <w:tab/>
      </w:r>
      <w:r>
        <w:t>прием и регистрация заявлений граждан на первичную и повторную выдачу документов, дубликатов документов, продление сроков действия выданных документов, присвоенных статусов;</w:t>
      </w:r>
    </w:p>
    <w:p w14:paraId="FA000000">
      <w:pPr>
        <w:spacing w:after="0"/>
        <w:ind w:firstLine="708"/>
      </w:pPr>
      <w:r>
        <w:t>•</w:t>
      </w:r>
      <w:r>
        <w:tab/>
      </w:r>
      <w:r>
        <w:t>проверка права назначения меры социальной поддержки и принятие решения о выдаче или отказе в выдаче документов, присвоении статусов;</w:t>
      </w:r>
    </w:p>
    <w:p w14:paraId="FB000000">
      <w:pPr>
        <w:spacing w:after="0"/>
        <w:ind w:firstLine="708"/>
      </w:pPr>
      <w:r>
        <w:t>•</w:t>
      </w:r>
      <w:r>
        <w:tab/>
      </w:r>
      <w:r>
        <w:t>возможность формирования печатных форм;</w:t>
      </w:r>
    </w:p>
    <w:p w14:paraId="FC000000">
      <w:pPr>
        <w:spacing w:after="0"/>
        <w:ind w:firstLine="708"/>
      </w:pPr>
      <w:r>
        <w:t>•</w:t>
      </w:r>
      <w:r>
        <w:tab/>
      </w:r>
      <w:r>
        <w:t>проверку права назначения меры социальной поддержки и принятие решения о предоставлении или отказе в выдаче документов, присвоении статусов;</w:t>
      </w:r>
    </w:p>
    <w:p w14:paraId="FD000000">
      <w:pPr>
        <w:spacing w:after="0"/>
        <w:ind w:firstLine="708"/>
      </w:pPr>
      <w:r>
        <w:t>•</w:t>
      </w:r>
      <w:r>
        <w:tab/>
      </w:r>
      <w:r>
        <w:t>фиксацию и хранение выданных документов, присвоенных статусов в электронном личном деле гражданина и членов его семьи, фиксацию факта оказания услуги;</w:t>
      </w:r>
    </w:p>
    <w:p w14:paraId="FE000000">
      <w:pPr>
        <w:spacing w:after="0"/>
        <w:ind w:firstLine="708"/>
      </w:pPr>
      <w:r>
        <w:t>•</w:t>
      </w:r>
      <w:r>
        <w:tab/>
      </w:r>
      <w:r>
        <w:t>возможность формирования уникального номера документа и номера решения;</w:t>
      </w:r>
    </w:p>
    <w:p w14:paraId="FF000000">
      <w:pPr>
        <w:spacing w:after="0"/>
        <w:ind w:firstLine="708"/>
      </w:pPr>
      <w:r>
        <w:t>•</w:t>
      </w:r>
      <w:r>
        <w:tab/>
      </w:r>
      <w:r>
        <w:t>возможность прекращения действия выданных документов, присвоенных статусов при потере права или иных обязательствах;</w:t>
      </w:r>
    </w:p>
    <w:p w14:paraId="00010000">
      <w:pPr>
        <w:spacing w:after="0"/>
        <w:ind w:firstLine="708"/>
      </w:pPr>
      <w:r>
        <w:t>•</w:t>
      </w:r>
      <w:r>
        <w:tab/>
      </w:r>
      <w:r>
        <w:t>обеспечение проверки права по совокупности параметров на получение документов, присвоении статусов с фиксированием всех этапов процесса;</w:t>
      </w:r>
    </w:p>
    <w:p w14:paraId="01010000">
      <w:pPr>
        <w:spacing w:after="0"/>
        <w:ind w:firstLine="708"/>
      </w:pPr>
      <w:r>
        <w:t>•</w:t>
      </w:r>
      <w:r>
        <w:tab/>
      </w:r>
      <w:r>
        <w:t>фиксация выдачи электронного документа наряду с бумажным вариантом;</w:t>
      </w:r>
    </w:p>
    <w:p w14:paraId="02010000">
      <w:pPr>
        <w:spacing w:after="0"/>
        <w:ind w:firstLine="708"/>
      </w:pPr>
      <w:r>
        <w:t>•</w:t>
      </w:r>
      <w:r>
        <w:tab/>
      </w:r>
      <w:r>
        <w:t>подтверждение права получения документа, присвоения статуса посредством электронной подписи с поддержкой QR-кода и сведения о сертификате ЭП;</w:t>
      </w:r>
    </w:p>
    <w:p w14:paraId="03010000">
      <w:pPr>
        <w:spacing w:after="0"/>
        <w:ind w:firstLine="708"/>
      </w:pPr>
      <w:r>
        <w:t>•</w:t>
      </w:r>
      <w:r>
        <w:tab/>
      </w:r>
      <w:r>
        <w:t>формирование заявления в программном комплексе с фиксацией выдачи документа и использование ЭП;</w:t>
      </w:r>
    </w:p>
    <w:p w14:paraId="04010000">
      <w:pPr>
        <w:spacing w:after="0"/>
        <w:ind w:firstLine="708"/>
      </w:pPr>
      <w:r>
        <w:t>•</w:t>
      </w:r>
      <w:r>
        <w:tab/>
      </w:r>
      <w:r>
        <w:t>возможность анализа доходов граждан при проверке права для выдачи документов и присвоении статусов;</w:t>
      </w:r>
    </w:p>
    <w:p w14:paraId="05010000">
      <w:pPr>
        <w:spacing w:after="0"/>
        <w:ind w:firstLine="708"/>
      </w:pPr>
      <w:r>
        <w:t>•</w:t>
      </w:r>
      <w:r>
        <w:tab/>
      </w:r>
      <w:r>
        <w:t>возможность отображения в заявлениях граждан ежемесячных доходов, среднедушевых доходов, величины прожиточного минимума.</w:t>
      </w:r>
    </w:p>
    <w:p w14:paraId="06010000">
      <w:pPr>
        <w:spacing w:after="0"/>
        <w:ind w:firstLine="708"/>
      </w:pPr>
      <w:r>
        <w:t>•</w:t>
      </w:r>
      <w:r>
        <w:tab/>
      </w:r>
      <w:r>
        <w:t>возможность подачи заявления через ЕПГУ по ссылке ttps://www.gosuslugi.ru/600194/1 и отсылки уведомлений о результате;</w:t>
      </w:r>
    </w:p>
    <w:p w14:paraId="07010000">
      <w:pPr>
        <w:spacing w:after="0"/>
        <w:ind w:firstLine="708"/>
      </w:pPr>
      <w:r>
        <w:t>•</w:t>
      </w:r>
      <w:r>
        <w:tab/>
      </w:r>
      <w:r>
        <w:t>ведение реестра выданных документов;</w:t>
      </w:r>
    </w:p>
    <w:p w14:paraId="08010000">
      <w:pPr>
        <w:spacing w:after="0"/>
        <w:ind w:firstLine="708"/>
      </w:pPr>
      <w:r>
        <w:t>•</w:t>
      </w:r>
      <w:r>
        <w:tab/>
      </w:r>
      <w:r>
        <w:t>возможность массового формирования заявлений граждан исходя из ранее выданных документов, присвоенных статусов.</w:t>
      </w:r>
    </w:p>
    <w:p w14:paraId="09010000">
      <w:pPr>
        <w:spacing w:after="0"/>
        <w:ind w:firstLine="708"/>
      </w:pPr>
      <w:r>
        <w:t xml:space="preserve">2. Функционал «Формирование и учет выгрузок в ПФР», должен в себя включать: </w:t>
      </w:r>
    </w:p>
    <w:p w14:paraId="0A010000">
      <w:pPr>
        <w:spacing w:after="0"/>
        <w:ind w:firstLine="708"/>
      </w:pPr>
      <w:r>
        <w:t>•</w:t>
      </w:r>
      <w:r>
        <w:tab/>
      </w:r>
      <w:r>
        <w:t xml:space="preserve">возможность формирования сведений для последующей выгрузки в ГИС ЕЦП посредством </w:t>
      </w:r>
      <w:r>
        <w:t>СМЭВ</w:t>
      </w:r>
      <w:r>
        <w:t xml:space="preserve"> версии 3</w:t>
      </w:r>
      <w:r>
        <w:t>, используя вид сведений в соответствии с п.4. настоящего регламента;</w:t>
      </w:r>
    </w:p>
    <w:p w14:paraId="0B010000">
      <w:pPr>
        <w:spacing w:after="0"/>
        <w:ind w:firstLine="708"/>
      </w:pPr>
      <w:r>
        <w:t>•</w:t>
      </w:r>
      <w:r>
        <w:tab/>
      </w:r>
      <w:r>
        <w:t xml:space="preserve">формирование выгрузки в виде архивного файла формата .zip с последующей отправкой по </w:t>
      </w:r>
      <w:r>
        <w:t>СМЭВ</w:t>
      </w:r>
      <w:r>
        <w:t xml:space="preserve"> версии 3</w:t>
      </w:r>
      <w:r>
        <w:t xml:space="preserve"> в формате .xml согласно утвержденному составу полей на основании постановления Правительства Российской Федерации от 29 декабря 2023 года №2386 «О государственной информационной системе «Единая централизованная цифровая платформа в социальной сфере»;</w:t>
      </w:r>
    </w:p>
    <w:p w14:paraId="0C010000">
      <w:pPr>
        <w:spacing w:after="0"/>
        <w:ind w:firstLine="708"/>
      </w:pPr>
      <w:r>
        <w:t>•</w:t>
      </w:r>
      <w:r>
        <w:tab/>
      </w:r>
      <w:r>
        <w:t>выбор типа выгрузки в зависимости от вида заявлений для формирования соответствующих банков данных в ГИС ЕЦП;</w:t>
      </w:r>
    </w:p>
    <w:p w14:paraId="0D010000">
      <w:pPr>
        <w:spacing w:after="0"/>
        <w:ind w:firstLine="708"/>
      </w:pPr>
      <w:r>
        <w:t>•</w:t>
      </w:r>
      <w:r>
        <w:tab/>
      </w:r>
      <w:r>
        <w:t>формирование файлов предупреждений и отклонений в формате при выгрузке;</w:t>
      </w:r>
    </w:p>
    <w:p w14:paraId="0E010000">
      <w:pPr>
        <w:spacing w:after="0"/>
        <w:ind w:firstLine="708"/>
      </w:pPr>
      <w:r>
        <w:t>•</w:t>
      </w:r>
      <w:r>
        <w:tab/>
      </w:r>
      <w:r>
        <w:t xml:space="preserve">отображение информации о сформированной выгрузке: наименование, кем создана выгрузка, тип выгрузки, дата выгрузки, период, за который собирается информация, информация о дате направления и получения ответа по </w:t>
      </w:r>
      <w:r>
        <w:t>СМЭВ</w:t>
      </w:r>
      <w:r>
        <w:t xml:space="preserve"> версии 3</w:t>
      </w:r>
      <w:r>
        <w:t>, количество граждан (всего отобранных на выгрузку/подлежащих выгрузке, с предупреждениями, отклоненных), наименование вида выгружаемых заявлений;</w:t>
      </w:r>
    </w:p>
    <w:p w14:paraId="0F010000">
      <w:pPr>
        <w:spacing w:after="0"/>
        <w:ind w:firstLine="708"/>
      </w:pPr>
      <w:r>
        <w:t>•</w:t>
      </w:r>
      <w:r>
        <w:tab/>
      </w:r>
      <w:r>
        <w:t xml:space="preserve">возможность перехода в список заявлений граждан, сформированных на выгрузку с отображением вида заявления, ФИО гражданина-заявителя, СНИЛС и адрес заявителя; статуса и даты загрузки сведений по </w:t>
      </w:r>
      <w:r>
        <w:t>СМЭВ</w:t>
      </w:r>
      <w:r>
        <w:t xml:space="preserve"> версии 3</w:t>
      </w:r>
      <w:r>
        <w:t>, статуса обработки данных и отображение реестрового номера записи, присвоенного гражданину в ГИС ЕЦП, причины отклонения информации в ГИС ЕЦП;</w:t>
      </w:r>
    </w:p>
    <w:p w14:paraId="10010000">
      <w:pPr>
        <w:spacing w:after="0"/>
        <w:ind w:firstLine="708"/>
      </w:pPr>
      <w:r>
        <w:t>•</w:t>
      </w:r>
      <w:r>
        <w:tab/>
      </w:r>
      <w:r>
        <w:t>возможность отбора и отображения на экране видов выгрузок и списков заявлений граждан согласно заданному фильтру;</w:t>
      </w:r>
    </w:p>
    <w:p w14:paraId="11010000">
      <w:pPr>
        <w:spacing w:after="0"/>
        <w:ind w:firstLine="708"/>
      </w:pPr>
      <w:r>
        <w:t>•</w:t>
      </w:r>
      <w:r>
        <w:tab/>
      </w:r>
      <w:r>
        <w:t xml:space="preserve">возможность отправки в ГИС ЕЦП сформированной выгрузки по </w:t>
      </w:r>
      <w:r>
        <w:t>СМЭВ</w:t>
      </w:r>
      <w:r>
        <w:t xml:space="preserve"> версии 3</w:t>
      </w:r>
      <w:r>
        <w:t>;</w:t>
      </w:r>
    </w:p>
    <w:p w14:paraId="12010000">
      <w:pPr>
        <w:spacing w:after="0"/>
        <w:ind w:firstLine="708"/>
      </w:pPr>
      <w:r>
        <w:t>•</w:t>
      </w:r>
      <w:r>
        <w:tab/>
      </w:r>
      <w:r>
        <w:t xml:space="preserve">возможность запроса и записи ответов </w:t>
      </w:r>
      <w:r>
        <w:t>СМЭВ</w:t>
      </w:r>
      <w:r>
        <w:t xml:space="preserve"> версии 3</w:t>
      </w:r>
      <w:r>
        <w:t>;</w:t>
      </w:r>
    </w:p>
    <w:p w14:paraId="13010000">
      <w:pPr>
        <w:spacing w:after="0"/>
        <w:ind w:firstLine="708"/>
      </w:pPr>
      <w:r>
        <w:t>•</w:t>
      </w:r>
      <w:r>
        <w:tab/>
      </w:r>
      <w:r>
        <w:t>массовую автоматическую смену статуса выгрузки заявлений, отклоненных в ГИС ЕЦП, для повторной переотправки заявлений;</w:t>
      </w:r>
    </w:p>
    <w:p w14:paraId="14010000">
      <w:pPr>
        <w:spacing w:after="0"/>
        <w:ind w:firstLine="708"/>
      </w:pPr>
      <w:r>
        <w:t>•</w:t>
      </w:r>
      <w:r>
        <w:tab/>
      </w:r>
      <w:r>
        <w:t>возможность печати списков выгрузок и заявлений, вывода на печать файлов выгрузки, предупреждений и отклонений;</w:t>
      </w:r>
    </w:p>
    <w:p w14:paraId="15010000">
      <w:pPr>
        <w:spacing w:after="0"/>
        <w:ind w:firstLine="708"/>
      </w:pPr>
      <w:r>
        <w:t>•</w:t>
      </w:r>
      <w:r>
        <w:tab/>
      </w:r>
      <w:r>
        <w:t xml:space="preserve">обработку статусов выгрузок заявлений с учетом полученных ответов </w:t>
      </w:r>
      <w:r>
        <w:t>СМЭВ</w:t>
      </w:r>
      <w:r>
        <w:t xml:space="preserve"> версии 3</w:t>
      </w:r>
      <w:r>
        <w:t>;</w:t>
      </w:r>
    </w:p>
    <w:p w14:paraId="16010000">
      <w:pPr>
        <w:spacing w:after="0"/>
        <w:ind w:firstLine="708"/>
      </w:pPr>
      <w:r>
        <w:t>•</w:t>
      </w:r>
      <w:r>
        <w:tab/>
      </w:r>
      <w:r>
        <w:t>возможность перехода в заявления граждан по гиперссылке из сформированной выгрузки;</w:t>
      </w:r>
    </w:p>
    <w:p w14:paraId="17010000">
      <w:pPr>
        <w:spacing w:after="0"/>
        <w:ind w:firstLine="708"/>
      </w:pPr>
      <w:r>
        <w:t>•</w:t>
      </w:r>
      <w:r>
        <w:tab/>
      </w:r>
      <w:r>
        <w:t>переход в ПКУ граждан по гиперссылке из сформированной выгрузки.</w:t>
      </w:r>
    </w:p>
    <w:p w14:paraId="18010000">
      <w:pPr>
        <w:spacing w:after="0"/>
        <w:ind w:firstLine="708"/>
      </w:pPr>
      <w:r>
        <w:t>3. Функционал поддержки принятия решений, который должен состоять из следующих функциональных модулей:</w:t>
      </w:r>
    </w:p>
    <w:p w14:paraId="19010000">
      <w:pPr>
        <w:spacing w:after="0"/>
        <w:ind w:firstLine="708"/>
      </w:pPr>
      <w:r>
        <w:t>- «Параметрические таблицы настроек» должны осуществлять формирование специальных параметрических таблиц настроек, позволяющих производить настройку условий и правил предоставления мер социальной поддержки на основании нормативно-справочной информации, определение прав граждан на получение льготных категорий или назначение мер социальной поддержки на основании заданных правил;</w:t>
      </w:r>
    </w:p>
    <w:p w14:paraId="1A010000">
      <w:pPr>
        <w:spacing w:after="0"/>
        <w:ind w:firstLine="708"/>
      </w:pPr>
      <w:r>
        <w:t>- «Нормативно-справочная информация» должна обеспечивать выполнение функций по созданию и ведению справочников-классификаторов, используемых при заполнении информации электронного личного дела гражданина, создания и ведения дополнительных нормативных таблиц, используемых в задачах при назначении мер социальной поддержки.</w:t>
      </w:r>
    </w:p>
    <w:p w14:paraId="1B010000">
      <w:pPr>
        <w:spacing w:after="0"/>
        <w:ind w:firstLine="708"/>
      </w:pPr>
      <w:r>
        <w:t>- «Социальное законодательство» должен осуществлять формирование, обработку и обновление базы данных по социальному законодательству. В законодательной базе должны храниться сведения о федеральных, региональных и муниципальных нормативных правовых актах, на основании которых предоставляются различные льготы, субсидии, компенсации, социальные выплаты. Информация о нормативном правовом акте должна содержать: вид документа, дату принятия и номер документа, кем принят документ, текст документа в формате .</w:t>
      </w:r>
      <w:r>
        <w:t>rtf</w:t>
      </w:r>
      <w:r>
        <w:t>. Должно быть создано формализованное описание каждого документа с целью определения условий на основании каких законов - какие категории – на какие льготы имеют право – какие условия предоставления льготы определены законом.</w:t>
      </w:r>
    </w:p>
    <w:p w14:paraId="1C010000">
      <w:pPr>
        <w:spacing w:after="0"/>
        <w:ind w:firstLine="708"/>
      </w:pPr>
      <w:r>
        <w:t>- «Интерпретатор» должен осуществлять интерпретирование правил, осуществление механизмов логического вывода используя описания специальных параметрических таблиц настроек и информацию базы данных «Социальное законодательство».</w:t>
      </w:r>
    </w:p>
    <w:p w14:paraId="1D010000">
      <w:pPr>
        <w:spacing w:after="0"/>
        <w:ind w:firstLine="708"/>
      </w:pPr>
      <w:r>
        <w:t xml:space="preserve">Пользователь Системы должен иметь возможность просмотра и печати существующих в Системе справочников по заданным условиям. </w:t>
      </w:r>
    </w:p>
    <w:p w14:paraId="1E010000">
      <w:pPr>
        <w:spacing w:after="0"/>
        <w:ind w:firstLine="708"/>
      </w:pPr>
      <w:r>
        <w:t>При редактировании существующего справочника должна иметься возможность выбрать объект из списка объектов, изменить введенные ранее параметры либо заполнить дополнительные параметры, возможность удалить выбранный объект базы нормативно-справочной информации. При создании справочника должны быть определены обязательные для заполнения реквизиты.</w:t>
      </w:r>
    </w:p>
    <w:p w14:paraId="1F010000">
      <w:pPr>
        <w:spacing w:after="0"/>
        <w:ind w:firstLine="708"/>
      </w:pPr>
      <w:r>
        <w:t>Возможность настройки параметров модулей должна определяться ролью пользователя в системе.</w:t>
      </w:r>
    </w:p>
    <w:p w14:paraId="20010000">
      <w:pPr>
        <w:spacing w:after="0"/>
        <w:ind w:firstLine="708"/>
      </w:pPr>
      <w:r>
        <w:t>4. Функционал интеграции с ГИС ЕЦП, где должны быть реализованы:</w:t>
      </w:r>
    </w:p>
    <w:p w14:paraId="21010000">
      <w:pPr>
        <w:spacing w:after="0"/>
        <w:ind w:firstLine="708"/>
      </w:pPr>
      <w:r>
        <w:t>•</w:t>
      </w:r>
      <w:r>
        <w:tab/>
      </w:r>
      <w:r>
        <w:t xml:space="preserve">интеграция с ГИС ЕЦП с помощью ВС СЗБД в </w:t>
      </w:r>
      <w:r>
        <w:t>СМЭВ</w:t>
      </w:r>
      <w:r>
        <w:t xml:space="preserve"> версии 3</w:t>
      </w:r>
      <w:r>
        <w:t>;</w:t>
      </w:r>
    </w:p>
    <w:p w14:paraId="22010000">
      <w:pPr>
        <w:spacing w:after="0"/>
        <w:ind w:firstLine="708"/>
      </w:pPr>
      <w:r>
        <w:t>•</w:t>
      </w:r>
      <w:r>
        <w:tab/>
      </w:r>
      <w:r>
        <w:t xml:space="preserve">механизм взаимодействия с ВС СЗБД по каналам </w:t>
      </w:r>
      <w:r>
        <w:t>СМЭВ</w:t>
      </w:r>
      <w:r>
        <w:t xml:space="preserve"> версии 3 </w:t>
      </w:r>
      <w:r>
        <w:t>в продуктивную среду актуальной версии ГИС ЕЦП;</w:t>
      </w:r>
    </w:p>
    <w:p w14:paraId="23010000">
      <w:pPr>
        <w:spacing w:after="0"/>
        <w:ind w:firstLine="708"/>
      </w:pPr>
      <w:r>
        <w:t>•</w:t>
      </w:r>
      <w:r>
        <w:tab/>
      </w:r>
      <w:r>
        <w:t xml:space="preserve">направление сведений в банки данных ГИС ЕЦП в соответствии с утвержденными форматами данных на основании постановления Правительства Российской Федерации от 29 декабря 2023 года №2386 «О государственной информационной системе «Единая централизованная цифровая платформа в социальной сфере» </w:t>
      </w:r>
    </w:p>
    <w:p w14:paraId="24010000">
      <w:pPr>
        <w:spacing w:after="0"/>
        <w:ind w:firstLine="708"/>
      </w:pPr>
      <w:r>
        <w:t>•</w:t>
      </w:r>
      <w:r>
        <w:tab/>
      </w:r>
      <w:r>
        <w:t>доработка подсистем, задействованных в выгрузке данных в ГИС ЕЦП, согласно изменениям, вносимым в xsd-схемы, форматы данных и ВС;</w:t>
      </w:r>
    </w:p>
    <w:p w14:paraId="25010000">
      <w:pPr>
        <w:spacing w:after="0"/>
        <w:ind w:firstLine="708"/>
      </w:pPr>
      <w:r>
        <w:t>•</w:t>
      </w:r>
      <w:r>
        <w:tab/>
      </w:r>
      <w:r>
        <w:t xml:space="preserve">прием ответов из ГИС ЕЦП в соответствии с утвержденными форматами с помощью ВС СЗБД в </w:t>
      </w:r>
      <w:r>
        <w:t>СМЭВ</w:t>
      </w:r>
      <w:r>
        <w:t xml:space="preserve"> версии 3</w:t>
      </w:r>
      <w:r>
        <w:t>.</w:t>
      </w:r>
    </w:p>
    <w:p w14:paraId="26010000">
      <w:pPr>
        <w:spacing w:after="0"/>
        <w:ind w:firstLine="708"/>
      </w:pPr>
      <w:r>
        <w:t xml:space="preserve">Актуальная информация о виде сведения размещена на портале в личном кабинете участника взаимодействия </w:t>
      </w:r>
      <w:r>
        <w:rPr>
          <w:color w:val="0000FF"/>
          <w:u w:val="single"/>
        </w:rPr>
        <w:fldChar w:fldCharType="begin"/>
      </w:r>
      <w:r>
        <w:rPr>
          <w:color w:val="0000FF"/>
          <w:u w:val="single"/>
        </w:rPr>
        <w:instrText>HYPERLINK "https://lkuv.gosuslugi.ru/paip-portal/#/inquiries/72c2c0ab-85c7-452b-a10f-008cafd7f34b/versions/89c5aafa-8f1e-4e73-ad09-c58b5b28e508?area=PROD"</w:instrText>
      </w:r>
      <w:r>
        <w:rPr>
          <w:color w:val="0000FF"/>
          <w:u w:val="single"/>
        </w:rPr>
        <w:fldChar w:fldCharType="separate"/>
      </w:r>
      <w:r>
        <w:rPr>
          <w:color w:val="0000FF"/>
          <w:u w:val="single"/>
        </w:rPr>
        <w:t>https://lkuv.gosuslugi.ru/paip-portal/#/inquiries/72c2c0ab-85c7-452b-a10f-008cafd7f34b/versions/89c5aafa-8f1e-4e73-ad09-c58b5b28e508?area=PROD</w:t>
      </w:r>
      <w:r>
        <w:rPr>
          <w:color w:val="0000FF"/>
          <w:u w:val="single"/>
        </w:rPr>
        <w:fldChar w:fldCharType="end"/>
      </w:r>
      <w:r>
        <w:t>.</w:t>
      </w:r>
    </w:p>
    <w:p w14:paraId="27010000">
      <w:pPr>
        <w:spacing w:after="0"/>
        <w:ind w:firstLine="708"/>
      </w:pPr>
      <w:r>
        <w:t xml:space="preserve">Взаимодействие состоит из отправки сведений и получения ответа посредством </w:t>
      </w:r>
      <w:r>
        <w:t>СМЭВ</w:t>
      </w:r>
      <w:r>
        <w:t xml:space="preserve"> версии 3</w:t>
      </w:r>
      <w:r>
        <w:t>. В одном запросе допускается передача нескольких блоков СЗБД во вложении, содержащих сведения о записи. Для каждого блока СЗБД во вложении будет сформирован и направлен отдельный ответ.</w:t>
      </w:r>
    </w:p>
    <w:p w14:paraId="28010000">
      <w:pPr>
        <w:spacing w:after="0"/>
        <w:ind w:firstLine="708"/>
        <w:rPr>
          <w:b w:val="1"/>
          <w:color w:val="000000"/>
        </w:rPr>
      </w:pPr>
      <w:r>
        <w:rPr>
          <w:b w:val="1"/>
          <w:color w:val="000000"/>
        </w:rPr>
        <w:t>2.1.4. И</w:t>
      </w:r>
      <w:r>
        <w:rPr>
          <w:b w:val="1"/>
          <w:color w:val="000000"/>
        </w:rPr>
        <w:t>нтеграции с ГИС ЕЦП по сведениям об инвалидности и ИПРА</w:t>
      </w:r>
    </w:p>
    <w:p w14:paraId="29010000">
      <w:pPr>
        <w:spacing w:after="0"/>
        <w:ind w:firstLine="708"/>
      </w:pPr>
      <w:r>
        <w:t>1. Подсистема должна включать в себя:</w:t>
      </w:r>
    </w:p>
    <w:p w14:paraId="2A010000">
      <w:pPr>
        <w:numPr>
          <w:ilvl w:val="0"/>
          <w:numId w:val="3"/>
        </w:numPr>
        <w:spacing w:after="0"/>
        <w:ind/>
      </w:pPr>
      <w:r>
        <w:t>возможность получения из ГИС ЕЦП сведений об инвалидности и ИПРА посредством СМЭВ;</w:t>
      </w:r>
    </w:p>
    <w:p w14:paraId="2B010000">
      <w:pPr>
        <w:numPr>
          <w:ilvl w:val="0"/>
          <w:numId w:val="3"/>
        </w:numPr>
        <w:spacing w:after="0"/>
        <w:ind/>
      </w:pPr>
      <w:r>
        <w:t>возможность импорта сведений об инвалидности и ИПРА, полученных из ГИС ЕЦП, в Систему;</w:t>
      </w:r>
    </w:p>
    <w:p w14:paraId="2C010000">
      <w:pPr>
        <w:numPr>
          <w:ilvl w:val="0"/>
          <w:numId w:val="3"/>
        </w:numPr>
        <w:spacing w:after="0"/>
        <w:ind/>
      </w:pPr>
      <w:r>
        <w:t>возможность записи в Систему сведений об инвалидности и ИПРА;</w:t>
      </w:r>
    </w:p>
    <w:p w14:paraId="2D010000">
      <w:pPr>
        <w:numPr>
          <w:ilvl w:val="0"/>
          <w:numId w:val="3"/>
        </w:numPr>
        <w:spacing w:after="0"/>
        <w:ind/>
      </w:pPr>
      <w:r>
        <w:t>возможность отбора сведений о реализации ИПРА инвалида (ребенка-инвалида) и формирования в файл в соответствии с форматом в Альбоме форматов для размещения ОИВ субъекта РФ в ГИС ЕЦП;</w:t>
      </w:r>
    </w:p>
    <w:p w14:paraId="2E010000">
      <w:pPr>
        <w:numPr>
          <w:ilvl w:val="0"/>
          <w:numId w:val="3"/>
        </w:numPr>
        <w:spacing w:after="0"/>
        <w:ind/>
      </w:pPr>
      <w:r>
        <w:t>возможность передачи файлов со сведениями о результатах исполнения ИПРА посредством СМЭВ в ГИС ЕЦП органами исполнительной власти субъектов Российской Федерации.</w:t>
      </w:r>
    </w:p>
    <w:p w14:paraId="2F010000">
      <w:pPr>
        <w:spacing w:after="0"/>
        <w:ind w:firstLine="708"/>
      </w:pPr>
      <w:r>
        <w:t>2. В целях исполнения работ Заказчик обязан предоставить актуальные данные:</w:t>
      </w:r>
    </w:p>
    <w:p w14:paraId="30010000">
      <w:pPr>
        <w:numPr>
          <w:ilvl w:val="0"/>
          <w:numId w:val="4"/>
        </w:numPr>
        <w:spacing w:after="0"/>
        <w:ind/>
      </w:pPr>
      <w:r>
        <w:t>xsd-схемы;</w:t>
      </w:r>
    </w:p>
    <w:p w14:paraId="31010000">
      <w:pPr>
        <w:numPr>
          <w:ilvl w:val="0"/>
          <w:numId w:val="4"/>
        </w:numPr>
        <w:spacing w:after="0"/>
        <w:ind/>
      </w:pPr>
      <w:r>
        <w:t>методические рекомендации с форматами данных;</w:t>
      </w:r>
    </w:p>
    <w:p w14:paraId="32010000">
      <w:pPr>
        <w:numPr>
          <w:ilvl w:val="0"/>
          <w:numId w:val="4"/>
        </w:numPr>
        <w:spacing w:after="0"/>
        <w:ind/>
      </w:pPr>
      <w:r>
        <w:t>адрес для подключения к видам сведений;</w:t>
      </w:r>
    </w:p>
    <w:p w14:paraId="33010000">
      <w:pPr>
        <w:numPr>
          <w:ilvl w:val="0"/>
          <w:numId w:val="4"/>
        </w:numPr>
        <w:spacing w:after="0"/>
        <w:ind/>
      </w:pPr>
      <w:r>
        <w:t>описание простых типов схем, схемы унифицированных типов;</w:t>
      </w:r>
    </w:p>
    <w:p w14:paraId="34010000">
      <w:pPr>
        <w:numPr>
          <w:ilvl w:val="0"/>
          <w:numId w:val="4"/>
        </w:numPr>
        <w:spacing w:after="0"/>
        <w:ind/>
      </w:pPr>
      <w:r>
        <w:t>примеры заполнения xml-файлов;</w:t>
      </w:r>
    </w:p>
    <w:p w14:paraId="35010000">
      <w:pPr>
        <w:numPr>
          <w:ilvl w:val="0"/>
          <w:numId w:val="4"/>
        </w:numPr>
        <w:spacing w:after="0"/>
        <w:ind/>
      </w:pPr>
      <w:r>
        <w:t>руководства пользователя ВС в СМЭВ;</w:t>
      </w:r>
    </w:p>
    <w:p w14:paraId="36010000">
      <w:pPr>
        <w:numPr>
          <w:ilvl w:val="0"/>
          <w:numId w:val="4"/>
        </w:numPr>
        <w:spacing w:after="0"/>
        <w:ind/>
      </w:pPr>
      <w:r>
        <w:t>коды справочников ЕСНСИ.</w:t>
      </w:r>
    </w:p>
    <w:p w14:paraId="37010000">
      <w:pPr>
        <w:spacing w:after="0"/>
        <w:ind w:firstLine="708"/>
      </w:pPr>
      <w:r>
        <w:t xml:space="preserve">2.3. </w:t>
      </w:r>
      <w:r>
        <w:rPr>
          <w:u w:val="single"/>
        </w:rPr>
        <w:t>Подсистема интеграции с ГИС ЕЦП</w:t>
      </w:r>
    </w:p>
    <w:p w14:paraId="38010000">
      <w:pPr>
        <w:spacing w:after="0"/>
        <w:ind w:firstLine="708"/>
      </w:pPr>
      <w:r>
        <w:t>В подсистеме должны быть реализованы:</w:t>
      </w:r>
    </w:p>
    <w:p w14:paraId="39010000">
      <w:pPr>
        <w:numPr>
          <w:ilvl w:val="0"/>
          <w:numId w:val="5"/>
        </w:numPr>
        <w:spacing w:after="0"/>
        <w:ind/>
      </w:pPr>
      <w:r>
        <w:t>интеграция с ГИС ЕЦП с помощью ВС "Рассылка сведений об инвалидности и индивидуальной программе реабилитации и абилитации" в СМЭВ;</w:t>
      </w:r>
    </w:p>
    <w:p w14:paraId="3A010000">
      <w:pPr>
        <w:numPr>
          <w:ilvl w:val="0"/>
          <w:numId w:val="5"/>
        </w:numPr>
        <w:spacing w:after="0"/>
        <w:ind/>
      </w:pPr>
      <w:r>
        <w:t>механизм взаимодействия с ВС "Рассылка сведений об инвалидности и индивидуальной программе реабилитации и абилитации" по каналам СМЭВ-3 в продуктивную среду актуальной версии;</w:t>
      </w:r>
    </w:p>
    <w:p w14:paraId="3B010000">
      <w:pPr>
        <w:numPr>
          <w:ilvl w:val="0"/>
          <w:numId w:val="5"/>
        </w:numPr>
        <w:spacing w:after="0"/>
        <w:ind/>
      </w:pPr>
      <w:r>
        <w:t>механизм формирования выгрузки в файл сведений о реализации ИПРА инвалида (ребенка-инвалида) в соответствии с актуальным форматом (Альбом форматов ЕЦП, "IIPRA") - "Сведения о реализации индивидуальной программы реабилитации и абилитации инвалида и индивидуальной программы реабилитации и абилитации ребёнка-инвалида, размещаемые органами исполнительной власти субъектов Российской Федерации в ГИС ЕЦП;</w:t>
      </w:r>
    </w:p>
    <w:p w14:paraId="3C010000">
      <w:pPr>
        <w:numPr>
          <w:ilvl w:val="0"/>
          <w:numId w:val="5"/>
        </w:numPr>
        <w:spacing w:after="0"/>
        <w:ind/>
      </w:pPr>
      <w:r>
        <w:t>механизм передачи файлов со сведениями о результатах исполнения ИПРА посредством СМЭВ в ГИС ЕЦП органами исполнительной власти субъектов Российской Федерации.</w:t>
      </w:r>
    </w:p>
    <w:p w14:paraId="3D010000">
      <w:pPr>
        <w:spacing w:after="0"/>
        <w:ind w:firstLine="708"/>
      </w:pPr>
      <w:r>
        <w:t>3. ВС "Рассылка сведений об инвалидности и индивидуальной программе реабилитации и абилитации"</w:t>
      </w:r>
    </w:p>
    <w:p w14:paraId="3E010000">
      <w:pPr>
        <w:spacing w:after="0"/>
        <w:ind w:firstLine="708"/>
      </w:pPr>
      <w:r>
        <w:t>Доступ для подключения к ВС "Рассылка сведений об инвалидности и индивидуальной программе реабилитации и абилитации" в единой системе межведомственного электронного взаимодействия с помощью СМЭВ в ЛКУВ получает Заказчик.</w:t>
      </w:r>
    </w:p>
    <w:p w14:paraId="3F010000">
      <w:pPr>
        <w:spacing w:after="0"/>
        <w:ind w:firstLine="708"/>
      </w:pPr>
      <w:r>
        <w:t>Для получения в инициативном порядке без запроса выписки ИПРА из ГИС ЕЦП, которая содержит сведения, необходимые для исполнения ИПРА органами исполнительной власти субъектов Российской Федерации используется ВС "Рассылка сведений об инвалидности и индивидуальной программе реабилитации и абилитации".</w:t>
      </w:r>
    </w:p>
    <w:p w14:paraId="40010000">
      <w:pPr>
        <w:spacing w:after="0"/>
        <w:ind w:firstLine="708"/>
      </w:pPr>
      <w:r>
        <w:t xml:space="preserve">Актуальная информация о виде сведения для  получения из ГИС ФРИ сведений об инвалидности и ИПРА посредством СМЭВ размещена на портале в личном кабинете участника взаимодействия </w:t>
      </w:r>
      <w:r>
        <w:rPr>
          <w:color w:val="0000FF"/>
          <w:u w:val="single"/>
        </w:rPr>
        <w:fldChar w:fldCharType="begin"/>
      </w:r>
      <w:r>
        <w:rPr>
          <w:color w:val="0000FF"/>
          <w:u w:val="single"/>
        </w:rPr>
        <w:instrText>HYPERLINK "https://lkuv.gosuslugi.ru/paip-portal/#/inquiries/fd949d5b-ad2f-454c-b323-5efe8e2e49a8/versions/ab71be3a-a06c-45c4-a66f-122dfdb7a902?area=PROD"</w:instrText>
      </w:r>
      <w:r>
        <w:rPr>
          <w:color w:val="0000FF"/>
          <w:u w:val="single"/>
        </w:rPr>
        <w:fldChar w:fldCharType="separate"/>
      </w:r>
      <w:r>
        <w:rPr>
          <w:color w:val="0000FF"/>
          <w:u w:val="single"/>
        </w:rPr>
        <w:t>https://lkuv.gosuslugi.ru/paip-portal/#/inquiries/fd949d5b-ad2f-454c-b323-5efe8e2e49a8/versions/ab71be3a-a06c-45c4-a66f-122dfdb7a902?area=PROD</w:t>
      </w:r>
      <w:r>
        <w:rPr>
          <w:color w:val="0000FF"/>
          <w:u w:val="single"/>
        </w:rPr>
        <w:fldChar w:fldCharType="end"/>
      </w:r>
      <w:r>
        <w:t>.</w:t>
      </w:r>
      <w:r>
        <w:br/>
      </w:r>
      <w:r>
        <w:br/>
      </w:r>
      <w:r>
        <w:t>Описание версии вида сведения "Рассылка сведений об инвалидности и индивидуальной программе реабилитации и абилитации":</w:t>
      </w:r>
    </w:p>
    <w:tbl>
      <w:tblPr>
        <w:tblStyle w:val="Style_4"/>
        <w:tblW w:type="auto" w:w="0"/>
        <w:tblBorders>
          <w:top w:color="000000" w:sz="6" w:val="single"/>
          <w:left w:color="000000" w:sz="6" w:val="single"/>
          <w:bottom w:color="000000" w:sz="6" w:val="single"/>
          <w:right w:color="000000" w:sz="6" w:val="single"/>
        </w:tblBorders>
        <w:tblLayout w:type="fixed"/>
        <w:tblCellMar>
          <w:top w:type="dxa" w:w="15"/>
          <w:left w:type="dxa" w:w="15"/>
          <w:bottom w:type="dxa" w:w="15"/>
          <w:right w:type="dxa" w:w="15"/>
        </w:tblCellMar>
      </w:tblPr>
      <w:tblGrid>
        <w:gridCol w:w="4825"/>
        <w:gridCol w:w="3776"/>
      </w:tblGrid>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1010000">
            <w:pPr>
              <w:spacing w:after="0"/>
              <w:ind w:firstLine="708"/>
            </w:pPr>
            <w:r>
              <w:t>Предполагается ли передача вложений по BC</w:t>
            </w:r>
          </w:p>
        </w:tc>
        <w:tc>
          <w:tcPr>
            <w:tcW w:type="dxa" w:w="377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2010000">
            <w:pPr>
              <w:spacing w:after="0"/>
              <w:ind w:firstLine="708"/>
            </w:pPr>
            <w:r>
              <w:t>Да</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3010000">
            <w:pPr>
              <w:spacing w:after="0"/>
              <w:ind w:firstLine="708"/>
            </w:pPr>
            <w:r>
              <w:t>Версия BC</w:t>
            </w:r>
          </w:p>
        </w:tc>
        <w:tc>
          <w:tcPr>
            <w:tcW w:type="dxa" w:w="377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4010000">
            <w:pPr>
              <w:spacing w:after="0"/>
              <w:ind w:firstLine="708"/>
            </w:pPr>
            <w:r>
              <w:t>1.0.1</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5010000">
            <w:pPr>
              <w:spacing w:after="0"/>
              <w:ind w:firstLine="708"/>
            </w:pPr>
            <w:r>
              <w:t>URI</w:t>
            </w:r>
          </w:p>
        </w:tc>
        <w:tc>
          <w:tcPr>
            <w:tcW w:type="dxa" w:w="377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6010000">
            <w:pPr>
              <w:spacing w:after="0"/>
              <w:ind/>
            </w:pPr>
            <w:r>
              <w:rPr>
                <w:color w:val="0000FF"/>
                <w:u w:val="single"/>
              </w:rPr>
              <w:fldChar w:fldCharType="begin"/>
            </w:r>
            <w:r>
              <w:rPr>
                <w:color w:val="0000FF"/>
                <w:u w:val="single"/>
              </w:rPr>
              <w:instrText>HYPERLINK "urn://iis.ecp.ru/mse-invipra-info/1.0.1"</w:instrText>
            </w:r>
            <w:r>
              <w:rPr>
                <w:color w:val="0000FF"/>
                <w:u w:val="single"/>
              </w:rPr>
              <w:fldChar w:fldCharType="separate"/>
            </w:r>
            <w:r>
              <w:rPr>
                <w:color w:val="0000FF"/>
                <w:u w:val="single"/>
              </w:rPr>
              <w:t>urn://iis.ecp.ru/mse-invipra-info/1.0.1</w:t>
            </w:r>
            <w:r>
              <w:rPr>
                <w:color w:val="0000FF"/>
                <w:u w:val="single"/>
              </w:rPr>
              <w:fldChar w:fldCharType="end"/>
            </w:r>
          </w:p>
        </w:tc>
      </w:tr>
    </w:tbl>
    <w:p w14:paraId="47010000">
      <w:pPr>
        <w:spacing w:after="0"/>
        <w:ind w:firstLine="708"/>
      </w:pPr>
      <w:r>
        <w:t>4. ВС "Прием сведений по исполнению индивидуальной программы реабилитации и абилитации инвалида (ребенка-инвалида)"</w:t>
      </w:r>
    </w:p>
    <w:p w14:paraId="48010000">
      <w:pPr>
        <w:spacing w:after="0"/>
        <w:ind w:firstLine="708"/>
      </w:pPr>
      <w:r>
        <w:t>Доступ для подключения к ВС "Прием сведений по исполнению индивидуальной программы реабилитации и абилитации инвалида (ребенка-инвалида)" в единой системе межведомственного электронного взаимодействия с помощью СМЭВ в ЛКУВ получает Заказчик.</w:t>
      </w:r>
    </w:p>
    <w:p w14:paraId="49010000">
      <w:pPr>
        <w:spacing w:after="0"/>
        <w:ind w:firstLine="708"/>
      </w:pPr>
      <w:r>
        <w:t>Для формирования сведений о результатах исполнения ИПРА и передачи в ГИС ЕЦП органами исполнительной власти субъектов Российской Федерации используется ВС "Прием сведений по исполнению индивидуальной программы реабилитации и абилитации инвалида (ребенка-инвалида)".</w:t>
      </w:r>
    </w:p>
    <w:p w14:paraId="4A010000">
      <w:pPr>
        <w:spacing w:after="0"/>
        <w:ind w:firstLine="708"/>
      </w:pPr>
      <w:r>
        <w:t xml:space="preserve">Актуальная информация о виде сведения для передачи сведений результатах исполнения ИПРА посредством СМЭВ размещена на портале в личном кабинете участника взаимодействия: </w:t>
      </w:r>
      <w:r>
        <w:rPr>
          <w:color w:val="0000FF"/>
          <w:u w:val="single"/>
        </w:rPr>
        <w:fldChar w:fldCharType="begin"/>
      </w:r>
      <w:r>
        <w:rPr>
          <w:color w:val="0000FF"/>
          <w:u w:val="single"/>
        </w:rPr>
        <w:instrText>HYPERLINK "https://lkuv.gosuslugi.ru/paip-portal/#/inquiries/card/d7b2a664-40f5-4bcc-8c78-3adb58ed687b?2%5Btab%5D=PROD&amp;tab=2"</w:instrText>
      </w:r>
      <w:r>
        <w:rPr>
          <w:color w:val="0000FF"/>
          <w:u w:val="single"/>
        </w:rPr>
        <w:fldChar w:fldCharType="separate"/>
      </w:r>
      <w:r>
        <w:rPr>
          <w:color w:val="0000FF"/>
          <w:u w:val="single"/>
        </w:rPr>
        <w:t>https://lkuv.gosuslugi.ru/paip-portal/#/inquiries/card/d7b2a664-40f5-4bcc-8c78-3adb58ed687b?2%5Btab%5D=PROD&amp;tab=2</w:t>
      </w:r>
      <w:r>
        <w:rPr>
          <w:color w:val="0000FF"/>
          <w:u w:val="single"/>
        </w:rPr>
        <w:fldChar w:fldCharType="end"/>
      </w:r>
      <w:r>
        <w:t>.</w:t>
      </w:r>
      <w:r>
        <w:br/>
      </w:r>
      <w:r>
        <w:br/>
      </w:r>
      <w:r>
        <w:t>Описание версии вида сведения "Прием сведений по исполнению индивидуальной программы реабилитации и абилитации инвалида (ребенка-инвалида)":</w:t>
      </w:r>
    </w:p>
    <w:tbl>
      <w:tblPr>
        <w:tblStyle w:val="Style_4"/>
        <w:tblW w:type="auto" w:w="0"/>
        <w:tblBorders>
          <w:top w:color="000000" w:sz="6" w:val="single"/>
          <w:left w:color="000000" w:sz="6" w:val="single"/>
          <w:bottom w:color="000000" w:sz="6" w:val="single"/>
          <w:right w:color="000000" w:sz="6" w:val="single"/>
        </w:tblBorders>
        <w:tblLayout w:type="fixed"/>
        <w:tblCellMar>
          <w:top w:type="dxa" w:w="15"/>
          <w:left w:type="dxa" w:w="15"/>
          <w:bottom w:type="dxa" w:w="15"/>
          <w:right w:type="dxa" w:w="15"/>
        </w:tblCellMar>
      </w:tblPr>
      <w:tblGrid>
        <w:gridCol w:w="4825"/>
        <w:gridCol w:w="4016"/>
      </w:tblGrid>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B010000">
            <w:pPr>
              <w:spacing w:after="0"/>
              <w:ind w:firstLine="708"/>
            </w:pPr>
            <w:r>
              <w:t>Предполагается ли передача вложений по BC</w:t>
            </w:r>
          </w:p>
        </w:tc>
        <w:tc>
          <w:tcPr>
            <w:tcW w:type="dxa" w:w="401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C010000">
            <w:pPr>
              <w:spacing w:after="0"/>
              <w:ind w:firstLine="708"/>
            </w:pPr>
            <w:r>
              <w:t>Да</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D010000">
            <w:pPr>
              <w:spacing w:after="0"/>
              <w:ind w:firstLine="708"/>
            </w:pPr>
            <w:r>
              <w:t>Версия BC</w:t>
            </w:r>
          </w:p>
        </w:tc>
        <w:tc>
          <w:tcPr>
            <w:tcW w:type="dxa" w:w="401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E010000">
            <w:pPr>
              <w:spacing w:after="0"/>
              <w:ind w:firstLine="708"/>
            </w:pPr>
            <w:r>
              <w:t>1.0.0</w:t>
            </w:r>
          </w:p>
        </w:tc>
      </w:tr>
      <w:tr>
        <w:tc>
          <w:tcPr>
            <w:tcW w:type="dxa" w:w="4825"/>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4F010000">
            <w:pPr>
              <w:spacing w:after="0"/>
              <w:ind w:firstLine="708"/>
            </w:pPr>
            <w:r>
              <w:t>URI</w:t>
            </w:r>
          </w:p>
        </w:tc>
        <w:tc>
          <w:tcPr>
            <w:tcW w:type="dxa" w:w="4016"/>
            <w:tcBorders>
              <w:top w:color="000000" w:sz="6" w:val="single"/>
              <w:left w:color="000000" w:sz="6" w:val="single"/>
              <w:bottom w:color="000000" w:sz="6" w:val="single"/>
              <w:right w:color="000000" w:sz="6" w:val="single"/>
            </w:tcBorders>
            <w:tcMar>
              <w:top w:type="dxa" w:w="75"/>
              <w:left w:type="dxa" w:w="75"/>
              <w:bottom w:type="dxa" w:w="75"/>
              <w:right w:type="dxa" w:w="75"/>
            </w:tcMar>
            <w:vAlign w:val="center"/>
          </w:tcPr>
          <w:p w14:paraId="50010000">
            <w:pPr>
              <w:spacing w:after="0"/>
              <w:ind/>
            </w:pPr>
            <w:r>
              <w:rPr>
                <w:color w:val="0000FF"/>
                <w:u w:val="single"/>
              </w:rPr>
              <w:fldChar w:fldCharType="begin"/>
            </w:r>
            <w:r>
              <w:rPr>
                <w:color w:val="0000FF"/>
                <w:u w:val="single"/>
              </w:rPr>
              <w:instrText>HYPERLINK "urn://iis.ecp.ru/execution-ipra-info/1.0.0"</w:instrText>
            </w:r>
            <w:r>
              <w:rPr>
                <w:color w:val="0000FF"/>
                <w:u w:val="single"/>
              </w:rPr>
              <w:fldChar w:fldCharType="separate"/>
            </w:r>
            <w:r>
              <w:rPr>
                <w:color w:val="0000FF"/>
                <w:u w:val="single"/>
              </w:rPr>
              <w:t>urn://iis.ecp.ru/execution-ipra-info/1.0.0</w:t>
            </w:r>
            <w:r>
              <w:rPr>
                <w:color w:val="0000FF"/>
                <w:u w:val="single"/>
              </w:rPr>
              <w:fldChar w:fldCharType="end"/>
            </w:r>
          </w:p>
        </w:tc>
      </w:tr>
    </w:tbl>
    <w:p w14:paraId="51010000">
      <w:pPr>
        <w:spacing w:after="0"/>
        <w:ind w:firstLine="708"/>
      </w:pPr>
      <w:r>
        <w:t>5. Подсистема интеграции со СМЭВ 3.0</w:t>
      </w:r>
    </w:p>
    <w:p w14:paraId="52010000">
      <w:pPr>
        <w:spacing w:after="0"/>
        <w:ind w:firstLine="708"/>
      </w:pPr>
      <w:r>
        <w:t xml:space="preserve">Обмен данными осуществляется с использованием защищенной сети СМЭВ 3 в соответствии с актуальной версией Методических рекомендаций по работе с Единой системой межведомственного электронного взаимодействия версия 3.X.X.X. </w:t>
      </w:r>
    </w:p>
    <w:p w14:paraId="53010000">
      <w:pPr>
        <w:spacing w:after="0"/>
        <w:ind w:firstLine="708"/>
      </w:pPr>
      <w:r>
        <w:t>Функции формирования запросов, получения ответов должны работать в полуавтоматическом режиме. Запуск функций - по команде специалиста.</w:t>
      </w:r>
    </w:p>
    <w:p w14:paraId="54010000">
      <w:pPr>
        <w:spacing w:after="0"/>
        <w:ind w:firstLine="708"/>
      </w:pPr>
      <w:r>
        <w:t>Функции информационного обмена и протоколирования должны работать в автоматическом режиме, начиная работать сразу при получении необходимых данных. Диагностирование системы осуществляется администратором на основе сообщений в протоколе и лог(xml) файлах. Хранимые xml-файлы могут быть извлечены администратором и использованы для решения спорных ситуаций с поставщиками данных и службой поддержки СМЭВ 3.</w:t>
      </w:r>
    </w:p>
    <w:p w14:paraId="55010000">
      <w:pPr>
        <w:spacing w:after="0"/>
        <w:ind w:firstLine="708"/>
      </w:pPr>
      <w:r>
        <w:t>Работы по организации доступа к СМЭВ. Исполнитель консультирует и оказывает помощь в подготовке документов для регистрации информационной системы в СМЭВ и на всём пути организации необходимого уровня взаимодействия Системы со СМЭВ.</w:t>
      </w:r>
    </w:p>
    <w:p w14:paraId="56010000">
      <w:pPr>
        <w:spacing w:after="0"/>
        <w:ind w:firstLine="708"/>
      </w:pPr>
      <w:r>
        <w:t>Актуальные форматы, описание схем (XSD) и контрольные примеры файлов вложений для получения выписок ИПРА из ГИС ЕЦП размещаются на сайте Социального Фонда России в разделе: "Главная/Дополнительная информация/Форматы, формы документов/Альбом форматов ЕЦП" по адресу: "</w:t>
      </w:r>
      <w:r>
        <w:rPr>
          <w:color w:val="0000FF"/>
          <w:u w:val="single"/>
        </w:rPr>
        <w:fldChar w:fldCharType="begin"/>
      </w:r>
      <w:r>
        <w:rPr>
          <w:color w:val="0000FF"/>
          <w:u w:val="single"/>
        </w:rPr>
        <w:instrText>HYPERLINK "https://sfr.gov.ru/info/af/af_ecp"</w:instrText>
      </w:r>
      <w:r>
        <w:rPr>
          <w:color w:val="0000FF"/>
          <w:u w:val="single"/>
        </w:rPr>
        <w:fldChar w:fldCharType="separate"/>
      </w:r>
      <w:r>
        <w:rPr>
          <w:color w:val="0000FF"/>
          <w:u w:val="single"/>
        </w:rPr>
        <w:t>https://sfr.gov.ru/info/af/af_ecp</w:t>
      </w:r>
      <w:r>
        <w:rPr>
          <w:color w:val="0000FF"/>
          <w:u w:val="single"/>
        </w:rPr>
        <w:fldChar w:fldCharType="end"/>
      </w:r>
      <w:r>
        <w:t>".</w:t>
      </w:r>
    </w:p>
    <w:p w14:paraId="57010000">
      <w:pPr>
        <w:spacing w:after="0"/>
        <w:ind w:firstLine="708"/>
      </w:pPr>
    </w:p>
    <w:p w14:paraId="58010000">
      <w:pPr>
        <w:spacing w:after="0"/>
        <w:ind/>
        <w:rPr>
          <w:b w:val="1"/>
          <w:color w:val="000000"/>
        </w:rPr>
      </w:pPr>
      <w:r>
        <w:rPr>
          <w:b w:val="1"/>
          <w:color w:val="000000"/>
        </w:rPr>
        <w:t xml:space="preserve">          3. Описание и качественные характеристики услуг</w:t>
      </w:r>
    </w:p>
    <w:p w14:paraId="59010000">
      <w:pPr>
        <w:spacing w:after="0" w:line="120" w:lineRule="auto"/>
        <w:ind/>
        <w:jc w:val="center"/>
        <w:rPr>
          <w:b w:val="1"/>
          <w:color w:val="000000"/>
        </w:rPr>
      </w:pPr>
    </w:p>
    <w:p w14:paraId="5A010000">
      <w:pPr>
        <w:spacing w:after="0"/>
        <w:ind w:left="567"/>
        <w:rPr>
          <w:b w:val="1"/>
          <w:color w:val="000000"/>
        </w:rPr>
      </w:pPr>
      <w:r>
        <w:rPr>
          <w:b w:val="1"/>
          <w:color w:val="000000"/>
        </w:rPr>
        <w:t>3.1. Назначение и область применения программного комплекса АС «АСП»</w:t>
      </w:r>
    </w:p>
    <w:p w14:paraId="5B010000">
      <w:pPr>
        <w:spacing w:after="0"/>
        <w:ind w:left="-76"/>
        <w:rPr>
          <w:b w:val="1"/>
          <w:color w:val="000000"/>
        </w:rPr>
      </w:pPr>
    </w:p>
    <w:p w14:paraId="5C010000">
      <w:pPr>
        <w:spacing w:after="0"/>
        <w:ind w:firstLine="709"/>
        <w:rPr>
          <w:color w:val="000000"/>
        </w:rPr>
      </w:pPr>
      <w:r>
        <w:rPr>
          <w:color w:val="000000"/>
        </w:rPr>
        <w:t>Автоматизированная система «АСП» была внедрена в Министерстве труда, занятости и социального развития Чеченской Республики в рамках государственного контракта от 03.07.2018г. № 993615.</w:t>
      </w:r>
    </w:p>
    <w:p w14:paraId="5D010000">
      <w:pPr>
        <w:spacing w:after="0"/>
        <w:ind w:firstLine="709"/>
        <w:rPr>
          <w:color w:val="000000"/>
        </w:rPr>
      </w:pPr>
      <w:r>
        <w:rPr>
          <w:color w:val="000000"/>
        </w:rPr>
        <w:t xml:space="preserve">Обновленная </w:t>
      </w:r>
      <w:r>
        <w:rPr>
          <w:color w:val="000000"/>
        </w:rPr>
        <w:t>версия программного обеспечения АС «АСП» поставляется в целях обновления функционала программного обеспечения.</w:t>
      </w:r>
    </w:p>
    <w:p w14:paraId="5E010000">
      <w:pPr>
        <w:spacing w:after="0"/>
        <w:ind w:firstLine="709"/>
        <w:rPr>
          <w:color w:val="000000"/>
        </w:rPr>
      </w:pPr>
      <w:r>
        <w:rPr>
          <w:color w:val="000000"/>
        </w:rPr>
        <w:t xml:space="preserve">АС «АСП» обеспечивает </w:t>
      </w:r>
      <w:r>
        <w:rPr>
          <w:color w:val="000000"/>
        </w:rPr>
        <w:t>единую информационную систему в сфере социальной защиты населения с адресным предоставлением мер социальной поддержки</w:t>
      </w:r>
      <w:r>
        <w:rPr>
          <w:color w:val="000000"/>
        </w:rPr>
        <w:t>.</w:t>
      </w:r>
    </w:p>
    <w:p w14:paraId="5F010000">
      <w:pPr>
        <w:spacing w:after="0"/>
        <w:ind w:firstLine="720"/>
        <w:rPr>
          <w:color w:val="000000"/>
        </w:rPr>
      </w:pPr>
      <w:r>
        <w:rPr>
          <w:color w:val="000000"/>
        </w:rPr>
        <w:t>АС «</w:t>
      </w:r>
      <w:r>
        <w:rPr>
          <w:color w:val="000000"/>
        </w:rPr>
        <w:t>АСП</w:t>
      </w:r>
      <w:r>
        <w:rPr>
          <w:color w:val="000000"/>
        </w:rPr>
        <w:t>» включена в единый реестр российских программ для электронных вычислительных машин и баз данных.</w:t>
      </w:r>
    </w:p>
    <w:p w14:paraId="60010000">
      <w:pPr>
        <w:tabs>
          <w:tab w:leader="none" w:pos="142" w:val="left"/>
          <w:tab w:leader="none" w:pos="851" w:val="left"/>
        </w:tabs>
        <w:spacing w:after="0"/>
        <w:ind w:firstLine="709"/>
      </w:pPr>
      <w:r>
        <w:rPr>
          <w:color w:val="000000"/>
        </w:rPr>
        <w:t>АС «</w:t>
      </w:r>
      <w:r>
        <w:rPr>
          <w:color w:val="000000"/>
        </w:rPr>
        <w:t>АСП</w:t>
      </w:r>
      <w:r>
        <w:rPr>
          <w:color w:val="000000"/>
        </w:rPr>
        <w:t xml:space="preserve">» </w:t>
      </w:r>
      <w:r>
        <w:t>имеет трехзвенную архитектуру. Основными компонентами являются:</w:t>
      </w:r>
    </w:p>
    <w:p w14:paraId="61010000">
      <w:pPr>
        <w:tabs>
          <w:tab w:leader="none" w:pos="142" w:val="left"/>
          <w:tab w:leader="none" w:pos="851" w:val="left"/>
          <w:tab w:leader="none" w:pos="993" w:val="left"/>
          <w:tab w:leader="none" w:pos="2062" w:val="left"/>
        </w:tabs>
        <w:spacing w:after="0"/>
        <w:ind w:firstLine="709"/>
      </w:pPr>
      <w:r>
        <w:t>- сервер баз данных;</w:t>
      </w:r>
    </w:p>
    <w:p w14:paraId="62010000">
      <w:pPr>
        <w:tabs>
          <w:tab w:leader="none" w:pos="142" w:val="left"/>
          <w:tab w:leader="none" w:pos="851" w:val="left"/>
          <w:tab w:leader="none" w:pos="993" w:val="left"/>
          <w:tab w:leader="none" w:pos="2062" w:val="left"/>
        </w:tabs>
        <w:spacing w:after="0"/>
        <w:ind w:firstLine="709"/>
      </w:pPr>
      <w:r>
        <w:t>- сервер приложений;</w:t>
      </w:r>
    </w:p>
    <w:p w14:paraId="63010000">
      <w:pPr>
        <w:tabs>
          <w:tab w:leader="none" w:pos="142" w:val="left"/>
          <w:tab w:leader="none" w:pos="851" w:val="left"/>
          <w:tab w:leader="none" w:pos="993" w:val="left"/>
          <w:tab w:leader="none" w:pos="2062" w:val="left"/>
        </w:tabs>
        <w:spacing w:after="0"/>
        <w:ind w:firstLine="709"/>
      </w:pPr>
      <w:r>
        <w:t>- клиентское приложение.</w:t>
      </w:r>
    </w:p>
    <w:p w14:paraId="64010000">
      <w:pPr>
        <w:tabs>
          <w:tab w:leader="none" w:pos="142" w:val="left"/>
          <w:tab w:leader="none" w:pos="851" w:val="left"/>
        </w:tabs>
        <w:spacing w:after="0"/>
        <w:ind w:firstLine="709"/>
      </w:pPr>
      <w:r>
        <w:t xml:space="preserve">Сервер баз данных обеспечивает хранение всей информации, используемой </w:t>
      </w:r>
      <w:r>
        <w:rPr>
          <w:color w:val="000000"/>
        </w:rPr>
        <w:t>АС «</w:t>
      </w:r>
      <w:r>
        <w:rPr>
          <w:color w:val="000000"/>
        </w:rPr>
        <w:t>АСП</w:t>
      </w:r>
      <w:r>
        <w:rPr>
          <w:color w:val="000000"/>
        </w:rPr>
        <w:t xml:space="preserve">» </w:t>
      </w:r>
      <w:r>
        <w:t>в процессе функционирования, предоставляет доступ к информации для сервера приложений.</w:t>
      </w:r>
    </w:p>
    <w:p w14:paraId="65010000">
      <w:pPr>
        <w:tabs>
          <w:tab w:leader="none" w:pos="142" w:val="left"/>
          <w:tab w:leader="none" w:pos="851" w:val="left"/>
        </w:tabs>
        <w:spacing w:after="0"/>
        <w:ind w:firstLine="709"/>
      </w:pPr>
      <w:r>
        <w:t xml:space="preserve">Сервер приложений реализует бизнес-логику работы </w:t>
      </w:r>
      <w:r>
        <w:rPr>
          <w:color w:val="000000"/>
        </w:rPr>
        <w:t>АС «</w:t>
      </w:r>
      <w:r>
        <w:rPr>
          <w:color w:val="000000"/>
        </w:rPr>
        <w:t>АСП</w:t>
      </w:r>
      <w:r>
        <w:rPr>
          <w:color w:val="000000"/>
        </w:rPr>
        <w:t>»</w:t>
      </w:r>
      <w:r>
        <w:t>. Он получает команды на выполнение той или иной обработки от клиентского приложения и информацию для обработки от сервера баз данных, обрабатывает информацию, размещает результат обработки на сервере баз данных (при необходимости) и предоставляет его клиентскому приложению для отображения пользователю.</w:t>
      </w:r>
    </w:p>
    <w:p w14:paraId="66010000">
      <w:pPr>
        <w:tabs>
          <w:tab w:leader="none" w:pos="142" w:val="left"/>
          <w:tab w:leader="none" w:pos="851" w:val="left"/>
        </w:tabs>
        <w:spacing w:after="0"/>
        <w:ind w:firstLine="709"/>
      </w:pPr>
      <w:r>
        <w:t>Клиентское приложение взаимодействует с пользователем, предоставляя ему возможность давать команды на выполнение обработки информации и отображать результат обработки. В качестве клиентского приложения выступает интернет-браузер. Обеспечивается доступность и корректность отображения пользовательского интерфейса в браузере: Яндекс Браузер.</w:t>
      </w:r>
    </w:p>
    <w:p w14:paraId="67010000">
      <w:pPr>
        <w:tabs>
          <w:tab w:leader="none" w:pos="142" w:val="left"/>
          <w:tab w:leader="none" w:pos="851" w:val="left"/>
        </w:tabs>
        <w:spacing w:after="0"/>
        <w:ind w:firstLine="709"/>
      </w:pPr>
      <w:r>
        <w:t xml:space="preserve">Сервер баз данных и сервер приложений </w:t>
      </w:r>
      <w:r>
        <w:rPr>
          <w:color w:val="000000"/>
        </w:rPr>
        <w:t>АС «</w:t>
      </w:r>
      <w:r>
        <w:rPr>
          <w:color w:val="000000"/>
        </w:rPr>
        <w:t>АСП</w:t>
      </w:r>
      <w:r>
        <w:rPr>
          <w:color w:val="000000"/>
        </w:rPr>
        <w:t xml:space="preserve">» </w:t>
      </w:r>
      <w:r>
        <w:t>устанавливаются на региональном уровне и обслуживают единую региональную базу данных либо набор баз данных ЦЗН, установленных в ЦОД. Каждое клиентское приложение получает доступ к серверу приложений по защищенному каналу связи.</w:t>
      </w:r>
    </w:p>
    <w:p w14:paraId="68010000">
      <w:pPr>
        <w:tabs>
          <w:tab w:leader="none" w:pos="142" w:val="left"/>
          <w:tab w:leader="none" w:pos="851" w:val="left"/>
        </w:tabs>
        <w:spacing w:after="0"/>
        <w:ind w:firstLine="709"/>
      </w:pPr>
    </w:p>
    <w:p w14:paraId="69010000">
      <w:pPr>
        <w:spacing w:after="0" w:line="264" w:lineRule="auto"/>
        <w:ind/>
        <w:rPr>
          <w:b w:val="1"/>
          <w:color w:val="000000"/>
        </w:rPr>
      </w:pPr>
      <w:r>
        <w:rPr>
          <w:b w:val="1"/>
          <w:color w:val="000000"/>
        </w:rPr>
        <w:t xml:space="preserve">Состав и назначение функциональных подсистем </w:t>
      </w:r>
      <w:r>
        <w:rPr>
          <w:b w:val="1"/>
          <w:color w:val="000000"/>
        </w:rPr>
        <w:t>АС «</w:t>
      </w:r>
      <w:r>
        <w:rPr>
          <w:b w:val="1"/>
          <w:color w:val="000000"/>
        </w:rPr>
        <w:t>АСП</w:t>
      </w:r>
      <w:r>
        <w:rPr>
          <w:b w:val="1"/>
          <w:color w:val="000000"/>
        </w:rPr>
        <w:t>»</w:t>
      </w:r>
    </w:p>
    <w:p w14:paraId="6A010000">
      <w:pPr>
        <w:spacing w:after="0" w:line="264" w:lineRule="auto"/>
        <w:ind w:firstLine="709"/>
        <w:jc w:val="center"/>
        <w:rPr>
          <w:b w:val="1"/>
          <w:color w:val="000000"/>
        </w:rPr>
      </w:pPr>
      <w:r>
        <w:rPr>
          <w:b w:val="1"/>
          <w:color w:val="000000"/>
        </w:rPr>
        <w:t xml:space="preserve">                                                                                                                  Таблица 2</w:t>
      </w:r>
    </w:p>
    <w:tbl>
      <w:tblPr>
        <w:tblStyle w:val="Style_4"/>
        <w:tblW w:type="auto" w:w="0"/>
        <w:tblLayout w:type="fixed"/>
        <w:tblCellMar>
          <w:left w:type="dxa" w:w="28"/>
          <w:right w:type="dxa" w:w="28"/>
        </w:tblCellMar>
      </w:tblPr>
      <w:tblGrid>
        <w:gridCol w:w="701"/>
        <w:gridCol w:w="3263"/>
        <w:gridCol w:w="5387"/>
      </w:tblGrid>
      <w:tr>
        <w:trPr>
          <w:tblHeader/>
        </w:trPr>
        <w:tc>
          <w:tcPr>
            <w:tcW w:type="dxa" w:w="701"/>
            <w:tcBorders>
              <w:top w:color="000000" w:sz="4" w:val="single"/>
              <w:left w:color="000000" w:sz="4" w:val="single"/>
              <w:bottom w:color="000000" w:sz="4" w:val="single"/>
            </w:tcBorders>
            <w:shd w:fill="auto" w:val="clear"/>
            <w:tcMar>
              <w:left w:type="dxa" w:w="28"/>
              <w:right w:type="dxa" w:w="28"/>
            </w:tcMar>
            <w:vAlign w:val="center"/>
          </w:tcPr>
          <w:p w14:paraId="6B010000">
            <w:pPr>
              <w:spacing w:after="0"/>
              <w:ind/>
              <w:jc w:val="right"/>
              <w:rPr>
                <w:b w:val="1"/>
                <w:color w:val="000000"/>
              </w:rPr>
            </w:pPr>
            <w:r>
              <w:rPr>
                <w:b w:val="1"/>
                <w:color w:val="000000"/>
              </w:rPr>
              <w:t>№ п/п</w:t>
            </w:r>
          </w:p>
        </w:tc>
        <w:tc>
          <w:tcPr>
            <w:tcW w:type="dxa" w:w="3263"/>
            <w:tcBorders>
              <w:top w:color="000000" w:sz="4" w:val="single"/>
              <w:left w:color="000000" w:sz="4" w:val="single"/>
              <w:bottom w:color="000000" w:sz="4" w:val="single"/>
            </w:tcBorders>
            <w:shd w:fill="auto" w:val="clear"/>
            <w:tcMar>
              <w:left w:type="dxa" w:w="28"/>
              <w:right w:type="dxa" w:w="28"/>
            </w:tcMar>
            <w:vAlign w:val="center"/>
          </w:tcPr>
          <w:p w14:paraId="6C010000">
            <w:pPr>
              <w:spacing w:after="0"/>
              <w:ind/>
              <w:jc w:val="center"/>
              <w:rPr>
                <w:b w:val="1"/>
                <w:color w:val="000000"/>
              </w:rPr>
            </w:pPr>
            <w:r>
              <w:rPr>
                <w:b w:val="1"/>
                <w:color w:val="000000"/>
              </w:rPr>
              <w:t>Наименование подсистемы</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vAlign w:val="center"/>
          </w:tcPr>
          <w:p w14:paraId="6D010000">
            <w:pPr>
              <w:spacing w:after="0"/>
              <w:ind/>
              <w:jc w:val="center"/>
              <w:rPr>
                <w:color w:val="000000"/>
              </w:rPr>
            </w:pPr>
            <w:r>
              <w:rPr>
                <w:b w:val="1"/>
                <w:color w:val="000000"/>
              </w:rPr>
              <w:t>Основное назначение подсистемы</w:t>
            </w:r>
          </w:p>
        </w:tc>
      </w:tr>
      <w:tr>
        <w:tc>
          <w:tcPr>
            <w:tcW w:type="dxa" w:w="701"/>
            <w:tcBorders>
              <w:top w:color="000000" w:sz="4" w:val="single"/>
              <w:left w:color="000000" w:sz="4" w:val="single"/>
              <w:bottom w:color="000000" w:sz="4" w:val="single"/>
            </w:tcBorders>
            <w:shd w:fill="auto" w:val="clear"/>
            <w:tcMar>
              <w:left w:type="dxa" w:w="28"/>
              <w:right w:type="dxa" w:w="28"/>
            </w:tcMar>
          </w:tcPr>
          <w:p w14:paraId="6E010000">
            <w:pPr>
              <w:spacing w:after="0"/>
              <w:ind/>
              <w:jc w:val="center"/>
              <w:rPr>
                <w:color w:val="000000"/>
              </w:rPr>
            </w:pPr>
            <w:r>
              <w:rPr>
                <w:color w:val="000000"/>
              </w:rPr>
              <w:t>1</w:t>
            </w:r>
          </w:p>
        </w:tc>
        <w:tc>
          <w:tcPr>
            <w:tcW w:type="dxa" w:w="3263"/>
            <w:tcBorders>
              <w:top w:color="000000" w:sz="4" w:val="single"/>
              <w:left w:color="000000" w:sz="4" w:val="single"/>
              <w:bottom w:color="000000" w:sz="4" w:val="single"/>
            </w:tcBorders>
            <w:shd w:fill="auto" w:val="clear"/>
            <w:tcMar>
              <w:left w:type="dxa" w:w="28"/>
              <w:right w:type="dxa" w:w="28"/>
            </w:tcMar>
          </w:tcPr>
          <w:p w14:paraId="6F010000">
            <w:pPr>
              <w:spacing w:after="0"/>
              <w:ind/>
              <w:rPr>
                <w:color w:val="000000"/>
              </w:rPr>
            </w:pPr>
            <w:r>
              <w:rPr>
                <w:color w:val="000000"/>
              </w:rPr>
              <w:t>Учетная подсистема</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70010000">
            <w:pPr>
              <w:spacing w:after="0"/>
              <w:ind/>
              <w:rPr>
                <w:color w:val="000000"/>
              </w:rPr>
            </w:pPr>
            <w:r>
              <w:rPr>
                <w:color w:val="000000"/>
              </w:rPr>
              <w:t>Подсистема предназначена для организации единой службы приема по принципу «одно окно». Она должна решать задачи, связанные с приемом граждан, оказанием им справочно-консультационных услуг, регистрацией заявлений и обращений граждан, постановкой граждан на учет и создание электронного личного дела, формированием семейных групп граждан, необходимые для принятия решений и автоматизации предоставления (назначения и выплаты) мер социальной поддержки. Подсистема должна позволять вести регистр граждан, обращавшихся в органы социальной защиты и (или) имеющих (имевших) право на социальные услуги, меры социальной поддержки (социальные пособия, льготы, компенсации, субсидии, социальные услуги и пр.), а также регистр адресов (сведений об адресах проживания и регистрации граждан).</w:t>
            </w:r>
          </w:p>
        </w:tc>
      </w:tr>
      <w:tr>
        <w:tc>
          <w:tcPr>
            <w:tcW w:type="dxa" w:w="701"/>
            <w:tcBorders>
              <w:top w:color="000000" w:sz="4" w:val="single"/>
              <w:left w:color="000000" w:sz="4" w:val="single"/>
              <w:bottom w:color="000000" w:sz="4" w:val="single"/>
            </w:tcBorders>
            <w:shd w:fill="auto" w:val="clear"/>
            <w:tcMar>
              <w:left w:type="dxa" w:w="28"/>
              <w:right w:type="dxa" w:w="28"/>
            </w:tcMar>
          </w:tcPr>
          <w:p w14:paraId="71010000">
            <w:pPr>
              <w:spacing w:after="0"/>
              <w:ind/>
              <w:jc w:val="center"/>
              <w:rPr>
                <w:color w:val="000000"/>
              </w:rPr>
            </w:pPr>
            <w:r>
              <w:rPr>
                <w:color w:val="000000"/>
              </w:rPr>
              <w:t>2</w:t>
            </w:r>
          </w:p>
        </w:tc>
        <w:tc>
          <w:tcPr>
            <w:tcW w:type="dxa" w:w="3263"/>
            <w:tcBorders>
              <w:top w:color="000000" w:sz="4" w:val="single"/>
              <w:left w:color="000000" w:sz="4" w:val="single"/>
              <w:bottom w:color="000000" w:sz="4" w:val="single"/>
            </w:tcBorders>
            <w:shd w:fill="auto" w:val="clear"/>
            <w:tcMar>
              <w:left w:type="dxa" w:w="28"/>
              <w:right w:type="dxa" w:w="28"/>
            </w:tcMar>
          </w:tcPr>
          <w:p w14:paraId="72010000">
            <w:pPr>
              <w:spacing w:after="0"/>
              <w:ind/>
              <w:rPr>
                <w:color w:val="000000"/>
              </w:rPr>
            </w:pPr>
            <w:r>
              <w:rPr>
                <w:color w:val="000000"/>
              </w:rPr>
              <w:t>Подсистема назначения пособий гражданам, имеющим детей</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73010000">
            <w:pPr>
              <w:spacing w:after="0"/>
              <w:ind/>
              <w:rPr>
                <w:color w:val="000000"/>
              </w:rPr>
            </w:pPr>
            <w:r>
              <w:rPr>
                <w:color w:val="000000"/>
              </w:rPr>
              <w:t xml:space="preserve">Подсистема предназначена для организации единого учета граждан, имеющих детей, </w:t>
            </w:r>
            <w:r>
              <w:rPr>
                <w:color w:val="000000"/>
              </w:rPr>
              <w:t xml:space="preserve">автоматизации процессов </w:t>
            </w:r>
            <w:r>
              <w:rPr>
                <w:color w:val="000000"/>
              </w:rPr>
              <w:t>назначения и выплаты мер социальной поддержки, на которые они имеют право.</w:t>
            </w:r>
          </w:p>
        </w:tc>
      </w:tr>
      <w:tr>
        <w:tc>
          <w:tcPr>
            <w:tcW w:type="dxa" w:w="701"/>
            <w:tcBorders>
              <w:top w:color="000000" w:sz="4" w:val="single"/>
              <w:left w:color="000000" w:sz="4" w:val="single"/>
              <w:bottom w:color="000000" w:sz="4" w:val="single"/>
            </w:tcBorders>
            <w:shd w:fill="auto" w:val="clear"/>
            <w:tcMar>
              <w:left w:type="dxa" w:w="28"/>
              <w:right w:type="dxa" w:w="28"/>
            </w:tcMar>
          </w:tcPr>
          <w:p w14:paraId="74010000">
            <w:pPr>
              <w:spacing w:after="0"/>
              <w:ind/>
              <w:jc w:val="center"/>
              <w:rPr>
                <w:color w:val="000000"/>
              </w:rPr>
            </w:pPr>
            <w:r>
              <w:rPr>
                <w:color w:val="000000"/>
              </w:rPr>
              <w:t>3</w:t>
            </w:r>
          </w:p>
        </w:tc>
        <w:tc>
          <w:tcPr>
            <w:tcW w:type="dxa" w:w="3263"/>
            <w:tcBorders>
              <w:top w:color="000000" w:sz="4" w:val="single"/>
              <w:left w:color="000000" w:sz="4" w:val="single"/>
              <w:bottom w:color="000000" w:sz="4" w:val="single"/>
            </w:tcBorders>
            <w:shd w:fill="auto" w:val="clear"/>
            <w:tcMar>
              <w:left w:type="dxa" w:w="28"/>
              <w:right w:type="dxa" w:w="28"/>
            </w:tcMar>
          </w:tcPr>
          <w:p w14:paraId="75010000">
            <w:pPr>
              <w:spacing w:after="0"/>
              <w:ind/>
              <w:rPr>
                <w:color w:val="000000"/>
              </w:rPr>
            </w:pPr>
            <w:r>
              <w:rPr>
                <w:color w:val="000000"/>
              </w:rPr>
              <w:t>Подсистема назначения и выплат ежемесячных, ежегодных, компенсационных денежных выплат (ЕДВ)</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76010000">
            <w:pPr>
              <w:widowControl w:val="0"/>
              <w:spacing w:after="0"/>
              <w:ind/>
              <w:rPr>
                <w:color w:val="000000"/>
              </w:rPr>
            </w:pPr>
            <w:r>
              <w:rPr>
                <w:color w:val="000000"/>
              </w:rPr>
              <w:t xml:space="preserve">Подсистема предназначена для организации единого учета граждан, имеющих льготные категории, </w:t>
            </w:r>
            <w:r>
              <w:rPr>
                <w:color w:val="000000"/>
              </w:rPr>
              <w:t xml:space="preserve">автоматизации процессов </w:t>
            </w:r>
            <w:r>
              <w:rPr>
                <w:color w:val="000000"/>
              </w:rPr>
              <w:t>назначения и выплаты мер социальной поддержки, на которые они имеют право.</w:t>
            </w:r>
          </w:p>
        </w:tc>
      </w:tr>
      <w:tr>
        <w:tc>
          <w:tcPr>
            <w:tcW w:type="dxa" w:w="701"/>
            <w:tcBorders>
              <w:top w:color="000000" w:sz="4" w:val="single"/>
              <w:left w:color="000000" w:sz="4" w:val="single"/>
              <w:bottom w:color="000000" w:sz="4" w:val="single"/>
            </w:tcBorders>
            <w:shd w:fill="auto" w:val="clear"/>
            <w:tcMar>
              <w:left w:type="dxa" w:w="28"/>
              <w:right w:type="dxa" w:w="28"/>
            </w:tcMar>
          </w:tcPr>
          <w:p w14:paraId="77010000">
            <w:pPr>
              <w:spacing w:after="0"/>
              <w:ind/>
              <w:jc w:val="center"/>
              <w:rPr>
                <w:color w:val="000000"/>
              </w:rPr>
            </w:pPr>
            <w:r>
              <w:rPr>
                <w:color w:val="000000"/>
              </w:rPr>
              <w:t>4</w:t>
            </w:r>
          </w:p>
        </w:tc>
        <w:tc>
          <w:tcPr>
            <w:tcW w:type="dxa" w:w="3263"/>
            <w:tcBorders>
              <w:top w:color="000000" w:sz="4" w:val="single"/>
              <w:left w:color="000000" w:sz="4" w:val="single"/>
              <w:bottom w:color="000000" w:sz="4" w:val="single"/>
            </w:tcBorders>
            <w:shd w:fill="auto" w:val="clear"/>
            <w:tcMar>
              <w:left w:type="dxa" w:w="28"/>
              <w:right w:type="dxa" w:w="28"/>
            </w:tcMar>
          </w:tcPr>
          <w:p w14:paraId="78010000">
            <w:pPr>
              <w:spacing w:after="0"/>
              <w:ind/>
              <w:rPr>
                <w:color w:val="000000"/>
              </w:rPr>
            </w:pPr>
            <w:r>
              <w:rPr>
                <w:color w:val="000000"/>
              </w:rPr>
              <w:t>Подсистема назначения и выплаты субсидий на оплату жилья и жилищно-коммунальных услуг</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79010000">
            <w:pPr>
              <w:widowControl w:val="0"/>
              <w:spacing w:after="0"/>
              <w:ind/>
              <w:rPr>
                <w:color w:val="000000"/>
              </w:rPr>
            </w:pPr>
            <w:r>
              <w:rPr>
                <w:color w:val="000000"/>
              </w:rPr>
              <w:t>Подсистема предназначена для назначения жилищных субсидий гражданам Российской Федерации, зарегистрированных по месту жительства в пределах Чеченской республики. Позволяет специалистам выполнить с использованием компьютера весь спектр работ, от приема заявления на субсидию до выдачи документов о назначенных субсидиях и получения различных отчетов о предоставленных субсидиях.</w:t>
            </w:r>
          </w:p>
        </w:tc>
      </w:tr>
      <w:tr>
        <w:tc>
          <w:tcPr>
            <w:tcW w:type="dxa" w:w="701"/>
            <w:tcBorders>
              <w:top w:color="000000" w:sz="4" w:val="single"/>
              <w:left w:color="000000" w:sz="4" w:val="single"/>
              <w:bottom w:color="000000" w:sz="4" w:val="single"/>
            </w:tcBorders>
            <w:shd w:fill="auto" w:val="clear"/>
            <w:tcMar>
              <w:left w:type="dxa" w:w="28"/>
              <w:right w:type="dxa" w:w="28"/>
            </w:tcMar>
          </w:tcPr>
          <w:p w14:paraId="7A010000">
            <w:pPr>
              <w:spacing w:after="0"/>
              <w:ind/>
              <w:jc w:val="center"/>
              <w:rPr>
                <w:color w:val="000000"/>
              </w:rPr>
            </w:pPr>
            <w:r>
              <w:rPr>
                <w:color w:val="000000"/>
              </w:rPr>
              <w:t>5</w:t>
            </w:r>
          </w:p>
        </w:tc>
        <w:tc>
          <w:tcPr>
            <w:tcW w:type="dxa" w:w="3263"/>
            <w:tcBorders>
              <w:top w:color="000000" w:sz="4" w:val="single"/>
              <w:left w:color="000000" w:sz="4" w:val="single"/>
              <w:bottom w:color="000000" w:sz="4" w:val="single"/>
            </w:tcBorders>
            <w:shd w:fill="auto" w:val="clear"/>
            <w:tcMar>
              <w:left w:type="dxa" w:w="28"/>
              <w:right w:type="dxa" w:w="28"/>
            </w:tcMar>
          </w:tcPr>
          <w:p w14:paraId="7B010000">
            <w:pPr>
              <w:spacing w:after="0"/>
              <w:ind/>
              <w:rPr>
                <w:color w:val="000000"/>
              </w:rPr>
            </w:pPr>
            <w:r>
              <w:rPr>
                <w:color w:val="000000"/>
              </w:rPr>
              <w:t>Подсистема назначения и выплаты ежемесячной денежной компенсации расходов на оплату жилого помещения и коммунальных услуг, в том числе на оплату взносов на капитальный ремонт</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7C010000">
            <w:pPr>
              <w:widowControl w:val="0"/>
              <w:spacing w:after="0"/>
              <w:ind/>
              <w:rPr>
                <w:color w:val="000000"/>
              </w:rPr>
            </w:pPr>
            <w:r>
              <w:rPr>
                <w:color w:val="000000"/>
              </w:rPr>
              <w:t>Подсистема предназначена для учета граждан, имеющих право на меры социальной поддержки по оплате ЖКУ, назначения и выплаты им мер социальной поддержки в виде компенсации на оплату жилого помещения и коммунальных услуг, предусмотренных федеральным и региональным законодательством.</w:t>
            </w:r>
          </w:p>
        </w:tc>
      </w:tr>
      <w:tr>
        <w:tc>
          <w:tcPr>
            <w:tcW w:type="dxa" w:w="701"/>
            <w:tcBorders>
              <w:top w:color="000000" w:sz="4" w:val="single"/>
              <w:left w:color="000000" w:sz="4" w:val="single"/>
              <w:bottom w:color="000000" w:sz="4" w:val="single"/>
            </w:tcBorders>
            <w:shd w:fill="auto" w:val="clear"/>
            <w:tcMar>
              <w:left w:type="dxa" w:w="28"/>
              <w:right w:type="dxa" w:w="28"/>
            </w:tcMar>
          </w:tcPr>
          <w:p w14:paraId="7D010000">
            <w:pPr>
              <w:spacing w:after="0"/>
              <w:ind/>
              <w:jc w:val="center"/>
              <w:rPr>
                <w:color w:val="000000"/>
              </w:rPr>
            </w:pPr>
            <w:r>
              <w:rPr>
                <w:color w:val="000000"/>
              </w:rPr>
              <w:t>6</w:t>
            </w:r>
          </w:p>
        </w:tc>
        <w:tc>
          <w:tcPr>
            <w:tcW w:type="dxa" w:w="3263"/>
            <w:tcBorders>
              <w:top w:color="000000" w:sz="4" w:val="single"/>
              <w:left w:color="000000" w:sz="4" w:val="single"/>
              <w:bottom w:color="000000" w:sz="4" w:val="single"/>
            </w:tcBorders>
            <w:shd w:fill="auto" w:val="clear"/>
            <w:tcMar>
              <w:left w:type="dxa" w:w="28"/>
              <w:right w:type="dxa" w:w="28"/>
            </w:tcMar>
          </w:tcPr>
          <w:p w14:paraId="7E010000">
            <w:pPr>
              <w:spacing w:after="0"/>
              <w:ind/>
              <w:rPr>
                <w:color w:val="000000"/>
              </w:rPr>
            </w:pPr>
            <w:r>
              <w:rPr>
                <w:color w:val="000000"/>
              </w:rPr>
              <w:t xml:space="preserve">Подсистема социального </w:t>
            </w:r>
            <w:r>
              <w:rPr>
                <w:color w:val="000000"/>
              </w:rPr>
              <w:t>обслуживания</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7F010000">
            <w:pPr>
              <w:widowControl w:val="0"/>
              <w:spacing w:after="0"/>
              <w:ind/>
              <w:rPr>
                <w:color w:val="000000"/>
              </w:rPr>
            </w:pPr>
            <w:r>
              <w:rPr>
                <w:color w:val="000000"/>
              </w:rPr>
              <w:t xml:space="preserve">Подсистема предназначена обеспечить </w:t>
            </w:r>
            <w:r>
              <w:rPr>
                <w:color w:val="000000"/>
              </w:rPr>
              <w:t>функционирование следующих задач:</w:t>
            </w:r>
          </w:p>
          <w:p w14:paraId="80010000">
            <w:pPr>
              <w:widowControl w:val="0"/>
              <w:spacing w:after="0"/>
              <w:ind/>
              <w:rPr>
                <w:color w:val="000000"/>
              </w:rPr>
            </w:pPr>
            <w:r>
              <w:rPr>
                <w:color w:val="000000"/>
              </w:rPr>
              <w:t>- учет граждан, которые признаны нуждающимися в социальном обслуживании и которым предоставляются социальные услуги (Регистр получателей социальных услуг);</w:t>
            </w:r>
          </w:p>
          <w:p w14:paraId="81010000">
            <w:pPr>
              <w:widowControl w:val="0"/>
              <w:spacing w:after="0"/>
              <w:ind/>
              <w:rPr>
                <w:color w:val="000000"/>
              </w:rPr>
            </w:pPr>
            <w:r>
              <w:rPr>
                <w:color w:val="000000"/>
              </w:rPr>
              <w:t>- учет сведений об учреждениях социального обслуживания (Реестр поставщиков социальных услуг);</w:t>
            </w:r>
          </w:p>
          <w:p w14:paraId="82010000">
            <w:pPr>
              <w:widowControl w:val="0"/>
              <w:spacing w:after="0"/>
              <w:ind/>
              <w:rPr>
                <w:color w:val="000000"/>
              </w:rPr>
            </w:pPr>
            <w:r>
              <w:rPr>
                <w:color w:val="000000"/>
              </w:rPr>
              <w:t>- прием заявлений граждан на социальное обслуживание, заключение договоров получателей социальных услуг с поставщиками социальных услуг и учет оплаты за оказанные услуги (Социальные службы).</w:t>
            </w:r>
          </w:p>
        </w:tc>
      </w:tr>
      <w:tr>
        <w:tc>
          <w:tcPr>
            <w:tcW w:type="dxa" w:w="701"/>
            <w:tcBorders>
              <w:top w:color="000000" w:sz="4" w:val="single"/>
              <w:left w:color="000000" w:sz="4" w:val="single"/>
              <w:bottom w:color="000000" w:sz="4" w:val="single"/>
            </w:tcBorders>
            <w:shd w:fill="auto" w:val="clear"/>
            <w:tcMar>
              <w:left w:type="dxa" w:w="28"/>
              <w:right w:type="dxa" w:w="28"/>
            </w:tcMar>
          </w:tcPr>
          <w:p w14:paraId="83010000">
            <w:pPr>
              <w:spacing w:after="0"/>
              <w:ind/>
              <w:jc w:val="center"/>
              <w:rPr>
                <w:color w:val="000000"/>
              </w:rPr>
            </w:pPr>
            <w:r>
              <w:rPr>
                <w:color w:val="000000"/>
              </w:rPr>
              <w:t>7</w:t>
            </w:r>
          </w:p>
        </w:tc>
        <w:tc>
          <w:tcPr>
            <w:tcW w:type="dxa" w:w="3263"/>
            <w:tcBorders>
              <w:top w:color="000000" w:sz="4" w:val="single"/>
              <w:left w:color="000000" w:sz="4" w:val="single"/>
              <w:bottom w:color="000000" w:sz="4" w:val="single"/>
            </w:tcBorders>
            <w:shd w:fill="auto" w:val="clear"/>
            <w:tcMar>
              <w:left w:type="dxa" w:w="28"/>
              <w:right w:type="dxa" w:w="28"/>
            </w:tcMar>
          </w:tcPr>
          <w:p w14:paraId="84010000">
            <w:pPr>
              <w:spacing w:after="0"/>
              <w:ind/>
              <w:rPr>
                <w:color w:val="000000"/>
              </w:rPr>
            </w:pPr>
            <w:r>
              <w:rPr>
                <w:color w:val="000000"/>
              </w:rPr>
              <w:t>Подсистема региональной базы данных</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85010000">
            <w:pPr>
              <w:widowControl w:val="0"/>
              <w:spacing w:after="0"/>
              <w:ind/>
              <w:rPr>
                <w:color w:val="000000"/>
              </w:rPr>
            </w:pPr>
            <w:r>
              <w:rPr>
                <w:color w:val="000000"/>
              </w:rPr>
              <w:t>Подсистема региональной базы данных должна обеспечивать построение единой БД для получения на региональном уровне единого социального регистра населения региона, выполнения контрольных функций, разграничение прав доступа к данным, получение разноуровневой отчетности и статистики и иных функций.</w:t>
            </w:r>
          </w:p>
        </w:tc>
      </w:tr>
      <w:tr>
        <w:tc>
          <w:tcPr>
            <w:tcW w:type="dxa" w:w="701"/>
            <w:tcBorders>
              <w:top w:color="000000" w:sz="4" w:val="single"/>
              <w:left w:color="000000" w:sz="4" w:val="single"/>
              <w:bottom w:color="000000" w:sz="4" w:val="single"/>
            </w:tcBorders>
            <w:shd w:fill="auto" w:val="clear"/>
            <w:tcMar>
              <w:left w:type="dxa" w:w="28"/>
              <w:right w:type="dxa" w:w="28"/>
            </w:tcMar>
          </w:tcPr>
          <w:p w14:paraId="86010000">
            <w:pPr>
              <w:spacing w:after="0"/>
              <w:ind/>
              <w:jc w:val="center"/>
              <w:rPr>
                <w:color w:val="000000"/>
              </w:rPr>
            </w:pPr>
            <w:r>
              <w:rPr>
                <w:color w:val="000000"/>
              </w:rPr>
              <w:t>8</w:t>
            </w:r>
          </w:p>
        </w:tc>
        <w:tc>
          <w:tcPr>
            <w:tcW w:type="dxa" w:w="3263"/>
            <w:tcBorders>
              <w:top w:color="000000" w:sz="4" w:val="single"/>
              <w:left w:color="000000" w:sz="4" w:val="single"/>
              <w:bottom w:color="000000" w:sz="4" w:val="single"/>
            </w:tcBorders>
            <w:shd w:fill="auto" w:val="clear"/>
            <w:tcMar>
              <w:left w:type="dxa" w:w="28"/>
              <w:right w:type="dxa" w:w="28"/>
            </w:tcMar>
          </w:tcPr>
          <w:p w14:paraId="87010000">
            <w:pPr>
              <w:spacing w:after="0"/>
              <w:ind/>
              <w:rPr>
                <w:color w:val="000000"/>
              </w:rPr>
            </w:pPr>
            <w:r>
              <w:rPr>
                <w:color w:val="000000"/>
              </w:rPr>
              <w:t>Подсистема внутреннего информационного обмена</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88010000">
            <w:pPr>
              <w:spacing w:after="0"/>
              <w:ind/>
              <w:rPr>
                <w:color w:val="000000"/>
              </w:rPr>
            </w:pPr>
            <w:r>
              <w:rPr>
                <w:color w:val="000000"/>
              </w:rPr>
              <w:t xml:space="preserve">Подсистема предназначена для обеспечения информационного взаимодействия между участниками Системы с целью поддержания актуальности информации. </w:t>
            </w:r>
          </w:p>
        </w:tc>
      </w:tr>
      <w:tr>
        <w:tc>
          <w:tcPr>
            <w:tcW w:type="dxa" w:w="701"/>
            <w:tcBorders>
              <w:top w:color="000000" w:sz="4" w:val="single"/>
              <w:left w:color="000000" w:sz="4" w:val="single"/>
              <w:bottom w:color="000000" w:sz="4" w:val="single"/>
            </w:tcBorders>
            <w:shd w:fill="auto" w:val="clear"/>
            <w:tcMar>
              <w:left w:type="dxa" w:w="28"/>
              <w:right w:type="dxa" w:w="28"/>
            </w:tcMar>
          </w:tcPr>
          <w:p w14:paraId="89010000">
            <w:pPr>
              <w:spacing w:after="0"/>
              <w:ind/>
              <w:jc w:val="center"/>
              <w:rPr>
                <w:color w:val="000000"/>
              </w:rPr>
            </w:pPr>
            <w:r>
              <w:rPr>
                <w:color w:val="000000"/>
              </w:rPr>
              <w:t>9</w:t>
            </w:r>
          </w:p>
        </w:tc>
        <w:tc>
          <w:tcPr>
            <w:tcW w:type="dxa" w:w="3263"/>
            <w:tcBorders>
              <w:top w:color="000000" w:sz="4" w:val="single"/>
              <w:left w:color="000000" w:sz="4" w:val="single"/>
              <w:bottom w:color="000000" w:sz="4" w:val="single"/>
            </w:tcBorders>
            <w:shd w:fill="auto" w:val="clear"/>
            <w:tcMar>
              <w:left w:type="dxa" w:w="28"/>
              <w:right w:type="dxa" w:w="28"/>
            </w:tcMar>
          </w:tcPr>
          <w:p w14:paraId="8A010000">
            <w:pPr>
              <w:spacing w:after="0"/>
              <w:ind/>
              <w:rPr>
                <w:color w:val="000000"/>
              </w:rPr>
            </w:pPr>
            <w:r>
              <w:rPr>
                <w:color w:val="000000"/>
              </w:rPr>
              <w:t>Подсистема «Отчеты, статистика, аналитика»</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8B010000">
            <w:pPr>
              <w:widowControl w:val="0"/>
              <w:spacing w:after="0"/>
              <w:ind/>
              <w:rPr>
                <w:color w:val="000000"/>
              </w:rPr>
            </w:pPr>
            <w:r>
              <w:rPr>
                <w:color w:val="000000"/>
              </w:rPr>
              <w:t>Подсистема предназначена для обеспечения поиска и выборки данных по заданным критериям, оперативного анализа данных в БД, построения статистических и аналитических отчетов.</w:t>
            </w:r>
          </w:p>
        </w:tc>
      </w:tr>
      <w:tr>
        <w:tc>
          <w:tcPr>
            <w:tcW w:type="dxa" w:w="701"/>
            <w:tcBorders>
              <w:top w:color="000000" w:sz="4" w:val="single"/>
              <w:left w:color="000000" w:sz="4" w:val="single"/>
              <w:bottom w:color="000000" w:sz="4" w:val="single"/>
            </w:tcBorders>
            <w:shd w:fill="auto" w:val="clear"/>
            <w:tcMar>
              <w:left w:type="dxa" w:w="28"/>
              <w:right w:type="dxa" w:w="28"/>
            </w:tcMar>
          </w:tcPr>
          <w:p w14:paraId="8C010000">
            <w:pPr>
              <w:spacing w:after="0"/>
              <w:ind/>
              <w:jc w:val="center"/>
              <w:rPr>
                <w:color w:val="000000"/>
              </w:rPr>
            </w:pPr>
            <w:r>
              <w:rPr>
                <w:color w:val="000000"/>
              </w:rPr>
              <w:t>10</w:t>
            </w:r>
          </w:p>
        </w:tc>
        <w:tc>
          <w:tcPr>
            <w:tcW w:type="dxa" w:w="3263"/>
            <w:tcBorders>
              <w:top w:color="000000" w:sz="4" w:val="single"/>
              <w:left w:color="000000" w:sz="4" w:val="single"/>
              <w:bottom w:color="000000" w:sz="4" w:val="single"/>
            </w:tcBorders>
            <w:shd w:fill="auto" w:val="clear"/>
            <w:tcMar>
              <w:left w:type="dxa" w:w="28"/>
              <w:right w:type="dxa" w:w="28"/>
            </w:tcMar>
          </w:tcPr>
          <w:p w14:paraId="8D010000">
            <w:pPr>
              <w:spacing w:after="0"/>
              <w:ind/>
              <w:rPr>
                <w:color w:val="000000"/>
              </w:rPr>
            </w:pPr>
            <w:r>
              <w:rPr>
                <w:color w:val="000000"/>
              </w:rPr>
              <w:t>Подсистема «Поддержка принятия решений»</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8E010000">
            <w:pPr>
              <w:spacing w:after="0"/>
              <w:ind/>
              <w:rPr>
                <w:color w:val="000000"/>
              </w:rPr>
            </w:pPr>
            <w:r>
              <w:rPr>
                <w:color w:val="000000"/>
              </w:rPr>
              <w:t xml:space="preserve">Подсистема предназначена для обеспечения информационной поддержки специалистов </w:t>
            </w:r>
            <w:r>
              <w:rPr>
                <w:color w:val="000000"/>
              </w:rPr>
              <w:t>для принятия решения о праве гражданина на назначение мер социальной поддержки</w:t>
            </w:r>
            <w:r>
              <w:rPr>
                <w:color w:val="000000"/>
              </w:rPr>
              <w:t>.</w:t>
            </w:r>
          </w:p>
        </w:tc>
      </w:tr>
      <w:tr>
        <w:tc>
          <w:tcPr>
            <w:tcW w:type="dxa" w:w="701"/>
            <w:tcBorders>
              <w:top w:color="000000" w:sz="4" w:val="single"/>
              <w:left w:color="000000" w:sz="4" w:val="single"/>
              <w:bottom w:color="000000" w:sz="4" w:val="single"/>
            </w:tcBorders>
            <w:shd w:fill="auto" w:val="clear"/>
            <w:tcMar>
              <w:left w:type="dxa" w:w="28"/>
              <w:right w:type="dxa" w:w="28"/>
            </w:tcMar>
          </w:tcPr>
          <w:p w14:paraId="8F010000">
            <w:pPr>
              <w:spacing w:after="0"/>
              <w:ind/>
              <w:jc w:val="center"/>
              <w:rPr>
                <w:color w:val="000000"/>
              </w:rPr>
            </w:pPr>
            <w:r>
              <w:rPr>
                <w:color w:val="000000"/>
              </w:rPr>
              <w:t>11</w:t>
            </w:r>
          </w:p>
        </w:tc>
        <w:tc>
          <w:tcPr>
            <w:tcW w:type="dxa" w:w="3263"/>
            <w:tcBorders>
              <w:top w:color="000000" w:sz="4" w:val="single"/>
              <w:left w:color="000000" w:sz="4" w:val="single"/>
              <w:bottom w:color="000000" w:sz="4" w:val="single"/>
            </w:tcBorders>
            <w:shd w:fill="auto" w:val="clear"/>
            <w:tcMar>
              <w:left w:type="dxa" w:w="28"/>
              <w:right w:type="dxa" w:w="28"/>
            </w:tcMar>
          </w:tcPr>
          <w:p w14:paraId="90010000">
            <w:pPr>
              <w:spacing w:after="0"/>
              <w:ind/>
              <w:rPr>
                <w:color w:val="000000"/>
              </w:rPr>
            </w:pPr>
            <w:r>
              <w:rPr>
                <w:color w:val="000000"/>
              </w:rPr>
              <w:t>Подсистема «Администрирование»</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91010000">
            <w:pPr>
              <w:spacing w:after="0"/>
              <w:ind/>
              <w:rPr>
                <w:color w:val="000000"/>
              </w:rPr>
            </w:pPr>
            <w:r>
              <w:rPr>
                <w:color w:val="000000"/>
              </w:rPr>
              <w:t>Подсистема предназначена для осуществления функций администрирования, настройки и модернизации Системы.</w:t>
            </w:r>
          </w:p>
        </w:tc>
      </w:tr>
      <w:tr>
        <w:tc>
          <w:tcPr>
            <w:tcW w:type="dxa" w:w="701"/>
            <w:tcBorders>
              <w:top w:color="000000" w:sz="4" w:val="single"/>
              <w:left w:color="000000" w:sz="4" w:val="single"/>
              <w:bottom w:color="000000" w:sz="4" w:val="single"/>
            </w:tcBorders>
            <w:shd w:fill="auto" w:val="clear"/>
            <w:tcMar>
              <w:left w:type="dxa" w:w="28"/>
              <w:right w:type="dxa" w:w="28"/>
            </w:tcMar>
          </w:tcPr>
          <w:p w14:paraId="92010000">
            <w:pPr>
              <w:spacing w:after="0"/>
              <w:ind/>
              <w:jc w:val="center"/>
              <w:rPr>
                <w:color w:val="000000"/>
              </w:rPr>
            </w:pPr>
            <w:r>
              <w:rPr>
                <w:color w:val="000000"/>
              </w:rPr>
              <w:t>12</w:t>
            </w:r>
          </w:p>
        </w:tc>
        <w:tc>
          <w:tcPr>
            <w:tcW w:type="dxa" w:w="3263"/>
            <w:tcBorders>
              <w:top w:color="000000" w:sz="4" w:val="single"/>
              <w:left w:color="000000" w:sz="4" w:val="single"/>
              <w:bottom w:color="000000" w:sz="4" w:val="single"/>
            </w:tcBorders>
            <w:shd w:fill="auto" w:val="clear"/>
            <w:tcMar>
              <w:left w:type="dxa" w:w="28"/>
              <w:right w:type="dxa" w:w="28"/>
            </w:tcMar>
          </w:tcPr>
          <w:p w14:paraId="93010000">
            <w:pPr>
              <w:spacing w:after="0"/>
              <w:ind/>
              <w:rPr>
                <w:color w:val="000000"/>
              </w:rPr>
            </w:pPr>
            <w:r>
              <w:rPr>
                <w:color w:val="000000"/>
              </w:rPr>
              <w:t>Подсистема «Безопасность»</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94010000">
            <w:pPr>
              <w:spacing w:after="0"/>
              <w:ind/>
              <w:rPr>
                <w:color w:val="000000"/>
              </w:rPr>
            </w:pPr>
            <w:r>
              <w:rPr>
                <w:color w:val="000000"/>
              </w:rPr>
              <w:t xml:space="preserve">Подсистема предназначена для обеспечения </w:t>
            </w:r>
            <w:r>
              <w:rPr>
                <w:color w:val="000000"/>
              </w:rPr>
              <w:t>защиты персональных данных в соответствии с требованиями действующего законодательства.</w:t>
            </w:r>
          </w:p>
        </w:tc>
      </w:tr>
      <w:tr>
        <w:tc>
          <w:tcPr>
            <w:tcW w:type="dxa" w:w="701"/>
            <w:tcBorders>
              <w:top w:color="000000" w:sz="4" w:val="single"/>
              <w:left w:color="000000" w:sz="4" w:val="single"/>
              <w:bottom w:color="000000" w:sz="4" w:val="single"/>
            </w:tcBorders>
            <w:shd w:fill="auto" w:val="clear"/>
            <w:tcMar>
              <w:left w:type="dxa" w:w="28"/>
              <w:right w:type="dxa" w:w="28"/>
            </w:tcMar>
          </w:tcPr>
          <w:p w14:paraId="95010000">
            <w:pPr>
              <w:spacing w:after="0"/>
              <w:ind/>
              <w:jc w:val="center"/>
              <w:rPr>
                <w:color w:val="000000"/>
              </w:rPr>
            </w:pPr>
            <w:r>
              <w:rPr>
                <w:color w:val="000000"/>
              </w:rPr>
              <w:t>13</w:t>
            </w:r>
          </w:p>
        </w:tc>
        <w:tc>
          <w:tcPr>
            <w:tcW w:type="dxa" w:w="3263"/>
            <w:tcBorders>
              <w:top w:color="000000" w:sz="4" w:val="single"/>
              <w:left w:color="000000" w:sz="4" w:val="single"/>
              <w:bottom w:color="000000" w:sz="4" w:val="single"/>
            </w:tcBorders>
            <w:shd w:fill="auto" w:val="clear"/>
            <w:tcMar>
              <w:left w:type="dxa" w:w="28"/>
              <w:right w:type="dxa" w:w="28"/>
            </w:tcMar>
          </w:tcPr>
          <w:p w14:paraId="96010000">
            <w:pPr>
              <w:spacing w:after="0"/>
              <w:ind/>
              <w:rPr>
                <w:color w:val="000000"/>
              </w:rPr>
            </w:pPr>
            <w:r>
              <w:rPr>
                <w:color w:val="000000"/>
              </w:rPr>
              <w:t>Подсистема «Интеграция с ЕГИССО»</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97010000">
            <w:pPr>
              <w:spacing w:after="0"/>
              <w:ind/>
              <w:rPr>
                <w:color w:val="000000"/>
              </w:rPr>
            </w:pPr>
            <w:r>
              <w:rPr>
                <w:color w:val="000000"/>
              </w:rPr>
              <w:t>Информационное взаимодействие с «Единой государственной информационной системой социального обеспечения» (ЕГИССО), в рамках услуг, оказываемых в подсистемах, описанных во 2 и 3 пункте таблицы.</w:t>
            </w:r>
          </w:p>
        </w:tc>
      </w:tr>
      <w:tr>
        <w:tc>
          <w:tcPr>
            <w:tcW w:type="dxa" w:w="701"/>
            <w:tcBorders>
              <w:top w:color="000000" w:sz="4" w:val="single"/>
              <w:left w:color="000000" w:sz="4" w:val="single"/>
              <w:bottom w:color="000000" w:sz="4" w:val="single"/>
            </w:tcBorders>
            <w:shd w:fill="auto" w:val="clear"/>
            <w:tcMar>
              <w:left w:type="dxa" w:w="28"/>
              <w:right w:type="dxa" w:w="28"/>
            </w:tcMar>
          </w:tcPr>
          <w:p w14:paraId="98010000">
            <w:pPr>
              <w:spacing w:after="0"/>
              <w:ind/>
              <w:jc w:val="center"/>
              <w:rPr>
                <w:color w:val="000000"/>
              </w:rPr>
            </w:pPr>
            <w:r>
              <w:rPr>
                <w:color w:val="000000"/>
              </w:rPr>
              <w:t>14</w:t>
            </w:r>
          </w:p>
        </w:tc>
        <w:tc>
          <w:tcPr>
            <w:tcW w:type="dxa" w:w="3263"/>
            <w:tcBorders>
              <w:top w:color="000000" w:sz="4" w:val="single"/>
              <w:left w:color="000000" w:sz="4" w:val="single"/>
              <w:bottom w:color="000000" w:sz="4" w:val="single"/>
            </w:tcBorders>
            <w:shd w:fill="auto" w:val="clear"/>
            <w:tcMar>
              <w:left w:type="dxa" w:w="28"/>
              <w:right w:type="dxa" w:w="28"/>
            </w:tcMar>
          </w:tcPr>
          <w:p w14:paraId="99010000">
            <w:pPr>
              <w:spacing w:after="0"/>
              <w:ind/>
              <w:rPr>
                <w:color w:val="000000"/>
              </w:rPr>
            </w:pPr>
            <w:r>
              <w:rPr>
                <w:color w:val="000000"/>
              </w:rPr>
              <w:t>Подсистема «Взаимодействие с ГИС ФРИ»</w:t>
            </w:r>
          </w:p>
        </w:tc>
        <w:tc>
          <w:tcPr>
            <w:tcW w:type="dxa" w:w="5387"/>
            <w:tcBorders>
              <w:top w:color="000000" w:sz="4" w:val="single"/>
              <w:left w:color="000000" w:sz="4" w:val="single"/>
              <w:bottom w:color="000000" w:sz="4" w:val="single"/>
              <w:right w:color="000000" w:sz="4" w:val="single"/>
            </w:tcBorders>
            <w:shd w:fill="auto" w:val="clear"/>
            <w:tcMar>
              <w:left w:type="dxa" w:w="28"/>
              <w:right w:type="dxa" w:w="28"/>
            </w:tcMar>
          </w:tcPr>
          <w:p w14:paraId="9A010000">
            <w:pPr>
              <w:spacing w:after="0"/>
              <w:ind/>
              <w:rPr>
                <w:color w:val="000000"/>
              </w:rPr>
            </w:pPr>
            <w:r>
              <w:rPr>
                <w:color w:val="000000"/>
              </w:rPr>
              <w:t xml:space="preserve">Предназначена для организации взаимодействия информационной системы регионального органа исполнительной власти, которому переданы для осуществления полномочия Российской Федерации в части исполнения мероприятий по ИПРА инвалидов, обеспечения инвалидов техническими средствами реабилитации и услугами, а также путевками на санаторно-курортное лечение в рамках оказания государственной социальной помощи в виде набора социальных услуг иных организаций, используемых при предоставлении в </w:t>
            </w:r>
            <w:r>
              <w:rPr>
                <w:color w:val="000000"/>
              </w:rPr>
              <w:t>электронной форме государственных услуг инвалидам, и иных организаций, участвующих в предоставлении таких услуг, используя ГИС ФРИ по каналам СМЭВ 3.0.</w:t>
            </w:r>
          </w:p>
        </w:tc>
      </w:tr>
    </w:tbl>
    <w:p w14:paraId="9B010000">
      <w:pPr>
        <w:tabs>
          <w:tab w:leader="none" w:pos="142" w:val="left"/>
          <w:tab w:leader="none" w:pos="993" w:val="left"/>
          <w:tab w:leader="none" w:pos="1418" w:val="left"/>
        </w:tabs>
        <w:spacing w:after="0"/>
        <w:ind/>
      </w:pPr>
    </w:p>
    <w:p w14:paraId="9C010000">
      <w:pPr>
        <w:tabs>
          <w:tab w:leader="none" w:pos="709" w:val="left"/>
          <w:tab w:leader="none" w:pos="1418" w:val="left"/>
        </w:tabs>
        <w:spacing w:after="0"/>
        <w:ind w:left="1080"/>
        <w:contextualSpacing w:val="1"/>
        <w:rPr>
          <w:b w:val="1"/>
          <w:color w:val="000000"/>
        </w:rPr>
      </w:pPr>
      <w:r>
        <w:rPr>
          <w:b w:val="1"/>
          <w:color w:val="000000"/>
        </w:rPr>
        <w:t xml:space="preserve">4. Требования к защите информации </w:t>
      </w:r>
    </w:p>
    <w:p w14:paraId="9D010000">
      <w:pPr>
        <w:tabs>
          <w:tab w:leader="none" w:pos="709" w:val="left"/>
          <w:tab w:leader="none" w:pos="1418" w:val="left"/>
        </w:tabs>
        <w:spacing w:after="0" w:line="120" w:lineRule="auto"/>
        <w:ind w:left="1440"/>
        <w:contextualSpacing w:val="1"/>
        <w:rPr>
          <w:b w:val="1"/>
          <w:color w:val="000000"/>
        </w:rPr>
      </w:pPr>
    </w:p>
    <w:p w14:paraId="9E010000">
      <w:pPr>
        <w:tabs>
          <w:tab w:leader="none" w:pos="142" w:val="left"/>
          <w:tab w:leader="none" w:pos="851" w:val="left"/>
        </w:tabs>
        <w:spacing w:after="0"/>
        <w:ind w:firstLine="709"/>
      </w:pPr>
      <w:r>
        <w:t>Учитывая важность и конфиденциальный характер информации, содержащейся в базах данных, при оказании услуг должна быть обеспечена защита информации, как от несанкционированного доступа, так и от потери и разрушения данных.</w:t>
      </w:r>
    </w:p>
    <w:p w14:paraId="9F010000">
      <w:pPr>
        <w:tabs>
          <w:tab w:leader="none" w:pos="142" w:val="left"/>
          <w:tab w:leader="none" w:pos="851" w:val="left"/>
        </w:tabs>
        <w:spacing w:after="0"/>
        <w:ind w:firstLine="709"/>
      </w:pPr>
      <w:r>
        <w:t>Защита информации в базе данных при оказании услуг должна быть обеспечена на нескольких уровнях:</w:t>
      </w:r>
    </w:p>
    <w:p w14:paraId="A0010000">
      <w:pPr>
        <w:tabs>
          <w:tab w:leader="none" w:pos="142" w:val="left"/>
          <w:tab w:leader="none" w:pos="851" w:val="left"/>
        </w:tabs>
        <w:spacing w:after="0"/>
        <w:ind w:firstLine="709"/>
      </w:pPr>
      <w:r>
        <w:t>– уровень файлов: защита жесткого диска сервера с помощью специализированного программного обеспечения;</w:t>
      </w:r>
    </w:p>
    <w:p w14:paraId="A1010000">
      <w:pPr>
        <w:tabs>
          <w:tab w:leader="none" w:pos="142" w:val="left"/>
          <w:tab w:leader="none" w:pos="851" w:val="left"/>
        </w:tabs>
        <w:spacing w:after="0"/>
        <w:ind w:firstLine="709"/>
      </w:pPr>
      <w:r>
        <w:t xml:space="preserve">– программный уровень: для защиты данных на этом уровне должна быть обеспечена система прав и паролей, предохраняющая от несанкционированного доступа к данным; </w:t>
      </w:r>
    </w:p>
    <w:p w14:paraId="A2010000">
      <w:pPr>
        <w:tabs>
          <w:tab w:leader="none" w:pos="142" w:val="left"/>
          <w:tab w:leader="none" w:pos="851" w:val="left"/>
        </w:tabs>
        <w:spacing w:after="0"/>
        <w:ind w:firstLine="709"/>
      </w:pPr>
      <w:r>
        <w:t xml:space="preserve">– протоколирование выполняемых действий по работе с базой данных, что позволит выяснить, кто и когда имел доступ к информации и какие операции выполнялись. </w:t>
      </w:r>
    </w:p>
    <w:p w14:paraId="A3010000">
      <w:pPr>
        <w:tabs>
          <w:tab w:leader="none" w:pos="142" w:val="left"/>
          <w:tab w:leader="none" w:pos="851" w:val="left"/>
        </w:tabs>
        <w:spacing w:after="0"/>
        <w:ind/>
      </w:pPr>
    </w:p>
    <w:p w14:paraId="A4010000">
      <w:pPr>
        <w:spacing w:after="0"/>
        <w:ind w:left="1080"/>
        <w:rPr>
          <w:b w:val="1"/>
          <w:color w:val="000000"/>
        </w:rPr>
      </w:pPr>
      <w:r>
        <w:rPr>
          <w:b w:val="1"/>
          <w:color w:val="000000"/>
        </w:rPr>
        <w:t>5. Место и срок оказания услуг:</w:t>
      </w:r>
    </w:p>
    <w:p w14:paraId="A5010000">
      <w:pPr>
        <w:spacing w:after="0" w:line="120" w:lineRule="auto"/>
        <w:ind w:left="1418"/>
        <w:rPr>
          <w:b w:val="1"/>
          <w:color w:val="000000"/>
        </w:rPr>
      </w:pPr>
    </w:p>
    <w:p w14:paraId="A6010000">
      <w:pPr>
        <w:spacing w:after="0"/>
        <w:ind w:firstLine="784" w:left="-76"/>
        <w:rPr>
          <w:color w:val="000000"/>
        </w:rPr>
      </w:pPr>
      <w:r>
        <w:rPr>
          <w:color w:val="000000"/>
        </w:rPr>
        <w:t>Исполнитель обяза</w:t>
      </w:r>
      <w:r>
        <w:rPr>
          <w:color w:val="000000"/>
        </w:rPr>
        <w:t xml:space="preserve">н осуществить передачу прав на </w:t>
      </w:r>
      <w:r>
        <w:rPr>
          <w:color w:val="000000"/>
        </w:rPr>
        <w:t xml:space="preserve">программного обеспечения АС «АСП» в течение 5 рабочих дней с даты заключения контракта. </w:t>
      </w:r>
    </w:p>
    <w:p w14:paraId="A7010000">
      <w:pPr>
        <w:spacing w:after="0"/>
        <w:ind w:firstLine="784" w:left="-76"/>
        <w:rPr>
          <w:color w:val="000000"/>
        </w:rPr>
      </w:pPr>
      <w:r>
        <w:rPr>
          <w:color w:val="000000"/>
        </w:rPr>
        <w:t xml:space="preserve">Срок начала работ – </w:t>
      </w:r>
      <w:r>
        <w:rPr>
          <w:color w:val="000000"/>
        </w:rPr>
        <w:t>c</w:t>
      </w:r>
      <w:r>
        <w:rPr>
          <w:color w:val="000000"/>
        </w:rPr>
        <w:t xml:space="preserve"> даты </w:t>
      </w:r>
      <w:r>
        <w:rPr>
          <w:color w:val="000000"/>
        </w:rPr>
        <w:t>заключения</w:t>
      </w:r>
      <w:r>
        <w:rPr>
          <w:color w:val="000000"/>
        </w:rPr>
        <w:t xml:space="preserve"> </w:t>
      </w:r>
      <w:r>
        <w:rPr>
          <w:color w:val="000000"/>
        </w:rPr>
        <w:t>Контракта</w:t>
      </w:r>
      <w:r>
        <w:rPr>
          <w:color w:val="000000"/>
        </w:rPr>
        <w:t>.</w:t>
      </w:r>
    </w:p>
    <w:p w14:paraId="A8010000">
      <w:pPr>
        <w:spacing w:after="0"/>
        <w:ind w:firstLine="784" w:left="-76"/>
        <w:rPr>
          <w:color w:val="000000"/>
        </w:rPr>
      </w:pPr>
      <w:r>
        <w:rPr>
          <w:color w:val="000000"/>
        </w:rPr>
        <w:t xml:space="preserve">Срок окончания работ –12 месяцев с даты </w:t>
      </w:r>
      <w:r>
        <w:rPr>
          <w:color w:val="000000"/>
        </w:rPr>
        <w:t>заключения</w:t>
      </w:r>
      <w:bookmarkStart w:id="4" w:name="_GoBack"/>
      <w:bookmarkEnd w:id="4"/>
      <w:r>
        <w:rPr>
          <w:color w:val="000000"/>
        </w:rPr>
        <w:t xml:space="preserve"> Контракта.</w:t>
      </w:r>
    </w:p>
    <w:p w14:paraId="A9010000">
      <w:pPr>
        <w:spacing w:after="0"/>
        <w:ind w:firstLine="784" w:left="-76"/>
        <w:rPr>
          <w:color w:val="000000"/>
        </w:rPr>
      </w:pPr>
      <w:r>
        <w:rPr>
          <w:color w:val="000000"/>
        </w:rPr>
        <w:t xml:space="preserve">Поставка новой версии программного обеспечения осуществляется по адресу Заказчика: </w:t>
      </w:r>
      <w:r>
        <w:rPr>
          <w:color w:val="000000"/>
        </w:rPr>
        <w:t>3</w:t>
      </w:r>
      <w:r>
        <w:rPr>
          <w:color w:val="000000"/>
        </w:rPr>
        <w:t>64020, Чеченская республика, г. Грозный, ул. Деловая, 15. Возможно оказание услуг в удалённом формате.</w:t>
      </w:r>
    </w:p>
    <w:p w14:paraId="AA010000">
      <w:pPr>
        <w:spacing w:after="0"/>
        <w:ind w:left="1080"/>
        <w:rPr>
          <w:b w:val="1"/>
          <w:color w:val="000000"/>
        </w:rPr>
      </w:pPr>
    </w:p>
    <w:p w14:paraId="AB010000">
      <w:pPr>
        <w:spacing w:after="0"/>
        <w:ind w:left="1080"/>
        <w:rPr>
          <w:b w:val="1"/>
          <w:color w:val="000000"/>
        </w:rPr>
      </w:pPr>
      <w:r>
        <w:rPr>
          <w:b w:val="1"/>
          <w:color w:val="000000"/>
        </w:rPr>
        <w:t>6. Результат оказания услуг:</w:t>
      </w:r>
    </w:p>
    <w:p w14:paraId="AC010000">
      <w:pPr>
        <w:spacing w:after="0" w:line="120" w:lineRule="auto"/>
        <w:ind w:left="1418"/>
        <w:rPr>
          <w:b w:val="1"/>
          <w:color w:val="000000"/>
        </w:rPr>
      </w:pPr>
    </w:p>
    <w:p w14:paraId="AD010000">
      <w:pPr>
        <w:widowControl w:val="0"/>
        <w:spacing w:after="0"/>
        <w:ind w:firstLine="709" w:right="-1"/>
        <w:rPr>
          <w:color w:val="000000"/>
        </w:rPr>
      </w:pPr>
      <w:r>
        <w:rPr>
          <w:color w:val="000000"/>
        </w:rPr>
        <w:t>В целях исполнения обязательств, Исполнитель должен передать Заказчику права на использование программного обеспечения «Автоматизированная система управления персональными данными «Тула» (АСУПД «Тула»), её обновлений и дополнительных функциональных возможностей (далее – ПО или программный продукт) на условиях простой (неисключительной) лицензии. Права на программное обеспечение считаются переданными с момента подписания документа о приемке.</w:t>
      </w:r>
    </w:p>
    <w:p w14:paraId="AE010000">
      <w:pPr>
        <w:widowControl w:val="0"/>
        <w:spacing w:after="0"/>
        <w:ind w:firstLine="709" w:right="-1"/>
        <w:rPr>
          <w:color w:val="000000"/>
        </w:rPr>
      </w:pPr>
      <w:r>
        <w:rPr>
          <w:color w:val="000000"/>
        </w:rPr>
        <w:t>Права должны предоставлять Заказчику следующие возможности:</w:t>
      </w:r>
    </w:p>
    <w:p w14:paraId="AF010000">
      <w:pPr>
        <w:widowControl w:val="0"/>
        <w:spacing w:after="0"/>
        <w:ind w:firstLine="709" w:right="-1"/>
        <w:rPr>
          <w:color w:val="000000"/>
        </w:rPr>
      </w:pPr>
      <w:r>
        <w:rPr>
          <w:color w:val="000000"/>
        </w:rPr>
        <w:t>-запись и хранение ПО в памяти ЭВМ и осуществление действий, необходимых для функционирования ПО в соответствии с его прямым назначением;</w:t>
      </w:r>
    </w:p>
    <w:p w14:paraId="B0010000">
      <w:pPr>
        <w:widowControl w:val="0"/>
        <w:spacing w:after="0"/>
        <w:ind w:firstLine="709" w:right="-1"/>
        <w:rPr>
          <w:color w:val="000000"/>
        </w:rPr>
      </w:pPr>
      <w:r>
        <w:rPr>
          <w:color w:val="000000"/>
        </w:rPr>
        <w:t>-изготовление копии ПО в соответствии с подпунктом 2 пункта 1 статьи 1280 Гражданского кодекса Российской Федерации;</w:t>
      </w:r>
    </w:p>
    <w:p w14:paraId="B1010000">
      <w:pPr>
        <w:widowControl w:val="0"/>
        <w:spacing w:after="0"/>
        <w:ind w:firstLine="709" w:right="-1"/>
        <w:rPr>
          <w:color w:val="000000"/>
        </w:rPr>
      </w:pPr>
      <w:r>
        <w:rPr>
          <w:color w:val="000000"/>
        </w:rPr>
        <w:t>-адаптация ПО встроенными в него средствами, в том числе с привлечением третьих лиц, с целью использования ПО Заказчиком и подведомственными ему учреждениями;</w:t>
      </w:r>
    </w:p>
    <w:p w14:paraId="B2010000">
      <w:pPr>
        <w:widowControl w:val="0"/>
        <w:spacing w:after="0"/>
        <w:ind w:firstLine="709" w:right="-1"/>
        <w:rPr>
          <w:color w:val="000000"/>
        </w:rPr>
      </w:pPr>
      <w:r>
        <w:rPr>
          <w:color w:val="000000"/>
        </w:rPr>
        <w:t>-разработка производных модулей, подсистем с использованием ПО, в том числе с привлечением третьих лиц.</w:t>
      </w:r>
    </w:p>
    <w:p w14:paraId="B3010000">
      <w:pPr>
        <w:widowControl w:val="0"/>
        <w:spacing w:after="0"/>
        <w:ind w:firstLine="709" w:right="-1"/>
        <w:rPr>
          <w:color w:val="000000"/>
        </w:rPr>
      </w:pPr>
      <w:r>
        <w:rPr>
          <w:color w:val="000000"/>
        </w:rPr>
        <w:t>Исполнитель передает Заказчику права на использование ПО в объеме, необходимом для использования Заказчиком результатов услуг по Контракту (Договору) по их целевому назначению и в соответствии с условиями Технического задания.</w:t>
      </w:r>
    </w:p>
    <w:p w14:paraId="B4010000">
      <w:pPr>
        <w:widowControl w:val="0"/>
        <w:spacing w:after="0"/>
        <w:ind w:firstLine="709" w:right="-1"/>
        <w:rPr>
          <w:color w:val="000000"/>
        </w:rPr>
      </w:pPr>
      <w:r>
        <w:rPr>
          <w:color w:val="000000"/>
        </w:rPr>
        <w:t>Исполнитель предоставляет Заказчику право на обновления ПО на срок действия Контракта (Договора). По истечении срока действия Контракта (Договора) право на использование ПО сохраняется, но обновление на новые версии становится невозможным.</w:t>
      </w:r>
    </w:p>
    <w:p w14:paraId="B5010000">
      <w:pPr>
        <w:widowControl w:val="0"/>
        <w:spacing w:after="0"/>
        <w:ind w:firstLine="709" w:right="-1"/>
        <w:rPr>
          <w:color w:val="000000"/>
        </w:rPr>
      </w:pPr>
      <w:r>
        <w:rPr>
          <w:color w:val="000000"/>
        </w:rPr>
        <w:t>Территория действия простой (неисключительной) лицензии: Чеченская Республика.</w:t>
      </w:r>
    </w:p>
    <w:p w14:paraId="B6010000">
      <w:pPr>
        <w:widowControl w:val="0"/>
        <w:spacing w:after="0"/>
        <w:ind w:firstLine="709" w:right="-1"/>
        <w:rPr>
          <w:color w:val="000000"/>
        </w:rPr>
      </w:pPr>
      <w:r>
        <w:rPr>
          <w:color w:val="000000"/>
        </w:rPr>
        <w:t>В рамках исполнения обязательств должны быть пе</w:t>
      </w:r>
      <w:r>
        <w:rPr>
          <w:color w:val="000000"/>
        </w:rPr>
        <w:t xml:space="preserve">реданы права в следующем виде: </w:t>
      </w:r>
      <w:r>
        <w:rPr>
          <w:color w:val="000000"/>
        </w:rPr>
        <w:t xml:space="preserve">в виде ссылки на ресурс, расположенный в информационно-телекоммуникационной сети Интернет, где ПО находится в постоянном доступе для загрузки Заказчиком, либо по </w:t>
      </w:r>
      <w:r>
        <w:rPr>
          <w:color w:val="000000"/>
        </w:rPr>
        <w:t>средствам телекоммуникационной связи (по адресу электронной почты).</w:t>
      </w:r>
    </w:p>
    <w:p w14:paraId="B7010000">
      <w:pPr>
        <w:widowControl w:val="0"/>
        <w:spacing w:after="0"/>
        <w:ind w:firstLine="709" w:right="-1"/>
        <w:rPr>
          <w:color w:val="000000"/>
        </w:rPr>
      </w:pPr>
    </w:p>
    <w:p w14:paraId="B8010000">
      <w:pPr>
        <w:widowControl w:val="0"/>
        <w:spacing w:after="0"/>
        <w:ind w:firstLine="709" w:right="-1"/>
        <w:rPr>
          <w:b w:val="1"/>
          <w:color w:val="000000"/>
        </w:rPr>
      </w:pPr>
      <w:r>
        <w:rPr>
          <w:b w:val="1"/>
          <w:color w:val="000000"/>
        </w:rPr>
        <w:t xml:space="preserve">     7. Требования по патентной чистоте</w:t>
      </w:r>
    </w:p>
    <w:p w14:paraId="B9010000">
      <w:pPr>
        <w:widowControl w:val="0"/>
        <w:spacing w:after="0" w:line="120" w:lineRule="auto"/>
        <w:ind w:firstLine="709"/>
        <w:rPr>
          <w:b w:val="1"/>
          <w:color w:val="000000"/>
        </w:rPr>
      </w:pPr>
    </w:p>
    <w:p w14:paraId="BA010000">
      <w:pPr>
        <w:widowControl w:val="0"/>
        <w:spacing w:after="0"/>
        <w:ind w:firstLine="709" w:right="-1"/>
        <w:rPr>
          <w:color w:val="000000"/>
        </w:rPr>
      </w:pPr>
      <w:r>
        <w:rPr>
          <w:color w:val="000000"/>
        </w:rPr>
        <w:t>Исполнитель при оказании услуг должен соблюдать требования по патентной чистоте согласно действующему законодательству.</w:t>
      </w:r>
    </w:p>
    <w:p w14:paraId="BB010000">
      <w:pPr>
        <w:widowControl w:val="0"/>
        <w:spacing w:after="0"/>
        <w:ind w:firstLine="709" w:right="-1"/>
        <w:rPr>
          <w:color w:val="000000"/>
        </w:rPr>
      </w:pPr>
      <w:r>
        <w:rPr>
          <w:color w:val="000000"/>
        </w:rPr>
        <w:t>Так как для оказания услуг требуется модификация кода АС «АСП», исполнитель должен доказать обладание законными правами на такую модификацию. В соответствии со ст. 1270 ч. IV Гражданского кодекса Российской Федерации Исполнитель на стадии подачи заявки должен представить копии документов, подтверждающих его законное право на модификацию и иное использование АС:</w:t>
      </w:r>
    </w:p>
    <w:p w14:paraId="BC010000">
      <w:pPr>
        <w:widowControl w:val="0"/>
        <w:spacing w:after="0"/>
        <w:ind w:firstLine="709" w:right="-1"/>
        <w:rPr>
          <w:color w:val="000000"/>
        </w:rPr>
      </w:pPr>
      <w:r>
        <w:rPr>
          <w:color w:val="000000"/>
        </w:rPr>
        <w:t>- для Исполнителя, являющего автором, иным правообладателем - свидетельство об официальной регистрации АСУПД «Тула» от 09.01.2014г. № 2014610425;</w:t>
      </w:r>
    </w:p>
    <w:p w14:paraId="BD010000">
      <w:pPr>
        <w:widowControl w:val="0"/>
        <w:spacing w:after="0"/>
        <w:ind w:firstLine="709" w:right="-1"/>
        <w:rPr>
          <w:color w:val="000000"/>
        </w:rPr>
      </w:pPr>
      <w:r>
        <w:rPr>
          <w:color w:val="000000"/>
        </w:rPr>
        <w:t>- для Исполнителя, которому права на АСУПД «Тула» переданы автором или правообладателем – договор о передаче участнику прав на модификацию и иное использование АСУПД «Тула», заключенный в письменной форме и устанавливающий объем, способы использования программы и срок действия договора.</w:t>
      </w:r>
    </w:p>
    <w:p w14:paraId="BE010000">
      <w:pPr>
        <w:tabs>
          <w:tab w:leader="none" w:pos="851" w:val="left"/>
        </w:tabs>
        <w:spacing w:after="0" w:line="264" w:lineRule="auto"/>
        <w:ind w:firstLine="709"/>
        <w:rPr>
          <w:color w:val="000000"/>
        </w:rPr>
      </w:pPr>
      <w:r>
        <w:rPr>
          <w:color w:val="000000"/>
        </w:rPr>
        <w:t>Все программное обеспечение, поставляемое в рамках оказания услуг, должно быть свободно от прав третьих лиц. Исполнитель должен предоставить Заказчику документы, подтверждающие данный факт.</w:t>
      </w:r>
    </w:p>
    <w:p w14:paraId="BF010000">
      <w:pPr>
        <w:tabs>
          <w:tab w:leader="none" w:pos="4260" w:val="left"/>
        </w:tabs>
        <w:spacing w:after="0"/>
        <w:ind/>
        <w:jc w:val="center"/>
        <w:rPr>
          <w:color w:val="000000"/>
        </w:rPr>
      </w:pPr>
    </w:p>
    <w:p w14:paraId="C0010000">
      <w:pPr>
        <w:spacing w:after="0" w:line="264" w:lineRule="auto"/>
        <w:ind/>
        <w:jc w:val="center"/>
        <w:rPr>
          <w:b w:val="1"/>
          <w:color w:val="000000"/>
        </w:rPr>
      </w:pPr>
    </w:p>
    <w:p w14:paraId="C1010000">
      <w:pPr>
        <w:spacing w:after="0" w:line="264" w:lineRule="auto"/>
        <w:ind/>
        <w:jc w:val="center"/>
        <w:rPr>
          <w:b w:val="1"/>
          <w:color w:val="000000"/>
        </w:rPr>
      </w:pPr>
    </w:p>
    <w:tbl>
      <w:tblPr>
        <w:tblStyle w:val="Style_4"/>
        <w:tblW w:type="auto" w:w="0"/>
        <w:tblInd w:type="dxa" w:w="108"/>
        <w:tblLayout w:type="fixed"/>
      </w:tblPr>
      <w:tblGrid>
        <w:gridCol w:w="4962"/>
        <w:gridCol w:w="4820"/>
      </w:tblGrid>
      <w:tr>
        <w:trPr>
          <w:trHeight w:hRule="atLeast" w:val="80"/>
        </w:trPr>
        <w:tc>
          <w:tcPr>
            <w:tcW w:type="dxa" w:w="4962"/>
          </w:tcPr>
          <w:p w14:paraId="C2010000">
            <w:pPr>
              <w:spacing w:after="0"/>
              <w:ind w:right="283"/>
              <w:rPr>
                <w:color w:val="000000"/>
              </w:rPr>
            </w:pPr>
            <w:r>
              <w:rPr>
                <w:color w:val="000000"/>
              </w:rPr>
              <w:t>Заказчик</w:t>
            </w:r>
          </w:p>
          <w:p w14:paraId="C3010000">
            <w:pPr>
              <w:spacing w:after="0"/>
              <w:ind w:right="283"/>
              <w:rPr>
                <w:color w:val="000000"/>
              </w:rPr>
            </w:pPr>
          </w:p>
          <w:p w14:paraId="C4010000">
            <w:pPr>
              <w:spacing w:after="0"/>
              <w:ind w:right="283"/>
              <w:jc w:val="left"/>
              <w:rPr>
                <w:color w:val="000000"/>
              </w:rPr>
            </w:pPr>
          </w:p>
          <w:p w14:paraId="C5010000">
            <w:pPr>
              <w:spacing w:after="0"/>
              <w:ind w:right="283"/>
              <w:rPr>
                <w:color w:val="000000"/>
              </w:rPr>
            </w:pPr>
          </w:p>
          <w:p w14:paraId="C6010000">
            <w:pPr>
              <w:spacing w:after="0"/>
              <w:ind w:right="283"/>
              <w:rPr>
                <w:color w:val="000000"/>
              </w:rPr>
            </w:pPr>
          </w:p>
          <w:p w14:paraId="C7010000">
            <w:pPr>
              <w:spacing w:after="0"/>
              <w:ind w:right="283"/>
              <w:rPr>
                <w:color w:val="000000"/>
              </w:rPr>
            </w:pPr>
            <w:r>
              <w:rPr>
                <w:color w:val="000000"/>
              </w:rPr>
              <w:t>_________________</w:t>
            </w:r>
            <w:r>
              <w:rPr>
                <w:color w:val="000000"/>
              </w:rPr>
              <w:t xml:space="preserve"> </w:t>
            </w:r>
            <w:r>
              <w:rPr>
                <w:color w:val="000000"/>
              </w:rPr>
              <w:t>/ Ф.И.О/</w:t>
            </w:r>
          </w:p>
          <w:p w14:paraId="C8010000">
            <w:pPr>
              <w:spacing w:after="0"/>
              <w:ind w:right="283"/>
              <w:rPr>
                <w:color w:val="000000"/>
              </w:rPr>
            </w:pPr>
            <w:r>
              <w:rPr>
                <w:color w:val="000000"/>
              </w:rPr>
              <w:t>Подписано ЭП</w:t>
            </w:r>
          </w:p>
        </w:tc>
        <w:tc>
          <w:tcPr>
            <w:tcW w:type="dxa" w:w="4820"/>
          </w:tcPr>
          <w:p w14:paraId="C9010000">
            <w:pPr>
              <w:widowControl w:val="0"/>
              <w:spacing w:after="0"/>
              <w:ind w:right="283"/>
              <w:jc w:val="left"/>
              <w:rPr>
                <w:color w:val="000000"/>
              </w:rPr>
            </w:pPr>
            <w:r>
              <w:rPr>
                <w:color w:val="000000"/>
              </w:rPr>
              <w:t>Исполнитель</w:t>
            </w:r>
          </w:p>
          <w:p w14:paraId="CA010000">
            <w:pPr>
              <w:widowControl w:val="0"/>
              <w:spacing w:after="0"/>
              <w:ind w:right="283"/>
              <w:jc w:val="left"/>
              <w:rPr>
                <w:color w:val="000000"/>
              </w:rPr>
            </w:pPr>
          </w:p>
          <w:p w14:paraId="CB010000">
            <w:pPr>
              <w:widowControl w:val="0"/>
              <w:spacing w:after="0"/>
              <w:ind w:right="283"/>
              <w:jc w:val="left"/>
              <w:rPr>
                <w:color w:val="000000"/>
              </w:rPr>
            </w:pPr>
          </w:p>
          <w:p w14:paraId="CC010000">
            <w:pPr>
              <w:widowControl w:val="0"/>
              <w:spacing w:after="0"/>
              <w:ind w:right="283"/>
              <w:jc w:val="left"/>
              <w:rPr>
                <w:color w:val="000000"/>
              </w:rPr>
            </w:pPr>
          </w:p>
          <w:p w14:paraId="CD010000">
            <w:pPr>
              <w:widowControl w:val="0"/>
              <w:spacing w:after="0"/>
              <w:ind w:right="283"/>
              <w:jc w:val="left"/>
              <w:rPr>
                <w:color w:val="000000"/>
              </w:rPr>
            </w:pPr>
          </w:p>
          <w:p w14:paraId="CE010000">
            <w:pPr>
              <w:widowControl w:val="0"/>
              <w:spacing w:after="0"/>
              <w:ind w:right="283"/>
              <w:jc w:val="left"/>
              <w:rPr>
                <w:color w:val="000000"/>
              </w:rPr>
            </w:pPr>
            <w:r>
              <w:rPr>
                <w:color w:val="000000"/>
              </w:rPr>
              <w:t>_______________ / Ф.И.О/</w:t>
            </w:r>
          </w:p>
          <w:p w14:paraId="CF010000">
            <w:pPr>
              <w:rPr>
                <w:color w:val="000000"/>
              </w:rPr>
            </w:pPr>
            <w:r>
              <w:rPr>
                <w:color w:val="000000"/>
              </w:rPr>
              <w:t>Подписано ЭП</w:t>
            </w:r>
          </w:p>
        </w:tc>
      </w:tr>
    </w:tbl>
    <w:p w14:paraId="D0010000"/>
    <w:sectPr>
      <w:headerReference r:id="rId1" w:type="first"/>
      <w:pgSz w:h="16838" w:orient="portrait" w:w="11906"/>
      <w:pgMar w:bottom="567" w:footer="709" w:gutter="0" w:header="709" w:left="1321" w:right="868" w:top="902"/>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1000000">
    <w:pPr>
      <w:keepNext w:val="1"/>
      <w:keepLines w:val="1"/>
      <w:widowControl w:val="0"/>
      <w:spacing w:line="360" w:lineRule="auto"/>
      <w:ind/>
      <w:jc w:val="right"/>
      <w:rPr>
        <w:color w:val="999999"/>
        <w:sz w:val="18"/>
      </w:rPr>
    </w:pPr>
    <w:r>
      <w:rPr>
        <w:color w:val="999999"/>
        <w:sz w:val="18"/>
      </w:rPr>
      <w:t>Заявка услуга, работа  2.03.26  44-ФЗ</w:t>
    </w:r>
  </w:p>
  <w:p w14:paraId="02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ind w:hanging="360" w:left="1069"/>
      </w:pPr>
    </w:lvl>
    <w:lvl w:ilvl="1">
      <w:start w:val="17"/>
      <w:numFmt w:val="decimal"/>
      <w:lvlText w:val="%1.%2."/>
      <w:lvlJc w:val="left"/>
      <w:pPr>
        <w:ind w:hanging="1290" w:left="1858"/>
      </w:pPr>
    </w:lvl>
    <w:lvl w:ilvl="2">
      <w:start w:val="1"/>
      <w:numFmt w:val="decimal"/>
      <w:lvlText w:val="%1.%2.%3."/>
      <w:lvlJc w:val="left"/>
      <w:pPr>
        <w:ind w:hanging="1290" w:left="1999"/>
      </w:pPr>
    </w:lvl>
    <w:lvl w:ilvl="3">
      <w:start w:val="1"/>
      <w:numFmt w:val="decimal"/>
      <w:lvlText w:val="%1.%2.%3.%4."/>
      <w:lvlJc w:val="left"/>
      <w:pPr>
        <w:ind w:hanging="1290" w:left="1999"/>
      </w:pPr>
    </w:lvl>
    <w:lvl w:ilvl="4">
      <w:start w:val="1"/>
      <w:numFmt w:val="decimal"/>
      <w:lvlText w:val="%1.%2.%3.%4.%5."/>
      <w:lvlJc w:val="left"/>
      <w:pPr>
        <w:ind w:hanging="1290" w:left="1999"/>
      </w:pPr>
    </w:lvl>
    <w:lvl w:ilvl="5">
      <w:start w:val="1"/>
      <w:numFmt w:val="decimal"/>
      <w:lvlText w:val="%1.%2.%3.%4.%5.%6."/>
      <w:lvlJc w:val="left"/>
      <w:pPr>
        <w:ind w:hanging="1290" w:left="1999"/>
      </w:pPr>
    </w:lvl>
    <w:lvl w:ilvl="6">
      <w:start w:val="1"/>
      <w:numFmt w:val="decimal"/>
      <w:lvlText w:val="%1.%2.%3.%4.%5.%6.%7."/>
      <w:lvlJc w:val="left"/>
      <w:pPr>
        <w:ind w:hanging="1440" w:left="2149"/>
      </w:pPr>
    </w:lvl>
    <w:lvl w:ilvl="7">
      <w:start w:val="1"/>
      <w:numFmt w:val="decimal"/>
      <w:lvlText w:val="%1.%2.%3.%4.%5.%6.%7.%8."/>
      <w:lvlJc w:val="left"/>
      <w:pPr>
        <w:ind w:hanging="1440" w:left="2149"/>
      </w:pPr>
    </w:lvl>
    <w:lvl w:ilvl="8">
      <w:start w:val="1"/>
      <w:numFmt w:val="decimal"/>
      <w:lvlText w:val="%1.%2.%3.%4.%5.%6.%7.%8.%9."/>
      <w:lvlJc w:val="left"/>
      <w:pPr>
        <w:ind w:hanging="1800" w:left="2509"/>
      </w:pPr>
    </w:lvl>
  </w:abstractNum>
  <w:abstractNum w:abstractNumId="1">
    <w:lvl w:ilvl="0">
      <w:start w:val="6"/>
      <w:numFmt w:val="decimal"/>
      <w:lvlText w:val="%1."/>
      <w:lvlJc w:val="left"/>
      <w:pPr>
        <w:ind w:hanging="360" w:left="1429"/>
      </w:pPr>
    </w:lvl>
    <w:lvl w:ilvl="1">
      <w:start w:val="1"/>
      <w:numFmt w:val="lowerLetter"/>
      <w:lvlText w:val="%2."/>
      <w:lvlJc w:val="left"/>
      <w:pPr>
        <w:ind w:hanging="360" w:left="2149"/>
      </w:pPr>
    </w:lvl>
    <w:lvl w:ilvl="2">
      <w:start w:val="1"/>
      <w:numFmt w:val="lowerRoman"/>
      <w:lvlText w:val="%3."/>
      <w:lvlJc w:val="right"/>
      <w:pPr>
        <w:ind w:hanging="180" w:left="2869"/>
      </w:pPr>
    </w:lvl>
    <w:lvl w:ilvl="3">
      <w:start w:val="1"/>
      <w:numFmt w:val="decimal"/>
      <w:lvlText w:val="%4."/>
      <w:lvlJc w:val="left"/>
      <w:pPr>
        <w:ind w:hanging="360" w:left="3589"/>
      </w:pPr>
    </w:lvl>
    <w:lvl w:ilvl="4">
      <w:start w:val="1"/>
      <w:numFmt w:val="lowerLetter"/>
      <w:lvlText w:val="%5."/>
      <w:lvlJc w:val="left"/>
      <w:pPr>
        <w:ind w:hanging="360" w:left="4309"/>
      </w:pPr>
    </w:lvl>
    <w:lvl w:ilvl="5">
      <w:start w:val="1"/>
      <w:numFmt w:val="lowerRoman"/>
      <w:lvlText w:val="%6."/>
      <w:lvlJc w:val="right"/>
      <w:pPr>
        <w:ind w:hanging="180" w:left="5029"/>
      </w:pPr>
    </w:lvl>
    <w:lvl w:ilvl="6">
      <w:start w:val="1"/>
      <w:numFmt w:val="decimal"/>
      <w:lvlText w:val="%7."/>
      <w:lvlJc w:val="left"/>
      <w:pPr>
        <w:ind w:hanging="360" w:left="5749"/>
      </w:pPr>
    </w:lvl>
    <w:lvl w:ilvl="7">
      <w:start w:val="1"/>
      <w:numFmt w:val="lowerLetter"/>
      <w:lvlText w:val="%8."/>
      <w:lvlJc w:val="left"/>
      <w:pPr>
        <w:ind w:hanging="360" w:left="6469"/>
      </w:pPr>
    </w:lvl>
    <w:lvl w:ilvl="8">
      <w:start w:val="1"/>
      <w:numFmt w:val="lowerRoman"/>
      <w:lvlText w:val="%9."/>
      <w:lvlJc w:val="right"/>
      <w:pPr>
        <w:ind w:hanging="180" w:left="7189"/>
      </w:pPr>
    </w:lvl>
  </w:abstractNum>
  <w:abstractNum w:abstractNumId="2">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4">
    <w:lvl w:ilvl="0">
      <w:start w:val="1"/>
      <w:numFmt w:val="bullet"/>
      <w:lvlText w:val=""/>
      <w:lvlJc w:val="left"/>
      <w:pPr>
        <w:tabs>
          <w:tab w:leader="none" w:pos="720" w:val="left"/>
        </w:tabs>
        <w:ind w:hanging="360" w:left="720"/>
      </w:pPr>
      <w:rPr>
        <w:rFonts w:ascii="Symbol" w:hAnsi="Symbol"/>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5">
    <w:lvl w:ilvl="0">
      <w:start w:val="1"/>
      <w:numFmt w:val="decimal"/>
      <w:pStyle w:val="Style_19"/>
      <w:lvlText w:val="%1."/>
      <w:lvlJc w:val="left"/>
      <w:pPr>
        <w:tabs>
          <w:tab w:leader="none" w:pos="432" w:val="left"/>
        </w:tabs>
        <w:ind w:hanging="432" w:left="432"/>
      </w:pPr>
      <w:rPr>
        <w:rFonts w:ascii="Times New Roman" w:hAnsi="Times New Roman"/>
        <w:b w:val="0"/>
        <w:sz w:val="22"/>
      </w:rPr>
    </w:lvl>
    <w:lvl w:ilvl="1">
      <w:start w:val="1"/>
      <w:numFmt w:val="decimal"/>
      <w:pStyle w:val="Style_3"/>
      <w:lvlText w:val="%1.%2."/>
      <w:lvlJc w:val="left"/>
      <w:pPr>
        <w:tabs>
          <w:tab w:leader="none" w:pos="576" w:val="left"/>
        </w:tabs>
        <w:ind w:hanging="576" w:left="576"/>
      </w:pPr>
    </w:lvl>
    <w:lvl w:ilvl="2">
      <w:start w:val="1"/>
      <w:numFmt w:val="decimal"/>
      <w:pStyle w:val="Style_13"/>
      <w:lvlText w:val="%1.%2.%3."/>
      <w:lvlJc w:val="left"/>
      <w:pPr>
        <w:tabs>
          <w:tab w:leader="none" w:pos="170" w:val="left"/>
        </w:tabs>
        <w:ind w:hanging="720" w:left="720"/>
      </w:pPr>
      <w:rPr>
        <w:rFonts w:ascii="Times New Roman" w:hAnsi="Times New Roman"/>
        <w:b w:val="0"/>
        <w:i w:val="0"/>
        <w:sz w:val="26"/>
      </w:rPr>
    </w:lvl>
    <w:lvl w:ilvl="3">
      <w:start w:val="1"/>
      <w:numFmt w:val="decimal"/>
      <w:lvlText w:val="%4)"/>
      <w:lvlJc w:val="left"/>
      <w:pPr>
        <w:tabs>
          <w:tab w:leader="none" w:pos="360" w:val="left"/>
        </w:tabs>
        <w:ind w:hanging="360" w:left="360"/>
      </w:pPr>
      <w:rPr>
        <w:b w:val="0"/>
        <w:sz w:val="24"/>
      </w:rPr>
    </w:lvl>
    <w:lvl w:ilvl="4">
      <w:start w:val="1"/>
      <w:numFmt w:val="russianLower"/>
      <w:lvlText w:val="%5)"/>
      <w:lvlJc w:val="left"/>
      <w:pPr>
        <w:tabs>
          <w:tab w:leader="none" w:pos="1800" w:val="left"/>
        </w:tabs>
        <w:ind w:hanging="360" w:left="1800"/>
      </w:pPr>
      <w:rPr>
        <w:sz w:val="26"/>
      </w:rPr>
    </w:lvl>
    <w:lvl w:ilvl="5">
      <w:start w:val="1"/>
      <w:numFmt w:val="decimal"/>
      <w:lvlText w:val="%5.%6."/>
      <w:lvlJc w:val="left"/>
      <w:pPr>
        <w:tabs>
          <w:tab w:leader="none" w:pos="1152" w:val="left"/>
        </w:tabs>
        <w:ind w:hanging="1152" w:left="1152"/>
      </w:pPr>
    </w:lvl>
    <w:lvl w:ilvl="6">
      <w:start w:val="1"/>
      <w:numFmt w:val="decimal"/>
      <w:lvlText w:val="%1.%2.%3.%4.%5.%6.%7"/>
      <w:lvlJc w:val="left"/>
      <w:pPr>
        <w:tabs>
          <w:tab w:leader="none" w:pos="1296" w:val="left"/>
        </w:tabs>
        <w:ind w:hanging="1296" w:left="1296"/>
      </w:pPr>
    </w:lvl>
    <w:lvl w:ilvl="7">
      <w:start w:val="1"/>
      <w:numFmt w:val="decimal"/>
      <w:lvlText w:val="%1.%2.%3.%4.%5.%6.%7.%8"/>
      <w:lvlJc w:val="left"/>
      <w:pPr>
        <w:tabs>
          <w:tab w:leader="none" w:pos="1440" w:val="left"/>
        </w:tabs>
        <w:ind w:hanging="1440" w:left="1440"/>
      </w:pPr>
    </w:lvl>
    <w:lvl w:ilvl="8">
      <w:start w:val="1"/>
      <w:numFmt w:val="decimal"/>
      <w:lvlText w:val="%1.%2.%3.%4.%5.%6.%7.%8.%9"/>
      <w:lvlJc w:val="left"/>
      <w:pPr>
        <w:tabs>
          <w:tab w:leader="none" w:pos="1584" w:val="left"/>
        </w:tabs>
        <w:ind w:hanging="1584" w:left="1584"/>
      </w:p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spacing w:after="60" w:line="240" w:lineRule="auto"/>
      <w:ind/>
      <w:jc w:val="both"/>
    </w:pPr>
    <w:rPr>
      <w:rFonts w:ascii="Times New Roman" w:hAnsi="Times New Roman"/>
      <w:sz w:val="24"/>
    </w:rPr>
  </w:style>
  <w:style w:default="1" w:styleId="Style_5_ch" w:type="character">
    <w:name w:val="Normal"/>
    <w:link w:val="Style_5"/>
    <w:rPr>
      <w:rFonts w:ascii="Times New Roman" w:hAnsi="Times New Roman"/>
      <w:sz w:val="24"/>
    </w:rPr>
  </w:style>
  <w:style w:styleId="Style_6" w:type="paragraph">
    <w:name w:val="toc 2"/>
    <w:next w:val="Style_5"/>
    <w:link w:val="Style_6_ch"/>
    <w:uiPriority w:val="39"/>
    <w:pPr>
      <w:ind w:left="200"/>
    </w:pPr>
    <w:rPr>
      <w:rFonts w:ascii="XO Thames" w:hAnsi="XO Thames"/>
      <w:sz w:val="28"/>
    </w:rPr>
  </w:style>
  <w:style w:styleId="Style_6_ch" w:type="character">
    <w:name w:val="toc 2"/>
    <w:link w:val="Style_6"/>
    <w:rPr>
      <w:rFonts w:ascii="XO Thames" w:hAnsi="XO Thames"/>
      <w:sz w:val="28"/>
    </w:rPr>
  </w:style>
  <w:style w:styleId="Style_7" w:type="paragraph">
    <w:name w:val="toc 4"/>
    <w:next w:val="Style_5"/>
    <w:link w:val="Style_7_ch"/>
    <w:uiPriority w:val="39"/>
    <w:pPr>
      <w:ind w:left="600"/>
    </w:pPr>
    <w:rPr>
      <w:rFonts w:ascii="XO Thames" w:hAnsi="XO Thames"/>
      <w:sz w:val="28"/>
    </w:rPr>
  </w:style>
  <w:style w:styleId="Style_7_ch" w:type="character">
    <w:name w:val="toc 4"/>
    <w:link w:val="Style_7"/>
    <w:rPr>
      <w:rFonts w:ascii="XO Thames" w:hAnsi="XO Thames"/>
      <w:sz w:val="28"/>
    </w:rPr>
  </w:style>
  <w:style w:styleId="Style_8" w:type="paragraph">
    <w:name w:val="toc 6"/>
    <w:next w:val="Style_5"/>
    <w:link w:val="Style_8_ch"/>
    <w:uiPriority w:val="39"/>
    <w:pPr>
      <w:ind w:left="1000"/>
    </w:pPr>
    <w:rPr>
      <w:rFonts w:ascii="XO Thames" w:hAnsi="XO Thames"/>
      <w:sz w:val="28"/>
    </w:rPr>
  </w:style>
  <w:style w:styleId="Style_8_ch" w:type="character">
    <w:name w:val="toc 6"/>
    <w:link w:val="Style_8"/>
    <w:rPr>
      <w:rFonts w:ascii="XO Thames" w:hAnsi="XO Thames"/>
      <w:sz w:val="28"/>
    </w:rPr>
  </w:style>
  <w:style w:styleId="Style_9" w:type="paragraph">
    <w:name w:val="toc 7"/>
    <w:next w:val="Style_5"/>
    <w:link w:val="Style_9_ch"/>
    <w:uiPriority w:val="39"/>
    <w:pPr>
      <w:ind w:left="1200"/>
    </w:pPr>
    <w:rPr>
      <w:rFonts w:ascii="XO Thames" w:hAnsi="XO Thames"/>
      <w:sz w:val="28"/>
    </w:rPr>
  </w:style>
  <w:style w:styleId="Style_9_ch" w:type="character">
    <w:name w:val="toc 7"/>
    <w:link w:val="Style_9"/>
    <w:rPr>
      <w:rFonts w:ascii="XO Thames" w:hAnsi="XO Thames"/>
      <w:sz w:val="28"/>
    </w:rPr>
  </w:style>
  <w:style w:styleId="Style_10" w:type="paragraph">
    <w:name w:val="Гиперссылка1"/>
    <w:basedOn w:val="Style_11"/>
    <w:link w:val="Style_10_ch"/>
    <w:rPr>
      <w:color w:val="0000FF"/>
      <w:u w:val="single"/>
    </w:rPr>
  </w:style>
  <w:style w:styleId="Style_10_ch" w:type="character">
    <w:name w:val="Гиперссылка1"/>
    <w:basedOn w:val="Style_11_ch"/>
    <w:link w:val="Style_10"/>
    <w:rPr>
      <w:color w:val="0000FF"/>
      <w:u w:val="single"/>
    </w:rPr>
  </w:style>
  <w:style w:styleId="Style_12" w:type="paragraph">
    <w:name w:val="Endnote"/>
    <w:link w:val="Style_12_ch"/>
    <w:pPr>
      <w:ind w:firstLine="851"/>
      <w:jc w:val="both"/>
    </w:pPr>
    <w:rPr>
      <w:rFonts w:ascii="XO Thames" w:hAnsi="XO Thames"/>
    </w:rPr>
  </w:style>
  <w:style w:styleId="Style_12_ch" w:type="character">
    <w:name w:val="Endnote"/>
    <w:link w:val="Style_12"/>
    <w:rPr>
      <w:rFonts w:ascii="XO Thames" w:hAnsi="XO Thames"/>
    </w:rPr>
  </w:style>
  <w:style w:styleId="Style_13" w:type="paragraph">
    <w:name w:val="heading 3"/>
    <w:basedOn w:val="Style_5"/>
    <w:next w:val="Style_5"/>
    <w:link w:val="Style_13_ch"/>
    <w:uiPriority w:val="9"/>
    <w:qFormat/>
    <w:pPr>
      <w:keepNext w:val="1"/>
      <w:numPr>
        <w:ilvl w:val="2"/>
        <w:numId w:val="6"/>
      </w:numPr>
      <w:spacing w:before="240"/>
      <w:ind/>
      <w:outlineLvl w:val="2"/>
    </w:pPr>
    <w:rPr>
      <w:rFonts w:ascii="Arial" w:hAnsi="Arial"/>
      <w:b w:val="1"/>
    </w:rPr>
  </w:style>
  <w:style w:styleId="Style_13_ch" w:type="character">
    <w:name w:val="heading 3"/>
    <w:basedOn w:val="Style_5_ch"/>
    <w:link w:val="Style_13"/>
    <w:rPr>
      <w:rFonts w:ascii="Arial" w:hAnsi="Arial"/>
      <w:b w:val="1"/>
    </w:rPr>
  </w:style>
  <w:style w:styleId="Style_14" w:type="paragraph">
    <w:name w:val="toc 3"/>
    <w:next w:val="Style_5"/>
    <w:link w:val="Style_14_ch"/>
    <w:uiPriority w:val="39"/>
    <w:pPr>
      <w:ind w:left="400"/>
    </w:pPr>
    <w:rPr>
      <w:rFonts w:ascii="XO Thames" w:hAnsi="XO Thames"/>
      <w:sz w:val="28"/>
    </w:rPr>
  </w:style>
  <w:style w:styleId="Style_14_ch" w:type="character">
    <w:name w:val="toc 3"/>
    <w:link w:val="Style_14"/>
    <w:rPr>
      <w:rFonts w:ascii="XO Thames" w:hAnsi="XO Thames"/>
      <w:sz w:val="28"/>
    </w:rPr>
  </w:style>
  <w:style w:styleId="Style_15" w:type="paragraph">
    <w:name w:val="s_1"/>
    <w:basedOn w:val="Style_5"/>
    <w:link w:val="Style_15_ch"/>
    <w:pPr>
      <w:spacing w:after="0"/>
      <w:ind w:firstLine="720"/>
    </w:pPr>
    <w:rPr>
      <w:rFonts w:ascii="Arial" w:hAnsi="Arial"/>
      <w:sz w:val="28"/>
    </w:rPr>
  </w:style>
  <w:style w:styleId="Style_15_ch" w:type="character">
    <w:name w:val="s_1"/>
    <w:basedOn w:val="Style_5_ch"/>
    <w:link w:val="Style_15"/>
    <w:rPr>
      <w:rFonts w:ascii="Arial" w:hAnsi="Arial"/>
      <w:sz w:val="28"/>
    </w:rPr>
  </w:style>
  <w:style w:styleId="Style_16" w:type="paragraph">
    <w:name w:val="Default Paragraph Font"/>
    <w:link w:val="Style_16_ch"/>
  </w:style>
  <w:style w:styleId="Style_16_ch" w:type="character">
    <w:name w:val="Default Paragraph Font"/>
    <w:link w:val="Style_16"/>
  </w:style>
  <w:style w:styleId="Style_17" w:type="paragraph">
    <w:name w:val="heading 5"/>
    <w:next w:val="Style_5"/>
    <w:link w:val="Style_17_ch"/>
    <w:uiPriority w:val="9"/>
    <w:qFormat/>
    <w:pPr>
      <w:spacing w:after="120" w:before="120"/>
      <w:ind/>
      <w:jc w:val="both"/>
      <w:outlineLvl w:val="4"/>
    </w:pPr>
    <w:rPr>
      <w:rFonts w:ascii="XO Thames" w:hAnsi="XO Thames"/>
      <w:b w:val="1"/>
    </w:rPr>
  </w:style>
  <w:style w:styleId="Style_17_ch" w:type="character">
    <w:name w:val="heading 5"/>
    <w:link w:val="Style_17"/>
    <w:rPr>
      <w:rFonts w:ascii="XO Thames" w:hAnsi="XO Thames"/>
      <w:b w:val="1"/>
    </w:rPr>
  </w:style>
  <w:style w:styleId="Style_18" w:type="paragraph">
    <w:name w:val="Выделение1"/>
    <w:basedOn w:val="Style_11"/>
    <w:link w:val="Style_18_ch"/>
  </w:style>
  <w:style w:styleId="Style_18_ch" w:type="character">
    <w:name w:val="Выделение1"/>
    <w:basedOn w:val="Style_11_ch"/>
    <w:link w:val="Style_18"/>
  </w:style>
  <w:style w:styleId="Style_11" w:type="paragraph">
    <w:name w:val="Основной шрифт абзаца1"/>
    <w:link w:val="Style_11_ch"/>
  </w:style>
  <w:style w:styleId="Style_11_ch" w:type="character">
    <w:name w:val="Основной шрифт абзаца1"/>
    <w:link w:val="Style_11"/>
  </w:style>
  <w:style w:styleId="Style_19" w:type="paragraph">
    <w:name w:val="heading 1"/>
    <w:basedOn w:val="Style_5"/>
    <w:next w:val="Style_5"/>
    <w:link w:val="Style_19_ch"/>
    <w:uiPriority w:val="9"/>
    <w:qFormat/>
    <w:pPr>
      <w:keepNext w:val="1"/>
      <w:numPr>
        <w:numId w:val="6"/>
      </w:numPr>
      <w:spacing w:before="240"/>
      <w:ind/>
      <w:jc w:val="center"/>
      <w:outlineLvl w:val="0"/>
    </w:pPr>
    <w:rPr>
      <w:b w:val="1"/>
      <w:sz w:val="36"/>
    </w:rPr>
  </w:style>
  <w:style w:styleId="Style_19_ch" w:type="character">
    <w:name w:val="heading 1"/>
    <w:basedOn w:val="Style_5_ch"/>
    <w:link w:val="Style_19"/>
    <w:rPr>
      <w:b w:val="1"/>
      <w:sz w:val="36"/>
    </w:rPr>
  </w:style>
  <w:style w:styleId="Style_1" w:type="paragraph">
    <w:name w:val="header"/>
    <w:basedOn w:val="Style_5"/>
    <w:link w:val="Style_1_ch"/>
    <w:pPr>
      <w:tabs>
        <w:tab w:leader="none" w:pos="4677" w:val="center"/>
        <w:tab w:leader="none" w:pos="9355" w:val="right"/>
      </w:tabs>
      <w:spacing w:after="0"/>
      <w:ind/>
    </w:pPr>
  </w:style>
  <w:style w:styleId="Style_1_ch" w:type="character">
    <w:name w:val="header"/>
    <w:basedOn w:val="Style_5_ch"/>
    <w:link w:val="Style_1"/>
  </w:style>
  <w:style w:styleId="Style_20" w:type="paragraph">
    <w:name w:val="Hyperlink"/>
    <w:link w:val="Style_20_ch"/>
    <w:rPr>
      <w:color w:val="0000FF"/>
      <w:u w:val="single"/>
    </w:rPr>
  </w:style>
  <w:style w:styleId="Style_20_ch" w:type="character">
    <w:name w:val="Hyperlink"/>
    <w:link w:val="Style_20"/>
    <w:rPr>
      <w:color w:val="0000FF"/>
      <w:u w:val="single"/>
    </w:rPr>
  </w:style>
  <w:style w:styleId="Style_21" w:type="paragraph">
    <w:name w:val="Footnote"/>
    <w:link w:val="Style_21_ch"/>
    <w:pPr>
      <w:ind w:firstLine="851"/>
      <w:jc w:val="both"/>
    </w:pPr>
    <w:rPr>
      <w:rFonts w:ascii="XO Thames" w:hAnsi="XO Thames"/>
    </w:rPr>
  </w:style>
  <w:style w:styleId="Style_21_ch" w:type="character">
    <w:name w:val="Footnote"/>
    <w:link w:val="Style_21"/>
    <w:rPr>
      <w:rFonts w:ascii="XO Thames" w:hAnsi="XO Thames"/>
    </w:rPr>
  </w:style>
  <w:style w:styleId="Style_22" w:type="paragraph">
    <w:name w:val="toc 1"/>
    <w:next w:val="Style_5"/>
    <w:link w:val="Style_22_ch"/>
    <w:uiPriority w:val="39"/>
    <w:rPr>
      <w:rFonts w:ascii="XO Thames" w:hAnsi="XO Thames"/>
      <w:b w:val="1"/>
      <w:sz w:val="28"/>
    </w:rPr>
  </w:style>
  <w:style w:styleId="Style_22_ch" w:type="character">
    <w:name w:val="toc 1"/>
    <w:link w:val="Style_22"/>
    <w:rPr>
      <w:rFonts w:ascii="XO Thames" w:hAnsi="XO Thames"/>
      <w:b w:val="1"/>
      <w:sz w:val="28"/>
    </w:rPr>
  </w:style>
  <w:style w:styleId="Style_23" w:type="paragraph">
    <w:name w:val="Header and Footer"/>
    <w:link w:val="Style_23_ch"/>
    <w:pPr>
      <w:spacing w:line="240" w:lineRule="auto"/>
      <w:ind/>
      <w:jc w:val="both"/>
    </w:pPr>
    <w:rPr>
      <w:rFonts w:ascii="XO Thames" w:hAnsi="XO Thames"/>
      <w:sz w:val="28"/>
    </w:rPr>
  </w:style>
  <w:style w:styleId="Style_23_ch" w:type="character">
    <w:name w:val="Header and Footer"/>
    <w:link w:val="Style_23"/>
    <w:rPr>
      <w:rFonts w:ascii="XO Thames" w:hAnsi="XO Thames"/>
      <w:sz w:val="28"/>
    </w:rPr>
  </w:style>
  <w:style w:styleId="Style_24" w:type="paragraph">
    <w:name w:val="toc 9"/>
    <w:next w:val="Style_5"/>
    <w:link w:val="Style_24_ch"/>
    <w:uiPriority w:val="39"/>
    <w:pPr>
      <w:ind w:left="1600"/>
    </w:pPr>
    <w:rPr>
      <w:rFonts w:ascii="XO Thames" w:hAnsi="XO Thames"/>
      <w:sz w:val="28"/>
    </w:rPr>
  </w:style>
  <w:style w:styleId="Style_24_ch" w:type="character">
    <w:name w:val="toc 9"/>
    <w:link w:val="Style_24"/>
    <w:rPr>
      <w:rFonts w:ascii="XO Thames" w:hAnsi="XO Thames"/>
      <w:sz w:val="28"/>
    </w:rPr>
  </w:style>
  <w:style w:styleId="Style_25" w:type="paragraph">
    <w:name w:val="toc 8"/>
    <w:next w:val="Style_5"/>
    <w:link w:val="Style_25_ch"/>
    <w:uiPriority w:val="39"/>
    <w:pPr>
      <w:ind w:left="1400"/>
    </w:pPr>
    <w:rPr>
      <w:rFonts w:ascii="XO Thames" w:hAnsi="XO Thames"/>
      <w:sz w:val="28"/>
    </w:rPr>
  </w:style>
  <w:style w:styleId="Style_25_ch" w:type="character">
    <w:name w:val="toc 8"/>
    <w:link w:val="Style_25"/>
    <w:rPr>
      <w:rFonts w:ascii="XO Thames" w:hAnsi="XO Thames"/>
      <w:sz w:val="28"/>
    </w:rPr>
  </w:style>
  <w:style w:styleId="Style_26" w:type="paragraph">
    <w:name w:val="toc 5"/>
    <w:next w:val="Style_5"/>
    <w:link w:val="Style_26_ch"/>
    <w:uiPriority w:val="39"/>
    <w:pPr>
      <w:ind w:left="800"/>
    </w:pPr>
    <w:rPr>
      <w:rFonts w:ascii="XO Thames" w:hAnsi="XO Thames"/>
      <w:sz w:val="28"/>
    </w:rPr>
  </w:style>
  <w:style w:styleId="Style_26_ch" w:type="character">
    <w:name w:val="toc 5"/>
    <w:link w:val="Style_26"/>
    <w:rPr>
      <w:rFonts w:ascii="XO Thames" w:hAnsi="XO Thames"/>
      <w:sz w:val="28"/>
    </w:rPr>
  </w:style>
  <w:style w:styleId="Style_27" w:type="paragraph">
    <w:name w:val="List Paragraph"/>
    <w:basedOn w:val="Style_5"/>
    <w:link w:val="Style_27_ch"/>
    <w:pPr>
      <w:ind w:left="720"/>
      <w:contextualSpacing w:val="1"/>
    </w:pPr>
  </w:style>
  <w:style w:styleId="Style_27_ch" w:type="character">
    <w:name w:val="List Paragraph"/>
    <w:basedOn w:val="Style_5_ch"/>
    <w:link w:val="Style_27"/>
  </w:style>
  <w:style w:styleId="Style_28" w:type="paragraph">
    <w:name w:val="Обычный1"/>
    <w:link w:val="Style_28_ch"/>
    <w:rPr>
      <w:rFonts w:ascii="Times New Roman" w:hAnsi="Times New Roman"/>
      <w:sz w:val="24"/>
    </w:rPr>
  </w:style>
  <w:style w:styleId="Style_28_ch" w:type="character">
    <w:name w:val="Обычный1"/>
    <w:link w:val="Style_28"/>
    <w:rPr>
      <w:rFonts w:ascii="Times New Roman" w:hAnsi="Times New Roman"/>
      <w:sz w:val="24"/>
    </w:rPr>
  </w:style>
  <w:style w:styleId="Style_29" w:type="paragraph">
    <w:name w:val="Subtitle"/>
    <w:next w:val="Style_5"/>
    <w:link w:val="Style_29_ch"/>
    <w:uiPriority w:val="11"/>
    <w:qFormat/>
    <w:pPr>
      <w:ind/>
      <w:jc w:val="both"/>
    </w:pPr>
    <w:rPr>
      <w:rFonts w:ascii="XO Thames" w:hAnsi="XO Thames"/>
      <w:i w:val="1"/>
      <w:sz w:val="24"/>
    </w:rPr>
  </w:style>
  <w:style w:styleId="Style_29_ch" w:type="character">
    <w:name w:val="Subtitle"/>
    <w:link w:val="Style_29"/>
    <w:rPr>
      <w:rFonts w:ascii="XO Thames" w:hAnsi="XO Thames"/>
      <w:i w:val="1"/>
      <w:sz w:val="24"/>
    </w:rPr>
  </w:style>
  <w:style w:styleId="Style_30" w:type="paragraph">
    <w:name w:val="footer"/>
    <w:basedOn w:val="Style_5"/>
    <w:link w:val="Style_30_ch"/>
    <w:pPr>
      <w:tabs>
        <w:tab w:leader="none" w:pos="4677" w:val="center"/>
        <w:tab w:leader="none" w:pos="9355" w:val="right"/>
      </w:tabs>
      <w:spacing w:after="0"/>
      <w:ind/>
    </w:pPr>
  </w:style>
  <w:style w:styleId="Style_30_ch" w:type="character">
    <w:name w:val="footer"/>
    <w:basedOn w:val="Style_5_ch"/>
    <w:link w:val="Style_30"/>
  </w:style>
  <w:style w:styleId="Style_31" w:type="paragraph">
    <w:name w:val="Title"/>
    <w:next w:val="Style_5"/>
    <w:link w:val="Style_31_ch"/>
    <w:uiPriority w:val="10"/>
    <w:qFormat/>
    <w:pPr>
      <w:spacing w:after="567" w:before="567"/>
      <w:ind/>
      <w:jc w:val="center"/>
    </w:pPr>
    <w:rPr>
      <w:rFonts w:ascii="XO Thames" w:hAnsi="XO Thames"/>
      <w:b w:val="1"/>
      <w:caps w:val="1"/>
      <w:sz w:val="40"/>
    </w:rPr>
  </w:style>
  <w:style w:styleId="Style_31_ch" w:type="character">
    <w:name w:val="Title"/>
    <w:link w:val="Style_31"/>
    <w:rPr>
      <w:rFonts w:ascii="XO Thames" w:hAnsi="XO Thames"/>
      <w:b w:val="1"/>
      <w:caps w:val="1"/>
      <w:sz w:val="40"/>
    </w:rPr>
  </w:style>
  <w:style w:styleId="Style_32" w:type="paragraph">
    <w:name w:val="heading 4"/>
    <w:next w:val="Style_5"/>
    <w:link w:val="Style_32_ch"/>
    <w:uiPriority w:val="9"/>
    <w:qFormat/>
    <w:pPr>
      <w:spacing w:after="120" w:before="120"/>
      <w:ind/>
      <w:jc w:val="both"/>
      <w:outlineLvl w:val="3"/>
    </w:pPr>
    <w:rPr>
      <w:rFonts w:ascii="XO Thames" w:hAnsi="XO Thames"/>
      <w:b w:val="1"/>
      <w:sz w:val="24"/>
    </w:rPr>
  </w:style>
  <w:style w:styleId="Style_32_ch" w:type="character">
    <w:name w:val="heading 4"/>
    <w:link w:val="Style_32"/>
    <w:rPr>
      <w:rFonts w:ascii="XO Thames" w:hAnsi="XO Thames"/>
      <w:b w:val="1"/>
      <w:sz w:val="24"/>
    </w:rPr>
  </w:style>
  <w:style w:styleId="Style_3" w:type="paragraph">
    <w:name w:val="heading 2"/>
    <w:basedOn w:val="Style_5"/>
    <w:next w:val="Style_5"/>
    <w:link w:val="Style_3_ch"/>
    <w:uiPriority w:val="9"/>
    <w:qFormat/>
    <w:pPr>
      <w:keepNext w:val="1"/>
      <w:numPr>
        <w:ilvl w:val="1"/>
        <w:numId w:val="6"/>
      </w:numPr>
      <w:ind/>
      <w:jc w:val="center"/>
      <w:outlineLvl w:val="1"/>
    </w:pPr>
    <w:rPr>
      <w:b w:val="1"/>
      <w:sz w:val="30"/>
    </w:rPr>
  </w:style>
  <w:style w:styleId="Style_3_ch" w:type="character">
    <w:name w:val="heading 2"/>
    <w:basedOn w:val="Style_5_ch"/>
    <w:link w:val="Style_3"/>
    <w:rPr>
      <w:b w:val="1"/>
      <w:sz w:val="30"/>
    </w:rPr>
  </w:style>
  <w:style w:default="1" w:styleId="Style_4" w:type="table">
    <w:name w:val="Normal Table"/>
    <w:tblPr>
      <w:tblInd w:type="dxa" w:w="0"/>
      <w:tblCellMar>
        <w:top w:type="dxa" w:w="0"/>
        <w:left w:type="dxa" w:w="108"/>
        <w:bottom w:type="dxa" w:w="0"/>
        <w:right w:type="dxa" w:w="108"/>
      </w:tblCellMar>
    </w:tblPr>
  </w:style>
  <w:style w:styleId="Style_2" w:type="table">
    <w:name w:val="Table Grid"/>
    <w:basedOn w:val="Style_4"/>
    <w:pPr>
      <w:spacing w:after="0" w:line="240" w:lineRule="auto"/>
      <w:ind/>
    </w:pPr>
    <w:rPr>
      <w:color w:val="000000"/>
    </w:rPr>
    <w:tblPr>
      <w:tblBorders>
        <w:top w:color="000000" w:sz="4" w:val="single"/>
        <w:left w:color="000000" w:sz="4" w:val="single"/>
        <w:bottom w:color="000000" w:sz="4" w:val="single"/>
        <w:right w:color="000000" w:sz="4" w:val="single"/>
        <w:insideH w:color="000000" w:sz="4" w:val="single"/>
        <w:insideV w:color="000000" w:sz="4" w:val="single"/>
      </w:tblBorders>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webSettings.xml" Type="http://schemas.openxmlformats.org/officeDocument/2006/relationships/webSettings"/>
  <Relationship Id="rId1" Target="header1.xml" Type="http://schemas.openxmlformats.org/officeDocument/2006/relationships/header"/>
  <Relationship Id="rId2" Target="fontTable.xml" Type="http://schemas.openxmlformats.org/officeDocument/2006/relationships/fontTable"/>
  <Relationship Id="rId3" Target="settings.xml" Type="http://schemas.openxmlformats.org/officeDocument/2006/relationships/settings"/>
  <Relationship Id="rId8" Target="numbering.xml" Type="http://schemas.openxmlformats.org/officeDocument/2006/relationships/numbering"/>
  <Relationship Id="rId4" Target="styles.xml" Type="http://schemas.openxmlformats.org/officeDocument/2006/relationships/styles"/>
  <Relationship Id="rId7" Target="theme/theme1.xml" Type="http://schemas.openxmlformats.org/officeDocument/2006/relationships/theme"/>
  <Relationship Id="rId5"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MyOffice-CoreFramework-Linux/34-1238.862.9476.867.1@a81bcf6e81fbb8f5605a803e4664e1d7bed15bf0</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2026-10-13T07:28:12Z</dcterms:modified>
</cp:coreProperties>
</file>