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keepNext/>
        <w:spacing w:after="0"/>
        <w:widowControl w:val="off"/>
        <w:rPr>
          <w:color w:val="0000ff"/>
        </w:rPr>
      </w:pPr>
      <w:r>
        <w:rPr>
          <w:b/>
          <w:sz w:val="28"/>
        </w:rPr>
        <w:tab/>
      </w:r>
      <w:bookmarkStart w:id="0" w:name="_Ref248571702"/>
      <w:r>
        <w:rPr>
          <w:color w:val="0000ff"/>
        </w:rPr>
        <w:t xml:space="preserve">СОДЕРЖАНИЕ ЗАЯВКИ НА ОПРЕДЕЛЕНИЕ ПОСТАВЩИКА </w:t>
      </w:r>
      <w:r>
        <w:rPr>
          <w:color w:val="0000ff"/>
        </w:rPr>
      </w:r>
      <w:r>
        <w:rPr>
          <w:color w:val="0000ff"/>
        </w:rPr>
      </w:r>
    </w:p>
    <w:p>
      <w:pPr>
        <w:pStyle w:val="914"/>
        <w:numPr>
          <w:ilvl w:val="0"/>
          <w:numId w:val="0"/>
        </w:numPr>
        <w:spacing w:after="0"/>
        <w:rPr>
          <w:color w:val="0000ff"/>
          <w:sz w:val="24"/>
        </w:rPr>
      </w:pPr>
      <w:r>
        <w:rPr>
          <w:color w:val="0000ff"/>
          <w:sz w:val="24"/>
        </w:rPr>
        <w:t xml:space="preserve">(ПОДРЯДЧИКА, ИСПОЛНИТЕЛЯ)</w:t>
      </w:r>
      <w:r>
        <w:rPr>
          <w:color w:val="0000ff"/>
          <w:sz w:val="24"/>
        </w:rPr>
      </w:r>
      <w:r>
        <w:rPr>
          <w:color w:val="0000ff"/>
          <w:sz w:val="24"/>
        </w:rPr>
      </w:r>
    </w:p>
    <w:p>
      <w:pPr>
        <w:ind w:firstLine="480"/>
        <w:keepLines/>
        <w:keepNext/>
        <w:spacing w:after="0"/>
        <w:widowControl w:val="off"/>
      </w:pPr>
      <w:r>
        <w:t xml:space="preserve">Настоящая заявка на определение поставщика (подрядчика, исполнит</w:t>
      </w:r>
      <w:r>
        <w:t xml:space="preserve">еля) составлена в соответствии с постановление Правительства Чеченской Республики от 19 декабря 2013г. № 339 «О Комитете Правительства Чеченской Республики по государственному заказу» (с изменениями и дополнениями), которая включает в себя следующие части:</w:t>
      </w:r>
      <w:r/>
    </w:p>
    <w:p>
      <w:pPr>
        <w:jc w:val="left"/>
        <w:spacing w:after="0"/>
        <w:rPr>
          <w:color w:val="0000ff"/>
        </w:rPr>
      </w:pPr>
      <w:r/>
      <w:hyperlink w:tooltip="#Сведения_об_аукционе" w:anchor="Сведения_об_аукционе" w:history="1">
        <w:r>
          <w:rPr>
            <w:color w:val="0000ff"/>
          </w:rPr>
          <w:t xml:space="preserve">сведения о проводимом электронном аукционе (извещение о проведении закупки); </w:t>
        </w:r>
      </w:hyperlink>
      <w:r>
        <w:rPr>
          <w:color w:val="0000ff"/>
        </w:rPr>
        <w:t xml:space="preserve">требования к содержанию, составу заявки на участие в закупке и инструкция по ее заполнению (Приложение №1);</w:t>
      </w:r>
      <w:r>
        <w:rPr>
          <w:color w:val="0000ff"/>
        </w:rPr>
      </w:r>
      <w:r>
        <w:rPr>
          <w:color w:val="0000ff"/>
        </w:rPr>
      </w:r>
    </w:p>
    <w:p>
      <w:pPr>
        <w:jc w:val="left"/>
        <w:spacing w:after="0"/>
        <w:rPr>
          <w:color w:val="0000ff"/>
        </w:rPr>
      </w:pPr>
      <w:r>
        <w:rPr>
          <w:color w:val="0000ff"/>
        </w:rPr>
        <w:t xml:space="preserve">описание объекта закупки (Приложение №2).</w:t>
      </w:r>
      <w:r>
        <w:rPr>
          <w:color w:val="0000ff"/>
        </w:rPr>
      </w:r>
      <w:r>
        <w:rPr>
          <w:color w:val="0000ff"/>
        </w:rPr>
      </w:r>
    </w:p>
    <w:p>
      <w:pPr>
        <w:jc w:val="left"/>
        <w:spacing w:after="0"/>
        <w:rPr>
          <w:color w:val="0000ff"/>
        </w:rPr>
      </w:pPr>
      <w:r/>
      <w:hyperlink w:tooltip="#Обоснование_нач_цены" w:anchor="Обоснование_нач_цены" w:history="1">
        <w:r>
          <w:rPr>
            <w:color w:val="0000ff"/>
          </w:rPr>
          <w:t xml:space="preserve">обоснование начальной (максимальной) цены контракта (Приложение №3).</w:t>
        </w:r>
      </w:hyperlink>
      <w:r>
        <w:rPr>
          <w:color w:val="0000ff"/>
        </w:rPr>
      </w:r>
      <w:r>
        <w:rPr>
          <w:color w:val="0000ff"/>
        </w:rPr>
      </w:r>
    </w:p>
    <w:p>
      <w:pPr>
        <w:jc w:val="left"/>
        <w:spacing w:after="0"/>
        <w:rPr>
          <w:color w:val="0000ff"/>
        </w:rPr>
      </w:pPr>
      <w:r/>
      <w:hyperlink w:tooltip="#ПРОЕКТ_ГОСУДАРСТВЕННОГО_контракта" w:anchor="ПРОЕКТ_ГОСУДАРСТВЕННОГО_контракта" w:history="1">
        <w:r>
          <w:rPr>
            <w:color w:val="0000ff"/>
          </w:rPr>
          <w:t xml:space="preserve">проект контракта (Приложение №4).</w:t>
        </w:r>
      </w:hyperlink>
      <w:r>
        <w:rPr>
          <w:color w:val="0000ff"/>
        </w:rPr>
      </w:r>
      <w:r>
        <w:rPr>
          <w:color w:val="0000ff"/>
        </w:rPr>
      </w:r>
    </w:p>
    <w:p>
      <w:pPr>
        <w:pStyle w:val="934"/>
        <w:ind w:left="-181"/>
        <w:jc w:val="both"/>
        <w:widowControl/>
        <w:tabs>
          <w:tab w:val="left" w:pos="360" w:leader="none"/>
        </w:tabs>
      </w:pPr>
      <w:r/>
      <w:r/>
    </w:p>
    <w:p>
      <w:pPr>
        <w:ind w:right="-6" w:firstLine="709"/>
      </w:pPr>
      <w:r>
        <w:t xml:space="preserve">Понятия и термины, используемые в настоящей заявке на определение поставщика (подрядчика, исполни</w:t>
      </w:r>
      <w:r>
        <w:t xml:space="preserve">теля), применяются в тех же значениях, что и в Федеральном законе от 05.04.2013г. № 44-ФЗ «О контрактной системе в сфере закупок товаров, работ, услуг для обеспечения государственных и муниципальных нужд» (далее - Федеральный закон от 05.04.2013г. №44-ФЗ).</w:t>
      </w:r>
      <w:r>
        <w:br w:type="page" w:clear="all"/>
      </w:r>
      <w:r/>
    </w:p>
    <w:p>
      <w:pPr>
        <w:pStyle w:val="914"/>
        <w:numPr>
          <w:ilvl w:val="0"/>
          <w:numId w:val="0"/>
        </w:numPr>
        <w:ind w:firstLine="360"/>
        <w:spacing w:after="0"/>
        <w:rPr>
          <w:sz w:val="28"/>
        </w:rPr>
      </w:pPr>
      <w:r/>
      <w:bookmarkStart w:id="1" w:name="Сведения_об_аукционе"/>
      <w:r/>
      <w:bookmarkEnd w:id="0"/>
      <w:r/>
      <w:bookmarkEnd w:id="1"/>
      <w:r>
        <w:rPr>
          <w:color w:val="0000ff"/>
        </w:rPr>
        <w:t xml:space="preserve">СВЕДЕНИЯ О ПРОВОДИМОМ ЭЛЕКТРОННОМ АУКЦИОНЕ</w:t>
      </w:r>
      <w:r>
        <w:rPr>
          <w:sz w:val="28"/>
        </w:rPr>
      </w:r>
      <w:r>
        <w:rPr>
          <w:sz w:val="28"/>
        </w:rPr>
      </w:r>
    </w:p>
    <w:p>
      <w:pPr>
        <w:spacing w:after="0"/>
      </w:pPr>
      <w:r/>
      <w:r/>
    </w:p>
    <w:p>
      <w:pPr>
        <w:pStyle w:val="915"/>
        <w:numPr>
          <w:ilvl w:val="0"/>
          <w:numId w:val="0"/>
        </w:numPr>
        <w:ind w:left="720"/>
        <w:jc w:val="center"/>
        <w:spacing w:before="0" w:after="0"/>
        <w:rPr>
          <w:rFonts w:ascii="Times New Roman" w:hAnsi="Times New Roman"/>
        </w:rPr>
      </w:pPr>
      <w:r/>
      <w:bookmarkStart w:id="2" w:name="_Общие_сведения_о"/>
      <w:r/>
      <w:bookmarkStart w:id="3" w:name="Общие_сведения"/>
      <w:r/>
      <w:bookmarkEnd w:id="2"/>
      <w:r/>
      <w:bookmarkEnd w:id="3"/>
      <w:r>
        <w:rPr>
          <w:rFonts w:ascii="Times New Roman" w:hAnsi="Times New Roman"/>
        </w:rPr>
        <w:t xml:space="preserve">Общие сведения </w:t>
      </w:r>
      <w:r>
        <w:rPr>
          <w:rFonts w:ascii="Times New Roman" w:hAnsi="Times New Roman"/>
        </w:rPr>
      </w:r>
      <w:r>
        <w:rPr>
          <w:rFonts w:ascii="Times New Roman" w:hAnsi="Times New Roman"/>
        </w:rPr>
      </w:r>
    </w:p>
    <w:tbl>
      <w:tblPr>
        <w:tblW w:w="0" w:type="auto"/>
        <w:tblInd w:w="-34" w:type="dxa"/>
        <w:tblLayout w:type="fixed"/>
        <w:tblLook w:val="04A0" w:firstRow="1" w:lastRow="0" w:firstColumn="1" w:lastColumn="0" w:noHBand="0" w:noVBand="1"/>
      </w:tblPr>
      <w:tblGrid>
        <w:gridCol w:w="964"/>
        <w:gridCol w:w="8980"/>
      </w:tblGrid>
      <w:tr>
        <w:trPr>
          <w:trHeight w:val="524"/>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pStyle w:val="934"/>
              <w:ind w:firstLine="0"/>
              <w:jc w:val="center"/>
              <w:spacing w:after="60"/>
              <w:rPr>
                <w:b/>
                <w:color w:val="ffffff"/>
                <w:sz w:val="20"/>
              </w:rPr>
              <w:outlineLvl w:val="0"/>
            </w:pPr>
            <w:r>
              <w:rPr>
                <w:b/>
                <w:color w:val="ffffff"/>
                <w:sz w:val="20"/>
              </w:rPr>
              <w:t xml:space="preserve">1</w:t>
            </w:r>
            <w:r>
              <w:rPr>
                <w:b/>
                <w:color w:val="ffffff"/>
                <w:sz w:val="20"/>
              </w:rPr>
            </w:r>
            <w:r>
              <w:rPr>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pStyle w:val="934"/>
              <w:ind w:firstLine="0"/>
              <w:jc w:val="center"/>
              <w:spacing w:after="60"/>
              <w:tabs>
                <w:tab w:val="left" w:pos="360" w:leader="none"/>
              </w:tabs>
              <w:rPr>
                <w:b/>
                <w:color w:val="ffffff" w:themeColor="background1"/>
                <w:sz w:val="20"/>
              </w:rPr>
              <w:outlineLvl w:val="0"/>
            </w:pPr>
            <w:r>
              <w:rPr>
                <w:b/>
                <w:color w:val="ffffff"/>
                <w:sz w:val="20"/>
              </w:rPr>
              <w:t xml:space="preserve">Электронный аукцион проводит Уполномоченный орган</w:t>
            </w:r>
            <w:bookmarkStart w:id="4" w:name="пункт1"/>
            <w:r/>
            <w:bookmarkStart w:id="5" w:name="ТекстовоеПоле35"/>
            <w:r/>
            <w:bookmarkEnd w:id="4"/>
            <w:r/>
            <w:bookmarkEnd w:id="5"/>
            <w:r>
              <w:rPr>
                <w:b/>
                <w:color w:val="ffffff" w:themeColor="background1"/>
                <w:sz w:val="20"/>
              </w:rPr>
            </w:r>
            <w:r>
              <w:rPr>
                <w:b/>
                <w:color w:val="ffffff" w:themeColor="background1"/>
                <w:sz w:val="20"/>
              </w:rPr>
            </w:r>
          </w:p>
        </w:tc>
      </w:tr>
      <w:tr>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textDirection w:val="lrTb"/>
            <w:noWrap w:val="false"/>
          </w:tcPr>
          <w:p>
            <w:pPr>
              <w:jc w:val="left"/>
              <w:spacing w:after="0"/>
            </w:pPr>
            <w:r>
              <w:t xml:space="preserve">Комитет Правительства Чеченской Республики по государственному заказу,</w:t>
            </w:r>
            <w:r/>
          </w:p>
          <w:p>
            <w:pPr>
              <w:spacing w:after="0"/>
            </w:pPr>
            <w:r>
              <w:t xml:space="preserve">ИНН: 2016014690,</w:t>
            </w:r>
            <w:r/>
          </w:p>
          <w:p>
            <w:pPr>
              <w:jc w:val="left"/>
              <w:spacing w:after="0"/>
            </w:pPr>
            <w:r>
              <w:t xml:space="preserve">почтовый адрес: 364024, Чеченская Республика, г. Грозный, ул. Грибоедова, 129,</w:t>
            </w:r>
            <w:r/>
          </w:p>
          <w:p>
            <w:pPr>
              <w:jc w:val="left"/>
              <w:spacing w:after="0"/>
            </w:pPr>
            <w:r>
              <w:t xml:space="preserve">ответственное должностное лицо: </w:t>
            </w:r>
            <w:r>
              <w:rPr>
                <w:highlight w:val="lightGray"/>
              </w:rPr>
              <w:t xml:space="preserve">_______________________________________</w:t>
            </w:r>
            <w:r>
              <w:t xml:space="preserve">,</w:t>
            </w:r>
            <w:r/>
          </w:p>
          <w:p>
            <w:pPr>
              <w:spacing w:after="0"/>
            </w:pPr>
            <w:r>
              <w:t xml:space="preserve">телефон, факс: (8712) 22-50-38,</w:t>
            </w:r>
            <w:r/>
          </w:p>
          <w:p>
            <w:pPr>
              <w:jc w:val="left"/>
              <w:spacing w:after="0"/>
            </w:pPr>
            <w:r>
              <w:t xml:space="preserve">адрес электронной почты:  </w:t>
            </w:r>
            <w:r>
              <w:rPr>
                <w:highlight w:val="lightGray"/>
              </w:rPr>
              <w:t xml:space="preserve">goszakaz@gostorgi-chr.ru</w:t>
            </w:r>
            <w:r/>
          </w:p>
        </w:tc>
      </w:tr>
      <w:tr>
        <w:trPr>
          <w:trHeight w:val="523"/>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pStyle w:val="934"/>
              <w:ind w:firstLine="0"/>
              <w:jc w:val="center"/>
              <w:spacing w:after="60"/>
              <w:tabs>
                <w:tab w:val="left" w:pos="360" w:leader="none"/>
              </w:tabs>
              <w:rPr>
                <w:b/>
                <w:color w:val="ffffff"/>
                <w:sz w:val="20"/>
              </w:rPr>
            </w:pPr>
            <w:r/>
            <w:bookmarkStart w:id="6" w:name="пункт2"/>
            <w:r/>
            <w:bookmarkEnd w:id="6"/>
            <w:r>
              <w:rPr>
                <w:b/>
                <w:color w:val="ffffff"/>
                <w:sz w:val="20"/>
              </w:rPr>
              <w:t xml:space="preserve">2</w:t>
            </w:r>
            <w:r>
              <w:rPr>
                <w:b/>
                <w:color w:val="ffffff"/>
                <w:sz w:val="20"/>
              </w:rPr>
            </w:r>
            <w:r>
              <w:rPr>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pStyle w:val="934"/>
              <w:ind w:firstLine="0"/>
              <w:jc w:val="center"/>
              <w:spacing w:after="60"/>
              <w:tabs>
                <w:tab w:val="left" w:pos="360" w:leader="none"/>
              </w:tabs>
              <w:rPr>
                <w:b/>
                <w:color w:val="ffffff"/>
                <w:sz w:val="20"/>
              </w:rPr>
            </w:pPr>
            <w:r>
              <w:rPr>
                <w:b/>
                <w:color w:val="ffffff"/>
                <w:sz w:val="20"/>
              </w:rPr>
              <w:t xml:space="preserve">Заказчик</w:t>
            </w:r>
            <w:r>
              <w:rPr>
                <w:b/>
                <w:color w:val="ffffff"/>
                <w:sz w:val="20"/>
              </w:rPr>
            </w:r>
            <w:r>
              <w:rPr>
                <w:b/>
                <w:color w:val="ffffff"/>
                <w:sz w:val="20"/>
              </w:rPr>
            </w:r>
          </w:p>
        </w:tc>
      </w:tr>
      <w:tr>
        <w:trPr>
          <w:trHeight w:val="523"/>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keepLines/>
              <w:keepNext/>
              <w:spacing w:after="0" w:line="276" w:lineRule="auto"/>
              <w:widowControl w:val="off"/>
            </w:pPr>
            <w:r>
              <w:t xml:space="preserve">Наименование: ГКУ «Управление по обеспечение деятельности Министерства финансов Чеченской Республики»,</w:t>
            </w:r>
            <w:r/>
          </w:p>
          <w:p>
            <w:pPr>
              <w:keepLines/>
              <w:keepNext/>
              <w:spacing w:after="0" w:line="276" w:lineRule="auto"/>
              <w:widowControl w:val="off"/>
            </w:pPr>
            <w:r>
              <w:t xml:space="preserve">ИНН: 2016003882,</w:t>
            </w:r>
            <w:r/>
          </w:p>
          <w:p>
            <w:pPr>
              <w:keepLines/>
              <w:keepNext/>
              <w:spacing w:after="0" w:line="276" w:lineRule="auto"/>
              <w:widowControl w:val="off"/>
            </w:pPr>
            <w:r>
              <w:t xml:space="preserve">место нахождения: 364000 г. Грозный, проспект Кунта-Хаджи Кишиева, з/у 159 блок а</w:t>
            </w:r>
            <w:r/>
          </w:p>
          <w:p>
            <w:pPr>
              <w:keepLines/>
              <w:keepNext/>
              <w:spacing w:after="0" w:line="276" w:lineRule="auto"/>
              <w:widowControl w:val="off"/>
            </w:pPr>
            <w:r>
              <w:t xml:space="preserve">почтовый адрес: 364000 г. Грозный, проспект Кунта-Хаджи Кишиева, з/у 159 блок а</w:t>
            </w:r>
            <w:r/>
          </w:p>
          <w:p>
            <w:pPr>
              <w:keepLines/>
              <w:keepNext/>
              <w:spacing w:after="0" w:line="276" w:lineRule="auto"/>
              <w:widowControl w:val="off"/>
            </w:pPr>
            <w:r>
              <w:t xml:space="preserve">ответственный за заключение контракта: Митраев Мамед Дудиевич,</w:t>
            </w:r>
            <w:r/>
          </w:p>
          <w:p>
            <w:pPr>
              <w:keepLines/>
              <w:keepNext/>
              <w:spacing w:after="0" w:line="276" w:lineRule="auto"/>
              <w:widowControl w:val="off"/>
            </w:pPr>
            <w:r>
              <w:t xml:space="preserve">телефон: 8(8712) 62-79-86, 8928 896 00 70</w:t>
            </w:r>
            <w:r/>
          </w:p>
          <w:p>
            <w:pPr>
              <w:keepLines/>
              <w:keepNext/>
              <w:spacing w:after="0" w:line="276" w:lineRule="auto"/>
              <w:widowControl w:val="off"/>
            </w:pPr>
            <w:r>
              <w:t xml:space="preserve">факс: 8 (8712) 62-79-84,</w:t>
            </w:r>
            <w:r/>
          </w:p>
          <w:p>
            <w:pPr>
              <w:pStyle w:val="934"/>
              <w:ind w:firstLine="0"/>
              <w:spacing w:after="60"/>
              <w:tabs>
                <w:tab w:val="left" w:pos="360" w:leader="none"/>
              </w:tabs>
              <w:rPr>
                <w:b/>
                <w:color w:val="ffffff"/>
                <w:sz w:val="20"/>
              </w:rPr>
            </w:pPr>
            <w:r>
              <w:t xml:space="preserve">адрес электронной почты: gkuzakupki2020@mail.ru</w:t>
            </w:r>
            <w:r>
              <w:rPr>
                <w:b/>
                <w:color w:val="ffffff"/>
                <w:sz w:val="20"/>
              </w:rPr>
            </w:r>
            <w:r>
              <w:rPr>
                <w:b/>
                <w:color w:val="ffffff"/>
                <w:sz w:val="20"/>
              </w:rPr>
            </w:r>
          </w:p>
        </w:tc>
      </w:tr>
      <w:tr>
        <w:trPr>
          <w:trHeight w:val="476"/>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pStyle w:val="934"/>
              <w:ind w:firstLine="0"/>
              <w:jc w:val="center"/>
              <w:tabs>
                <w:tab w:val="left" w:pos="360" w:leader="none"/>
              </w:tabs>
              <w:rPr>
                <w:b/>
                <w:color w:val="ffffff"/>
                <w:sz w:val="20"/>
              </w:rPr>
            </w:pPr>
            <w:r>
              <w:rPr>
                <w:b/>
                <w:color w:val="ffffff"/>
                <w:sz w:val="20"/>
              </w:rPr>
              <w:t xml:space="preserve">3</w:t>
            </w:r>
            <w:r>
              <w:rPr>
                <w:b/>
                <w:color w:val="ffffff"/>
                <w:sz w:val="20"/>
              </w:rPr>
            </w:r>
            <w:r>
              <w:rPr>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pStyle w:val="934"/>
              <w:ind w:firstLine="0"/>
              <w:jc w:val="center"/>
              <w:tabs>
                <w:tab w:val="left" w:pos="360" w:leader="none"/>
              </w:tabs>
              <w:rPr>
                <w:b/>
                <w:color w:val="ffffff"/>
                <w:sz w:val="20"/>
              </w:rPr>
            </w:pPr>
            <w:r>
              <w:rPr>
                <w:b/>
                <w:color w:val="ffffff"/>
                <w:sz w:val="20"/>
              </w:rPr>
              <w:t xml:space="preserve">Способ определения поставщика (подрядчика, исполнителя),</w:t>
            </w:r>
            <w:r>
              <w:rPr>
                <w:b/>
                <w:color w:val="ffffff"/>
                <w:sz w:val="20"/>
              </w:rPr>
            </w:r>
            <w:r>
              <w:rPr>
                <w:b/>
                <w:color w:val="ffffff"/>
                <w:sz w:val="20"/>
              </w:rPr>
            </w:r>
          </w:p>
          <w:p>
            <w:pPr>
              <w:pStyle w:val="934"/>
              <w:ind w:firstLine="0"/>
              <w:jc w:val="center"/>
              <w:tabs>
                <w:tab w:val="left" w:pos="360" w:leader="none"/>
              </w:tabs>
              <w:rPr>
                <w:b/>
                <w:color w:val="ffffff"/>
                <w:sz w:val="20"/>
              </w:rPr>
            </w:pPr>
            <w:r>
              <w:rPr>
                <w:b/>
                <w:color w:val="ffffff"/>
                <w:sz w:val="20"/>
              </w:rPr>
              <w:t xml:space="preserve"> наименование и адрес  электронной площадки</w:t>
            </w:r>
            <w:bookmarkStart w:id="7" w:name="пункт3"/>
            <w:r/>
            <w:bookmarkEnd w:id="7"/>
            <w:r>
              <w:rPr>
                <w:b/>
                <w:color w:val="ffffff"/>
                <w:sz w:val="20"/>
              </w:rPr>
            </w:r>
            <w:r>
              <w:rPr>
                <w:b/>
                <w:color w:val="ffffff"/>
                <w:sz w:val="20"/>
              </w:rPr>
            </w:r>
          </w:p>
        </w:tc>
      </w:tr>
      <w:tr>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keepLines/>
              <w:keepNext/>
              <w:spacing w:after="0"/>
              <w:widowControl w:val="off"/>
            </w:pPr>
            <w:r>
              <w:t xml:space="preserve">Способ определения поставщика (подрядчика, исполнителя): открытый аукцион в электронной форме.</w:t>
            </w:r>
            <w:r/>
          </w:p>
          <w:p>
            <w:pPr>
              <w:keepLines/>
              <w:keepNext/>
              <w:spacing w:after="0"/>
              <w:widowControl w:val="off"/>
            </w:pPr>
            <w:r>
              <w:t xml:space="preserve">Наименование  электронной площадки: Электронная торговая площадка «Фабрикант».</w:t>
            </w:r>
            <w:r/>
          </w:p>
          <w:p>
            <w:pPr>
              <w:keepLines/>
              <w:keepNext/>
              <w:spacing w:after="0"/>
              <w:widowControl w:val="off"/>
            </w:pPr>
            <w:r>
              <w:t xml:space="preserve">Адрес  в информационно-телекоммуникационной сети «Интернет» электронной площадки: https://44.fabrikant.ru</w:t>
            </w:r>
            <w:r/>
          </w:p>
        </w:tc>
      </w:tr>
      <w:tr>
        <w:trPr>
          <w:trHeight w:val="521"/>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pStyle w:val="934"/>
              <w:ind w:firstLine="0"/>
              <w:jc w:val="center"/>
              <w:tabs>
                <w:tab w:val="left" w:pos="360" w:leader="none"/>
              </w:tabs>
              <w:rPr>
                <w:b/>
                <w:color w:val="ffffff"/>
                <w:sz w:val="24"/>
              </w:rPr>
            </w:pPr>
            <w:r>
              <w:rPr>
                <w:b/>
                <w:color w:val="ffffff"/>
                <w:sz w:val="24"/>
              </w:rPr>
              <w:t xml:space="preserve">4</w:t>
            </w:r>
            <w:r>
              <w:rPr>
                <w:b/>
                <w:color w:val="ffffff"/>
                <w:sz w:val="24"/>
              </w:rPr>
            </w:r>
            <w:r>
              <w:rPr>
                <w:b/>
                <w:color w:val="ffffff"/>
                <w:sz w:val="24"/>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pStyle w:val="934"/>
              <w:ind w:firstLine="0"/>
              <w:jc w:val="center"/>
              <w:tabs>
                <w:tab w:val="left" w:pos="360" w:leader="none"/>
              </w:tabs>
              <w:rPr>
                <w:b/>
                <w:color w:val="ffffff"/>
                <w:sz w:val="20"/>
              </w:rPr>
            </w:pPr>
            <w:r>
              <w:rPr>
                <w:b/>
                <w:color w:val="ffffff"/>
                <w:sz w:val="20"/>
              </w:rPr>
              <w:t xml:space="preserve">Наименование объекта закупки</w:t>
            </w:r>
            <w:r>
              <w:rPr>
                <w:b/>
                <w:color w:val="ffffff"/>
                <w:sz w:val="20"/>
              </w:rPr>
            </w:r>
            <w:r>
              <w:rPr>
                <w:b/>
                <w:color w:val="ffffff"/>
                <w:sz w:val="20"/>
              </w:rPr>
            </w:r>
          </w:p>
        </w:tc>
      </w:tr>
      <w:tr>
        <w:trPr>
          <w:trHeight w:val="521"/>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pStyle w:val="934"/>
              <w:ind w:firstLine="0"/>
              <w:jc w:val="center"/>
              <w:tabs>
                <w:tab w:val="left" w:pos="360" w:leader="none"/>
              </w:tabs>
              <w:rPr>
                <w:rFonts w:ascii="Times New Roman" w:hAnsi="Times New Roman"/>
                <w:i/>
                <w:color w:val="c00000"/>
                <w:sz w:val="24"/>
              </w:rPr>
            </w:pPr>
            <w:r>
              <w:rPr>
                <w:rFonts w:ascii="Times New Roman" w:hAnsi="Times New Roman"/>
                <w:sz w:val="24"/>
              </w:rPr>
              <w:t xml:space="preserve">Выполнение работ по модернизации специализированной информационной системы учета неработающего населения Чеченской Республики в части организации (актуализации) информационного взаимодействия с внешними системами </w:t>
            </w:r>
            <w:r>
              <w:rPr>
                <w:rFonts w:ascii="Times New Roman" w:hAnsi="Times New Roman"/>
                <w:sz w:val="24"/>
              </w:rPr>
              <w:t xml:space="preserve">(в том числе с системой межведомственного электронного взаимодействия), повышения уровня защищенности программного обеспечения и оптимизации производительности системы, и проведение ежегодной сверки численности неработающего населения Чеченской Республики.</w:t>
            </w:r>
            <w:r>
              <w:rPr>
                <w:rFonts w:ascii="Times New Roman" w:hAnsi="Times New Roman"/>
                <w:i/>
                <w:color w:val="c00000"/>
                <w:sz w:val="24"/>
              </w:rPr>
            </w:r>
            <w:r>
              <w:rPr>
                <w:rFonts w:ascii="Times New Roman" w:hAnsi="Times New Roman"/>
                <w:i/>
                <w:color w:val="c00000"/>
                <w:sz w:val="24"/>
              </w:rPr>
            </w:r>
          </w:p>
        </w:tc>
      </w:tr>
      <w:tr>
        <w:trPr>
          <w:trHeight w:val="521"/>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pStyle w:val="934"/>
              <w:ind w:firstLine="0"/>
              <w:jc w:val="center"/>
              <w:tabs>
                <w:tab w:val="left" w:pos="360" w:leader="none"/>
              </w:tabs>
              <w:rPr>
                <w:b/>
                <w:color w:val="ffffff"/>
                <w:sz w:val="20"/>
              </w:rPr>
            </w:pPr>
            <w:r>
              <w:rPr>
                <w:b/>
                <w:color w:val="ffffff"/>
                <w:sz w:val="20"/>
              </w:rPr>
              <w:t xml:space="preserve">5</w:t>
            </w:r>
            <w:r>
              <w:rPr>
                <w:b/>
                <w:color w:val="ffffff"/>
                <w:sz w:val="20"/>
              </w:rPr>
            </w:r>
            <w:r>
              <w:rPr>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pStyle w:val="934"/>
              <w:ind w:firstLine="0"/>
              <w:jc w:val="center"/>
              <w:tabs>
                <w:tab w:val="left" w:pos="360" w:leader="none"/>
              </w:tabs>
              <w:rPr>
                <w:b/>
                <w:color w:val="ffffff"/>
                <w:sz w:val="20"/>
              </w:rPr>
            </w:pPr>
            <w:r>
              <w:rPr>
                <w:b/>
                <w:color w:val="ffffff"/>
                <w:sz w:val="20"/>
              </w:rPr>
              <w:t xml:space="preserve">Идентификационный код закупки / Уникальный реестровый номер заказа в плане-графике</w:t>
            </w:r>
            <w:bookmarkStart w:id="8" w:name="пункт4"/>
            <w:r/>
            <w:bookmarkEnd w:id="8"/>
            <w:r>
              <w:rPr>
                <w:b/>
                <w:color w:val="ffffff"/>
                <w:sz w:val="20"/>
              </w:rPr>
            </w:r>
            <w:r>
              <w:rPr>
                <w:b/>
                <w:color w:val="ffffff"/>
                <w:sz w:val="20"/>
              </w:rPr>
            </w:r>
          </w:p>
        </w:tc>
      </w:tr>
      <w:tr>
        <w:trPr>
          <w:trHeight w:val="543"/>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keepLines/>
              <w:keepNext/>
              <w:spacing w:after="0"/>
              <w:widowControl w:val="off"/>
            </w:pPr>
            <w:r>
              <w:t xml:space="preserve">Идентификационный код закупки: </w:t>
            </w:r>
            <w:r>
              <w:rPr>
                <w:rFonts w:ascii="Tahoma" w:hAnsi="Tahoma" w:eastAsia="Tahoma" w:cs="Tahoma"/>
                <w:color w:val="383838"/>
                <w:sz w:val="18"/>
                <w:highlight w:val="white"/>
              </w:rPr>
              <w:t xml:space="preserve">262201600388220160100100220016201242</w:t>
            </w:r>
            <w:r/>
          </w:p>
          <w:p>
            <w:pPr>
              <w:spacing w:after="0" w:line="240" w:lineRule="exact"/>
              <w:rPr>
                <w:i/>
                <w:color w:val="c00000"/>
              </w:rPr>
            </w:pPr>
            <w:r>
              <w:t xml:space="preserve">уникальный реестровый номер заказа в плане-графике: </w:t>
            </w:r>
            <w:r>
              <w:t xml:space="preserve">20260894500002100100002</w:t>
            </w:r>
            <w:r>
              <w:t xml:space="preserve">2</w:t>
            </w:r>
            <w:r>
              <w:rPr>
                <w:i/>
                <w:color w:val="c00000"/>
              </w:rPr>
            </w:r>
            <w:r>
              <w:rPr>
                <w:i/>
                <w:color w:val="c00000"/>
              </w:rPr>
            </w:r>
          </w:p>
        </w:tc>
      </w:tr>
      <w:tr>
        <w:trPr>
          <w:trHeight w:val="436"/>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pStyle w:val="934"/>
              <w:ind w:firstLine="0"/>
              <w:jc w:val="center"/>
              <w:tabs>
                <w:tab w:val="left" w:pos="360" w:leader="none"/>
              </w:tabs>
              <w:rPr>
                <w:b/>
                <w:color w:val="ffffff"/>
                <w:sz w:val="20"/>
              </w:rPr>
            </w:pPr>
            <w:r>
              <w:rPr>
                <w:b/>
                <w:color w:val="ffffff"/>
                <w:sz w:val="20"/>
              </w:rPr>
              <w:t xml:space="preserve">6</w:t>
            </w:r>
            <w:r>
              <w:rPr>
                <w:b/>
                <w:color w:val="ffffff"/>
                <w:sz w:val="20"/>
              </w:rPr>
            </w:r>
            <w:r>
              <w:rPr>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pStyle w:val="934"/>
              <w:ind w:firstLine="0"/>
              <w:jc w:val="center"/>
              <w:tabs>
                <w:tab w:val="left" w:pos="360" w:leader="none"/>
              </w:tabs>
              <w:rPr>
                <w:b/>
                <w:color w:val="ffffff"/>
                <w:sz w:val="20"/>
              </w:rPr>
            </w:pPr>
            <w:r>
              <w:rPr>
                <w:b/>
                <w:color w:val="ffffff"/>
                <w:sz w:val="20"/>
              </w:rPr>
              <w:t xml:space="preserve">Источник финансирования</w:t>
            </w:r>
            <w:r>
              <w:rPr>
                <w:b/>
                <w:color w:val="ffffff"/>
                <w:sz w:val="20"/>
              </w:rPr>
            </w:r>
            <w:r>
              <w:rPr>
                <w:b/>
                <w:color w:val="ffffff"/>
                <w:sz w:val="20"/>
              </w:rPr>
            </w:r>
          </w:p>
        </w:tc>
      </w:tr>
      <w:tr>
        <w:trPr>
          <w:trHeight w:val="454"/>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spacing w:after="0"/>
              <w:rPr>
                <w:color w:val="0000ff"/>
              </w:rPr>
            </w:pPr>
            <w:r>
              <w:rPr>
                <w:color w:val="0000ff"/>
              </w:rPr>
              <w:t xml:space="preserve">Республиканский бюджет </w:t>
            </w:r>
            <w:r>
              <w:rPr>
                <w:color w:val="0000ff"/>
              </w:rPr>
            </w:r>
            <w:r>
              <w:rPr>
                <w:color w:val="0000ff"/>
              </w:rPr>
            </w:r>
          </w:p>
          <w:p>
            <w:pPr>
              <w:spacing w:after="0"/>
              <w:rPr>
                <w:color w:val="0000ff"/>
              </w:rPr>
            </w:pPr>
            <w:r>
              <w:rPr>
                <w:color w:val="0000ff"/>
              </w:rPr>
            </w:r>
            <w:r>
              <w:rPr>
                <w:color w:val="0000ff"/>
              </w:rPr>
            </w:r>
            <w:r>
              <w:rPr>
                <w:color w:val="0000ff"/>
              </w:rPr>
            </w:r>
          </w:p>
          <w:p>
            <w:pPr>
              <w:spacing w:after="0"/>
            </w:pPr>
            <w:r>
              <w:t xml:space="preserve">Код поступления: </w:t>
            </w:r>
            <w:r>
              <w:rPr>
                <w:highlight w:val="lightGray"/>
              </w:rPr>
              <w:t xml:space="preserve">_______________</w:t>
            </w:r>
            <w:r/>
          </w:p>
          <w:p>
            <w:pPr>
              <w:spacing w:after="0"/>
              <w:shd w:val="clear" w:color="auto" w:fill="d6e3bc" w:themeFill="accent3" w:themeFillTint="66"/>
              <w:rPr>
                <w:i/>
                <w:color w:val="c00000"/>
              </w:rPr>
            </w:pPr>
            <w:r>
              <w:rPr>
                <w:i/>
                <w:color w:val="c00000"/>
              </w:rPr>
              <w:t xml:space="preserve">Примечание: </w:t>
            </w:r>
            <w:r>
              <w:rPr>
                <w:i/>
                <w:color w:val="c00000"/>
              </w:rPr>
              <w:t xml:space="preserve">указать один из следующих вариантов:</w:t>
            </w:r>
            <w:r>
              <w:rPr>
                <w:i/>
                <w:color w:val="c00000"/>
              </w:rPr>
            </w:r>
            <w:r>
              <w:rPr>
                <w:i/>
                <w:color w:val="c00000"/>
              </w:rPr>
            </w:r>
          </w:p>
          <w:p>
            <w:pPr>
              <w:spacing w:after="0"/>
              <w:shd w:val="clear" w:color="auto" w:fill="d6e3bc" w:themeFill="accent3" w:themeFillTint="66"/>
              <w:rPr>
                <w:i/>
                <w:color w:val="c00000"/>
              </w:rPr>
            </w:pPr>
            <w:r>
              <w:rPr>
                <w:i/>
                <w:color w:val="c00000"/>
              </w:rPr>
              <w:t xml:space="preserve"> 1- </w:t>
            </w:r>
            <w:r>
              <w:rPr>
                <w:i/>
                <w:color w:val="c00000"/>
              </w:rPr>
              <w:t xml:space="preserve">Субсидии на финансовое обеспечение выполнения государственного (муниципального) задания (ГЗ)</w:t>
            </w:r>
            <w:r>
              <w:rPr>
                <w:i/>
                <w:color w:val="c00000"/>
              </w:rPr>
              <w:t xml:space="preserve">; </w:t>
            </w:r>
            <w:r>
              <w:rPr>
                <w:i/>
                <w:color w:val="c00000"/>
              </w:rPr>
            </w:r>
            <w:r>
              <w:rPr>
                <w:i/>
                <w:color w:val="c00000"/>
              </w:rPr>
            </w:r>
          </w:p>
          <w:p>
            <w:pPr>
              <w:spacing w:after="0"/>
              <w:shd w:val="clear" w:color="auto" w:fill="d6e3bc" w:themeFill="accent3" w:themeFillTint="66"/>
              <w:rPr>
                <w:i/>
                <w:color w:val="c00000"/>
              </w:rPr>
            </w:pPr>
            <w:r>
              <w:rPr>
                <w:i/>
                <w:color w:val="c00000"/>
              </w:rPr>
              <w:t xml:space="preserve">2- </w:t>
            </w:r>
            <w:r>
              <w:rPr>
                <w:i/>
                <w:color w:val="c00000"/>
              </w:rPr>
              <w:t xml:space="preserve">Субсидии на иные цели и на осуществление капитальных вложений в объекты капстроительства или приобретение объектов недвижимости в государственную (муниципальную) собственность (ЦС);</w:t>
            </w:r>
            <w:r>
              <w:rPr>
                <w:i/>
                <w:color w:val="c00000"/>
              </w:rPr>
            </w:r>
            <w:r>
              <w:rPr>
                <w:i/>
                <w:color w:val="c00000"/>
              </w:rPr>
            </w:r>
          </w:p>
          <w:p>
            <w:pPr>
              <w:spacing w:after="0"/>
              <w:shd w:val="clear" w:color="auto" w:fill="d6e3bc" w:themeFill="accent3" w:themeFillTint="66"/>
              <w:rPr>
                <w:i/>
                <w:color w:val="c00000"/>
              </w:rPr>
            </w:pPr>
            <w:r>
              <w:rPr>
                <w:i/>
                <w:color w:val="c00000"/>
              </w:rPr>
              <w:t xml:space="preserve">3- Средства от приносящей доход деятельности и иные средства (ПД);</w:t>
            </w:r>
            <w:r>
              <w:rPr>
                <w:i/>
                <w:color w:val="c00000"/>
              </w:rPr>
            </w:r>
            <w:r>
              <w:rPr>
                <w:i/>
                <w:color w:val="c00000"/>
              </w:rPr>
            </w:r>
          </w:p>
          <w:p>
            <w:pPr>
              <w:spacing w:after="0"/>
              <w:shd w:val="clear" w:color="auto" w:fill="d6e3bc" w:themeFill="accent3" w:themeFillTint="66"/>
              <w:rPr>
                <w:i/>
                <w:color w:val="c00000"/>
              </w:rPr>
            </w:pPr>
            <w:r>
              <w:rPr>
                <w:i/>
                <w:color w:val="c00000"/>
              </w:rPr>
              <w:t xml:space="preserve">4 - Субсидии на иные цели, предоставленные в соответствии со ст. 78.1 Бюджетного кодекса РФ (ИЦ);</w:t>
            </w:r>
            <w:r>
              <w:rPr>
                <w:i/>
                <w:color w:val="c00000"/>
              </w:rPr>
            </w:r>
            <w:r>
              <w:rPr>
                <w:i/>
                <w:color w:val="c00000"/>
              </w:rPr>
            </w:r>
          </w:p>
          <w:p>
            <w:pPr>
              <w:spacing w:after="0"/>
              <w:shd w:val="clear" w:color="auto" w:fill="d6e3bc" w:themeFill="accent3" w:themeFillTint="66"/>
              <w:rPr>
                <w:i/>
                <w:color w:val="c00000"/>
              </w:rPr>
            </w:pPr>
            <w:r>
              <w:rPr>
                <w:i/>
                <w:color w:val="c00000"/>
              </w:rPr>
              <w:t xml:space="preserve">5 - Субсидии на осуществление капитальных вложений (ст. 78.2 Бюджетного кодекса РФ) (КВ)</w:t>
            </w:r>
            <w:r>
              <w:rPr>
                <w:i/>
                <w:color w:val="c00000"/>
              </w:rPr>
            </w:r>
            <w:r>
              <w:rPr>
                <w:i/>
                <w:color w:val="c00000"/>
              </w:rPr>
            </w:r>
          </w:p>
          <w:p>
            <w:pPr>
              <w:spacing w:after="0"/>
              <w:shd w:val="clear" w:color="auto" w:fill="d6e3bc" w:themeFill="accent3" w:themeFillTint="66"/>
              <w:rPr>
                <w:i/>
                <w:color w:val="c00000"/>
              </w:rPr>
            </w:pPr>
            <w:r>
              <w:rPr>
                <w:i/>
                <w:color w:val="c00000"/>
              </w:rPr>
              <w:t xml:space="preserve">6 -Средства обязательного медицинского страхования (МС);</w:t>
            </w:r>
            <w:r>
              <w:rPr>
                <w:i/>
                <w:color w:val="c00000"/>
              </w:rPr>
            </w:r>
            <w:r>
              <w:rPr>
                <w:i/>
                <w:color w:val="c00000"/>
              </w:rPr>
            </w:r>
          </w:p>
          <w:p>
            <w:pPr>
              <w:spacing w:after="0"/>
              <w:shd w:val="clear" w:color="auto" w:fill="d6e3bc" w:themeFill="accent3" w:themeFillTint="66"/>
            </w:pPr>
            <w:r>
              <w:rPr>
                <w:i/>
                <w:color w:val="c00000"/>
              </w:rPr>
              <w:t xml:space="preserve">7 - Гранты в форме субсидий, предоставляемые из бюджетов бюджетной системы РФ (ГР)</w:t>
            </w:r>
            <w:r/>
          </w:p>
        </w:tc>
      </w:tr>
      <w:tr>
        <w:trPr>
          <w:trHeight w:val="507"/>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pStyle w:val="934"/>
              <w:ind w:firstLine="0"/>
              <w:jc w:val="center"/>
              <w:rPr>
                <w:b/>
                <w:color w:val="ffffff"/>
                <w:sz w:val="20"/>
              </w:rPr>
            </w:pPr>
            <w:r>
              <w:rPr>
                <w:b/>
                <w:color w:val="ffffff"/>
                <w:sz w:val="20"/>
              </w:rPr>
              <w:t xml:space="preserve">7</w:t>
            </w:r>
            <w:r>
              <w:rPr>
                <w:b/>
                <w:color w:val="ffffff"/>
                <w:sz w:val="20"/>
              </w:rPr>
            </w:r>
            <w:r>
              <w:rPr>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pStyle w:val="934"/>
              <w:ind w:firstLine="0"/>
              <w:jc w:val="center"/>
              <w:rPr>
                <w:b/>
                <w:color w:val="ffffff"/>
                <w:sz w:val="20"/>
              </w:rPr>
            </w:pPr>
            <w:r>
              <w:rPr>
                <w:b/>
                <w:color w:val="ffffff"/>
                <w:sz w:val="20"/>
              </w:rPr>
              <w:t xml:space="preserve">Начальная (максимальная) цена контракта, (цена отдельных этапов исполнения контракта, если проектом контракта предусмотрены такие этапы) (п. 9 ч. 1 ст. 42 Федерального закона от 05.04.2013г. №44-ФЗ )</w:t>
            </w:r>
            <w:r>
              <w:rPr>
                <w:b/>
                <w:color w:val="ffffff"/>
                <w:sz w:val="20"/>
              </w:rPr>
            </w:r>
            <w:r>
              <w:rPr>
                <w:b/>
                <w:color w:val="ffffff"/>
                <w:sz w:val="20"/>
              </w:rPr>
            </w:r>
          </w:p>
        </w:tc>
      </w:tr>
      <w:tr>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keepLines/>
              <w:keepNext/>
              <w:spacing w:after="0" w:line="240" w:lineRule="exact"/>
              <w:widowControl w:val="off"/>
            </w:pPr>
            <w:r>
              <w:tab/>
            </w:r>
            <w:r>
              <w:rPr>
                <w:i/>
                <w:color w:val="c00000"/>
                <w:sz w:val="22"/>
                <w:highlight w:val="lightGray"/>
              </w:rPr>
              <w:t xml:space="preserve">.</w:t>
            </w:r>
            <w:r>
              <w:t xml:space="preserve">Начальная (максимальная) цена контракта составляет:</w:t>
            </w:r>
            <w:bookmarkStart w:id="9" w:name="ТекстовоеПоле15"/>
            <w:r/>
            <w:bookmarkEnd w:id="9"/>
            <w:r>
              <w:t xml:space="preserve"> </w:t>
            </w:r>
            <w:r>
              <w:rPr>
                <w:color w:val="auto"/>
                <w:szCs w:val="24"/>
              </w:rPr>
              <w:t xml:space="preserve">6500000 (Шесть миллионов пятьсот тысяч) рублей 00 копеек</w:t>
            </w:r>
            <w:r>
              <w:rPr>
                <w:color w:val="auto"/>
                <w:szCs w:val="24"/>
              </w:rPr>
              <w:t xml:space="preserve">.</w:t>
            </w:r>
            <w:r/>
          </w:p>
        </w:tc>
      </w:tr>
      <w:tr>
        <w:trPr>
          <w:trHeight w:val="429"/>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8</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Условие предоставления аванса (п. 10 ч. 1 ст. 42 Федерального закона №44-ФЗ)</w:t>
            </w:r>
            <w:r>
              <w:rPr>
                <w:rFonts w:ascii="Arial" w:hAnsi="Arial"/>
                <w:b/>
                <w:color w:val="ffffff"/>
                <w:sz w:val="20"/>
              </w:rPr>
            </w:r>
            <w:r>
              <w:rPr>
                <w:rFonts w:ascii="Arial" w:hAnsi="Arial"/>
                <w:b/>
                <w:color w:val="ffffff"/>
                <w:sz w:val="20"/>
              </w:rPr>
            </w:r>
          </w:p>
        </w:tc>
      </w:tr>
      <w:tr>
        <w:trPr>
          <w:trHeight w:val="429"/>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spacing w:after="0"/>
            </w:pPr>
            <w:r>
              <w:rPr>
                <w:b/>
                <w:color w:val="ff0000"/>
                <w:sz w:val="28"/>
                <w:vertAlign w:val="superscript"/>
              </w:rPr>
              <w:t xml:space="preserve">4</w:t>
            </w:r>
            <w:r>
              <w:t xml:space="preserve">Контрактом выплата аванса </w:t>
            </w:r>
            <w:r>
              <w:rPr>
                <w:highlight w:val="lightGray"/>
              </w:rPr>
              <w:t xml:space="preserve">не предусмотрена</w:t>
            </w:r>
            <w:r>
              <w:t xml:space="preserve">.</w:t>
            </w:r>
            <w:r/>
          </w:p>
        </w:tc>
      </w:tr>
      <w:tr>
        <w:trPr>
          <w:trHeight w:val="429"/>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9</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Место и сроки (периоды) выполнения работ, оказания услуг (пп. 7 и 8 ч. 1 ст. 42 Федерального закона от 05.04.2013г. №44-ФЗ)</w:t>
            </w:r>
            <w:r>
              <w:rPr>
                <w:rFonts w:ascii="Arial" w:hAnsi="Arial"/>
                <w:b/>
                <w:color w:val="ffffff"/>
                <w:sz w:val="20"/>
              </w:rPr>
            </w:r>
            <w:r>
              <w:rPr>
                <w:rFonts w:ascii="Arial" w:hAnsi="Arial"/>
                <w:b/>
                <w:color w:val="ffffff"/>
                <w:sz w:val="20"/>
              </w:rPr>
            </w:r>
          </w:p>
        </w:tc>
      </w:tr>
      <w:tr>
        <w:trPr>
          <w:trHeight w:val="429"/>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keepLines/>
              <w:keepNext/>
              <w:spacing w:after="0" w:line="276" w:lineRule="auto"/>
              <w:widowControl w:val="off"/>
              <w:suppressLineNumbers/>
            </w:pPr>
            <w:r>
              <w:t xml:space="preserve">Место выполнения работ, оказания услуг: - Чеченская Республика</w:t>
            </w:r>
            <w:r>
              <w:t xml:space="preserve">,</w:t>
            </w:r>
            <w:r>
              <w:t xml:space="preserve"> </w:t>
            </w:r>
            <w:r>
              <w:rPr>
                <w:color w:val="auto"/>
                <w:szCs w:val="24"/>
              </w:rPr>
              <w:t xml:space="preserve">г. Грозный, проспект Кунта-Хаджи Кишиева, з/у 159 блок а</w:t>
            </w:r>
            <w:r>
              <w:t xml:space="preserve">.</w:t>
            </w:r>
            <w:r/>
          </w:p>
          <w:p>
            <w:pPr>
              <w:jc w:val="left"/>
              <w:spacing w:after="0"/>
              <w:rPr>
                <w:rFonts w:ascii="Arial" w:hAnsi="Arial"/>
                <w:b/>
                <w:color w:val="ffffff"/>
                <w:sz w:val="20"/>
              </w:rPr>
            </w:pPr>
            <w:r>
              <w:t xml:space="preserve">Срок исполнения контракта: с момента заключения государственного контракта в течении 57 рабочих дней со дня заключения контракта.</w:t>
            </w:r>
            <w:r>
              <w:rPr>
                <w:rFonts w:ascii="Arial" w:hAnsi="Arial"/>
                <w:b/>
                <w:color w:val="ffffff"/>
                <w:sz w:val="20"/>
              </w:rPr>
            </w:r>
          </w:p>
        </w:tc>
      </w:tr>
      <w:tr>
        <w:trPr>
          <w:trHeight w:val="429"/>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10</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Общественное обсуждение закупок (ст. 20 Федерального закона от 05.04.2013г. №44-ФЗ)</w:t>
            </w:r>
            <w:r>
              <w:rPr>
                <w:rFonts w:ascii="Arial" w:hAnsi="Arial"/>
                <w:b/>
                <w:color w:val="ffffff"/>
                <w:sz w:val="20"/>
              </w:rPr>
            </w:r>
            <w:r>
              <w:rPr>
                <w:rFonts w:ascii="Arial" w:hAnsi="Arial"/>
                <w:b/>
                <w:color w:val="ffffff"/>
                <w:sz w:val="20"/>
              </w:rPr>
            </w:r>
          </w:p>
        </w:tc>
      </w:tr>
      <w:tr>
        <w:trPr>
          <w:trHeight w:val="429"/>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keepLines/>
              <w:keepNext/>
              <w:spacing w:after="0" w:line="240" w:lineRule="exact"/>
              <w:widowControl w:val="off"/>
            </w:pPr>
            <w:r>
              <w:t xml:space="preserve">Общественное обсуждение закупок в соответствии со ст. 20 Федерального закона от 05.04.2013г. №44-ФЗ не проводится.</w:t>
            </w:r>
            <w:r/>
          </w:p>
        </w:tc>
      </w:tr>
      <w:tr>
        <w:trPr>
          <w:trHeight w:val="429"/>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11</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Возможность одностороннего отказа от исполнения контракта в соответствии с положениями частей 8 - 24 статьи 95 Федерального закона от 05.04.2013г. №44-ФЗ</w:t>
            </w:r>
            <w:r>
              <w:rPr>
                <w:rFonts w:ascii="Arial" w:hAnsi="Arial"/>
                <w:b/>
                <w:color w:val="ffffff"/>
                <w:sz w:val="20"/>
              </w:rPr>
            </w:r>
            <w:r>
              <w:rPr>
                <w:rFonts w:ascii="Arial" w:hAnsi="Arial"/>
                <w:b/>
                <w:color w:val="ffffff"/>
                <w:sz w:val="20"/>
              </w:rPr>
            </w:r>
          </w:p>
        </w:tc>
      </w:tr>
      <w:tr>
        <w:trPr>
          <w:trHeight w:val="429"/>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spacing w:after="0"/>
            </w:pPr>
            <w:r>
              <w:tab/>
              <w:t xml:space="preserve">Заказчик вправе при</w:t>
            </w:r>
            <w:r>
              <w:t xml:space="preserve">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r/>
          </w:p>
          <w:p>
            <w:pPr>
              <w:spacing w:after="0"/>
              <w:rPr>
                <w:i/>
              </w:rPr>
            </w:pPr>
            <w:r>
              <w:tab/>
              <w:t xml:space="preserve">Поставщик (подрядчик, исполнитель) вправе принять решение об одностороннем отказе от исполнения контракта по </w:t>
            </w:r>
            <w:r>
              <w:t xml:space="preserve">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r>
              <w:rPr>
                <w:i/>
              </w:rPr>
            </w:r>
            <w:r>
              <w:rPr>
                <w:i/>
              </w:rPr>
            </w:r>
          </w:p>
        </w:tc>
      </w:tr>
      <w:tr>
        <w:trPr>
          <w:trHeight w:val="483"/>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12</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jc w:val="center"/>
              <w:spacing w:after="0"/>
              <w:tabs>
                <w:tab w:val="left" w:pos="1134" w:leader="none"/>
              </w:tabs>
              <w:rPr>
                <w:rFonts w:ascii="Arial" w:hAnsi="Arial"/>
                <w:b/>
                <w:color w:val="ffffff"/>
                <w:sz w:val="20"/>
              </w:rPr>
            </w:pPr>
            <w:r>
              <w:rPr>
                <w:rFonts w:ascii="Arial" w:hAnsi="Arial"/>
                <w:b/>
                <w:color w:val="ffffff"/>
                <w:sz w:val="20"/>
              </w:rPr>
              <w:t xml:space="preserve">Размер обесп</w:t>
            </w:r>
            <w:r>
              <w:rPr>
                <w:rFonts w:ascii="Arial" w:hAnsi="Arial"/>
                <w:b/>
                <w:color w:val="ffffff"/>
                <w:sz w:val="20"/>
              </w:rPr>
              <w:t xml:space="preserve">ечения заявок на участие в электронном аукционе и порядок внесения денежных средств в качестве обеспечения заявок на участие в аукционе в электронной форме, а также условия независимой гарантии (пп.16 ч. 1 ст. 42 Федерального закона от 05.04.2013г. №44-ФЗ)</w:t>
            </w:r>
            <w:r>
              <w:rPr>
                <w:rFonts w:ascii="Arial" w:hAnsi="Arial"/>
                <w:b/>
                <w:color w:val="ffffff"/>
                <w:sz w:val="20"/>
              </w:rPr>
            </w:r>
            <w:r>
              <w:rPr>
                <w:rFonts w:ascii="Arial" w:hAnsi="Arial"/>
                <w:b/>
                <w:color w:val="ffffff"/>
                <w:sz w:val="20"/>
              </w:rPr>
            </w:r>
          </w:p>
        </w:tc>
      </w:tr>
      <w:tr>
        <w:trPr>
          <w:trHeight w:val="616"/>
        </w:trPr>
        <w:tc>
          <w:tcPr>
            <w:gridSpan w:val="2"/>
            <w:tcBorders>
              <w:top w:val="single" w:color="000000" w:sz="4" w:space="0"/>
              <w:left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keepNext/>
            </w:pPr>
            <w:r>
              <w:rPr>
                <w:color w:val="0000ff"/>
              </w:rPr>
              <w:tab/>
            </w:r>
            <w:r>
              <w:rPr>
                <w:b/>
                <w:color w:val="ff0000"/>
                <w:sz w:val="28"/>
                <w:vertAlign w:val="superscript"/>
              </w:rPr>
              <w:t xml:space="preserve">6</w:t>
            </w:r>
            <w:r>
              <w:t xml:space="preserve">Требование обеспечения заявок на участие в электронном аукционе</w:t>
            </w:r>
            <w:r/>
          </w:p>
          <w:p>
            <w:pPr>
              <w:keepNext/>
              <w:rPr>
                <w:b/>
                <w:color w:val="ffffff"/>
              </w:rPr>
            </w:pPr>
            <w:r>
              <w:t xml:space="preserve">установлено в размере _1_% от начальной (максимальной) цены контракта, что  составляет 65000 (Шестьдесят пять тысяч) рублей 00 копеек.</w:t>
            </w:r>
            <w:r>
              <w:rPr>
                <w:b/>
                <w:color w:val="ffffff"/>
              </w:rPr>
            </w:r>
            <w:r>
              <w:rPr>
                <w:b/>
                <w:color w:val="ffffff"/>
              </w:rPr>
            </w:r>
          </w:p>
        </w:tc>
      </w:tr>
      <w:tr>
        <w:trPr>
          <w:trHeight w:val="336"/>
        </w:trPr>
        <w:tc>
          <w:tcPr>
            <w:gridSpan w:val="2"/>
            <w:tcBorders>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keepNext/>
              <w:spacing w:after="0"/>
              <w:rPr>
                <w:rStyle w:val="1137"/>
              </w:rPr>
            </w:pPr>
            <w:r>
              <w:rPr>
                <w:i/>
              </w:rPr>
              <w:tab/>
            </w:r>
            <w:r>
              <w:rPr>
                <w:rStyle w:val="1137"/>
              </w:rPr>
              <w:t xml:space="preserve">В случае если в соответствии с извещением о проведении настоящего электронного аукциона установлено требование обеспечения заявок на участие в электронном аукционе:</w:t>
            </w:r>
            <w:r>
              <w:rPr>
                <w:rStyle w:val="1137"/>
              </w:rPr>
            </w:r>
            <w:r>
              <w:rPr>
                <w:rStyle w:val="1137"/>
              </w:rPr>
            </w:r>
          </w:p>
          <w:p>
            <w:pPr>
              <w:spacing w:after="0"/>
              <w:rPr>
                <w:i/>
              </w:rPr>
            </w:pPr>
            <w:r>
              <w:rPr>
                <w:rStyle w:val="1137"/>
                <w:i/>
              </w:rPr>
              <w:tab/>
            </w:r>
            <w:r>
              <w:rPr>
                <w:i/>
              </w:rPr>
              <w:t xml:space="preserve">1. Обеспечение заявки на участие в закупк</w:t>
            </w:r>
            <w:r>
              <w:rPr>
                <w:i/>
              </w:rPr>
              <w:t xml:space="preserve">е (далее – ОЗ) предоставляется в порядке, указанном в ст.44 Федерального закона от 5 апреля 2013г. №44-ФЗ, с учетом особенностей, установленных постановлением Правительства РФ от 10.04.2023г. №579, который может предоставляться одним из следующих способов:</w:t>
            </w:r>
            <w:r>
              <w:rPr>
                <w:i/>
              </w:rPr>
            </w:r>
            <w:r>
              <w:rPr>
                <w:i/>
              </w:rPr>
            </w:r>
          </w:p>
          <w:p>
            <w:pPr>
              <w:spacing w:after="0"/>
              <w:rPr>
                <w:i/>
              </w:rPr>
            </w:pPr>
            <w:r>
              <w:rPr>
                <w:i/>
              </w:rPr>
              <w:tab/>
              <w:t xml:space="preserve">а) путем блокирования денежных средств на банковском счете, открытом участником закупке (далее – УЗ) в банке, включенном </w:t>
            </w:r>
            <w:r>
              <w:rPr>
                <w:i/>
                <w:shd w:val="clear" w:color="auto" w:fill="d6e3bc" w:themeFill="accent3" w:themeFillTint="66"/>
              </w:rPr>
              <w:t xml:space="preserve">в перечень, который ведется Минфином России и размещается на официальном сайте Минфина России в информационно-телекоммуникационной сети "Интернет" (далее-Спецсчет),</w:t>
            </w:r>
            <w:r>
              <w:rPr>
                <w:i/>
              </w:rPr>
              <w:t xml:space="preserve"> для их перевода в случаях, предусмотренных ст.44 Федерального закона от 5 апреля 2013г. №44-ФЗ, на счет, на котором в </w:t>
            </w:r>
            <w:r>
              <w:rPr>
                <w:i/>
                <w:highlight w:val="white"/>
              </w:rPr>
              <w:t xml:space="preserve">соответствии с законодательством РФ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Спецсчета, к порядку использования имеющегося</w:t>
            </w:r>
            <w:r>
              <w:rPr>
                <w:i/>
              </w:rPr>
              <w:t xml:space="preserve"> у УЗ банковского счета в качестве Спецсчета устанавливаются Правительством РФ;</w:t>
            </w:r>
            <w:r>
              <w:rPr>
                <w:i/>
              </w:rPr>
            </w:r>
            <w:r>
              <w:rPr>
                <w:i/>
              </w:rPr>
            </w:r>
          </w:p>
          <w:p>
            <w:pPr>
              <w:spacing w:after="0"/>
              <w:rPr>
                <w:i/>
              </w:rPr>
            </w:pPr>
            <w:r>
              <w:rPr>
                <w:i/>
              </w:rPr>
              <w:tab/>
              <w:t xml:space="preserve">б) путем предоставления независимой гарантии, соответствующей требованиям ст. 45 Федерального закона от 5 апреля 2013г. №44-ФЗ. Срок действия независимой гарантии должен составлять не менее  месяца с даты окончания срока подачи заявок.</w:t>
            </w:r>
            <w:r>
              <w:rPr>
                <w:i/>
              </w:rPr>
            </w:r>
            <w:r>
              <w:rPr>
                <w:i/>
              </w:rPr>
            </w:r>
          </w:p>
          <w:p>
            <w:pPr>
              <w:spacing w:after="0"/>
              <w:rPr>
                <w:i/>
              </w:rPr>
            </w:pPr>
            <w:r>
              <w:rPr>
                <w:i/>
              </w:rPr>
              <w:tab/>
              <w:t xml:space="preserve">в) путем внесения денежных средств на счет Комитета по госзаказу ЧР:</w:t>
            </w:r>
            <w:r>
              <w:t xml:space="preserve"> </w:t>
            </w:r>
            <w:r>
              <w:rPr>
                <w:i/>
              </w:rPr>
              <w:t xml:space="preserve">р/с  0322264396000009400 </w:t>
            </w:r>
            <w:r>
              <w:rPr>
                <w:color w:val="383838"/>
                <w:highlight w:val="white"/>
              </w:rPr>
              <w:t xml:space="preserve">ОКЦ № 12 ЮГУ Банка России//УФК по Чеченской Республике, г Грозный</w:t>
            </w:r>
            <w:r>
              <w:rPr>
                <w:i/>
              </w:rPr>
              <w:t xml:space="preserve">,</w:t>
            </w:r>
            <w:r>
              <w:t xml:space="preserve"> </w:t>
            </w:r>
            <w:r>
              <w:rPr>
                <w:i/>
              </w:rPr>
              <w:t xml:space="preserve">л/с 05942000050, БИК 019690001, ИНН 2016014690 (в случаях, предусмотренных Постановлением Правительства РФ от 10.04.2023г. №579).</w:t>
            </w:r>
            <w:r>
              <w:rPr>
                <w:i/>
              </w:rPr>
            </w:r>
            <w:r>
              <w:rPr>
                <w:i/>
              </w:rPr>
            </w:r>
          </w:p>
          <w:p>
            <w:pPr>
              <w:rPr>
                <w:i/>
              </w:rPr>
            </w:pPr>
            <w:r>
              <w:rPr>
                <w:i/>
              </w:rPr>
              <w:tab/>
              <w:t xml:space="preserve">2. Предприятия уголовно-исполнительной системы, организации инвалидов, указанные в ч. 2 ст. 29 Федерального закон</w:t>
            </w:r>
            <w:r>
              <w:rPr>
                <w:i/>
              </w:rPr>
              <w:t xml:space="preserve">а от 5 апреля 2013г. №44-ФЗ, предоставляют Обеспечение в размере 0,5% начальной (максимальной) цены контракта (максимального значения цены контракта). Госуд-ные, муниц-ные учреждения не предоставляют Обеспечение подаваемых ими заявок на участие в закупках.</w:t>
            </w:r>
            <w:r>
              <w:rPr>
                <w:i/>
              </w:rPr>
            </w:r>
            <w:r>
              <w:rPr>
                <w:i/>
              </w:rPr>
            </w:r>
          </w:p>
          <w:p>
            <w:pPr>
              <w:rPr>
                <w:i/>
              </w:rPr>
            </w:pPr>
            <w:r>
              <w:rPr>
                <w:i/>
              </w:rPr>
              <w:tab/>
              <w:t xml:space="preserve">3. Выбор способа Обеспечения осуществляется УЗ самостоятельно.</w:t>
            </w:r>
            <w:r>
              <w:rPr>
                <w:i/>
              </w:rPr>
            </w:r>
            <w:r>
              <w:rPr>
                <w:i/>
              </w:rPr>
            </w:r>
          </w:p>
        </w:tc>
      </w:tr>
      <w:tr>
        <w:trPr>
          <w:trHeight w:val="409"/>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13</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jc w:val="center"/>
              <w:spacing w:after="0"/>
              <w:tabs>
                <w:tab w:val="left" w:pos="1134" w:leader="none"/>
              </w:tabs>
              <w:rPr>
                <w:rFonts w:ascii="Arial" w:hAnsi="Arial"/>
                <w:b/>
                <w:color w:val="ffffff"/>
                <w:sz w:val="20"/>
              </w:rPr>
            </w:pPr>
            <w:r>
              <w:rPr>
                <w:rFonts w:ascii="Arial" w:hAnsi="Arial"/>
                <w:b/>
                <w:color w:val="ffffff"/>
                <w:sz w:val="20"/>
              </w:rPr>
              <w:t xml:space="preserve">Размер обеспечения исполнения контракта,  порядка его предоставления, требования к такому обеспечению</w:t>
            </w:r>
            <w:r>
              <w:rPr>
                <w:rFonts w:ascii="Arial" w:hAnsi="Arial"/>
                <w:b/>
                <w:color w:val="ffffff"/>
                <w:sz w:val="20"/>
              </w:rPr>
            </w:r>
            <w:r>
              <w:rPr>
                <w:rFonts w:ascii="Arial" w:hAnsi="Arial"/>
                <w:b/>
                <w:color w:val="ffffff"/>
                <w:sz w:val="20"/>
              </w:rPr>
            </w:r>
          </w:p>
        </w:tc>
      </w:tr>
      <w:tr>
        <w:trPr>
          <w:trHeight w:val="409"/>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keepLines/>
              <w:keepNext/>
              <w:spacing w:after="0"/>
              <w:widowControl w:val="off"/>
            </w:pPr>
            <w:r>
              <w:rPr>
                <w:b/>
                <w:color w:val="ff0000"/>
                <w:sz w:val="28"/>
                <w:vertAlign w:val="superscript"/>
              </w:rPr>
              <w:t xml:space="preserve">7</w:t>
            </w:r>
            <w:r>
              <w:t xml:space="preserve">Требование о предоставлении обеспечения исполнения контракта</w:t>
            </w:r>
            <w:r/>
          </w:p>
          <w:p>
            <w:pPr>
              <w:keepLines/>
              <w:keepNext/>
              <w:spacing w:after="0" w:line="240" w:lineRule="exact"/>
              <w:widowControl w:val="off"/>
              <w:rPr>
                <w:i/>
                <w:color w:val="c00000"/>
                <w:sz w:val="22"/>
              </w:rPr>
            </w:pPr>
            <w:r>
              <w:rPr>
                <w:i/>
                <w:color w:val="c00000"/>
                <w:sz w:val="22"/>
              </w:rPr>
              <w:t xml:space="preserve">установлено в размере 1% от цены контракта</w:t>
            </w:r>
            <w:r>
              <w:rPr>
                <w:i/>
                <w:color w:val="c00000"/>
                <w:sz w:val="22"/>
              </w:rPr>
              <w:t xml:space="preserve">/</w:t>
            </w:r>
            <w:r>
              <w:rPr>
                <w:i/>
                <w:color w:val="c00000"/>
                <w:sz w:val="22"/>
              </w:rPr>
            </w:r>
            <w:r>
              <w:rPr>
                <w:i/>
                <w:color w:val="c00000"/>
                <w:sz w:val="22"/>
              </w:rPr>
            </w:r>
          </w:p>
          <w:p>
            <w:pPr>
              <w:keepLines/>
              <w:keepNext/>
              <w:spacing w:after="0" w:line="240" w:lineRule="exact"/>
              <w:widowControl w:val="off"/>
              <w:rPr>
                <w:i/>
              </w:rPr>
            </w:pPr>
            <w:r>
              <w:rPr>
                <w:i/>
                <w:color w:val="c00000"/>
                <w:sz w:val="22"/>
              </w:rPr>
              <w:tab/>
            </w:r>
            <w:r>
              <w:rPr>
                <w:i/>
              </w:rPr>
              <w:t xml:space="preserve"> Контракт заключается после предоставления участником закупки, с которым заключается контракт, обеспечения исполнения контракта в порядке, указанном в </w:t>
            </w:r>
            <w:r>
              <w:rPr>
                <w:i/>
                <w:highlight w:val="yellow"/>
              </w:rPr>
              <w:t xml:space="preserve"> ст. </w:t>
            </w:r>
            <w:r>
              <w:rPr>
                <w:i/>
              </w:rPr>
              <w:t xml:space="preserve">96 Федерального закона от 5 апреля 2013 г. №44-ФЗ, с учетом положений статьи 37 Федерального закона от 5 апреля 2013 г. №44-ФЗ.</w:t>
            </w:r>
            <w:r>
              <w:rPr>
                <w:i/>
              </w:rPr>
            </w:r>
            <w:r>
              <w:rPr>
                <w:i/>
              </w:rPr>
            </w:r>
          </w:p>
          <w:p>
            <w:pPr>
              <w:pStyle w:val="983"/>
              <w:spacing w:line="240" w:lineRule="exact"/>
              <w:rPr>
                <w:rFonts w:ascii="Times New Roman" w:hAnsi="Times New Roman"/>
                <w:i/>
                <w:sz w:val="24"/>
              </w:rPr>
            </w:pPr>
            <w:r>
              <w:rPr>
                <w:rFonts w:ascii="Times New Roman" w:hAnsi="Times New Roman"/>
                <w:i/>
                <w:sz w:val="24"/>
              </w:rPr>
              <w:t xml:space="preserve"> Обеспечение исполнения контракта может обеспечиваться предоставлением независимой гарантии, соответствующей требованиям </w:t>
            </w:r>
            <w:hyperlink r:id="rId13" w:tooltip="http://ivo.garant.ru/#/document/77673809/entry/45" w:anchor="/document/77673809/entry/45" w:history="1">
              <w:r>
                <w:rPr>
                  <w:rFonts w:ascii="Times New Roman" w:hAnsi="Times New Roman"/>
                  <w:i/>
                  <w:sz w:val="24"/>
                </w:rPr>
                <w:t xml:space="preserve">статьи 45</w:t>
              </w:r>
            </w:hyperlink>
            <w:r>
              <w:rPr>
                <w:rFonts w:ascii="Times New Roman" w:hAnsi="Times New Roman"/>
                <w:i/>
                <w:sz w:val="24"/>
              </w:rPr>
              <w:t xml:space="preserve"> Федерал</w:t>
            </w:r>
            <w:r>
              <w:rPr>
                <w:rFonts w:ascii="Times New Roman" w:hAnsi="Times New Roman"/>
                <w:i/>
                <w:sz w:val="24"/>
              </w:rPr>
              <w:t xml:space="preserve">ьного закона от 05.04.2013 № 44-ФЗ, или внесением денежных средств на указанный в извещении о проведении закупки Заказчиком счет, на котором в соответствии с законодательством Российской Федерации учитываются операции со средствами, поступающими Заказчику.</w:t>
            </w:r>
            <w:r>
              <w:rPr>
                <w:rFonts w:ascii="Times New Roman" w:hAnsi="Times New Roman"/>
                <w:i/>
                <w:sz w:val="24"/>
              </w:rPr>
            </w:r>
            <w:r>
              <w:rPr>
                <w:rFonts w:ascii="Times New Roman" w:hAnsi="Times New Roman"/>
                <w:i/>
                <w:sz w:val="24"/>
              </w:rPr>
            </w:r>
          </w:p>
          <w:p>
            <w:pPr>
              <w:pStyle w:val="983"/>
              <w:spacing w:line="240" w:lineRule="exact"/>
              <w:rPr>
                <w:rFonts w:ascii="Times New Roman" w:hAnsi="Times New Roman"/>
                <w:i/>
                <w:sz w:val="24"/>
              </w:rPr>
            </w:pPr>
            <w:r>
              <w:rPr>
                <w:rFonts w:ascii="Times New Roman" w:hAnsi="Times New Roman"/>
                <w:i/>
                <w:sz w:val="24"/>
              </w:rPr>
              <w:t xml:space="preserve"> Способ обеспечения исполнения контракта, срок действия независимой гарантии определяются участником закупки, с которым заключается контракт, самостоятельно. При </w:t>
            </w:r>
            <w:r>
              <w:rPr>
                <w:rFonts w:ascii="Times New Roman" w:hAnsi="Times New Roman"/>
                <w:i/>
                <w:sz w:val="24"/>
              </w:rPr>
              <w:t xml:space="preserve">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4" w:tooltip="http://ivo.garant.ru/#/document/77673809/entry/95" w:anchor="/document/77673809/entry/95" w:history="1">
              <w:r>
                <w:rPr>
                  <w:rFonts w:ascii="Times New Roman" w:hAnsi="Times New Roman"/>
                  <w:i/>
                  <w:sz w:val="24"/>
                </w:rPr>
                <w:t xml:space="preserve">статьей 95</w:t>
              </w:r>
            </w:hyperlink>
            <w:r>
              <w:rPr>
                <w:rFonts w:ascii="Times New Roman" w:hAnsi="Times New Roman"/>
                <w:i/>
                <w:sz w:val="24"/>
              </w:rPr>
              <w:t xml:space="preserve"> Федерального закона от 05.04.2013 № 44-ФЗ.</w:t>
            </w:r>
            <w:r>
              <w:rPr>
                <w:rFonts w:ascii="Times New Roman" w:hAnsi="Times New Roman"/>
                <w:i/>
                <w:sz w:val="24"/>
              </w:rPr>
            </w:r>
            <w:r>
              <w:rPr>
                <w:rFonts w:ascii="Times New Roman" w:hAnsi="Times New Roman"/>
                <w:i/>
                <w:sz w:val="24"/>
              </w:rPr>
            </w:r>
          </w:p>
          <w:p>
            <w:pPr>
              <w:ind w:firstLine="567"/>
              <w:spacing w:after="0" w:line="240" w:lineRule="exact"/>
              <w:rPr>
                <w:i/>
              </w:rPr>
            </w:pPr>
            <w:r>
              <w:rPr>
                <w:i/>
              </w:rPr>
              <w:t xml:space="preserve"> Положения (требование) об обеспечении и</w:t>
            </w:r>
            <w:r>
              <w:rPr>
                <w:i/>
              </w:rPr>
              <w:t xml:space="preserve">сполнения контракта, включая положения о предоставлении такого обеспечения с учетом положений статьи 37 Федерального закона от 5 апреля 2013 г. №44-ФЗ не применяются в случае заключения контракта с участником закупки, который является казенным учреждением.</w:t>
            </w:r>
            <w:r>
              <w:rPr>
                <w:i/>
              </w:rPr>
            </w:r>
            <w:r>
              <w:rPr>
                <w:i/>
              </w:rPr>
            </w:r>
          </w:p>
          <w:p>
            <w:pPr>
              <w:pStyle w:val="983"/>
              <w:spacing w:line="240" w:lineRule="exact"/>
              <w:rPr>
                <w:b/>
                <w:color w:val="ffffff"/>
                <w:sz w:val="20"/>
              </w:rPr>
            </w:pPr>
            <w:r>
              <w:rPr>
                <w:rFonts w:ascii="Times New Roman" w:hAnsi="Times New Roman"/>
                <w:i/>
                <w:sz w:val="24"/>
              </w:rPr>
              <w:t xml:space="preserve"> Участник закупки, с которым заключается контракт по результатам определения поставщика (подрядчика, исполнителя) в соответствии с п. 1 ч. 1 ст. 30 Федерального закона от 5 апреля 2013 г. №44-ФЗ освобождается от предоставле</w:t>
            </w:r>
            <w:r>
              <w:rPr>
                <w:rFonts w:ascii="Times New Roman" w:hAnsi="Times New Roman"/>
                <w:i/>
                <w:sz w:val="24"/>
              </w:rPr>
              <w:t xml:space="preserve">ния обеспечения исполнения контракта, в том числе с учетом положений ст. 37 Федерального закона от 5 апреля 2013 г. №44-ФЗ случае предоставления таким участником закупки информации, предусмотренном ч. 8.1 ст. Федерального закона от 5 апреля 2013 г. №44-ФЗ.</w:t>
            </w:r>
            <w:r>
              <w:rPr>
                <w:b/>
                <w:color w:val="ffffff"/>
                <w:sz w:val="20"/>
              </w:rPr>
            </w:r>
            <w:r>
              <w:rPr>
                <w:b/>
                <w:color w:val="ffffff"/>
                <w:sz w:val="20"/>
              </w:rPr>
            </w:r>
          </w:p>
        </w:tc>
      </w:tr>
      <w:tr>
        <w:trPr>
          <w:trHeight w:val="409"/>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jc w:val="center"/>
              <w:spacing w:after="0"/>
              <w:tabs>
                <w:tab w:val="left" w:pos="1134" w:leader="none"/>
              </w:tabs>
              <w:rPr>
                <w:rFonts w:ascii="Arial" w:hAnsi="Arial"/>
                <w:b/>
                <w:color w:val="ffffff"/>
                <w:sz w:val="20"/>
              </w:rPr>
            </w:pPr>
            <w:r>
              <w:rPr>
                <w:rFonts w:ascii="Arial" w:hAnsi="Arial"/>
                <w:b/>
                <w:color w:val="ffffff"/>
                <w:sz w:val="20"/>
              </w:rPr>
              <w:t xml:space="preserve">14</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jc w:val="center"/>
              <w:spacing w:after="0"/>
              <w:tabs>
                <w:tab w:val="left" w:pos="1134" w:leader="none"/>
              </w:tabs>
              <w:rPr>
                <w:rFonts w:ascii="Arial" w:hAnsi="Arial"/>
                <w:b/>
                <w:color w:val="ffffff"/>
                <w:sz w:val="20"/>
              </w:rPr>
            </w:pPr>
            <w:r>
              <w:rPr>
                <w:rFonts w:ascii="Arial" w:hAnsi="Arial"/>
                <w:b/>
                <w:color w:val="ffffff"/>
                <w:sz w:val="20"/>
              </w:rPr>
              <w:t xml:space="preserve">Размер обеспечения гарантийных обязательств, краткое описание порядка его предоставления, требования к такому обеспечению</w:t>
            </w:r>
            <w:r>
              <w:rPr>
                <w:rFonts w:ascii="Arial" w:hAnsi="Arial"/>
                <w:b/>
                <w:color w:val="ffffff"/>
                <w:sz w:val="20"/>
              </w:rPr>
            </w:r>
            <w:r>
              <w:rPr>
                <w:rFonts w:ascii="Arial" w:hAnsi="Arial"/>
                <w:b/>
                <w:color w:val="ffffff"/>
                <w:sz w:val="20"/>
              </w:rPr>
            </w:r>
          </w:p>
        </w:tc>
      </w:tr>
      <w:tr>
        <w:trPr>
          <w:trHeight w:val="676"/>
        </w:trPr>
        <w:tc>
          <w:tcPr>
            <w:gridSpan w:val="2"/>
            <w:shd w:val="clear" w:color="auto" w:fill="ffffff" w:themeFill="background1"/>
            <w:tcBorders>
              <w:top w:val="single" w:color="000000" w:sz="4" w:space="0"/>
              <w:left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keepLines/>
              <w:keepNext/>
              <w:spacing w:after="0"/>
              <w:widowControl w:val="off"/>
            </w:pPr>
            <w:r>
              <w:tab/>
              <w:t xml:space="preserve">Заказчик </w:t>
            </w:r>
            <w:r>
              <w:tab/>
            </w:r>
            <w:r>
              <w:rPr>
                <w:highlight w:val="lightGray"/>
              </w:rPr>
              <w:t xml:space="preserve">не установил требование предоставления обеспечения гарантийных обязательств.</w:t>
            </w:r>
            <w:r/>
          </w:p>
          <w:p>
            <w:pPr>
              <w:spacing w:after="0"/>
            </w:pPr>
            <w:r/>
            <w:r/>
          </w:p>
        </w:tc>
      </w:tr>
      <w:tr>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jc w:val="center"/>
              <w:spacing w:after="0"/>
              <w:tabs>
                <w:tab w:val="left" w:pos="1134" w:leader="none"/>
              </w:tabs>
              <w:rPr>
                <w:rFonts w:ascii="Arial" w:hAnsi="Arial"/>
                <w:b/>
                <w:color w:val="ffffff"/>
                <w:sz w:val="20"/>
              </w:rPr>
            </w:pPr>
            <w:r>
              <w:rPr>
                <w:rFonts w:ascii="Arial" w:hAnsi="Arial"/>
                <w:b/>
                <w:color w:val="ffffff"/>
                <w:sz w:val="20"/>
              </w:rPr>
              <w:t xml:space="preserve">15</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ind w:firstLine="334"/>
              <w:jc w:val="center"/>
              <w:spacing w:after="0"/>
              <w:tabs>
                <w:tab w:val="left" w:pos="1134" w:leader="none"/>
              </w:tabs>
              <w:rPr>
                <w:rFonts w:ascii="Arial" w:hAnsi="Arial"/>
                <w:b/>
                <w:color w:val="ffffff"/>
                <w:sz w:val="20"/>
              </w:rPr>
            </w:pPr>
            <w:r>
              <w:rPr>
                <w:rFonts w:ascii="Arial" w:hAnsi="Arial"/>
                <w:b/>
                <w:color w:val="ffffff"/>
                <w:sz w:val="20"/>
              </w:rPr>
              <w:t xml:space="preserve">Реквизиты счета, на котором в соответствии с законодательством Российской Федерации учитываются операции со средствами, поступающими заказчику, (п.16 ч.1 ст.42 Федерального закона от 5 апреля 2013 г. от 05.04.2013г. №44-ФЗ)</w:t>
            </w:r>
            <w:r>
              <w:rPr>
                <w:rFonts w:ascii="Arial" w:hAnsi="Arial"/>
                <w:b/>
                <w:color w:val="ffffff"/>
                <w:sz w:val="20"/>
              </w:rPr>
            </w:r>
            <w:r>
              <w:rPr>
                <w:rFonts w:ascii="Arial" w:hAnsi="Arial"/>
                <w:b/>
                <w:color w:val="ffffff"/>
                <w:sz w:val="20"/>
              </w:rPr>
            </w:r>
          </w:p>
        </w:tc>
      </w:tr>
      <w:tr>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jc w:val="left"/>
              <w:keepLines/>
              <w:keepNext/>
              <w:spacing w:after="0" w:line="276" w:lineRule="auto"/>
              <w:widowControl w:val="off"/>
            </w:pPr>
            <w:r>
              <w:t xml:space="preserve">Получатель: Государственное казенное учреждение «Управление по обеспечению деятельности Министерства финансов Чеченской Республики» </w:t>
            </w:r>
            <w:r/>
          </w:p>
          <w:p>
            <w:pPr>
              <w:jc w:val="left"/>
              <w:keepLines/>
              <w:keepNext/>
              <w:spacing w:after="0" w:line="276" w:lineRule="auto"/>
              <w:widowControl w:val="off"/>
            </w:pPr>
            <w:r>
              <w:t xml:space="preserve">ИНН: 2016003882</w:t>
            </w:r>
            <w:r/>
          </w:p>
          <w:p>
            <w:pPr>
              <w:jc w:val="left"/>
              <w:keepLines/>
              <w:keepNext/>
              <w:spacing w:after="0" w:line="276" w:lineRule="auto"/>
              <w:widowControl w:val="off"/>
            </w:pPr>
            <w:r>
              <w:t xml:space="preserve">КПП: 201601001</w:t>
            </w:r>
            <w:r/>
          </w:p>
          <w:p>
            <w:pPr>
              <w:jc w:val="left"/>
              <w:keepLines/>
              <w:keepNext/>
              <w:spacing w:after="0" w:line="276" w:lineRule="auto"/>
              <w:widowControl w:val="off"/>
            </w:pPr>
            <w:r>
              <w:t xml:space="preserve">л/с 05942D01330</w:t>
            </w:r>
            <w:r/>
          </w:p>
          <w:p>
            <w:pPr>
              <w:jc w:val="left"/>
              <w:keepLines/>
              <w:keepNext/>
              <w:spacing w:after="0" w:line="276" w:lineRule="auto"/>
              <w:widowControl w:val="off"/>
            </w:pPr>
            <w:r>
              <w:t xml:space="preserve">Банк получателя: ОКЦ № 12 ЮГУ Банка России//УФК по Чеченской Республике, г Грозный</w:t>
            </w:r>
            <w:r/>
          </w:p>
          <w:p>
            <w:pPr>
              <w:jc w:val="left"/>
              <w:keepLines/>
              <w:keepNext/>
              <w:spacing w:after="0" w:line="276" w:lineRule="auto"/>
              <w:widowControl w:val="off"/>
            </w:pPr>
            <w:r>
              <w:t xml:space="preserve">р/сч. 03222643960000009400 </w:t>
            </w:r>
            <w:r/>
          </w:p>
          <w:p>
            <w:pPr>
              <w:jc w:val="left"/>
              <w:keepLines/>
              <w:keepNext/>
              <w:spacing w:after="0" w:line="276" w:lineRule="auto"/>
              <w:widowControl w:val="off"/>
            </w:pPr>
            <w:r>
              <w:t xml:space="preserve">кор/сч. 40102810945370000083</w:t>
            </w:r>
            <w:r/>
          </w:p>
          <w:p>
            <w:pPr>
              <w:spacing w:after="0"/>
              <w:tabs>
                <w:tab w:val="left" w:pos="1134" w:leader="none"/>
              </w:tabs>
              <w:rPr>
                <w:rFonts w:ascii="Arial" w:hAnsi="Arial"/>
                <w:b/>
                <w:color w:val="ffffff"/>
                <w:sz w:val="20"/>
              </w:rPr>
            </w:pPr>
            <w:r>
              <w:t xml:space="preserve">БИК ТОФК: 019690001</w:t>
            </w:r>
            <w:r>
              <w:rPr>
                <w:rFonts w:ascii="Arial" w:hAnsi="Arial"/>
                <w:b/>
                <w:color w:val="ffffff"/>
                <w:sz w:val="20"/>
              </w:rPr>
            </w:r>
            <w:r>
              <w:rPr>
                <w:rFonts w:ascii="Arial" w:hAnsi="Arial"/>
                <w:b/>
                <w:color w:val="ffffff"/>
                <w:sz w:val="20"/>
              </w:rPr>
            </w:r>
          </w:p>
        </w:tc>
      </w:tr>
      <w:tr>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jc w:val="center"/>
              <w:spacing w:after="0"/>
              <w:tabs>
                <w:tab w:val="left" w:pos="1134" w:leader="none"/>
              </w:tabs>
              <w:rPr>
                <w:rFonts w:ascii="Arial" w:hAnsi="Arial"/>
                <w:b/>
                <w:color w:val="ffffff"/>
                <w:sz w:val="20"/>
              </w:rPr>
            </w:pPr>
            <w:r>
              <w:rPr>
                <w:rFonts w:ascii="Arial" w:hAnsi="Arial"/>
                <w:b/>
                <w:color w:val="ffffff"/>
                <w:sz w:val="20"/>
              </w:rPr>
              <w:t xml:space="preserve">16</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ind w:firstLine="334"/>
              <w:jc w:val="center"/>
              <w:spacing w:after="0"/>
              <w:tabs>
                <w:tab w:val="left" w:pos="1134" w:leader="none"/>
              </w:tabs>
              <w:rPr>
                <w:rFonts w:ascii="Arial" w:hAnsi="Arial"/>
                <w:b/>
                <w:color w:val="ffffff"/>
                <w:sz w:val="20"/>
              </w:rPr>
            </w:pPr>
            <w:r>
              <w:rPr>
                <w:rFonts w:ascii="Arial" w:hAnsi="Arial"/>
                <w:b/>
                <w:color w:val="ffffff"/>
                <w:sz w:val="20"/>
              </w:rPr>
              <w:t xml:space="preserve">Реквизиты счета для перечисления денежных средств в случае, предусмотренном частью 13 статьи 44 Федерального закона (п.16 ч.1 ст.42 Федерального закона от 5 апреля 2013 г. от 05.04.2013г. №44-ФЗ)</w:t>
            </w:r>
            <w:r>
              <w:rPr>
                <w:rFonts w:ascii="Arial" w:hAnsi="Arial"/>
                <w:b/>
                <w:color w:val="ffffff"/>
                <w:sz w:val="20"/>
              </w:rPr>
            </w:r>
            <w:r>
              <w:rPr>
                <w:rFonts w:ascii="Arial" w:hAnsi="Arial"/>
                <w:b/>
                <w:color w:val="ffffff"/>
                <w:sz w:val="20"/>
              </w:rPr>
            </w:r>
          </w:p>
        </w:tc>
      </w:tr>
      <w:tr>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jc w:val="left"/>
              <w:keepLines/>
              <w:keepNext/>
              <w:spacing w:after="0" w:line="276" w:lineRule="auto"/>
              <w:widowControl w:val="off"/>
            </w:pPr>
            <w:r>
              <w:t xml:space="preserve">Получатель - УПРАВЛЕНИЕ ФЕДЕРАЛЬНОГО КАЗНАЧЕЙСТВА ПО ЧЕЧЕНСКОЙ РЕСПУБЛИКЕ</w:t>
            </w:r>
            <w:r/>
          </w:p>
          <w:p>
            <w:pPr>
              <w:jc w:val="left"/>
              <w:keepLines/>
              <w:keepNext/>
              <w:spacing w:after="0" w:line="276" w:lineRule="auto"/>
              <w:widowControl w:val="off"/>
            </w:pPr>
            <w:r>
              <w:t xml:space="preserve">МИНИСТЕРСТВО ФИНАНСОВ ЧЕЧЕНСКОЙ РЕСПУБЛИКИ</w:t>
            </w:r>
            <w:r/>
          </w:p>
          <w:p>
            <w:pPr>
              <w:jc w:val="left"/>
              <w:keepLines/>
              <w:keepNext/>
              <w:spacing w:after="0" w:line="276" w:lineRule="auto"/>
              <w:widowControl w:val="off"/>
            </w:pPr>
            <w:r>
              <w:t xml:space="preserve">КБК доходов: 30011610056020000140</w:t>
            </w:r>
            <w:r/>
          </w:p>
          <w:p>
            <w:pPr>
              <w:jc w:val="left"/>
              <w:keepLines/>
              <w:keepNext/>
              <w:spacing w:after="0" w:line="276" w:lineRule="auto"/>
              <w:widowControl w:val="off"/>
            </w:pPr>
            <w:r>
              <w:t xml:space="preserve">ОКТМО: 96701000</w:t>
            </w:r>
            <w:r/>
          </w:p>
          <w:p>
            <w:pPr>
              <w:jc w:val="left"/>
              <w:keepLines/>
              <w:keepNext/>
              <w:spacing w:after="0" w:line="276" w:lineRule="auto"/>
              <w:widowControl w:val="off"/>
            </w:pPr>
            <w:r>
              <w:t xml:space="preserve">Номер единого казначейского счета: 40102810945370000083,</w:t>
            </w:r>
            <w:r/>
          </w:p>
          <w:p>
            <w:pPr>
              <w:jc w:val="left"/>
              <w:keepLines/>
              <w:keepNext/>
              <w:spacing w:after="0" w:line="276" w:lineRule="auto"/>
              <w:widowControl w:val="off"/>
            </w:pPr>
            <w:r>
              <w:t xml:space="preserve">Номер казначейского счета - 03100643000000019400</w:t>
            </w:r>
            <w:r/>
          </w:p>
          <w:p>
            <w:r>
              <w:t xml:space="preserve">БИК ТОФК – 019690001</w:t>
            </w:r>
            <w:r/>
          </w:p>
        </w:tc>
      </w:tr>
      <w:tr>
        <w:trPr>
          <w:trHeight w:val="502"/>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jc w:val="center"/>
              <w:spacing w:after="0"/>
              <w:tabs>
                <w:tab w:val="left" w:pos="1134" w:leader="none"/>
              </w:tabs>
              <w:rPr>
                <w:rFonts w:ascii="Arial" w:hAnsi="Arial"/>
                <w:b/>
                <w:color w:val="ffffff"/>
                <w:sz w:val="20"/>
              </w:rPr>
            </w:pPr>
            <w:r>
              <w:rPr>
                <w:rFonts w:ascii="Arial" w:hAnsi="Arial"/>
                <w:b/>
                <w:color w:val="ffffff"/>
                <w:sz w:val="20"/>
              </w:rPr>
              <w:t xml:space="preserve">17</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ind w:firstLine="334"/>
              <w:jc w:val="center"/>
              <w:spacing w:after="0"/>
              <w:tabs>
                <w:tab w:val="left" w:pos="1134" w:leader="none"/>
              </w:tabs>
              <w:rPr>
                <w:rFonts w:ascii="Arial" w:hAnsi="Arial"/>
                <w:b/>
                <w:color w:val="ffffff"/>
                <w:sz w:val="20"/>
                <w:highlight w:val="green"/>
              </w:rPr>
            </w:pPr>
            <w:r>
              <w:rPr>
                <w:rFonts w:ascii="Arial" w:hAnsi="Arial"/>
                <w:b/>
                <w:color w:val="ffffff"/>
                <w:sz w:val="20"/>
              </w:rPr>
              <w:t xml:space="preserve">Информация о банковском сопровождении контракта</w:t>
            </w:r>
            <w:r>
              <w:rPr>
                <w:rFonts w:ascii="Arial" w:hAnsi="Arial"/>
                <w:b/>
                <w:color w:val="ffffff"/>
                <w:sz w:val="20"/>
                <w:highlight w:val="green"/>
              </w:rPr>
            </w:r>
            <w:r>
              <w:rPr>
                <w:rFonts w:ascii="Arial" w:hAnsi="Arial"/>
                <w:b/>
                <w:color w:val="ffffff"/>
                <w:sz w:val="20"/>
                <w:highlight w:val="green"/>
              </w:rPr>
            </w:r>
          </w:p>
        </w:tc>
      </w:tr>
      <w:tr>
        <w:trPr>
          <w:trHeight w:val="502"/>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keepLines/>
              <w:keepNext/>
              <w:spacing w:after="0" w:line="276" w:lineRule="auto"/>
              <w:widowControl w:val="off"/>
              <w:rPr>
                <w:rFonts w:ascii="Arial" w:hAnsi="Arial"/>
                <w:b/>
                <w:color w:val="ffffff"/>
                <w:sz w:val="20"/>
              </w:rPr>
            </w:pPr>
            <w:r>
              <w:t xml:space="preserve">Банковское сопровождение контракта не предусмотрено.</w:t>
            </w:r>
            <w:r>
              <w:rPr>
                <w:rFonts w:ascii="Arial" w:hAnsi="Arial"/>
                <w:b/>
                <w:color w:val="ffffff"/>
                <w:sz w:val="20"/>
              </w:rPr>
            </w:r>
            <w:r>
              <w:rPr>
                <w:rFonts w:ascii="Arial" w:hAnsi="Arial"/>
                <w:b/>
                <w:color w:val="ffffff"/>
                <w:sz w:val="20"/>
              </w:rPr>
            </w:r>
          </w:p>
        </w:tc>
      </w:tr>
      <w:tr>
        <w:trPr>
          <w:trHeight w:val="502"/>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jc w:val="center"/>
              <w:spacing w:after="0"/>
              <w:tabs>
                <w:tab w:val="left" w:pos="1134" w:leader="none"/>
              </w:tabs>
              <w:rPr>
                <w:rFonts w:ascii="Arial" w:hAnsi="Arial"/>
                <w:b/>
                <w:color w:val="ffffff"/>
                <w:sz w:val="20"/>
              </w:rPr>
            </w:pPr>
            <w:r>
              <w:rPr>
                <w:rFonts w:ascii="Arial" w:hAnsi="Arial"/>
                <w:b/>
                <w:color w:val="ffffff"/>
                <w:sz w:val="20"/>
              </w:rPr>
              <w:t xml:space="preserve">18</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ind w:firstLine="334"/>
              <w:jc w:val="center"/>
              <w:spacing w:after="0"/>
              <w:tabs>
                <w:tab w:val="left" w:pos="1134" w:leader="none"/>
              </w:tabs>
              <w:rPr>
                <w:rFonts w:ascii="Arial" w:hAnsi="Arial"/>
                <w:b/>
                <w:color w:val="ffffff"/>
                <w:sz w:val="20"/>
              </w:rPr>
            </w:pPr>
            <w:r>
              <w:rPr>
                <w:rFonts w:ascii="Arial" w:hAnsi="Arial"/>
                <w:b/>
                <w:color w:val="ffffff"/>
                <w:sz w:val="20"/>
              </w:rPr>
              <w:t xml:space="preserve">Информация о казначейском сопровождении контракта</w:t>
            </w:r>
            <w:r>
              <w:rPr>
                <w:rFonts w:ascii="Arial" w:hAnsi="Arial"/>
                <w:b/>
                <w:color w:val="ffffff"/>
                <w:sz w:val="20"/>
              </w:rPr>
            </w:r>
            <w:r>
              <w:rPr>
                <w:rFonts w:ascii="Arial" w:hAnsi="Arial"/>
                <w:b/>
                <w:color w:val="ffffff"/>
                <w:sz w:val="20"/>
              </w:rPr>
            </w:r>
          </w:p>
        </w:tc>
      </w:tr>
      <w:tr>
        <w:trPr>
          <w:trHeight w:val="502"/>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keepLines/>
              <w:keepNext/>
              <w:spacing w:after="0"/>
              <w:widowControl w:val="off"/>
              <w:rPr>
                <w:i/>
                <w:color w:val="c00000"/>
                <w:sz w:val="22"/>
              </w:rPr>
            </w:pPr>
            <w:r>
              <w:rPr>
                <w:highlight w:val="white"/>
              </w:rPr>
              <w:t xml:space="preserve">Казначейское сопровождение контракта</w:t>
            </w:r>
            <w:r>
              <w:rPr>
                <w:i/>
                <w:color w:val="c00000"/>
                <w:sz w:val="22"/>
              </w:rPr>
              <w:t xml:space="preserve"> </w:t>
            </w:r>
            <w:r>
              <w:rPr>
                <w:highlight w:val="lightGray"/>
              </w:rPr>
              <w:t xml:space="preserve">не требуется</w:t>
            </w:r>
            <w:r>
              <w:t xml:space="preserve">.</w:t>
            </w:r>
            <w:r>
              <w:rPr>
                <w:i/>
                <w:color w:val="c00000"/>
                <w:sz w:val="22"/>
              </w:rPr>
            </w:r>
            <w:r>
              <w:rPr>
                <w:i/>
                <w:color w:val="c00000"/>
                <w:sz w:val="22"/>
              </w:rPr>
            </w:r>
          </w:p>
          <w:p>
            <w:pPr>
              <w:keepLines/>
              <w:keepNext/>
              <w:spacing w:after="0"/>
              <w:widowControl w:val="off"/>
              <w:rPr>
                <w:i/>
                <w:color w:val="fdebdc" w:themeColor="accent6" w:themeTint="30"/>
                <w:sz w:val="22"/>
              </w:rPr>
            </w:pPr>
            <w:r>
              <w:rPr>
                <w:i/>
                <w:color w:val="c00000"/>
                <w:sz w:val="22"/>
              </w:rPr>
              <w:tab/>
              <w:t xml:space="preserve">Примечание</w:t>
            </w:r>
            <w:r>
              <w:rPr>
                <w:i/>
                <w:color w:val="fdebdc" w:themeColor="accent6" w:themeTint="30"/>
                <w:sz w:val="22"/>
              </w:rPr>
            </w:r>
            <w:r>
              <w:rPr>
                <w:i/>
                <w:color w:val="fdebdc" w:themeColor="accent6" w:themeTint="30"/>
                <w:sz w:val="22"/>
              </w:rPr>
            </w:r>
          </w:p>
          <w:p>
            <w:pPr>
              <w:keepLines/>
              <w:keepNext/>
              <w:spacing w:after="0"/>
              <w:widowControl w:val="off"/>
              <w:rPr>
                <w:i/>
                <w:color w:val="fdebdc" w:themeColor="accent6" w:themeTint="30"/>
                <w:sz w:val="22"/>
              </w:rPr>
            </w:pPr>
            <w:r>
              <w:rPr>
                <w:i/>
                <w:color w:val="fdebdc" w:themeColor="accent6" w:themeTint="30"/>
                <w:sz w:val="22"/>
                <w:highlight w:val="lightGray"/>
              </w:rPr>
              <w:t xml:space="preserve">1.</w:t>
            </w:r>
            <w:r>
              <w:rPr>
                <w:i/>
                <w:color w:val="fdebdc" w:themeColor="accent6" w:themeTint="30"/>
                <w:sz w:val="22"/>
                <w:highlight w:val="lightGray"/>
              </w:rPr>
              <w:tab/>
              <w:t xml:space="preserve">Все расчеты по контракту подлежат казначейскому сопровождению</w:t>
            </w:r>
            <w:r>
              <w:rPr>
                <w:i/>
                <w:color w:val="fdebdc" w:themeColor="accent6" w:themeTint="30"/>
                <w:sz w:val="22"/>
              </w:rPr>
            </w:r>
            <w:r>
              <w:rPr>
                <w:i/>
                <w:color w:val="fdebdc" w:themeColor="accent6" w:themeTint="30"/>
                <w:sz w:val="22"/>
              </w:rPr>
            </w:r>
          </w:p>
          <w:p>
            <w:pPr>
              <w:keepLines/>
              <w:keepNext/>
              <w:spacing w:after="0"/>
              <w:widowControl w:val="off"/>
              <w:rPr>
                <w:i/>
                <w:color w:val="fdebdc" w:themeColor="accent6" w:themeTint="30"/>
                <w:sz w:val="22"/>
              </w:rPr>
            </w:pPr>
            <w:r>
              <w:rPr>
                <w:i/>
                <w:color w:val="fdebdc" w:themeColor="accent6" w:themeTint="30"/>
                <w:sz w:val="22"/>
                <w:highlight w:val="lightGray"/>
              </w:rPr>
              <w:t xml:space="preserve">2.</w:t>
            </w:r>
            <w:r>
              <w:rPr>
                <w:i/>
                <w:color w:val="fdebdc" w:themeColor="accent6" w:themeTint="30"/>
                <w:sz w:val="22"/>
                <w:highlight w:val="lightGray"/>
              </w:rPr>
              <w:tab/>
              <w:t xml:space="preserve">Расчеты по контракту в части выплаты аванса подлежат казначейскому сопровождению</w:t>
            </w:r>
            <w:r>
              <w:rPr>
                <w:i/>
                <w:color w:val="fdebdc" w:themeColor="accent6" w:themeTint="30"/>
                <w:sz w:val="22"/>
              </w:rPr>
              <w:t xml:space="preserve">.</w:t>
            </w:r>
            <w:r>
              <w:rPr>
                <w:i/>
                <w:color w:val="fdebdc" w:themeColor="accent6" w:themeTint="30"/>
                <w:sz w:val="22"/>
              </w:rPr>
            </w:r>
            <w:r>
              <w:rPr>
                <w:i/>
                <w:color w:val="fdebdc" w:themeColor="accent6" w:themeTint="30"/>
                <w:sz w:val="22"/>
              </w:rPr>
            </w:r>
          </w:p>
          <w:p>
            <w:pPr>
              <w:ind w:firstLine="334"/>
              <w:jc w:val="center"/>
              <w:spacing w:after="0"/>
              <w:tabs>
                <w:tab w:val="left" w:pos="1134" w:leader="none"/>
              </w:tabs>
              <w:rPr>
                <w:rFonts w:ascii="Arial" w:hAnsi="Arial"/>
                <w:b/>
                <w:color w:val="ffffff"/>
                <w:sz w:val="20"/>
              </w:rPr>
            </w:pPr>
            <w:r>
              <w:rPr>
                <w:rFonts w:ascii="Arial" w:hAnsi="Arial"/>
                <w:b/>
                <w:color w:val="ffffff"/>
                <w:sz w:val="20"/>
              </w:rPr>
            </w:r>
            <w:r>
              <w:rPr>
                <w:rFonts w:ascii="Arial" w:hAnsi="Arial"/>
                <w:b/>
                <w:color w:val="ffffff"/>
                <w:sz w:val="20"/>
              </w:rPr>
            </w:r>
            <w:r>
              <w:rPr>
                <w:rFonts w:ascii="Arial" w:hAnsi="Arial"/>
                <w:b/>
                <w:color w:val="ffffff"/>
                <w:sz w:val="20"/>
              </w:rPr>
            </w:r>
          </w:p>
        </w:tc>
      </w:tr>
      <w:tr>
        <w:trPr>
          <w:trHeight w:val="502"/>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4"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19</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80"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Предупреждение об административной и уголовной ответственности</w:t>
            </w:r>
            <w:r>
              <w:rPr>
                <w:rFonts w:ascii="Arial" w:hAnsi="Arial"/>
                <w:b/>
                <w:color w:val="ffffff"/>
                <w:sz w:val="20"/>
              </w:rPr>
            </w:r>
            <w:r>
              <w:rPr>
                <w:rFonts w:ascii="Arial" w:hAnsi="Arial"/>
                <w:b/>
                <w:color w:val="ffffff"/>
                <w:sz w:val="20"/>
              </w:rPr>
            </w:r>
          </w:p>
        </w:tc>
      </w:tr>
      <w:tr>
        <w:trPr>
          <w:trHeight w:val="406"/>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44" w:type="dxa"/>
            <w:vAlign w:val="center"/>
            <w:textDirection w:val="lrTb"/>
            <w:noWrap w:val="false"/>
          </w:tcPr>
          <w:p>
            <w:pPr>
              <w:spacing w:after="0"/>
              <w:rPr>
                <w:rFonts w:ascii="Arial" w:hAnsi="Arial"/>
                <w:b/>
                <w:color w:val="ffffff"/>
                <w:sz w:val="20"/>
              </w:rPr>
            </w:pPr>
            <w:r>
              <w:tab/>
            </w:r>
            <w:r>
              <w:rPr>
                <w:highlight w:val="white"/>
              </w:rPr>
              <w:t xml:space="preserve">Участник закупк</w:t>
            </w:r>
            <w:r>
              <w:rPr>
                <w:highlight w:val="white"/>
              </w:rPr>
              <w:t xml:space="preserve">и несет административную и уголовную ответственность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r>
              <w:rPr>
                <w:rFonts w:ascii="Arial" w:hAnsi="Arial"/>
                <w:b/>
                <w:color w:val="ffffff"/>
                <w:sz w:val="20"/>
              </w:rPr>
            </w:r>
            <w:r>
              <w:rPr>
                <w:rFonts w:ascii="Arial" w:hAnsi="Arial"/>
                <w:b/>
                <w:color w:val="ffffff"/>
                <w:sz w:val="20"/>
              </w:rPr>
            </w:r>
          </w:p>
        </w:tc>
      </w:tr>
    </w:tbl>
    <w:p>
      <w:pPr>
        <w:pStyle w:val="915"/>
        <w:numPr>
          <w:ilvl w:val="0"/>
          <w:numId w:val="0"/>
        </w:numPr>
        <w:ind w:left="720"/>
        <w:jc w:val="center"/>
        <w:spacing w:after="240"/>
        <w:rPr>
          <w:rFonts w:ascii="Times New Roman" w:hAnsi="Times New Roman"/>
        </w:rPr>
      </w:pPr>
      <w:r>
        <w:rPr>
          <w:rFonts w:ascii="Times New Roman" w:hAnsi="Times New Roman"/>
        </w:rPr>
        <w:t xml:space="preserve">Предоставление национального режима при осуществлении закупок</w:t>
      </w:r>
      <w:r>
        <w:rPr>
          <w:rFonts w:ascii="Times New Roman" w:hAnsi="Times New Roman"/>
        </w:rPr>
      </w:r>
      <w:r>
        <w:rPr>
          <w:rFonts w:ascii="Times New Roman" w:hAnsi="Times New Roman"/>
        </w:rPr>
      </w:r>
    </w:p>
    <w:tbl>
      <w:tblPr>
        <w:tblW w:w="0" w:type="auto"/>
        <w:tblInd w:w="-34" w:type="dxa"/>
        <w:tblLayout w:type="fixed"/>
        <w:tblLook w:val="04A0" w:firstRow="1" w:lastRow="0" w:firstColumn="1" w:lastColumn="0" w:noHBand="0" w:noVBand="1"/>
      </w:tblPr>
      <w:tblGrid>
        <w:gridCol w:w="993"/>
        <w:gridCol w:w="8929"/>
      </w:tblGrid>
      <w:tr>
        <w:trPr>
          <w:trHeight w:val="443"/>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3"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20</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929" w:type="dxa"/>
            <w:vAlign w:val="center"/>
            <w:textDirection w:val="lrTb"/>
            <w:noWrap w:val="false"/>
          </w:tcPr>
          <w:p>
            <w:pPr>
              <w:jc w:val="center"/>
              <w:spacing w:after="0"/>
              <w:tabs>
                <w:tab w:val="left" w:pos="1134" w:leader="none"/>
              </w:tabs>
              <w:rPr>
                <w:rFonts w:ascii="Arial" w:hAnsi="Arial"/>
                <w:b/>
                <w:color w:val="ffffff"/>
                <w:sz w:val="20"/>
              </w:rPr>
            </w:pPr>
            <w:r>
              <w:rPr>
                <w:rFonts w:ascii="Arial" w:hAnsi="Arial"/>
                <w:b/>
                <w:color w:val="ffffff"/>
                <w:sz w:val="20"/>
              </w:rPr>
              <w:t xml:space="preserve">Информация для участников закупки</w:t>
            </w:r>
            <w:r>
              <w:rPr>
                <w:rFonts w:ascii="Arial" w:hAnsi="Arial"/>
                <w:b/>
                <w:color w:val="ffffff"/>
                <w:sz w:val="20"/>
              </w:rPr>
            </w:r>
            <w:r>
              <w:rPr>
                <w:rFonts w:ascii="Arial" w:hAnsi="Arial"/>
                <w:b/>
                <w:color w:val="ffffff"/>
                <w:sz w:val="20"/>
              </w:rPr>
            </w:r>
          </w:p>
        </w:tc>
      </w:tr>
      <w:tr>
        <w:trPr>
          <w:trHeight w:val="524"/>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2" w:type="dxa"/>
            <w:vAlign w:val="center"/>
            <w:textDirection w:val="lrTb"/>
            <w:noWrap w:val="false"/>
          </w:tcPr>
          <w:p>
            <w:pPr>
              <w:spacing w:before="120" w:after="0"/>
            </w:pPr>
            <w:r>
              <w:tab/>
              <w:t xml:space="preserve">В случае если в соответствии со ст. 14 Федерального закона от 5 апреля 2013 г. от 05.04.2013г. №44-ФЗ и постановлением Правительства РФ от 23 декабря 2024 г. № 1875 «О мерах по предоставлению национального режима при осуществл</w:t>
            </w:r>
            <w:r>
              <w:t xml:space="preserve">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от 23 декабря 2024 г. № 1875) извещении о закупке установлены:</w:t>
            </w:r>
            <w:r/>
          </w:p>
          <w:p>
            <w:pPr>
              <w:spacing w:before="120" w:after="0"/>
            </w:pPr>
            <w:r>
              <w:tab/>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p>
          <w:p>
            <w:pPr>
              <w:spacing w:before="120" w:after="0"/>
            </w:pPr>
            <w:r>
              <w:tab/>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p>
          <w:p>
            <w:pPr>
              <w:spacing w:before="120" w:after="0"/>
            </w:pPr>
            <w:r>
              <w:tab/>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p>
          <w:p>
            <w:pPr>
              <w:spacing w:after="0"/>
            </w:pPr>
            <w:r>
              <w:t xml:space="preserve">участник закупки предоставляет в составе заявки на участие в закупке информацию и документы, предусмотренные Постановлением Правительства РФ от 23 декабря 2024 г. № 1875:</w:t>
            </w:r>
            <w:r/>
          </w:p>
          <w:p>
            <w:pPr>
              <w:pStyle w:val="1079"/>
              <w:ind w:right="129"/>
              <w:spacing w:before="43" w:line="264" w:lineRule="auto"/>
            </w:pPr>
            <w:r>
              <w:tab/>
              <w:t xml:space="preserve">1) положения Постановлением Правительства РФ от 23 декабря 2024 г. № 1875, касающиеся товара российского происхождения, работы, услуги, соответственно</w:t>
            </w:r>
            <w:r>
              <w:rPr>
                <w:spacing w:val="40"/>
              </w:rPr>
              <w:t xml:space="preserve"> </w:t>
            </w:r>
            <w:r>
              <w:t xml:space="preserve">выполняемой, оказываемой российским гражданином, российским юридическим лицом, </w:t>
            </w:r>
            <w:r>
              <w:t xml:space="preserve">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w:t>
            </w:r>
            <w:r>
              <w:rPr>
                <w:spacing w:val="40"/>
              </w:rPr>
              <w:t xml:space="preserve"> </w:t>
            </w:r>
            <w:r>
              <w:t xml:space="preserve">экономического союза;</w:t>
            </w:r>
            <w:r/>
          </w:p>
          <w:p>
            <w:pPr>
              <w:pStyle w:val="1079"/>
              <w:ind w:right="129"/>
              <w:spacing w:before="43"/>
            </w:pPr>
            <w:r>
              <w:tab/>
              <w:t xml:space="preserve">2) участник закупки при подаче заявки на участие в </w:t>
            </w:r>
            <w:r>
              <w:t xml:space="preserve">закупке, а также при исполнении контракта, заключенного по итогам закупки, должен соблюдать также требования, указанные в  ст. 14 Федерального закона от 5 апреля 2013 г. от 05.04.2013г. №44-ФЗ и  Постановлении Правительства РФ от 23 декабря 2024 г. № 1875;</w:t>
            </w:r>
            <w:r/>
          </w:p>
          <w:p>
            <w:pPr>
              <w:pStyle w:val="1079"/>
              <w:ind w:right="129"/>
              <w:spacing w:before="43" w:line="264" w:lineRule="auto"/>
            </w:pPr>
            <w:r>
              <w:tab/>
              <w:t xml:space="preserve">3) заявки на участие в закупке рассматриваются также с учетом требований,  установленных ст. 14 Федерального закона от 5 апреля 2013г. от 05.04.2013г. №44-ФЗ и  Постановлении Правительства РФ от 23 декабря 2024 г. № 1875.</w:t>
            </w:r>
            <w:r/>
          </w:p>
          <w:p>
            <w:pPr>
              <w:spacing w:after="0" w:line="240" w:lineRule="exact"/>
            </w:pPr>
            <w:r/>
            <w:r/>
          </w:p>
        </w:tc>
      </w:tr>
    </w:tbl>
    <w:p>
      <w:pPr>
        <w:jc w:val="left"/>
        <w:spacing w:after="0"/>
      </w:pPr>
      <w:r/>
      <w:r/>
    </w:p>
    <w:p>
      <w:pPr>
        <w:pStyle w:val="915"/>
        <w:numPr>
          <w:ilvl w:val="0"/>
          <w:numId w:val="0"/>
        </w:numPr>
        <w:ind w:left="720"/>
        <w:jc w:val="center"/>
        <w:spacing w:before="0" w:after="0"/>
        <w:rPr>
          <w:rFonts w:ascii="Times New Roman" w:hAnsi="Times New Roman"/>
        </w:rPr>
      </w:pPr>
      <w:r/>
      <w:bookmarkStart w:id="10" w:name="Требования_к_участникам"/>
      <w:r/>
      <w:bookmarkEnd w:id="10"/>
      <w:r>
        <w:rPr>
          <w:rFonts w:ascii="Times New Roman" w:hAnsi="Times New Roman"/>
        </w:rPr>
        <w:t xml:space="preserve">Преимущества участникам электронного аукциона</w:t>
      </w:r>
      <w:r>
        <w:rPr>
          <w:rFonts w:ascii="Times New Roman" w:hAnsi="Times New Roman"/>
        </w:rPr>
      </w:r>
      <w:r>
        <w:rPr>
          <w:rFonts w:ascii="Times New Roman" w:hAnsi="Times New Roman"/>
        </w:rPr>
      </w:r>
    </w:p>
    <w:p>
      <w:r/>
      <w:r/>
    </w:p>
    <w:tbl>
      <w:tblPr>
        <w:tblW w:w="0" w:type="auto"/>
        <w:tblInd w:w="-34" w:type="dxa"/>
        <w:tblLayout w:type="fixed"/>
        <w:tblLook w:val="04A0" w:firstRow="1" w:lastRow="0" w:firstColumn="1" w:lastColumn="0" w:noHBand="0" w:noVBand="1"/>
      </w:tblPr>
      <w:tblGrid>
        <w:gridCol w:w="1035"/>
        <w:gridCol w:w="8897"/>
      </w:tblGrid>
      <w:tr>
        <w:trPr>
          <w:trHeight w:val="504"/>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5"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21</w:t>
            </w:r>
            <w:r>
              <w:rPr>
                <w:rFonts w:ascii="Arial" w:hAnsi="Arial"/>
                <w:b/>
                <w:color w:val="ffffff"/>
                <w:sz w:val="20"/>
              </w:rPr>
            </w:r>
            <w:r>
              <w:rPr>
                <w:rFonts w:ascii="Arial" w:hAnsi="Arial"/>
                <w:b/>
                <w:color w:val="ffffff"/>
                <w:sz w:val="20"/>
              </w:rPr>
            </w:r>
          </w:p>
        </w:tc>
        <w:tc>
          <w:tcPr>
            <w:shd w:val="clear" w:color="auto" w:fill="7f7f7f" w:themeFill="text1" w:themeFillTint="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7"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Преимущества организациям инвалидов в соответствии со</w:t>
            </w:r>
            <w:r>
              <w:rPr>
                <w:rFonts w:ascii="Arial" w:hAnsi="Arial"/>
                <w:b/>
                <w:color w:val="ffffff"/>
                <w:sz w:val="20"/>
              </w:rPr>
            </w:r>
            <w:r>
              <w:rPr>
                <w:rFonts w:ascii="Arial" w:hAnsi="Arial"/>
                <w:b/>
                <w:color w:val="ffffff"/>
                <w:sz w:val="20"/>
              </w:rPr>
            </w:r>
          </w:p>
          <w:p>
            <w:pPr>
              <w:jc w:val="center"/>
              <w:spacing w:after="0"/>
              <w:rPr>
                <w:rFonts w:ascii="Arial" w:hAnsi="Arial"/>
                <w:b/>
                <w:color w:val="ffffff"/>
                <w:sz w:val="20"/>
              </w:rPr>
            </w:pPr>
            <w:r>
              <w:rPr>
                <w:rFonts w:ascii="Arial" w:hAnsi="Arial"/>
                <w:b/>
                <w:color w:val="ffffff"/>
                <w:sz w:val="20"/>
              </w:rPr>
              <w:t xml:space="preserve"> ст. 29. Федерального закона №44-ФЗ (п.13 ч. 1 ст. 42 Федерального закона №44-ФЗ)</w:t>
            </w:r>
            <w:r>
              <w:rPr>
                <w:rFonts w:ascii="Arial" w:hAnsi="Arial"/>
                <w:b/>
                <w:color w:val="ffffff"/>
                <w:sz w:val="20"/>
              </w:rPr>
            </w:r>
            <w:r>
              <w:rPr>
                <w:rFonts w:ascii="Arial" w:hAnsi="Arial"/>
                <w:b/>
                <w:color w:val="ffffff"/>
                <w:sz w:val="20"/>
              </w:rPr>
            </w:r>
          </w:p>
        </w:tc>
      </w:tr>
      <w:tr>
        <w:trPr>
          <w:trHeight w:val="504"/>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32" w:type="dxa"/>
            <w:vAlign w:val="center"/>
            <w:textDirection w:val="lrTb"/>
            <w:noWrap w:val="false"/>
          </w:tcPr>
          <w:p>
            <w:pPr>
              <w:ind w:firstLine="720"/>
              <w:spacing w:after="0"/>
            </w:pPr>
            <w:r>
              <w:rPr>
                <w:highlight w:val="lightGray"/>
              </w:rPr>
              <w:t xml:space="preserve">Не </w:t>
            </w:r>
            <w:r>
              <w:rPr>
                <w:highlight w:val="lightGray"/>
              </w:rPr>
              <w:t xml:space="preserve">установлены</w:t>
            </w:r>
            <w:r>
              <w:t xml:space="preserve"> преимущества организациям инвалидов в отношении предла</w:t>
            </w:r>
            <w:r>
              <w:t xml:space="preserve">гаемых ими цены контракта (суммы цен единиц товара, работы, услуги в случае, если количество поставляемых товаров, объем подлежащих выполнению работ, оказанию услуг невозможно определить) в соответствии со ст. 29 Федерального закона от 05.04.2013г. №44-ФЗ.</w:t>
            </w:r>
            <w:r/>
          </w:p>
          <w:p>
            <w:pPr>
              <w:ind w:firstLine="720"/>
              <w:spacing w:after="0"/>
            </w:pPr>
            <w:r>
              <w:t xml:space="preserve">В случае если в соответствии с извещением о</w:t>
            </w:r>
            <w:r>
              <w:t xml:space="preserve"> проведении настоящего электронного аукциона организациям инвалидов предоставлены преимущества в отношении предлагаемой ими цены контракта (суммы цен единиц товара, работы, услуги в случае, если количество поставляемых товаров, объем подлежащих выполнению </w:t>
            </w:r>
            <w:r>
              <w:t xml:space="preserve">работ, оказанию услуг невозможно определить)) цена контракта, цена каждой единицы товара, работы, услуги (в случае, предусмотренном частью 24 статьи 22 Федерального закона  от 5 апреля 2013г. №44-ФЗ) увеличивается на пятнадцать процентов соответственно от </w:t>
            </w:r>
            <w:r>
              <w:t xml:space="preserve">цены контракта, предложенной таким участником закупки, от цены единицы товара, работы, услуги, определенной в соответствии с Федеральным законом от 5 апреля 2013 г. №44-ФЗ на основании предложения такого участника о сумме цен единиц товара, работы, услуги.</w:t>
            </w:r>
            <w:r/>
          </w:p>
          <w:p>
            <w:pPr>
              <w:ind w:firstLine="720"/>
              <w:spacing w:after="0"/>
            </w:pPr>
            <w:r>
              <w:t xml:space="preserve">Такое увеличение не может превышать начальную (максимальную) цену контракта, начальные цены единиц товара, работы, услуги.</w:t>
            </w:r>
            <w:r/>
          </w:p>
          <w:p>
            <w:pPr>
              <w:jc w:val="center"/>
              <w:spacing w:after="0"/>
              <w:rPr>
                <w:rFonts w:ascii="Arial" w:hAnsi="Arial"/>
                <w:b/>
                <w:color w:val="ffffff"/>
                <w:sz w:val="20"/>
              </w:rPr>
            </w:pPr>
            <w:r>
              <w:rPr>
                <w:rFonts w:ascii="Arial" w:hAnsi="Arial"/>
                <w:b/>
                <w:color w:val="ffffff"/>
                <w:sz w:val="20"/>
              </w:rPr>
            </w:r>
            <w:r>
              <w:rPr>
                <w:rFonts w:ascii="Arial" w:hAnsi="Arial"/>
                <w:b/>
                <w:color w:val="ffffff"/>
                <w:sz w:val="20"/>
              </w:rPr>
            </w:r>
            <w:r>
              <w:rPr>
                <w:rFonts w:ascii="Arial" w:hAnsi="Arial"/>
                <w:b/>
                <w:color w:val="ffffff"/>
                <w:sz w:val="20"/>
              </w:rPr>
            </w:r>
          </w:p>
        </w:tc>
      </w:tr>
      <w:tr>
        <w:trPr>
          <w:trHeight w:val="504"/>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5"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22</w:t>
            </w:r>
            <w:r>
              <w:rPr>
                <w:rFonts w:ascii="Arial" w:hAnsi="Arial"/>
                <w:b/>
                <w:color w:val="ffffff"/>
                <w:sz w:val="20"/>
              </w:rPr>
            </w:r>
            <w:r>
              <w:rPr>
                <w:rFonts w:ascii="Arial" w:hAnsi="Arial"/>
                <w:b/>
                <w:color w:val="ffffff"/>
                <w:sz w:val="20"/>
              </w:rPr>
            </w:r>
          </w:p>
        </w:tc>
        <w:tc>
          <w:tcPr>
            <w:shd w:val="clear" w:color="auto" w:fill="7f7f7f" w:themeFill="text1" w:themeFillTint="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7"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Преимущество участникам закупок в соответствии с ч.3 ст. 30 Федерального закона от 05.04.2013г. №44-ФЗ</w:t>
            </w:r>
            <w:r>
              <w:rPr>
                <w:rFonts w:ascii="Arial" w:hAnsi="Arial"/>
                <w:b/>
                <w:color w:val="ffffff"/>
                <w:sz w:val="20"/>
              </w:rPr>
            </w:r>
            <w:r>
              <w:rPr>
                <w:rFonts w:ascii="Arial" w:hAnsi="Arial"/>
                <w:b/>
                <w:color w:val="ffffff"/>
                <w:sz w:val="20"/>
              </w:rPr>
            </w:r>
          </w:p>
        </w:tc>
      </w:tr>
      <w:tr>
        <w:trPr>
          <w:trHeight w:val="504"/>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32" w:type="dxa"/>
            <w:vAlign w:val="center"/>
            <w:textDirection w:val="lrTb"/>
            <w:noWrap w:val="false"/>
          </w:tcPr>
          <w:tbl>
            <w:tblPr>
              <w:tblW w:w="0" w:type="auto"/>
              <w:tblLayout w:type="fixed"/>
              <w:tblLook w:val="04A0" w:firstRow="1" w:lastRow="0" w:firstColumn="1" w:lastColumn="0" w:noHBand="0" w:noVBand="1"/>
            </w:tblPr>
            <w:tblGrid>
              <w:gridCol w:w="9717"/>
            </w:tblGrid>
            <w:tr>
              <w:trPr>
                <w:trHeight w:val="488"/>
              </w:trPr>
              <w:tc>
                <w:tcPr>
                  <w:shd w:val="clear" w:color="auto" w:fill="ffffff" w:themeFill="background1"/>
                  <w:tcMar>
                    <w:left w:w="108" w:type="dxa"/>
                    <w:top w:w="0" w:type="dxa"/>
                    <w:right w:w="108" w:type="dxa"/>
                    <w:bottom w:w="0" w:type="dxa"/>
                  </w:tcMar>
                  <w:tcW w:w="9717" w:type="dxa"/>
                  <w:textDirection w:val="lrTb"/>
                  <w:noWrap w:val="false"/>
                </w:tcPr>
                <w:p>
                  <w:pPr>
                    <w:ind w:left="57"/>
                    <w:spacing w:after="0" w:line="240" w:lineRule="exact"/>
                  </w:pPr>
                  <w:r>
                    <w:tab/>
                  </w:r>
                  <w:r>
                    <w:t xml:space="preserve">У</w:t>
                  </w:r>
                  <w:r>
                    <w:rPr>
                      <w:highlight w:val="lightGray"/>
                    </w:rPr>
                    <w:t xml:space="preserve">становлено</w:t>
                  </w:r>
                  <w:r>
                    <w:t xml:space="preserve"> преимущество участникам закупок в соответствии с ч.3 ст. 30 Федерального закона от 05.04.2013г. №44-ФЗ.</w:t>
                  </w:r>
                  <w:r/>
                </w:p>
              </w:tc>
            </w:tr>
          </w:tbl>
          <w:p>
            <w:pPr>
              <w:spacing w:after="0"/>
              <w:rPr>
                <w:color w:val="ff0000"/>
              </w:rPr>
            </w:pPr>
            <w:r>
              <w:rPr>
                <w:color w:val="ff0000"/>
              </w:rPr>
            </w:r>
            <w:r>
              <w:rPr>
                <w:color w:val="ff0000"/>
              </w:rPr>
            </w:r>
            <w:r>
              <w:rPr>
                <w:color w:val="ff0000"/>
              </w:rPr>
            </w:r>
          </w:p>
        </w:tc>
      </w:tr>
      <w:tr>
        <w:trPr>
          <w:trHeight w:val="504"/>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5"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23</w:t>
            </w:r>
            <w:r>
              <w:rPr>
                <w:rFonts w:ascii="Arial" w:hAnsi="Arial"/>
                <w:b/>
                <w:color w:val="ffffff"/>
                <w:sz w:val="20"/>
              </w:rPr>
            </w:r>
            <w:r>
              <w:rPr>
                <w:rFonts w:ascii="Arial" w:hAnsi="Arial"/>
                <w:b/>
                <w:color w:val="ffffff"/>
                <w:sz w:val="20"/>
              </w:rPr>
            </w:r>
          </w:p>
        </w:tc>
        <w:tc>
          <w:tcPr>
            <w:shd w:val="clear" w:color="auto" w:fill="7f7f7f" w:themeFill="text1" w:themeFillTint="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7"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Требование к поставщику (подрядчику, исполнителю), не являющемуся субъектом малого предпринимательства или социально ориентированной некоммерческой</w:t>
            </w:r>
            <w:r>
              <w:rPr>
                <w:rFonts w:ascii="Arial" w:hAnsi="Arial"/>
                <w:b/>
                <w:color w:val="ffffff"/>
                <w:sz w:val="20"/>
              </w:rPr>
              <w:t xml:space="preserve">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соответствии с ч.5 ст. 30. Федерального закона №44-ФЗ (п.14 ч. 1 ст.30 </w:t>
            </w:r>
            <w:r>
              <w:rPr>
                <w:rFonts w:ascii="Arial" w:hAnsi="Arial"/>
                <w:b/>
                <w:i/>
                <w:color w:val="ffffff"/>
                <w:sz w:val="20"/>
              </w:rPr>
              <w:t xml:space="preserve">Федерального закона от 05.04.2013г. №44-ФЗ)</w:t>
            </w:r>
            <w:r>
              <w:rPr>
                <w:rFonts w:ascii="Arial" w:hAnsi="Arial"/>
                <w:b/>
                <w:color w:val="ffffff"/>
                <w:sz w:val="20"/>
              </w:rPr>
            </w:r>
            <w:r>
              <w:rPr>
                <w:rFonts w:ascii="Arial" w:hAnsi="Arial"/>
                <w:b/>
                <w:color w:val="ffffff"/>
                <w:sz w:val="20"/>
              </w:rPr>
            </w:r>
          </w:p>
        </w:tc>
      </w:tr>
      <w:tr>
        <w:trPr>
          <w:trHeight w:val="504"/>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32" w:type="dxa"/>
            <w:vAlign w:val="center"/>
            <w:textDirection w:val="lrTb"/>
            <w:noWrap w:val="false"/>
          </w:tcPr>
          <w:p>
            <w:pPr>
              <w:ind w:firstLine="720"/>
              <w:spacing w:after="0"/>
              <w:rPr>
                <w:color w:val="ff0000"/>
              </w:rPr>
            </w:pPr>
            <w:r>
              <w:rPr>
                <w:rStyle w:val="1137"/>
                <w:b/>
                <w:color w:val="ff0000"/>
                <w:sz w:val="28"/>
                <w:highlight w:val="white"/>
                <w:vertAlign w:val="superscript"/>
              </w:rPr>
              <w:t xml:space="preserve">9</w:t>
            </w:r>
            <w:r>
              <w:t xml:space="preserve">Заказчик в соответствии с ч.5 ст. 30. Федерального закона05.04.2013г. №44-ФЗ  </w:t>
            </w:r>
            <w:r>
              <w:rPr>
                <w:highlight w:val="lightGray"/>
              </w:rPr>
              <w:t xml:space="preserve">не установил</w:t>
            </w:r>
            <w:r>
              <w:t xml:space="preserve"> требование к поставщику (подрядчику, исполнителю), не являющемуся субъектом </w:t>
            </w:r>
            <w:r>
              <w:t xml:space="preserve">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w:t>
            </w:r>
            <w:r>
              <w:rPr>
                <w:shd w:val="clear" w:color="auto" w:fill="b8cce4"/>
              </w:rPr>
              <w:t xml:space="preserve">объеме </w:t>
            </w:r>
            <w:r>
              <w:rPr>
                <w:highlight w:val="lightGray"/>
              </w:rPr>
              <w:t xml:space="preserve">_______</w:t>
            </w:r>
            <w:r>
              <w:rPr>
                <w:shd w:val="clear" w:color="auto" w:fill="b8cce4"/>
              </w:rPr>
              <w:t xml:space="preserve"> процентов от цены контракта</w:t>
            </w:r>
            <w:r>
              <w:t xml:space="preserve">.</w:t>
            </w:r>
            <w:r>
              <w:rPr>
                <w:color w:val="ff0000"/>
              </w:rPr>
            </w:r>
            <w:r>
              <w:rPr>
                <w:color w:val="ff0000"/>
              </w:rPr>
            </w:r>
          </w:p>
        </w:tc>
      </w:tr>
    </w:tbl>
    <w:p>
      <w:pPr>
        <w:ind w:left="720"/>
        <w:jc w:val="center"/>
        <w:spacing w:before="240" w:after="240"/>
        <w:rPr>
          <w:b/>
        </w:rPr>
        <w:outlineLvl w:val="2"/>
      </w:pPr>
      <w:r>
        <w:rPr>
          <w:b/>
        </w:rPr>
        <w:t xml:space="preserve">Требования к участникам аукциона в электронной форме</w:t>
      </w:r>
      <w:r>
        <w:rPr>
          <w:b/>
        </w:rPr>
      </w:r>
      <w:r>
        <w:rPr>
          <w:b/>
        </w:rPr>
      </w:r>
    </w:p>
    <w:tbl>
      <w:tblPr>
        <w:tblW w:w="0" w:type="auto"/>
        <w:tblInd w:w="-34" w:type="dxa"/>
        <w:tblLayout w:type="fixed"/>
        <w:tblLook w:val="04A0" w:firstRow="1" w:lastRow="0" w:firstColumn="1" w:lastColumn="0" w:noHBand="0" w:noVBand="1"/>
      </w:tblPr>
      <w:tblGrid>
        <w:gridCol w:w="851"/>
        <w:gridCol w:w="9071"/>
      </w:tblGrid>
      <w:tr>
        <w:trPr>
          <w:trHeight w:val="724"/>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24</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071"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Единые требования к участникам электронного аукциона ( ч. 1 ст. 31 Федерального закона от 05.04.2013г. №44-ФЗ) за исключением п.1 ч.1 ст. 31 Федерального закона от 05.04.2013г. №44-ФЗ</w:t>
            </w:r>
            <w:r>
              <w:rPr>
                <w:rFonts w:ascii="Arial" w:hAnsi="Arial"/>
                <w:b/>
                <w:color w:val="ffffff"/>
                <w:sz w:val="20"/>
              </w:rPr>
            </w:r>
            <w:r>
              <w:rPr>
                <w:rFonts w:ascii="Arial" w:hAnsi="Arial"/>
                <w:b/>
                <w:color w:val="ffffff"/>
                <w:sz w:val="20"/>
              </w:rPr>
            </w:r>
          </w:p>
        </w:tc>
      </w:tr>
      <w:tr>
        <w:trPr>
          <w:trHeight w:val="724"/>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2" w:type="dxa"/>
            <w:vAlign w:val="center"/>
            <w:textDirection w:val="lrTb"/>
            <w:noWrap w:val="false"/>
          </w:tcPr>
          <w:p>
            <w:pPr>
              <w:spacing w:after="0"/>
            </w:pPr>
            <w:r>
              <w:tab/>
              <w:t xml:space="preserve">Установлены единые требования к участникам электронного аукциона, указанные в  пунктах 3-5, 7-11  ч. 1 ст. 31 Федерального закона от 5 апреля 2013 г. №44-ФЗ:</w:t>
            </w:r>
            <w:r/>
          </w:p>
          <w:p>
            <w:pPr>
              <w:pStyle w:val="916"/>
              <w:spacing w:before="0" w:after="0"/>
              <w:rPr>
                <w:rFonts w:ascii="Times New Roman" w:hAnsi="Times New Roman"/>
              </w:rPr>
            </w:pPr>
            <w:r>
              <w:rPr>
                <w:rFonts w:ascii="Times New Roman" w:hAnsi="Times New Roman"/>
              </w:rPr>
              <w:tab/>
              <w:t xml:space="preserve">1</w:t>
            </w:r>
            <w:r>
              <w:rPr>
                <w:rFonts w:ascii="Times New Roman" w:hAnsi="Times New Roman"/>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Times New Roman" w:hAnsi="Times New Roman"/>
              </w:rPr>
            </w:r>
            <w:r>
              <w:rPr>
                <w:rFonts w:ascii="Times New Roman" w:hAnsi="Times New Roman"/>
              </w:rPr>
            </w:r>
          </w:p>
          <w:p>
            <w:pPr>
              <w:pStyle w:val="916"/>
              <w:spacing w:before="0" w:after="0"/>
              <w:rPr>
                <w:rFonts w:ascii="Times New Roman" w:hAnsi="Times New Roman"/>
                <w:b/>
                <w:color w:val="ffffff"/>
                <w:sz w:val="20"/>
              </w:rPr>
            </w:pPr>
            <w:r>
              <w:rPr>
                <w:rFonts w:ascii="Times New Roman" w:hAnsi="Times New Roman"/>
              </w:rPr>
              <w:tab/>
              <w:t xml:space="preserve">2) неприостановление деятельности участника закупки в порядке, установленном Кодексом Российской Федерации об административных правонарушениях;</w:t>
            </w:r>
            <w:r>
              <w:rPr>
                <w:rFonts w:ascii="Times New Roman" w:hAnsi="Times New Roman"/>
                <w:b/>
                <w:color w:val="ffffff"/>
                <w:sz w:val="20"/>
              </w:rPr>
            </w:r>
            <w:r>
              <w:rPr>
                <w:rFonts w:ascii="Times New Roman" w:hAnsi="Times New Roman"/>
                <w:b/>
                <w:color w:val="ffffff"/>
                <w:sz w:val="20"/>
              </w:rPr>
            </w:r>
          </w:p>
          <w:p>
            <w:pPr>
              <w:pStyle w:val="916"/>
              <w:spacing w:before="0" w:after="0"/>
              <w:rPr>
                <w:rFonts w:ascii="Times New Roman" w:hAnsi="Times New Roman"/>
              </w:rPr>
            </w:pPr>
            <w:r>
              <w:rPr>
                <w:rFonts w:ascii="Times New Roman" w:hAnsi="Times New Roman"/>
              </w:rPr>
              <w:tab/>
              <w:t xml:space="preserve">3) отсутствие у участника закупки недоимки по налогам, сборам, задолженности по иным обязательным платежам в бюджеты бю</w:t>
            </w:r>
            <w:r>
              <w:rPr>
                <w:rFonts w:ascii="Times New Roman" w:hAnsi="Times New Roman"/>
              </w:rPr>
              <w:t xml:space="preserve">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w:t>
            </w:r>
            <w:r>
              <w:rPr>
                <w:rFonts w:ascii="Times New Roman" w:hAnsi="Times New Roman"/>
              </w:rPr>
              <w:t xml:space="preserve">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w:t>
            </w:r>
            <w:r>
              <w:rPr>
                <w:rFonts w:ascii="Times New Roman" w:hAnsi="Times New Roman"/>
              </w:rPr>
              <w:t xml:space="preserve">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w:t>
            </w:r>
            <w:r>
              <w:rPr>
                <w:rFonts w:ascii="Times New Roman" w:hAnsi="Times New Roman"/>
              </w:rPr>
              <w:t xml:space="preserve">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rFonts w:ascii="Times New Roman" w:hAnsi="Times New Roman"/>
              </w:rPr>
            </w:r>
            <w:r>
              <w:rPr>
                <w:rFonts w:ascii="Times New Roman" w:hAnsi="Times New Roman"/>
              </w:rPr>
            </w:r>
          </w:p>
          <w:p>
            <w:pPr>
              <w:pStyle w:val="916"/>
              <w:spacing w:before="0" w:after="0"/>
              <w:rPr>
                <w:rFonts w:ascii="Times New Roman" w:hAnsi="Times New Roman"/>
              </w:rPr>
            </w:pPr>
            <w:r>
              <w:rPr>
                <w:rFonts w:ascii="Times New Roman" w:hAnsi="Times New Roman"/>
              </w:rPr>
              <w:tab/>
              <w:t xml:space="preserve">4) отсутствие у участника закупки</w:t>
            </w:r>
            <w:r>
              <w:rPr>
                <w:rFonts w:ascii="Times New Roman" w:hAnsi="Times New Roman"/>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Times New Roman" w:hAnsi="Times New Roman"/>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Times New Roman" w:hAnsi="Times New Roman"/>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rPr>
            </w:r>
            <w:r>
              <w:rPr>
                <w:rFonts w:ascii="Times New Roman" w:hAnsi="Times New Roman"/>
              </w:rPr>
            </w:r>
          </w:p>
          <w:p>
            <w:pPr>
              <w:tabs>
                <w:tab w:val="left" w:pos="769" w:leader="none"/>
              </w:tabs>
            </w:pPr>
            <w:r>
              <w:rPr>
                <w:rStyle w:val="1137"/>
              </w:rPr>
              <w:t xml:space="preserve">            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tooltip="http://ivo.garant.ru/#/document/12125267/entry/1928" w:anchor="/document/12125267/entry/1928" w:history="1">
              <w:r>
                <w:rPr>
                  <w:rStyle w:val="1062"/>
                  <w:color w:val="000000"/>
                  <w:u w:val="none"/>
                </w:rPr>
                <w:t xml:space="preserve">статьей </w:t>
              </w:r>
            </w:hyperlink>
            <w:r>
              <w:rPr>
                <w:rStyle w:val="1062"/>
                <w:i/>
                <w:color w:val="000000"/>
                <w:u w:val="none"/>
              </w:rPr>
              <w:t xml:space="preserve">19.28</w:t>
            </w:r>
            <w:r>
              <w:rPr>
                <w:rStyle w:val="1137"/>
              </w:rPr>
              <w:t xml:space="preserve"> </w:t>
            </w:r>
            <w:r>
              <w:t xml:space="preserve">Кодексом Российской Федерации об административных правонарушениях;</w:t>
            </w:r>
            <w:r/>
          </w:p>
          <w:p>
            <w:pPr>
              <w:tabs>
                <w:tab w:val="left" w:pos="769" w:leader="none"/>
              </w:tabs>
            </w:pPr>
            <w:r>
              <w:tab/>
              <w:t xml:space="preserve">6) обладание участником закупки исключительными правами на результаты интеллектуальной деятельно</w:t>
            </w:r>
            <w:r>
              <w:t xml:space="preserve">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p>
          <w:p>
            <w:pPr>
              <w:spacing w:after="0"/>
            </w:pPr>
            <w:r>
              <w:tab/>
              <w:t xml:space="preserve">7) отсутствие обстоятельств, при которых дол</w:t>
            </w:r>
            <w:r>
              <w:t xml:space="preserve">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w:t>
            </w:r>
            <w:r>
              <w:t xml:space="preserve">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p>
          <w:p>
            <w:pPr>
              <w:spacing w:after="0"/>
            </w:pPr>
            <w:r>
              <w:tab/>
              <w:t xml:space="preserve">а) физическим лицом (в том числе зарегистрированным в качестве индивидуального предпринимателя), являющимся участником закупки;</w:t>
            </w:r>
            <w:r/>
          </w:p>
          <w:p>
            <w:pPr>
              <w:spacing w:after="0"/>
            </w:pPr>
            <w:r>
              <w:tab/>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p>
          <w:p>
            <w:pPr>
              <w:spacing w:after="0"/>
            </w:pPr>
            <w:r>
              <w:tab/>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w:t>
            </w:r>
            <w:r>
              <w:t xml:space="preserve">я участником закупки. Выгодоприобретателем для целей статьи 31 Федерального закона от 5 апреля 2013 г. №44-ФЗ  является физическое лицо, которое владеет напрямую или косвенно (через юридическое лицо или через несколько юридических лиц) более чем десятью пр</w:t>
            </w:r>
            <w:r>
              <w:t xml:space="preserve">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p>
          <w:p>
            <w:pPr>
              <w:spacing w:after="0"/>
              <w:rPr>
                <w:highlight w:val="white"/>
              </w:rPr>
            </w:pPr>
            <w:r>
              <w:tab/>
              <w:t xml:space="preserve">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w:t>
            </w:r>
            <w:r>
              <w:t xml:space="preserve"> лиц, владеющих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(складочном) капитале хозяйственного товарищества или общества;</w:t>
            </w:r>
            <w:r>
              <w:rPr>
                <w:highlight w:val="white"/>
              </w:rPr>
            </w:r>
            <w:r>
              <w:rPr>
                <w:highlight w:val="white"/>
              </w:rPr>
            </w:r>
          </w:p>
          <w:p>
            <w:pPr>
              <w:spacing w:after="0"/>
              <w:rPr>
                <w:shd w:val="clear" w:color="auto" w:fill="c2d69b"/>
              </w:rPr>
            </w:pPr>
            <w:r>
              <w:tab/>
            </w:r>
            <w:r>
              <w:rPr>
                <w:highlight w:val="white"/>
              </w:rPr>
              <w:t xml:space="preserve">9) участник закупки не является иностранным агентом;</w:t>
            </w:r>
            <w:r>
              <w:rPr>
                <w:shd w:val="clear" w:color="auto" w:fill="c2d69b"/>
              </w:rPr>
            </w:r>
            <w:r>
              <w:rPr>
                <w:shd w:val="clear" w:color="auto" w:fill="c2d69b"/>
              </w:rPr>
            </w:r>
          </w:p>
          <w:p>
            <w:pPr>
              <w:spacing w:after="0"/>
              <w:rPr>
                <w:highlight w:val="white"/>
              </w:rPr>
            </w:pPr>
            <w:r>
              <w:tab/>
              <w:t xml:space="preserve">10</w:t>
            </w:r>
            <w:r>
              <w:rPr>
                <w:highlight w:val="white"/>
              </w:rPr>
              <w:t xml:space="preserve">) Отсутствие у участника закупки ограничений для участия в закуп</w:t>
            </w:r>
            <w:r>
              <w:rPr>
                <w:highlight w:val="white"/>
              </w:rPr>
              <w:t xml:space="preserve">ках, установленных законодательством Российской Федерации, в том числе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 «а» п. 2 Указа Президента РФ</w:t>
            </w:r>
            <w:r>
              <w:rPr>
                <w:highlight w:val="white"/>
              </w:rPr>
            </w:r>
            <w:r>
              <w:rPr>
                <w:highlight w:val="white"/>
              </w:rPr>
            </w:r>
          </w:p>
          <w:p>
            <w:pPr>
              <w:spacing w:after="0"/>
            </w:pPr>
            <w:r>
              <w:rPr>
                <w:highlight w:val="white"/>
              </w:rPr>
              <w:t xml:space="preserve">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p>
        </w:tc>
      </w:tr>
      <w:tr>
        <w:trPr>
          <w:trHeight w:val="724"/>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jc w:val="left"/>
              <w:spacing w:after="0"/>
              <w:rPr>
                <w:rFonts w:ascii="Arial" w:hAnsi="Arial"/>
                <w:b/>
                <w:color w:val="ffffff"/>
                <w:sz w:val="20"/>
              </w:rPr>
            </w:pPr>
            <w:r>
              <w:rPr>
                <w:rFonts w:ascii="Arial" w:hAnsi="Arial"/>
                <w:b/>
                <w:color w:val="ffffff"/>
                <w:sz w:val="20"/>
              </w:rPr>
              <w:tab/>
              <w:t xml:space="preserve">25</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071"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Требование в соответствии</w:t>
            </w:r>
            <w:r>
              <w:rPr>
                <w:rFonts w:ascii="Arial" w:hAnsi="Arial"/>
                <w:b/>
                <w:color w:val="ffffff"/>
                <w:sz w:val="20"/>
              </w:rPr>
            </w:r>
            <w:r>
              <w:rPr>
                <w:rFonts w:ascii="Arial" w:hAnsi="Arial"/>
                <w:b/>
                <w:color w:val="ffffff"/>
                <w:sz w:val="20"/>
              </w:rPr>
            </w:r>
          </w:p>
          <w:p>
            <w:pPr>
              <w:jc w:val="center"/>
              <w:spacing w:after="0"/>
              <w:rPr>
                <w:rFonts w:ascii="Arial" w:hAnsi="Arial"/>
                <w:b/>
                <w:color w:val="ffffff"/>
                <w:sz w:val="20"/>
              </w:rPr>
            </w:pPr>
            <w:r>
              <w:rPr>
                <w:rFonts w:ascii="Arial" w:hAnsi="Arial"/>
                <w:b/>
                <w:color w:val="ffffff"/>
                <w:sz w:val="20"/>
              </w:rPr>
              <w:t xml:space="preserve">с ч. 1.1 ст. 31 Федерального закона от 5 апреля 2013 г. №44-ФЗ</w:t>
            </w:r>
            <w:r>
              <w:rPr>
                <w:rFonts w:ascii="Arial" w:hAnsi="Arial"/>
                <w:b/>
                <w:color w:val="ffffff"/>
                <w:sz w:val="20"/>
              </w:rPr>
            </w:r>
            <w:r>
              <w:rPr>
                <w:rFonts w:ascii="Arial" w:hAnsi="Arial"/>
                <w:b/>
                <w:color w:val="ffffff"/>
                <w:sz w:val="20"/>
              </w:rPr>
            </w:r>
          </w:p>
        </w:tc>
      </w:tr>
      <w:tr>
        <w:trPr>
          <w:trHeight w:val="724"/>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2" w:type="dxa"/>
            <w:vAlign w:val="center"/>
            <w:textDirection w:val="lrTb"/>
            <w:noWrap w:val="false"/>
          </w:tcPr>
          <w:p>
            <w:pPr>
              <w:spacing w:after="0"/>
              <w:rPr>
                <w:rFonts w:ascii="Arial" w:hAnsi="Arial"/>
                <w:b/>
                <w:color w:val="ffffff"/>
                <w:sz w:val="20"/>
              </w:rPr>
            </w:pPr>
            <w:r>
              <w:rPr>
                <w:i/>
              </w:rPr>
              <w:tab/>
            </w:r>
            <w:bookmarkStart w:id="11" w:name="OLE_LINK2"/>
            <w:r/>
            <w:bookmarkStart w:id="12" w:name="OLE_LINK1"/>
            <w:r>
              <w:rPr>
                <w:color w:val="22272f"/>
              </w:rPr>
              <w:t xml:space="preserve">Заказчик</w:t>
            </w:r>
            <w:r>
              <w:rPr>
                <w:color w:val="22272f"/>
                <w:highlight w:val="white"/>
              </w:rPr>
              <w:t xml:space="preserve"> установил требование об отсутствии в предусмотренном Федеральным законом от 5 </w:t>
            </w:r>
            <w:r>
              <w:rPr>
                <w:color w:val="22272f"/>
                <w:highlight w:val="white"/>
              </w:rPr>
              <w:t xml:space="preserve">апреля 2013 г.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о лицах, </w:t>
            </w:r>
            <w:r>
              <w:rPr>
                <w:rStyle w:val="1137"/>
                <w:color w:val="22272f"/>
                <w:highlight w:val="white"/>
              </w:rPr>
              <w:t xml:space="preserve">информация о которых содержится в заявке на участие в закупке в соответствии с </w:t>
            </w:r>
            <w:hyperlink r:id="rId16" w:tooltip="http://ivo.garant.ru/#/document/70353464/entry/431103" w:anchor="/document/70353464/entry/431103" w:history="1">
              <w:r>
                <w:rPr>
                  <w:rStyle w:val="1062"/>
                  <w:color w:val="3272c0"/>
                  <w:highlight w:val="white"/>
                </w:rPr>
                <w:t xml:space="preserve">подпунктом "</w:t>
              </w:r>
            </w:hyperlink>
            <w:r>
              <w:rPr>
                <w:rStyle w:val="1062"/>
                <w:color w:val="3272c0"/>
                <w:highlight w:val="white"/>
              </w:rPr>
              <w:t xml:space="preserve">в" пункта 1 части 1 статьи 43</w:t>
            </w:r>
            <w:r>
              <w:rPr>
                <w:color w:val="22272f"/>
                <w:highlight w:val="white"/>
              </w:rPr>
              <w:t xml:space="preserve">  апреля 2013 г. №44-ФЗ "О контрактной системе в сфере закупок товаров, работ, услуг для обеспечения государственных и муниципальных нужд", если Правительством Российской Федерации не установлено иное.</w:t>
            </w:r>
            <w:bookmarkEnd w:id="11"/>
            <w:r/>
            <w:bookmarkEnd w:id="12"/>
            <w:r>
              <w:rPr>
                <w:rFonts w:ascii="Arial" w:hAnsi="Arial"/>
                <w:b/>
                <w:color w:val="ffffff"/>
                <w:sz w:val="20"/>
              </w:rPr>
            </w:r>
            <w:r>
              <w:rPr>
                <w:rFonts w:ascii="Arial" w:hAnsi="Arial"/>
                <w:b/>
                <w:color w:val="ffffff"/>
                <w:sz w:val="20"/>
              </w:rPr>
            </w:r>
          </w:p>
        </w:tc>
      </w:tr>
      <w:tr>
        <w:trPr>
          <w:trHeight w:val="724"/>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26</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071"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Требование к участникам закупок</w:t>
            </w:r>
            <w:r>
              <w:rPr>
                <w:rFonts w:ascii="Arial" w:hAnsi="Arial"/>
                <w:b/>
                <w:color w:val="ffffff"/>
                <w:sz w:val="20"/>
              </w:rPr>
            </w:r>
            <w:r>
              <w:rPr>
                <w:rFonts w:ascii="Arial" w:hAnsi="Arial"/>
                <w:b/>
                <w:color w:val="ffffff"/>
                <w:sz w:val="20"/>
              </w:rPr>
            </w:r>
          </w:p>
          <w:p>
            <w:pPr>
              <w:jc w:val="center"/>
              <w:spacing w:after="0"/>
              <w:rPr>
                <w:rFonts w:ascii="Arial" w:hAnsi="Arial"/>
                <w:b/>
                <w:color w:val="ffffff"/>
                <w:sz w:val="20"/>
              </w:rPr>
            </w:pPr>
            <w:r>
              <w:rPr>
                <w:rFonts w:ascii="Arial" w:hAnsi="Arial"/>
                <w:b/>
                <w:color w:val="ffffff"/>
                <w:sz w:val="20"/>
              </w:rPr>
              <w:t xml:space="preserve">в соответствии с п. 1 ч. 1 ст.31 Федерального закона от 05.04.2013г. №44-ФЗ</w:t>
            </w:r>
            <w:r>
              <w:rPr>
                <w:rFonts w:ascii="Arial" w:hAnsi="Arial"/>
                <w:b/>
                <w:color w:val="ffffff"/>
                <w:sz w:val="20"/>
              </w:rPr>
            </w:r>
            <w:r>
              <w:rPr>
                <w:rFonts w:ascii="Arial" w:hAnsi="Arial"/>
                <w:b/>
                <w:color w:val="ffffff"/>
                <w:sz w:val="20"/>
              </w:rPr>
            </w:r>
          </w:p>
        </w:tc>
      </w:tr>
      <w:tr>
        <w:trPr>
          <w:trHeight w:val="724"/>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2" w:type="dxa"/>
            <w:vAlign w:val="center"/>
            <w:textDirection w:val="lrTb"/>
            <w:noWrap w:val="false"/>
          </w:tcPr>
          <w:p>
            <w:pPr>
              <w:ind w:firstLine="566"/>
              <w:rPr>
                <w:rFonts w:ascii="Arial" w:hAnsi="Arial"/>
                <w:b/>
                <w:color w:val="ffffff"/>
                <w:sz w:val="20"/>
              </w:rPr>
            </w:pPr>
            <w:r>
              <w:rPr>
                <w:b/>
                <w:color w:val="ff0000"/>
                <w:sz w:val="28"/>
                <w:vertAlign w:val="superscript"/>
              </w:rPr>
              <w:t xml:space="preserve">10</w:t>
            </w:r>
            <w:r>
              <w:t xml:space="preserve">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которые являются предметом контракта</w:t>
            </w:r>
            <w:r>
              <w:rPr>
                <w:highlight w:val="yellow"/>
                <w:vertAlign w:val="superscript"/>
              </w:rPr>
              <w:t xml:space="preserve">1</w:t>
            </w:r>
            <w:r>
              <w:rPr>
                <w:color w:val="4f81bd" w:themeColor="accent1"/>
              </w:rPr>
              <w:t xml:space="preserve"> </w:t>
            </w:r>
            <w:r>
              <w:rPr>
                <w:color w:val="ff0000"/>
              </w:rPr>
              <w:t xml:space="preserve">не установлено.</w:t>
            </w:r>
            <w:r>
              <w:rPr>
                <w:rFonts w:ascii="Arial" w:hAnsi="Arial"/>
                <w:b/>
                <w:color w:val="ffffff"/>
                <w:sz w:val="20"/>
              </w:rPr>
            </w:r>
            <w:r>
              <w:rPr>
                <w:rFonts w:ascii="Arial" w:hAnsi="Arial"/>
                <w:b/>
                <w:color w:val="ffffff"/>
                <w:sz w:val="20"/>
              </w:rPr>
            </w:r>
          </w:p>
        </w:tc>
      </w:tr>
      <w:tr>
        <w:trPr>
          <w:trHeight w:val="610"/>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27</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071"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Требования к участникам закупок</w:t>
            </w:r>
            <w:r>
              <w:rPr>
                <w:rFonts w:ascii="Arial" w:hAnsi="Arial"/>
                <w:b/>
                <w:color w:val="ffffff"/>
                <w:sz w:val="20"/>
              </w:rPr>
            </w:r>
            <w:r>
              <w:rPr>
                <w:rFonts w:ascii="Arial" w:hAnsi="Arial"/>
                <w:b/>
                <w:color w:val="ffffff"/>
                <w:sz w:val="20"/>
              </w:rPr>
            </w:r>
          </w:p>
          <w:p>
            <w:pPr>
              <w:jc w:val="center"/>
              <w:spacing w:after="0"/>
              <w:rPr>
                <w:rFonts w:ascii="Arial" w:hAnsi="Arial"/>
                <w:b/>
                <w:color w:val="ffffff"/>
                <w:sz w:val="20"/>
              </w:rPr>
            </w:pPr>
            <w:r>
              <w:rPr>
                <w:rFonts w:ascii="Arial" w:hAnsi="Arial"/>
                <w:b/>
                <w:color w:val="ffffff"/>
                <w:sz w:val="20"/>
              </w:rPr>
              <w:t xml:space="preserve">в соответствии с ч. 2 ст. 31 Федерального закона от 05.04.2013г. №44-ФЗ</w:t>
            </w:r>
            <w:r>
              <w:rPr>
                <w:rFonts w:ascii="Arial" w:hAnsi="Arial"/>
                <w:b/>
                <w:color w:val="ffffff"/>
                <w:sz w:val="20"/>
              </w:rPr>
            </w:r>
            <w:r>
              <w:rPr>
                <w:rFonts w:ascii="Arial" w:hAnsi="Arial"/>
                <w:b/>
                <w:color w:val="ffffff"/>
                <w:sz w:val="20"/>
              </w:rPr>
            </w:r>
          </w:p>
        </w:tc>
      </w:tr>
      <w:tr>
        <w:trPr>
          <w:trHeight w:val="610"/>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2" w:type="dxa"/>
            <w:vAlign w:val="center"/>
            <w:textDirection w:val="lrTb"/>
            <w:noWrap w:val="false"/>
          </w:tcPr>
          <w:p>
            <w:pPr>
              <w:jc w:val="left"/>
            </w:pPr>
            <w:r>
              <w:tab/>
              <w:t xml:space="preserve">Заказчик </w:t>
            </w:r>
            <w:r>
              <w:rPr>
                <w:highlight w:val="lightGray"/>
              </w:rPr>
              <w:t xml:space="preserve">не установил</w:t>
            </w:r>
            <w:r>
              <w:t xml:space="preserve">  дополнительные требования к участникам закупки  в соответствии с ч.2 ст. 31 Федерального закона от 05.04.2013г.  №44-ФЗ  и позицией </w:t>
            </w:r>
            <w:r>
              <w:rPr>
                <w:highlight w:val="lightGray"/>
              </w:rPr>
              <w:t xml:space="preserve">___</w:t>
            </w:r>
            <w:r>
              <w:t xml:space="preserve"> приложения к постановлению Правительства РФ от 29 декабря 2021 г. №2571 (далее – </w:t>
            </w:r>
            <w:r>
              <w:t xml:space="preserve">Приложение №2571)</w:t>
            </w:r>
            <w:r>
              <w:rPr>
                <w:highlight w:val="white"/>
              </w:rPr>
              <w:t xml:space="preserve">: </w:t>
            </w:r>
            <w:r>
              <w:rPr>
                <w:highlight w:val="lightGray"/>
              </w:rPr>
              <w:t xml:space="preserve">__________</w:t>
            </w:r>
            <w:r>
              <w:t xml:space="preserve">.</w:t>
            </w:r>
            <w:r/>
          </w:p>
          <w:p>
            <w:r>
              <w:tab/>
              <w:t xml:space="preserve">В случае если в извеще</w:t>
            </w:r>
            <w:r>
              <w:t xml:space="preserve">нии о проведении настоящего электронного аукциона  установлены дополнительное(ые)  требование(я) к участникам закупки в соответствии с ч. 2 ст. 31 Федерального закона № от 05.04.2013г.  №44-ФЗ  и постановлением Правительства РФ от 29 декабря 2021 г. №2571:</w:t>
            </w:r>
            <w:r/>
          </w:p>
          <w:p>
            <w:pPr>
              <w:spacing w:after="0"/>
            </w:pPr>
            <w:r>
              <w:tab/>
              <w:t xml:space="preserve">1</w:t>
            </w:r>
            <w:r>
              <w:rPr>
                <w:highlight w:val="white"/>
              </w:rPr>
              <w:t xml:space="preserve">. В соответствии  с ч. 12 ст. 24.2 </w:t>
            </w:r>
            <w:r>
              <w:t xml:space="preserve">Федерального закона от 05.04.2013г.  №44-ФЗ </w:t>
            </w:r>
            <w:r>
              <w:rPr>
                <w:highlight w:val="white"/>
              </w:rPr>
              <w:t xml:space="preserve">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hyperlink r:id="rId17" w:tooltip="http://ivo.garant.ru/#/document/70353464/entry/3120" w:anchor="/document/70353464/entry/3120" w:history="1">
              <w:r>
                <w:rPr>
                  <w:rStyle w:val="1062"/>
                  <w:color w:val="000000"/>
                  <w:highlight w:val="white"/>
                </w:rPr>
                <w:t xml:space="preserve">ч. 2</w:t>
              </w:r>
            </w:hyperlink>
            <w:r>
              <w:rPr>
                <w:highlight w:val="white"/>
              </w:rPr>
              <w:t xml:space="preserve"> </w:t>
            </w:r>
            <w:r>
              <w:t xml:space="preserve">Федерального закона от 05.04.2013г.  №44-ФЗ</w:t>
            </w:r>
            <w:r>
              <w:rPr>
                <w:highlight w:val="white"/>
              </w:rPr>
              <w:t xml:space="preserve"> </w:t>
            </w:r>
            <w:r>
              <w:t xml:space="preserve">от 05.04.2013г.  №44-ФЗ</w:t>
            </w:r>
            <w:r>
              <w:rPr>
                <w:highlight w:val="white"/>
              </w:rPr>
              <w:t xml:space="preserve">, участник закупки, аккредитованный на электронной площадке, </w:t>
            </w:r>
            <w:r>
              <w:rPr>
                <w:b/>
                <w:highlight w:val="white"/>
              </w:rPr>
              <w:t xml:space="preserve">заблаговременно</w:t>
            </w:r>
            <w:r>
              <w:rPr>
                <w:highlight w:val="white"/>
              </w:rPr>
              <w:t xml:space="preserve">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w:t>
            </w:r>
            <w:r>
              <w:t xml:space="preserve">Постановление Правительства РФ от 29 декабря 2021 г. №2571) </w:t>
            </w:r>
            <w:r>
              <w:rPr>
                <w:highlight w:val="white"/>
              </w:rPr>
              <w:t xml:space="preserve">в соответствии с </w:t>
            </w:r>
            <w:hyperlink r:id="rId18" w:tooltip="http://ivo.garant.ru/#/document/70353464/entry/3130" w:anchor="/document/70353464/entry/3130" w:history="1">
              <w:r>
                <w:rPr>
                  <w:rStyle w:val="1062"/>
                  <w:color w:val="000000"/>
                  <w:highlight w:val="white"/>
                </w:rPr>
                <w:t xml:space="preserve">ч. 3 ст. 31</w:t>
              </w:r>
            </w:hyperlink>
            <w:r>
              <w:rPr>
                <w:highlight w:val="white"/>
              </w:rPr>
              <w:t xml:space="preserve"> </w:t>
            </w:r>
            <w:r>
              <w:t xml:space="preserve">Федерального закона от 05.04.2013г.  №44-ФЗ</w:t>
            </w:r>
            <w:r>
              <w:rPr>
                <w:highlight w:val="white"/>
              </w:rPr>
              <w:t xml:space="preserve">. При этом </w:t>
            </w:r>
            <w:r>
              <w:rPr>
                <w:highlight w:val="white"/>
              </w:rPr>
              <w:t xml:space="preserve">участнику закупки при направлении оператору электронной площадки информации и документов, подтверждающих соответствие участников закупки вышеуказанным дополнительным требованиям  необходимо соблюдать требования, установленные в Постановлении Правительства </w:t>
            </w:r>
            <w:r>
              <w:t xml:space="preserve">Российской Федерации от 29 декабря 2021 г. №2571.</w:t>
            </w:r>
            <w:r/>
          </w:p>
          <w:p>
            <w:pPr>
              <w:spacing w:after="0"/>
              <w:rPr>
                <w:highlight w:val="white"/>
              </w:rPr>
            </w:pPr>
            <w:r>
              <w:tab/>
              <w:t xml:space="preserve">2. </w:t>
            </w:r>
            <w:r>
              <w:rPr>
                <w:shd w:val="clear" w:color="auto" w:fill="ffffff" w:themeFill="background1"/>
              </w:rPr>
              <w:t xml:space="preserve">Информация и документы</w:t>
            </w:r>
            <w:r>
              <w:t xml:space="preserve"> (форме электронных документов или в форме</w:t>
            </w:r>
            <w:r>
              <w:t xml:space="preserve"> </w:t>
            </w:r>
            <w:r>
              <w:t xml:space="preserve"> электронных образов бумажных </w:t>
            </w:r>
            <w:r>
              <w:rPr>
                <w:highlight w:val="white"/>
              </w:rPr>
              <w:t xml:space="preserve">документов)</w:t>
            </w:r>
            <w:r>
              <w:rPr>
                <w:highlight w:val="white"/>
              </w:rPr>
              <w:t xml:space="preserve">, подтверждающие соответствие участника закупки дополнительным требованиям, установленным в соответствии с </w:t>
            </w:r>
            <w:hyperlink r:id="rId19" w:tooltip="http://ivo.garant.ru/#/document/70353464/entry/3120" w:anchor="/document/70353464/entry/3120" w:history="1">
              <w:r>
                <w:rPr>
                  <w:highlight w:val="white"/>
                </w:rPr>
                <w:t xml:space="preserve">ч. 2</w:t>
              </w:r>
            </w:hyperlink>
            <w:r>
              <w:rPr>
                <w:highlight w:val="white"/>
              </w:rPr>
              <w:t xml:space="preserve">  (при наличии таких требований) статьи 31 Федерального закона от 05.04.2013г. №44-ФЗ, и предусмотренные </w:t>
            </w:r>
            <w:hyperlink r:id="rId20" w:tooltip="http://ivo.garant.ru/#/document/70353464/entry/431113" w:anchor="/document/70353464/entry/431113" w:history="1">
              <w:r>
                <w:rPr>
                  <w:highlight w:val="white"/>
                </w:rPr>
                <w:t xml:space="preserve">подпунктом "н" пункта 1 части 1</w:t>
              </w:r>
            </w:hyperlink>
            <w:r>
              <w:rPr>
                <w:highlight w:val="white"/>
              </w:rPr>
              <w:t xml:space="preserve">  статьи 43 Федерального закона от 05.04.2013г.  №44-ФЗ, не включаются участником закупки в заявку на участие в закупке. Такие информация и документы в случаях, преду</w:t>
            </w:r>
            <w:r>
              <w:rPr>
                <w:highlight w:val="white"/>
              </w:rPr>
              <w:t xml:space="preserve">смотренных настоящим Федеральным законом от 05.04.2013г.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 (п.3 ч.6 ст. 43,  </w:t>
            </w:r>
            <w:r>
              <w:rPr>
                <w:highlight w:val="white"/>
              </w:rPr>
              <w:t xml:space="preserve">п.4 ч.4 ст.49  </w:t>
            </w:r>
            <w:r>
              <w:rPr>
                <w:highlight w:val="white"/>
              </w:rPr>
              <w:t xml:space="preserve">Федерального закона от 05.04.2013г.  №44-ФЗ).</w:t>
            </w:r>
            <w:r>
              <w:rPr>
                <w:highlight w:val="white"/>
              </w:rPr>
            </w:r>
            <w:r>
              <w:rPr>
                <w:highlight w:val="white"/>
              </w:rPr>
            </w:r>
          </w:p>
          <w:p>
            <w:pPr>
              <w:spacing w:after="0"/>
              <w:rPr>
                <w:rFonts w:ascii="Arial" w:hAnsi="Arial"/>
                <w:b/>
                <w:color w:val="ffffff"/>
                <w:sz w:val="20"/>
              </w:rPr>
            </w:pPr>
            <w:r>
              <w:tab/>
              <w:t xml:space="preserve">3. </w:t>
            </w:r>
            <w:r>
              <w:rPr>
                <w:highlight w:val="white"/>
              </w:rPr>
              <w:t xml:space="preserve">Если информация и документы, подтверждающие соответствие участников закупки дополнительным требованиям содержатся в открытых </w:t>
            </w:r>
            <w:r>
              <w:rPr>
                <w:highlight w:val="white"/>
              </w:rPr>
              <w:t xml:space="preserve">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w:t>
            </w:r>
            <w:hyperlink r:id="rId21" w:tooltip="https://zakupki.gov.ru/" w:history="1">
              <w:r>
                <w:rPr>
                  <w:rStyle w:val="1062"/>
                  <w:color w:val="000000"/>
                  <w:highlight w:val="white"/>
                </w:rPr>
                <w:t xml:space="preserve">официальном сайте</w:t>
              </w:r>
            </w:hyperlink>
            <w:r>
              <w:rPr>
                <w:highlight w:val="white"/>
              </w:rPr>
              <w:t xml:space="preserve">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w:t>
            </w:r>
            <w:r>
              <w:t xml:space="preserve">Федеральным законом от 05.04.2013г.  №44-ФЗ</w:t>
            </w:r>
            <w:r>
              <w:rPr>
                <w:highlight w:val="white"/>
              </w:rPr>
              <w:t xml:space="preserve"> номер реестровой записи из соответствующе</w:t>
            </w:r>
            <w:r>
              <w:rPr>
                <w:highlight w:val="white"/>
              </w:rPr>
              <w:t xml:space="preserve">го реестра. 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r>
            <w:r>
              <w:rPr>
                <w:rFonts w:ascii="Arial" w:hAnsi="Arial"/>
                <w:b/>
                <w:color w:val="ffffff"/>
                <w:sz w:val="20"/>
              </w:rPr>
            </w:r>
            <w:r>
              <w:rPr>
                <w:rFonts w:ascii="Arial" w:hAnsi="Arial"/>
                <w:b/>
                <w:color w:val="ffffff"/>
                <w:sz w:val="20"/>
              </w:rPr>
            </w:r>
          </w:p>
        </w:tc>
      </w:tr>
      <w:tr>
        <w:trPr>
          <w:trHeight w:val="610"/>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28</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071"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Дополнительные требования к участникам закупок в соответствии</w:t>
            </w:r>
            <w:r>
              <w:rPr>
                <w:rFonts w:ascii="Arial" w:hAnsi="Arial"/>
                <w:b/>
                <w:color w:val="ffffff"/>
                <w:sz w:val="20"/>
              </w:rPr>
            </w:r>
            <w:r>
              <w:rPr>
                <w:rFonts w:ascii="Arial" w:hAnsi="Arial"/>
                <w:b/>
                <w:color w:val="ffffff"/>
                <w:sz w:val="20"/>
              </w:rPr>
            </w:r>
          </w:p>
          <w:p>
            <w:pPr>
              <w:jc w:val="center"/>
              <w:spacing w:after="0"/>
              <w:rPr>
                <w:rFonts w:ascii="Arial" w:hAnsi="Arial"/>
                <w:b/>
                <w:color w:val="ffffff"/>
                <w:sz w:val="20"/>
              </w:rPr>
            </w:pPr>
            <w:r>
              <w:rPr>
                <w:rFonts w:ascii="Arial" w:hAnsi="Arial"/>
                <w:b/>
                <w:color w:val="ffffff"/>
                <w:sz w:val="20"/>
              </w:rPr>
              <w:t xml:space="preserve"> с ч. 2.1 ст. 31 Федерального закона от 05.04.2013г. №44-ФЗ</w:t>
            </w:r>
            <w:r>
              <w:rPr>
                <w:rFonts w:ascii="Arial" w:hAnsi="Arial"/>
                <w:b/>
                <w:color w:val="ffffff"/>
                <w:sz w:val="20"/>
              </w:rPr>
            </w:r>
            <w:r>
              <w:rPr>
                <w:rFonts w:ascii="Arial" w:hAnsi="Arial"/>
                <w:b/>
                <w:color w:val="ffffff"/>
                <w:sz w:val="20"/>
              </w:rPr>
            </w:r>
          </w:p>
        </w:tc>
      </w:tr>
      <w:tr>
        <w:trPr>
          <w:trHeight w:val="610"/>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2" w:type="dxa"/>
            <w:vAlign w:val="center"/>
            <w:textDirection w:val="lrTb"/>
            <w:noWrap w:val="false"/>
          </w:tcPr>
          <w:p>
            <w:r>
              <w:tab/>
            </w:r>
            <w:r>
              <w:rPr>
                <w:b/>
                <w:color w:val="ff0000"/>
                <w:vertAlign w:val="superscript"/>
              </w:rPr>
              <w:t xml:space="preserve">11</w:t>
            </w:r>
            <w:r>
              <w:t xml:space="preserve">Заказчик </w:t>
            </w:r>
            <w:r>
              <w:rPr>
                <w:highlight w:val="lightGray"/>
              </w:rPr>
              <w:t xml:space="preserve">не установил</w:t>
            </w:r>
            <w:r>
              <w:t xml:space="preserve"> дополнительное(ые)  требование(я) к участникам закупки в соответствии с ч. 2.1 ст. 31 Федерального закона от 05.04.2013г. №44-ФЗ</w:t>
            </w:r>
            <w:r>
              <w:rPr>
                <w:highlight w:val="yellow"/>
                <w:vertAlign w:val="superscript"/>
              </w:rPr>
              <w:t xml:space="preserve">1</w:t>
            </w:r>
            <w:r>
              <w:t xml:space="preserve">: </w:t>
            </w:r>
            <w:r>
              <w:rPr>
                <w:shd w:val="clear" w:color="auto" w:fill="bfbfbf"/>
              </w:rPr>
              <w:t xml:space="preserve">______</w:t>
            </w:r>
            <w:r>
              <w:t xml:space="preserve">.</w:t>
            </w:r>
            <w:r/>
          </w:p>
          <w:p>
            <w:r>
              <w:tab/>
              <w:t xml:space="preserve">В случае если в извещении о проведении настоящего электронного аукциона  установлены дополнительное(ые)  требование(я) к участникам электронного аукциона в соответствии с ч. 2.1 ст. 31 Федерального закона от 05.04.2013г. №44-ФЗ:</w:t>
            </w:r>
            <w:r/>
          </w:p>
          <w:p>
            <w:pPr>
              <w:rPr>
                <w:highlight w:val="white"/>
              </w:rPr>
            </w:pPr>
            <w:r>
              <w:tab/>
              <w:t xml:space="preserve">1. </w:t>
            </w:r>
            <w:r>
              <w:rPr>
                <w:highlight w:val="white"/>
              </w:rPr>
              <w:t xml:space="preserve">В соответствии  с ч. 12 ст. 24.2 </w:t>
            </w:r>
            <w:r>
              <w:t xml:space="preserve">Федерального закона от 05.04.2013г.  №44-ФЗ </w:t>
            </w:r>
            <w:r>
              <w:rPr>
                <w:highlight w:val="white"/>
              </w:rPr>
              <w:t xml:space="preserve">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hyperlink r:id="rId22" w:tooltip="http://ivo.garant.ru/#/document/70353464/entry/3120" w:anchor="/document/70353464/entry/3120" w:history="1">
              <w:r>
                <w:rPr>
                  <w:rStyle w:val="1062"/>
                  <w:color w:val="000000"/>
                  <w:highlight w:val="white"/>
                </w:rPr>
                <w:t xml:space="preserve">ч. 2</w:t>
              </w:r>
            </w:hyperlink>
            <w:r>
              <w:rPr>
                <w:highlight w:val="white"/>
              </w:rPr>
              <w:t xml:space="preserve"> </w:t>
            </w:r>
            <w:r>
              <w:t xml:space="preserve">Федерального закона от 05.04.2013г.  №44-</w:t>
            </w:r>
            <w:r>
              <w:t xml:space="preserve">ФЗ</w:t>
            </w:r>
            <w:r>
              <w:rPr>
                <w:highlight w:val="white"/>
              </w:rPr>
              <w:t xml:space="preserve"> </w:t>
            </w:r>
            <w:r>
              <w:t xml:space="preserve">от 05.04.2013г.  №44-ФЗ</w:t>
            </w:r>
            <w:r>
              <w:rPr>
                <w:highlight w:val="white"/>
              </w:rPr>
              <w:t xml:space="preserve">, участник закупки, аккредитованный на электронной площадке, </w:t>
            </w:r>
            <w:r>
              <w:rPr>
                <w:b/>
                <w:highlight w:val="white"/>
              </w:rPr>
              <w:t xml:space="preserve">заблаговременно</w:t>
            </w:r>
            <w:r>
              <w:rPr>
                <w:highlight w:val="white"/>
              </w:rPr>
              <w:t xml:space="preserve">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w:t>
            </w:r>
            <w:r>
              <w:t xml:space="preserve">Постановление Правительства РФ от 29 декабря 2021 г. №2571) </w:t>
            </w:r>
            <w:r>
              <w:rPr>
                <w:highlight w:val="white"/>
              </w:rPr>
              <w:t xml:space="preserve">в соответствии с </w:t>
            </w:r>
            <w:hyperlink r:id="rId23" w:tooltip="http://ivo.garant.ru/#/document/70353464/entry/3130" w:anchor="/document/70353464/entry/3130" w:history="1">
              <w:r>
                <w:rPr>
                  <w:rStyle w:val="1062"/>
                  <w:color w:val="000000"/>
                  <w:highlight w:val="white"/>
                </w:rPr>
                <w:t xml:space="preserve">ч. 3 ст. 31</w:t>
              </w:r>
            </w:hyperlink>
            <w:r>
              <w:rPr>
                <w:highlight w:val="white"/>
              </w:rPr>
              <w:t xml:space="preserve"> </w:t>
            </w:r>
            <w:r>
              <w:t xml:space="preserve">Федерального закона от 05.04.2013г.  №44-ФЗ</w:t>
            </w:r>
            <w:r>
              <w:rPr>
                <w:highlight w:val="white"/>
              </w:rPr>
              <w:t xml:space="preserve">.</w:t>
            </w:r>
            <w:r>
              <w:rPr>
                <w:highlight w:val="white"/>
              </w:rPr>
            </w:r>
            <w:r>
              <w:rPr>
                <w:highlight w:val="white"/>
              </w:rPr>
            </w:r>
          </w:p>
          <w:p>
            <w:pPr>
              <w:spacing w:after="0"/>
              <w:rPr>
                <w:rFonts w:ascii="Arial" w:hAnsi="Arial"/>
                <w:b/>
                <w:color w:val="ffffff"/>
                <w:sz w:val="20"/>
              </w:rPr>
            </w:pPr>
            <w:r>
              <w:tab/>
              <w:t xml:space="preserve">2.</w:t>
            </w:r>
            <w:r>
              <w:rPr>
                <w:i/>
              </w:rPr>
              <w:t xml:space="preserve"> </w:t>
            </w:r>
            <w:r>
              <w:rPr>
                <w:shd w:val="clear" w:color="auto" w:fill="ffffff" w:themeFill="background1"/>
              </w:rPr>
              <w:t xml:space="preserve">Информация и документы </w:t>
            </w:r>
            <w:r>
              <w:rPr>
                <w:highlight w:val="white"/>
                <w:shd w:val="clear" w:color="auto" w:fill="ffffff" w:themeFill="background1"/>
              </w:rPr>
              <w:t xml:space="preserve">(форме электронных документов или в форме электронных образов бумажных документов)</w:t>
            </w:r>
            <w:r>
              <w:rPr>
                <w:shd w:val="clear" w:color="auto" w:fill="ffffff" w:themeFill="background1"/>
              </w:rPr>
              <w:t xml:space="preserve">, подтверждающие соответствие участника закупки дополнительным требованиям, установленным в соответствии с ч. </w:t>
            </w:r>
            <w:hyperlink r:id="rId24" w:tooltip="http://ivo.garant.ru/#/document/70353464/entry/990272" w:anchor="/document/70353464/entry/990272" w:history="1">
              <w:r>
                <w:rPr>
                  <w:highlight w:val="yellow"/>
                  <w:shd w:val="clear" w:color="auto" w:fill="ffffff" w:themeFill="background1"/>
                </w:rPr>
                <w:t xml:space="preserve">2.1</w:t>
              </w:r>
            </w:hyperlink>
            <w:r>
              <w:rPr>
                <w:shd w:val="clear" w:color="auto" w:fill="ffffff" w:themeFill="background1"/>
              </w:rPr>
              <w:t xml:space="preserve"> (при наличии таких требований) статьи 31 Федерального закона от 05.04.2013г. №44-ФЗ, и предусмотренные </w:t>
            </w:r>
            <w:hyperlink r:id="rId25" w:tooltip="http://ivo.garant.ru/#/document/70353464/entry/431113" w:anchor="/document/70353464/entry/431113" w:history="1">
              <w:r>
                <w:rPr>
                  <w:shd w:val="clear" w:color="auto" w:fill="ffffff" w:themeFill="background1"/>
                </w:rPr>
                <w:t xml:space="preserve">подпунктом "н" пункта 1 части 1</w:t>
              </w:r>
            </w:hyperlink>
            <w:r>
              <w:rPr>
                <w:shd w:val="clear" w:color="auto" w:fill="ffffff" w:themeFill="background1"/>
              </w:rPr>
              <w:t xml:space="preserve">  статьи 43 Федерального закона от 05.04.2013г.  №44-ФЗ,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от 05.04.2013г.  №44-ФЗ,</w:t>
            </w:r>
            <w:r>
              <w:t xml:space="preserve">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 (п.3 ч.6 ст. 43,  </w:t>
            </w:r>
            <w:r>
              <w:rPr>
                <w:highlight w:val="white"/>
              </w:rPr>
              <w:t xml:space="preserve">п.4 ч.4 ст.49  </w:t>
            </w:r>
            <w:r>
              <w:t xml:space="preserve">Федерального закона от 05.04.2013г.  №44-ФЗ).</w:t>
            </w:r>
            <w:r>
              <w:rPr>
                <w:rFonts w:ascii="Arial" w:hAnsi="Arial"/>
                <w:b/>
                <w:color w:val="ffffff"/>
                <w:sz w:val="20"/>
              </w:rPr>
            </w:r>
            <w:r>
              <w:rPr>
                <w:rFonts w:ascii="Arial" w:hAnsi="Arial"/>
                <w:b/>
                <w:color w:val="ffffff"/>
                <w:sz w:val="20"/>
              </w:rPr>
            </w:r>
          </w:p>
          <w:p>
            <w:pPr>
              <w:spacing w:after="0"/>
              <w:rPr>
                <w:rFonts w:ascii="Arial" w:hAnsi="Arial"/>
                <w:b/>
                <w:color w:val="ffffff"/>
                <w:sz w:val="20"/>
              </w:rPr>
            </w:pPr>
            <w:r>
              <w:rPr>
                <w:rFonts w:ascii="Arial" w:hAnsi="Arial"/>
                <w:b/>
                <w:color w:val="ffffff"/>
                <w:sz w:val="20"/>
              </w:rPr>
            </w:r>
            <w:r>
              <w:rPr>
                <w:rFonts w:ascii="Arial" w:hAnsi="Arial"/>
                <w:b/>
                <w:color w:val="ffffff"/>
                <w:sz w:val="20"/>
              </w:rPr>
            </w:r>
            <w:r>
              <w:rPr>
                <w:rFonts w:ascii="Arial" w:hAnsi="Arial"/>
                <w:b/>
                <w:color w:val="ffffff"/>
                <w:sz w:val="20"/>
              </w:rPr>
            </w:r>
          </w:p>
        </w:tc>
      </w:tr>
      <w:tr>
        <w:trPr>
          <w:trHeight w:val="610"/>
        </w:trPr>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ind w:left="-64" w:firstLine="64"/>
              <w:jc w:val="center"/>
              <w:spacing w:after="0"/>
              <w:rPr>
                <w:rFonts w:ascii="Arial" w:hAnsi="Arial"/>
                <w:b/>
                <w:color w:val="ffffff"/>
                <w:sz w:val="20"/>
              </w:rPr>
            </w:pPr>
            <w:r>
              <w:rPr>
                <w:rFonts w:ascii="Arial" w:hAnsi="Arial"/>
                <w:b/>
                <w:color w:val="ffffff"/>
                <w:sz w:val="20"/>
              </w:rPr>
              <w:t xml:space="preserve">29</w:t>
            </w:r>
            <w:r>
              <w:rPr>
                <w:rFonts w:ascii="Arial" w:hAnsi="Arial"/>
                <w:b/>
                <w:color w:val="ffffff"/>
                <w:sz w:val="20"/>
              </w:rPr>
            </w:r>
            <w:r>
              <w:rPr>
                <w:rFonts w:ascii="Arial" w:hAnsi="Arial"/>
                <w:b/>
                <w:color w:val="ffffff"/>
                <w:sz w:val="20"/>
              </w:rPr>
            </w:r>
          </w:p>
        </w:tc>
        <w:tc>
          <w:tcPr>
            <w:shd w:val="clear" w:color="auto" w:fill="808080" w:themeFill="background1" w:themeFillShade="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071" w:type="dxa"/>
            <w:vAlign w:val="center"/>
            <w:textDirection w:val="lrTb"/>
            <w:noWrap w:val="false"/>
          </w:tcPr>
          <w:p>
            <w:pPr>
              <w:jc w:val="center"/>
              <w:spacing w:after="0"/>
              <w:rPr>
                <w:rFonts w:ascii="Arial" w:hAnsi="Arial"/>
                <w:b/>
                <w:color w:val="ffffff"/>
                <w:sz w:val="20"/>
              </w:rPr>
            </w:pPr>
            <w:r>
              <w:rPr>
                <w:rFonts w:ascii="Arial" w:hAnsi="Arial"/>
                <w:b/>
                <w:color w:val="ffffff"/>
                <w:sz w:val="20"/>
              </w:rPr>
              <w:t xml:space="preserve">Предупреждение об административной и уголовной ответственности</w:t>
            </w:r>
            <w:r>
              <w:rPr>
                <w:rFonts w:ascii="Arial" w:hAnsi="Arial"/>
                <w:b/>
                <w:color w:val="ffffff"/>
                <w:sz w:val="20"/>
              </w:rPr>
            </w:r>
            <w:r>
              <w:rPr>
                <w:rFonts w:ascii="Arial" w:hAnsi="Arial"/>
                <w:b/>
                <w:color w:val="ffffff"/>
                <w:sz w:val="20"/>
              </w:rPr>
            </w:r>
          </w:p>
        </w:tc>
      </w:tr>
      <w:tr>
        <w:trPr>
          <w:trHeight w:val="610"/>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2" w:type="dxa"/>
            <w:vAlign w:val="center"/>
            <w:textDirection w:val="lrTb"/>
            <w:noWrap w:val="false"/>
          </w:tcPr>
          <w:p>
            <w:pPr>
              <w:spacing w:after="0"/>
              <w:rPr>
                <w:rFonts w:ascii="Arial" w:hAnsi="Arial"/>
                <w:b/>
                <w:color w:val="ffffff"/>
                <w:sz w:val="20"/>
              </w:rPr>
            </w:pPr>
            <w:r>
              <w:tab/>
            </w:r>
            <w:r>
              <w:rPr>
                <w:highlight w:val="white"/>
              </w:rPr>
              <w:t xml:space="preserve">Участник закупк</w:t>
            </w:r>
            <w:r>
              <w:rPr>
                <w:highlight w:val="white"/>
              </w:rPr>
              <w:t xml:space="preserve">и несет административную и уголовную ответственность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r>
              <w:rPr>
                <w:rFonts w:ascii="Arial" w:hAnsi="Arial"/>
                <w:b/>
                <w:color w:val="ffffff"/>
                <w:sz w:val="20"/>
              </w:rPr>
            </w:r>
            <w:r>
              <w:rPr>
                <w:rFonts w:ascii="Arial" w:hAnsi="Arial"/>
                <w:b/>
                <w:color w:val="ffffff"/>
                <w:sz w:val="20"/>
              </w:rPr>
            </w:r>
          </w:p>
        </w:tc>
      </w:tr>
    </w:tbl>
    <w:p>
      <w:pPr>
        <w:jc w:val="left"/>
        <w:spacing w:after="0"/>
        <w:rPr>
          <w:b/>
        </w:rPr>
      </w:pPr>
      <w:r/>
      <w:bookmarkStart w:id="13" w:name="_Ref166315600"/>
      <w:r/>
      <w:bookmarkStart w:id="14" w:name="_Ref166267388"/>
      <w:r/>
      <w:bookmarkStart w:id="15" w:name="_Ref166267499"/>
      <w:r/>
      <w:bookmarkStart w:id="16" w:name="_Ref166312503"/>
      <w:r/>
      <w:bookmarkStart w:id="17" w:name="_Ref166313061"/>
      <w:r/>
      <w:bookmarkStart w:id="18" w:name="_Ref166314817"/>
      <w:r/>
      <w:bookmarkStart w:id="19" w:name="_Ref166315159"/>
      <w:r/>
      <w:bookmarkStart w:id="20" w:name="_Ref166315233"/>
      <w:r/>
      <w:bookmarkEnd w:id="13"/>
      <w:r/>
      <w:bookmarkEnd w:id="14"/>
      <w:r/>
      <w:bookmarkEnd w:id="15"/>
      <w:r/>
      <w:bookmarkEnd w:id="16"/>
      <w:r/>
      <w:bookmarkEnd w:id="17"/>
      <w:r/>
      <w:bookmarkEnd w:id="18"/>
      <w:r/>
      <w:bookmarkEnd w:id="19"/>
      <w:r/>
      <w:bookmarkEnd w:id="20"/>
      <w:r>
        <w:rPr>
          <w:b/>
        </w:rPr>
      </w:r>
      <w:r>
        <w:rPr>
          <w:b/>
        </w:rPr>
      </w:r>
    </w:p>
    <w:p>
      <w:pPr>
        <w:ind w:left="720"/>
        <w:jc w:val="center"/>
        <w:rPr>
          <w:b/>
        </w:rPr>
        <w:outlineLvl w:val="2"/>
      </w:pPr>
      <w:r>
        <w:rPr>
          <w:b/>
        </w:rPr>
        <w:t xml:space="preserve">Требования требование о выполнении участником закупки самостоятельно без привлечения других лиц к исполнению своих обязательств по государственному (муниципальному) контракту в соответствии с ч. 2 ст. 110.2 Федерального закона 44-ФЗ от 05.04.2013г. №44-ФЗ</w:t>
      </w:r>
      <w:r>
        <w:rPr>
          <w:b/>
        </w:rPr>
      </w:r>
      <w:r>
        <w:rPr>
          <w:b/>
        </w:rPr>
      </w:r>
    </w:p>
    <w:p>
      <w:pPr>
        <w:jc w:val="left"/>
        <w:spacing w:after="0"/>
        <w:rPr>
          <w:b/>
        </w:rPr>
      </w:pPr>
      <w:r>
        <w:rPr>
          <w:b/>
        </w:rPr>
      </w:r>
      <w:r>
        <w:rPr>
          <w:b/>
        </w:rPr>
      </w:r>
      <w:r>
        <w:rPr>
          <w:b/>
        </w:rPr>
      </w:r>
    </w:p>
    <w:tbl>
      <w:tblPr>
        <w:tblW w:w="0" w:type="auto"/>
        <w:tblInd w:w="-34" w:type="dxa"/>
        <w:tblLayout w:type="fixed"/>
        <w:tblLook w:val="04A0" w:firstRow="1" w:lastRow="0" w:firstColumn="1" w:lastColumn="0" w:noHBand="0" w:noVBand="1"/>
      </w:tblPr>
      <w:tblGrid>
        <w:gridCol w:w="1712"/>
        <w:gridCol w:w="8211"/>
      </w:tblGrid>
      <w:tr>
        <w:trPr/>
        <w:tc>
          <w:tcPr>
            <w:shd w:val="clear" w:color="auto" w:fill="8080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2" w:type="dxa"/>
            <w:vAlign w:val="center"/>
            <w:textDirection w:val="lrTb"/>
            <w:noWrap w:val="false"/>
          </w:tcPr>
          <w:p>
            <w:pPr>
              <w:jc w:val="center"/>
              <w:rPr>
                <w:rFonts w:ascii="Arial" w:hAnsi="Arial"/>
                <w:b/>
                <w:color w:val="ffffff"/>
                <w:sz w:val="20"/>
              </w:rPr>
            </w:pPr>
            <w:r>
              <w:rPr>
                <w:rFonts w:ascii="Arial" w:hAnsi="Arial"/>
                <w:b/>
                <w:color w:val="ffffff"/>
                <w:sz w:val="20"/>
              </w:rPr>
              <w:t xml:space="preserve">30</w:t>
            </w:r>
            <w:r>
              <w:rPr>
                <w:rFonts w:ascii="Arial" w:hAnsi="Arial"/>
                <w:b/>
                <w:color w:val="ffffff"/>
                <w:sz w:val="20"/>
              </w:rPr>
            </w:r>
            <w:r>
              <w:rPr>
                <w:rFonts w:ascii="Arial" w:hAnsi="Arial"/>
                <w:b/>
                <w:color w:val="ffffff"/>
                <w:sz w:val="20"/>
              </w:rPr>
            </w:r>
          </w:p>
        </w:tc>
        <w:tc>
          <w:tcPr>
            <w:shd w:val="clear" w:color="auto" w:fill="808080"/>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211" w:type="dxa"/>
            <w:vAlign w:val="center"/>
            <w:textDirection w:val="lrTb"/>
            <w:noWrap w:val="false"/>
          </w:tcPr>
          <w:p>
            <w:pPr>
              <w:ind w:firstLine="323"/>
              <w:jc w:val="center"/>
              <w:spacing w:after="0"/>
              <w:rPr>
                <w:rFonts w:ascii="Arial" w:hAnsi="Arial"/>
                <w:b/>
                <w:color w:val="ffffff"/>
                <w:sz w:val="20"/>
              </w:rPr>
            </w:pPr>
            <w:r>
              <w:rPr>
                <w:rFonts w:ascii="Arial" w:hAnsi="Arial"/>
                <w:b/>
                <w:color w:val="ffffff"/>
                <w:sz w:val="20"/>
              </w:rPr>
              <w:t xml:space="preserve">Виды и объемы работ по строительству, реконстр</w:t>
            </w:r>
            <w:r>
              <w:rPr>
                <w:rFonts w:ascii="Arial" w:hAnsi="Arial"/>
                <w:b/>
                <w:color w:val="ffffff"/>
                <w:sz w:val="20"/>
              </w:rPr>
              <w:t xml:space="preserve">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государственному (муниципальному) контракту в соответствии с ч. 2 ст. 110.2 Федерального закона 44-ФЗ</w:t>
            </w:r>
            <w:r>
              <w:rPr>
                <w:rFonts w:ascii="Arial" w:hAnsi="Arial"/>
                <w:b/>
                <w:color w:val="ffffff"/>
                <w:sz w:val="20"/>
              </w:rPr>
            </w:r>
            <w:r>
              <w:rPr>
                <w:rFonts w:ascii="Arial" w:hAnsi="Arial"/>
                <w:b/>
                <w:color w:val="ffffff"/>
                <w:sz w:val="20"/>
              </w:rPr>
            </w:r>
          </w:p>
        </w:tc>
      </w:tr>
      <w:tr>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3" w:type="dxa"/>
            <w:vAlign w:val="center"/>
            <w:textDirection w:val="lrTb"/>
            <w:noWrap w:val="false"/>
          </w:tcPr>
          <w:p>
            <w:pPr>
              <w:ind w:firstLine="323"/>
              <w:spacing w:after="0"/>
              <w:rPr>
                <w:rFonts w:ascii="Arial" w:hAnsi="Arial"/>
                <w:b/>
                <w:color w:val="ffffff"/>
                <w:sz w:val="20"/>
              </w:rPr>
            </w:pPr>
            <w:r>
              <w:rPr>
                <w:b/>
                <w:color w:val="ff0000"/>
                <w:sz w:val="28"/>
                <w:vertAlign w:val="superscript"/>
              </w:rPr>
              <w:t xml:space="preserve">12</w:t>
            </w:r>
            <w:r>
              <w:t xml:space="preserve">Заказчиком </w:t>
            </w:r>
            <w:r>
              <w:rPr>
                <w:highlight w:val="lightGray"/>
              </w:rPr>
              <w:t xml:space="preserve">не установлено</w:t>
            </w:r>
            <w:r>
              <w:t xml:space="preserve"> требование о выполнении подрядчиком самостоятельно без привлечения других лиц к исполнению своих обязательств </w:t>
            </w:r>
            <w:r>
              <w:rPr>
                <w:b/>
              </w:rPr>
              <w:t xml:space="preserve">по государственному (муниципальному) контракту</w:t>
            </w:r>
            <w:r>
              <w:t xml:space="preserve"> в соответствии с ч. 2 ст. 110.2 Федерального закона 44-ФЗ и Постановлением Правительства РФ от 15 мая 2017 г. № 570 "Об установлении видов и объемов работ по строительству, </w:t>
            </w:r>
            <w:r>
              <w:rPr>
                <w:highlight w:val="white"/>
              </w:rPr>
              <w:t xml:space="preserve">реконструкции объектов капитального строительства на территории Российской Федерации, которые подрядчик</w:t>
            </w:r>
            <w:r>
              <w:t xml:space="preserve"> обязан выполнить самостоятельно без привлечения других лиц</w:t>
            </w:r>
            <w:r>
              <w:rPr>
                <w:highlight w:val="white"/>
              </w:rPr>
              <w:t xml:space="preserve">, </w:t>
            </w:r>
            <w:r>
              <w:rPr>
                <w:rStyle w:val="1137"/>
                <w:i/>
                <w:color w:val="22272f"/>
                <w:sz w:val="23"/>
                <w:highlight w:val="white"/>
              </w:rPr>
              <w:t xml:space="preserve"> за исключением дочерних обществ такого подрядчика,</w:t>
            </w:r>
            <w:r>
              <w:rPr>
                <w:highlight w:val="white"/>
              </w:rPr>
              <w:t xml:space="preserve"> к исполнению своих обязательств</w:t>
            </w:r>
            <w:r>
              <w:rPr>
                <w:highlight w:val="white"/>
              </w:rPr>
              <w:t xml:space="preserve"> по государственному и (или) муниципальному контрактам, и о внесении изменений в Правила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w:t>
            </w:r>
            <w:r>
              <w:t xml:space="preserve">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r>
              <w:rPr>
                <w:rFonts w:ascii="Arial" w:hAnsi="Arial"/>
                <w:b/>
                <w:color w:val="ffffff"/>
                <w:sz w:val="20"/>
              </w:rPr>
            </w:r>
            <w:r>
              <w:rPr>
                <w:rFonts w:ascii="Arial" w:hAnsi="Arial"/>
                <w:b/>
                <w:color w:val="ffffff"/>
                <w:sz w:val="20"/>
              </w:rPr>
            </w:r>
          </w:p>
        </w:tc>
      </w:tr>
    </w:tbl>
    <w:p>
      <w:pPr>
        <w:jc w:val="left"/>
        <w:spacing w:after="0"/>
        <w:rPr>
          <w:b/>
        </w:rPr>
      </w:pPr>
      <w:r>
        <w:rPr>
          <w:b/>
        </w:rPr>
      </w:r>
      <w:r>
        <w:rPr>
          <w:b/>
        </w:rPr>
      </w:r>
      <w:r>
        <w:rPr>
          <w:b/>
        </w:rPr>
      </w:r>
    </w:p>
    <w:p>
      <w:pPr>
        <w:jc w:val="left"/>
        <w:spacing w:after="0"/>
        <w:rPr>
          <w:b/>
        </w:rPr>
      </w:pPr>
      <w:r>
        <w:rPr>
          <w:b/>
        </w:rPr>
      </w:r>
      <w:r>
        <w:rPr>
          <w:b/>
        </w:rPr>
      </w:r>
      <w:r>
        <w:rPr>
          <w:b/>
        </w:rPr>
      </w:r>
    </w:p>
    <w:p>
      <w:pPr>
        <w:jc w:val="center"/>
        <w:spacing w:after="0"/>
        <w:rPr>
          <w:b/>
          <w:color w:val="000080"/>
        </w:rPr>
      </w:pPr>
      <w:r>
        <w:rPr>
          <w:b/>
          <w:color w:val="000080"/>
        </w:rPr>
        <w:t xml:space="preserve">ТРЕБОВАНИЯ К СОДЕРЖАНИЮ, СОСТАВУ ЗАЯВКИ НА </w:t>
      </w:r>
      <w:r>
        <w:rPr>
          <w:b/>
          <w:color w:val="000080"/>
        </w:rPr>
      </w:r>
      <w:r>
        <w:rPr>
          <w:b/>
          <w:color w:val="000080"/>
        </w:rPr>
      </w:r>
    </w:p>
    <w:p>
      <w:pPr>
        <w:jc w:val="center"/>
        <w:spacing w:after="0"/>
        <w:rPr>
          <w:b/>
          <w:color w:val="000080"/>
        </w:rPr>
      </w:pPr>
      <w:r>
        <w:rPr>
          <w:b/>
          <w:color w:val="000080"/>
        </w:rPr>
        <w:t xml:space="preserve">УЧАСТИЕ В ЗАКУПКЕ И ИНСТРУКЦИЯ ПО ЕЕ ЗАПОЛНЕНИЮ</w:t>
      </w:r>
      <w:r>
        <w:rPr>
          <w:b/>
          <w:color w:val="000080"/>
        </w:rPr>
      </w:r>
      <w:r>
        <w:rPr>
          <w:b/>
          <w:color w:val="000080"/>
        </w:rPr>
      </w:r>
    </w:p>
    <w:p>
      <w:pPr>
        <w:ind w:firstLine="709"/>
        <w:spacing w:before="120" w:after="0"/>
      </w:pPr>
      <w:r>
        <w:t xml:space="preserve">Требования к содержанию, составу заявки на участие в закупке и инструкция по ее заполнению приложены отдельным файлом</w:t>
      </w:r>
      <w:r/>
    </w:p>
    <w:p>
      <w:pPr>
        <w:pStyle w:val="934"/>
        <w:ind w:left="1077" w:firstLine="0"/>
        <w:jc w:val="center"/>
        <w:spacing w:before="360"/>
        <w:widowControl/>
        <w:tabs>
          <w:tab w:val="left" w:pos="360" w:leader="none"/>
        </w:tabs>
        <w:rPr>
          <w:rFonts w:ascii="Times New Roman" w:hAnsi="Times New Roman"/>
          <w:b/>
          <w:color w:val="000080"/>
          <w:sz w:val="24"/>
        </w:rPr>
        <w:outlineLvl w:val="1"/>
      </w:pPr>
      <w:r>
        <w:rPr>
          <w:rFonts w:ascii="Times New Roman" w:hAnsi="Times New Roman"/>
          <w:b/>
          <w:color w:val="000080"/>
          <w:sz w:val="24"/>
        </w:rPr>
        <w:t xml:space="preserve">ОПИСАНИЕ ОБЪЕКТА ЗАКУПКИ</w:t>
      </w:r>
      <w:r>
        <w:rPr>
          <w:rFonts w:ascii="Times New Roman" w:hAnsi="Times New Roman"/>
          <w:b/>
          <w:color w:val="000080"/>
          <w:sz w:val="24"/>
        </w:rPr>
      </w:r>
      <w:r>
        <w:rPr>
          <w:rFonts w:ascii="Times New Roman" w:hAnsi="Times New Roman"/>
          <w:b/>
          <w:color w:val="000080"/>
          <w:sz w:val="24"/>
        </w:rPr>
      </w:r>
    </w:p>
    <w:p>
      <w:pPr>
        <w:ind w:firstLine="709"/>
        <w:spacing w:before="120" w:after="0"/>
      </w:pPr>
      <w:r>
        <w:t xml:space="preserve">Описание объекта закупки приложен отдельным (отдельными) файлом (файлами)</w:t>
      </w:r>
      <w:r/>
    </w:p>
    <w:p>
      <w:pPr>
        <w:pStyle w:val="914"/>
        <w:numPr>
          <w:ilvl w:val="0"/>
          <w:numId w:val="0"/>
        </w:numPr>
        <w:spacing w:before="360" w:after="0"/>
        <w:rPr>
          <w:color w:val="000080"/>
          <w:sz w:val="24"/>
        </w:rPr>
      </w:pPr>
      <w:r/>
      <w:bookmarkStart w:id="21" w:name="Обоснование_нач_цены"/>
      <w:r>
        <w:rPr>
          <w:color w:val="000080"/>
          <w:sz w:val="24"/>
        </w:rPr>
        <w:t xml:space="preserve">ОБОСНОВАНИ</w:t>
      </w:r>
      <w:bookmarkEnd w:id="21"/>
      <w:r>
        <w:rPr>
          <w:color w:val="000080"/>
          <w:sz w:val="24"/>
        </w:rPr>
        <w:t xml:space="preserve">Е НАЧАЛЬНОЙ (МАКСИМАЛЬНОЙ) ЦЕНЫ КОНТРАКТА </w:t>
      </w:r>
      <w:r>
        <w:rPr>
          <w:color w:val="000080"/>
          <w:sz w:val="24"/>
        </w:rPr>
      </w:r>
      <w:r>
        <w:rPr>
          <w:color w:val="000080"/>
          <w:sz w:val="24"/>
        </w:rPr>
      </w:r>
    </w:p>
    <w:p>
      <w:pPr>
        <w:ind w:firstLine="709"/>
        <w:spacing w:before="120" w:after="0"/>
      </w:pPr>
      <w:r/>
      <w:bookmarkStart w:id="22" w:name="ПРОЕКТ_ГОСУДАРСТВЕННОГО_контракта"/>
      <w:r/>
      <w:bookmarkEnd w:id="22"/>
      <w:r>
        <w:t xml:space="preserve">Обоснование начальной (максимальной) цены контракта, цены единицы товара работы, услуги приложен отдельным (отдельными) файлом (файлами)</w:t>
      </w:r>
      <w:r/>
    </w:p>
    <w:p>
      <w:pPr>
        <w:ind w:firstLine="708"/>
        <w:spacing w:after="0"/>
        <w:rPr>
          <w:color w:val="000080"/>
        </w:rPr>
      </w:pPr>
      <w:r>
        <w:rPr>
          <w:color w:val="000080"/>
        </w:rPr>
      </w:r>
      <w:r>
        <w:rPr>
          <w:color w:val="000080"/>
        </w:rPr>
      </w:r>
      <w:r>
        <w:rPr>
          <w:color w:val="000080"/>
        </w:rPr>
      </w:r>
    </w:p>
    <w:p>
      <w:pPr>
        <w:ind w:firstLine="708"/>
        <w:jc w:val="center"/>
        <w:spacing w:after="0"/>
        <w:rPr>
          <w:b/>
          <w:color w:val="000080"/>
        </w:rPr>
      </w:pPr>
      <w:r>
        <w:rPr>
          <w:b/>
          <w:color w:val="000080"/>
        </w:rPr>
        <w:t xml:space="preserve">ПРОЕКТ КОНТРАКТА</w:t>
      </w:r>
      <w:r>
        <w:rPr>
          <w:b/>
          <w:color w:val="000080"/>
        </w:rPr>
      </w:r>
      <w:r>
        <w:rPr>
          <w:b/>
          <w:color w:val="000080"/>
        </w:rPr>
      </w:r>
    </w:p>
    <w:p>
      <w:pPr>
        <w:ind w:firstLine="709"/>
        <w:spacing w:before="120" w:after="0"/>
      </w:pPr>
      <w:r>
        <w:t xml:space="preserve">Проект контракта приложен отдельным (отдельными) файлом (файлами)</w:t>
      </w:r>
      <w:r/>
    </w:p>
    <w:p>
      <w:pPr>
        <w:ind w:firstLine="708"/>
        <w:spacing w:after="0"/>
      </w:pPr>
      <w:r/>
      <w:r/>
    </w:p>
    <w:sectPr>
      <w:headerReference w:type="default" r:id="rId9"/>
      <w:headerReference w:type="first" r:id="rId10"/>
      <w:footerReference w:type="default" r:id="rId11"/>
      <w:footerReference w:type="even" r:id="rId12"/>
      <w:footnotePr/>
      <w:endnotePr/>
      <w:type w:val="nextPage"/>
      <w:pgSz w:w="11906" w:h="16838" w:orient="portrait"/>
      <w:pgMar w:top="902" w:right="868" w:bottom="766" w:left="1321" w:header="709" w:footer="709"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pPr>
      <w:r>
        <w:separator/>
      </w:r>
      <w:r/>
    </w:p>
  </w:endnote>
  <w:endnote w:type="continuationSeparator" w:id="0">
    <w:p>
      <w:pPr>
        <w:spacing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Open Sans">
    <w:panose1 w:val="020B0606030504020204"/>
  </w:font>
  <w:font w:name="Tahoma">
    <w:panose1 w:val="020B0604030504040204"/>
  </w:font>
  <w:font w:name="XO Thames">
    <w:panose1 w:val="02020603050405020304"/>
  </w:font>
  <w:font w:name="Courier New">
    <w:panose1 w:val="02070309020205020404"/>
  </w:font>
  <w:font w:name="Calibri">
    <w:panose1 w:val="020F0502020204030204"/>
  </w:font>
  <w:font w:name="Times New Roman">
    <w:panose1 w:val="02020603050405020304"/>
  </w:font>
  <w:font w:name="Arial">
    <w:panose1 w:val="020B060402020202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1"/>
      <w:ind w:right="360"/>
    </w:pPr>
    <w: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margin">
                <wp:align>right</wp:align>
              </wp:positionH>
              <wp:positionV relativeFrom="paragraph">
                <wp:posOffset>635</wp:posOffset>
              </wp:positionV>
              <wp:extent cx="14605" cy="175260"/>
              <wp:effectExtent l="0" t="0" r="0" b="0"/>
              <wp:wrapSquare wrapText="bothSides"/>
              <wp:docPr id="1" name="Picture 2"/>
              <wp:cNvGraphicFramePr/>
              <a:graphic xmlns:a="http://schemas.openxmlformats.org/drawingml/2006/main">
                <a:graphicData uri="http://schemas.microsoft.com/office/word/2010/wordprocessingShape">
                  <wps:wsp>
                    <wps:cNvPr id="0" name=""/>
                    <wps:cNvSpPr txBox="1"/>
                    <wps:spPr bwMode="auto">
                      <a:xfrm>
                        <a:off x="0" y="0"/>
                        <a:ext cx="14605" cy="175260"/>
                      </a:xfrm>
                      <a:prstGeom prst="rect">
                        <a:avLst/>
                      </a:prstGeom>
                      <a:solidFill>
                        <a:srgbClr val="FFFFFF">
                          <a:alpha val="0"/>
                        </a:srgbClr>
                      </a:solidFill>
                    </wps:spPr>
                    <wps:txbx>
                      <w:txbxContent>
                        <w:p>
                          <w:pPr>
                            <w:pStyle w:val="1101"/>
                            <w:rPr>
                              <w:rStyle w:val="1030"/>
                            </w:rPr>
                          </w:pPr>
                          <w:r>
                            <w:rPr>
                              <w:rStyle w:val="1030"/>
                            </w:rPr>
                          </w:r>
                          <w:r>
                            <w:rPr>
                              <w:rStyle w:val="1030"/>
                            </w:rPr>
                          </w:r>
                        </w:p>
                      </w:txbxContent>
                    </wps:txbx>
                    <wps:bodyPr lIns="0" tIns="0" rIns="0" bIns="0" anchor="t">
                      <a:spAutoFit/>
                    </wps:bodyPr>
                  </wps:wsp>
                </a:graphicData>
              </a:graphic>
            </wp:anchor>
          </w:drawing>
        </mc:Choice>
        <mc:Fallback>
          <w:pict>
            <v:shape id="shape 0" o:spid="_x0000_s0" o:spt="202" type="#_x0000_t202" style="position:absolute;z-index:251658240;o:allowoverlap:true;o:allowincell:true;mso-position-horizontal-relative:margin;mso-position-horizontal:right;mso-position-vertical-relative:text;margin-top:0.05pt;mso-position-vertical:absolute;width:1.15pt;height:13.80pt;mso-wrap-distance-left:0.00pt;mso-wrap-distance-top:0.00pt;mso-wrap-distance-right:0.00pt;mso-wrap-distance-bottom:0.00pt;v-text-anchor:top;visibility:visible;" fillcolor="#FFFFFF">
              <v:fill opacity="100f"/>
              <w10:wrap type="square"/>
              <v:textbox inset="0,0,0,0">
                <w:txbxContent>
                  <w:p>
                    <w:pPr>
                      <w:pStyle w:val="1101"/>
                      <w:rPr>
                        <w:rStyle w:val="1030"/>
                      </w:rPr>
                    </w:pPr>
                    <w:r>
                      <w:rPr>
                        <w:rStyle w:val="1030"/>
                      </w:rPr>
                    </w:r>
                    <w:r>
                      <w:rPr>
                        <w:rStyle w:val="1030"/>
                      </w:rP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1"/>
      <w:ind w:right="360"/>
    </w:pPr>
    <w:r>
      <mc:AlternateContent>
        <mc:Choice Requires="wpg">
          <w:drawing>
            <wp:anchor xmlns:wp="http://schemas.openxmlformats.org/drawingml/2006/wordprocessingDrawing" xmlns:wp14="http://schemas.microsoft.com/office/word/2010/wordprocessingDrawing" distT="0" distB="0" distL="0" distR="0" simplePos="0" relativeHeight="251657216"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2" name="Picture 1"/>
              <wp:cNvGraphicFramePr/>
              <a:graphic xmlns:a="http://schemas.openxmlformats.org/drawingml/2006/main">
                <a:graphicData uri="http://schemas.microsoft.com/office/word/2010/wordprocessingShape">
                  <wps:wsp>
                    <wps:cNvPr id="0" name=""/>
                    <wps:cNvSpPr txBox="1"/>
                    <wps:spPr bwMode="auto">
                      <a:xfrm>
                        <a:off x="0" y="0"/>
                        <a:ext cx="14605" cy="14605"/>
                      </a:xfrm>
                      <a:prstGeom prst="rect">
                        <a:avLst/>
                      </a:prstGeom>
                      <a:solidFill>
                        <a:srgbClr val="FFFFFF">
                          <a:alpha val="0"/>
                        </a:srgbClr>
                      </a:solidFill>
                    </wps:spPr>
                    <wps:txbx>
                      <w:txbxContent>
                        <w:p>
                          <w:pPr>
                            <w:pStyle w:val="1101"/>
                            <w:rPr>
                              <w:rStyle w:val="1030"/>
                            </w:rPr>
                          </w:pPr>
                          <w:r>
                            <w:rPr>
                              <w:rStyle w:val="1030"/>
                            </w:rPr>
                            <w:fldChar w:fldCharType="begin"/>
                          </w:r>
                          <w:r>
                            <w:rPr>
                              <w:rStyle w:val="1030"/>
                            </w:rPr>
                            <w:instrText xml:space="preserve">PAGE </w:instrText>
                          </w:r>
                          <w:r>
                            <w:rPr>
                              <w:rStyle w:val="1030"/>
                            </w:rPr>
                            <w:fldChar w:fldCharType="separate"/>
                          </w:r>
                          <w:r>
                            <w:rPr>
                              <w:rStyle w:val="1030"/>
                            </w:rPr>
                            <w:t xml:space="preserve"> </w:t>
                          </w:r>
                          <w:r>
                            <w:rPr>
                              <w:rStyle w:val="1030"/>
                            </w:rPr>
                            <w:fldChar w:fldCharType="end"/>
                          </w:r>
                          <w:r>
                            <w:rPr>
                              <w:rStyle w:val="1030"/>
                            </w:rPr>
                          </w:r>
                          <w:r>
                            <w:rPr>
                              <w:rStyle w:val="1030"/>
                            </w:rPr>
                          </w:r>
                        </w:p>
                      </w:txbxContent>
                    </wps:txbx>
                    <wps:bodyPr lIns="0" tIns="0" rIns="0" bIns="0" anchor="t">
                      <a:spAutoFit/>
                    </wps:bodyPr>
                  </wps:wsp>
                </a:graphicData>
              </a:graphic>
            </wp:anchor>
          </w:drawing>
        </mc:Choice>
        <mc:Fallback>
          <w:pict>
            <v:shape id="shape 1" o:spid="_x0000_s1" o:spt="202" type="#_x0000_t202" style="position:absolute;z-index:251657216;o:allowoverlap:true;o:allowincell:true;mso-position-horizontal-relative:margin;mso-position-horizontal:right;mso-position-vertical-relative:text;margin-top:0.05pt;mso-position-vertical:absolute;width:1.15pt;height:1.15pt;mso-wrap-distance-left:0.00pt;mso-wrap-distance-top:0.00pt;mso-wrap-distance-right:0.00pt;mso-wrap-distance-bottom:0.00pt;v-text-anchor:top;visibility:visible;" fillcolor="#FFFFFF">
              <v:fill opacity="100f"/>
              <w10:wrap type="square"/>
              <v:textbox inset="0,0,0,0">
                <w:txbxContent>
                  <w:p>
                    <w:pPr>
                      <w:pStyle w:val="1101"/>
                      <w:rPr>
                        <w:rStyle w:val="1030"/>
                      </w:rPr>
                    </w:pPr>
                    <w:r>
                      <w:rPr>
                        <w:rStyle w:val="1030"/>
                      </w:rPr>
                      <w:fldChar w:fldCharType="begin"/>
                    </w:r>
                    <w:r>
                      <w:rPr>
                        <w:rStyle w:val="1030"/>
                      </w:rPr>
                      <w:instrText xml:space="preserve">PAGE </w:instrText>
                    </w:r>
                    <w:r>
                      <w:rPr>
                        <w:rStyle w:val="1030"/>
                      </w:rPr>
                      <w:fldChar w:fldCharType="separate"/>
                    </w:r>
                    <w:r>
                      <w:rPr>
                        <w:rStyle w:val="1030"/>
                      </w:rPr>
                      <w:t xml:space="preserve"> </w:t>
                    </w:r>
                    <w:r>
                      <w:rPr>
                        <w:rStyle w:val="1030"/>
                      </w:rPr>
                      <w:fldChar w:fldCharType="end"/>
                    </w:r>
                    <w:r>
                      <w:rPr>
                        <w:rStyle w:val="1030"/>
                      </w:rPr>
                    </w:r>
                    <w:r>
                      <w:rPr>
                        <w:rStyle w:val="1030"/>
                      </w:rPr>
                    </w:r>
                  </w:p>
                </w:txbxContent>
              </v:textbox>
            </v:shape>
          </w:pict>
        </mc:Fallback>
      </mc:AlternateConten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pPr>
      <w:r>
        <w:separator/>
      </w:r>
      <w:r/>
    </w:p>
  </w:footnote>
  <w:footnote w:type="continuationSeparator" w:id="0">
    <w:p>
      <w:pPr>
        <w:spacing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jc w:val="right"/>
      <w:keepLines/>
      <w:keepNext/>
      <w:spacing w:line="360" w:lineRule="auto"/>
      <w:widowControl w:val="off"/>
      <w:rPr>
        <w:color w:val="999999"/>
        <w:sz w:val="18"/>
      </w:rPr>
    </w:pPr>
    <w:r>
      <w:rPr>
        <w:color w:val="999999"/>
        <w:sz w:val="18"/>
      </w:rPr>
      <w:t xml:space="preserve">Заявка услуга, работа 2.0</w:t>
    </w:r>
    <w:r>
      <w:rPr>
        <w:color w:val="999999"/>
        <w:sz w:val="18"/>
      </w:rPr>
      <w:t xml:space="preserve">3</w:t>
    </w:r>
    <w:r>
      <w:rPr>
        <w:color w:val="999999"/>
        <w:sz w:val="18"/>
      </w:rPr>
      <w:t xml:space="preserve">.26  44-ФЗ</w:t>
    </w:r>
    <w:r>
      <w:rPr>
        <w:color w:val="999999"/>
        <w:sz w:val="18"/>
      </w:rPr>
    </w:r>
    <w:r>
      <w:rPr>
        <w:color w:val="999999"/>
        <w:sz w:val="18"/>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jc w:val="right"/>
      <w:keepLines/>
      <w:keepNext/>
      <w:spacing w:line="360" w:lineRule="auto"/>
      <w:widowControl w:val="off"/>
      <w:rPr>
        <w:color w:val="999999"/>
        <w:sz w:val="18"/>
      </w:rPr>
    </w:pPr>
    <w:r>
      <w:rPr>
        <w:color w:val="999999"/>
        <w:sz w:val="18"/>
      </w:rPr>
      <w:t xml:space="preserve">Заявка услуга, работа 2.0</w:t>
    </w:r>
    <w:r>
      <w:rPr>
        <w:color w:val="999999"/>
        <w:sz w:val="18"/>
      </w:rPr>
      <w:t xml:space="preserve">3</w:t>
    </w:r>
    <w:r>
      <w:rPr>
        <w:color w:val="999999"/>
        <w:sz w:val="18"/>
      </w:rPr>
      <w:t xml:space="preserve">.26 44-ФЗ</w:t>
    </w:r>
    <w:r>
      <w:rPr>
        <w:color w:val="999999"/>
        <w:sz w:val="18"/>
      </w:rPr>
    </w:r>
    <w:r>
      <w:rPr>
        <w:color w:val="999999"/>
        <w:sz w:val="18"/>
      </w:rPr>
    </w:r>
  </w:p>
  <w:p>
    <w:pPr>
      <w:pStyle w:val="1013"/>
    </w:pPr>
    <w:r/>
    <w:r/>
  </w:p>
  <w:p>
    <w:pPr>
      <w:pStyle w:val="10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968"/>
      <w:isLgl w:val="false"/>
      <w:suff w:val="tab"/>
      <w:lvlText w:val=""/>
      <w:lvlJc w:val="left"/>
      <w:pPr>
        <w:ind w:left="643" w:hanging="360"/>
        <w:tabs>
          <w:tab w:val="left" w:pos="643" w:leader="none"/>
        </w:tabs>
      </w:pPr>
      <w:rPr>
        <w:rFonts w:ascii="Symbol" w:hAnsi="Symbol"/>
      </w:rPr>
    </w:lvl>
    <w:lvl w:ilvl="1">
      <w:start w:val="1"/>
      <w:numFmt w:val="decimal"/>
      <w:isLgl w:val="false"/>
      <w:suff w:val="tab"/>
      <w:lvlText w:val="%2."/>
      <w:lvlJc w:val="left"/>
      <w:pPr>
        <w:ind w:left="1080" w:hanging="360"/>
        <w:tabs>
          <w:tab w:val="left" w:pos="1080" w:leader="none"/>
        </w:tabs>
      </w:pPr>
    </w:lvl>
    <w:lvl w:ilvl="2">
      <w:start w:val="1"/>
      <w:numFmt w:val="decimal"/>
      <w:isLgl w:val="false"/>
      <w:suff w:val="tab"/>
      <w:lvlText w:val="%3."/>
      <w:lvlJc w:val="left"/>
      <w:pPr>
        <w:ind w:left="1440" w:hanging="360"/>
        <w:tabs>
          <w:tab w:val="left" w:pos="1440" w:leader="none"/>
        </w:tabs>
      </w:pPr>
    </w:lvl>
    <w:lvl w:ilvl="3">
      <w:start w:val="1"/>
      <w:numFmt w:val="decimal"/>
      <w:isLgl w:val="false"/>
      <w:suff w:val="tab"/>
      <w:lvlText w:val="%4."/>
      <w:lvlJc w:val="left"/>
      <w:pPr>
        <w:ind w:left="1800" w:hanging="360"/>
        <w:tabs>
          <w:tab w:val="left" w:pos="1800" w:leader="none"/>
        </w:tabs>
      </w:pPr>
    </w:lvl>
    <w:lvl w:ilvl="4">
      <w:start w:val="1"/>
      <w:numFmt w:val="decimal"/>
      <w:isLgl w:val="false"/>
      <w:suff w:val="tab"/>
      <w:lvlText w:val="%5."/>
      <w:lvlJc w:val="left"/>
      <w:pPr>
        <w:ind w:left="2160" w:hanging="360"/>
        <w:tabs>
          <w:tab w:val="left" w:pos="2160" w:leader="none"/>
        </w:tabs>
      </w:pPr>
    </w:lvl>
    <w:lvl w:ilvl="5">
      <w:start w:val="1"/>
      <w:numFmt w:val="decimal"/>
      <w:isLgl w:val="false"/>
      <w:suff w:val="tab"/>
      <w:lvlText w:val="%6."/>
      <w:lvlJc w:val="left"/>
      <w:pPr>
        <w:ind w:left="2520" w:hanging="360"/>
        <w:tabs>
          <w:tab w:val="left" w:pos="2520" w:leader="none"/>
        </w:tabs>
      </w:pPr>
    </w:lvl>
    <w:lvl w:ilvl="6">
      <w:start w:val="1"/>
      <w:numFmt w:val="decimal"/>
      <w:isLgl w:val="false"/>
      <w:suff w:val="tab"/>
      <w:lvlText w:val="%7."/>
      <w:lvlJc w:val="left"/>
      <w:pPr>
        <w:ind w:left="2880" w:hanging="360"/>
        <w:tabs>
          <w:tab w:val="left" w:pos="2880" w:leader="none"/>
        </w:tabs>
      </w:pPr>
    </w:lvl>
    <w:lvl w:ilvl="7">
      <w:start w:val="1"/>
      <w:numFmt w:val="decimal"/>
      <w:isLgl w:val="false"/>
      <w:suff w:val="tab"/>
      <w:lvlText w:val="%8."/>
      <w:lvlJc w:val="left"/>
      <w:pPr>
        <w:ind w:left="3240" w:hanging="360"/>
        <w:tabs>
          <w:tab w:val="left" w:pos="3240" w:leader="none"/>
        </w:tabs>
      </w:pPr>
    </w:lvl>
    <w:lvl w:ilvl="8">
      <w:start w:val="1"/>
      <w:numFmt w:val="decimal"/>
      <w:isLgl w:val="false"/>
      <w:suff w:val="tab"/>
      <w:lvlText w:val="%9."/>
      <w:lvlJc w:val="left"/>
      <w:pPr>
        <w:ind w:left="3600" w:hanging="360"/>
        <w:tabs>
          <w:tab w:val="left" w:pos="3600" w:leader="none"/>
        </w:tabs>
      </w:pPr>
    </w:lvl>
  </w:abstractNum>
  <w:abstractNum w:abstractNumId="1">
    <w:multiLevelType w:val="hybridMultilevel"/>
    <w:lvl w:ilvl="0">
      <w:start w:val="1"/>
      <w:numFmt w:val="decimal"/>
      <w:pStyle w:val="1053"/>
      <w:isLgl w:val="false"/>
      <w:suff w:val="tab"/>
      <w:lvlText w:val="%1."/>
      <w:lvlJc w:val="left"/>
      <w:pPr>
        <w:ind w:left="432" w:hanging="432"/>
        <w:tabs>
          <w:tab w:val="left" w:pos="432" w:leader="none"/>
        </w:tabs>
      </w:pPr>
    </w:lvl>
    <w:lvl w:ilvl="1">
      <w:start w:val="1"/>
      <w:numFmt w:val="decimal"/>
      <w:isLgl w:val="false"/>
      <w:suff w:val="tab"/>
      <w:lvlText w:val="%1.%2"/>
      <w:lvlJc w:val="left"/>
      <w:pPr>
        <w:ind w:left="576" w:hanging="576"/>
        <w:tabs>
          <w:tab w:val="left" w:pos="576" w:leader="none"/>
        </w:tabs>
      </w:pPr>
    </w:lvl>
    <w:lvl w:ilvl="2">
      <w:start w:val="1"/>
      <w:numFmt w:val="decimal"/>
      <w:pStyle w:val="960"/>
      <w:isLgl w:val="false"/>
      <w:suff w:val="tab"/>
      <w:lvlText w:val="%1.%2.%3"/>
      <w:lvlJc w:val="left"/>
      <w:pPr>
        <w:ind w:left="0" w:firstLine="0"/>
        <w:tabs>
          <w:tab w:val="left" w:pos="227" w:leader="none"/>
        </w:tabs>
      </w:pPr>
    </w:lvl>
    <w:lvl w:ilvl="3">
      <w:start w:val="1"/>
      <w:numFmt w:val="decimal"/>
      <w:isLgl w:val="false"/>
      <w:suff w:val="tab"/>
      <w:lvlText w:val="%1.%2.%3.%4"/>
      <w:lvlJc w:val="left"/>
      <w:pPr>
        <w:ind w:left="864" w:hanging="864"/>
        <w:tabs>
          <w:tab w:val="left" w:pos="864" w:leader="none"/>
        </w:tabs>
      </w:pPr>
    </w:lvl>
    <w:lvl w:ilvl="4">
      <w:start w:val="1"/>
      <w:numFmt w:val="decimal"/>
      <w:isLgl w:val="false"/>
      <w:suff w:val="tab"/>
      <w:lvlText w:val="%1.%2.%3.%4.%5"/>
      <w:lvlJc w:val="left"/>
      <w:pPr>
        <w:ind w:left="1008" w:hanging="1008"/>
        <w:tabs>
          <w:tab w:val="left" w:pos="1008" w:leader="none"/>
        </w:tabs>
      </w:pPr>
    </w:lvl>
    <w:lvl w:ilvl="5">
      <w:start w:val="1"/>
      <w:numFmt w:val="decimal"/>
      <w:isLgl w:val="false"/>
      <w:suff w:val="tab"/>
      <w:lvlText w:val="%1.%2.%3.%4.%5.%6"/>
      <w:lvlJc w:val="left"/>
      <w:pPr>
        <w:ind w:left="1152" w:hanging="1152"/>
        <w:tabs>
          <w:tab w:val="left" w:pos="1152" w:leader="none"/>
        </w:tabs>
      </w:pPr>
    </w:lvl>
    <w:lvl w:ilvl="6">
      <w:start w:val="1"/>
      <w:numFmt w:val="decimal"/>
      <w:isLgl w:val="false"/>
      <w:suff w:val="tab"/>
      <w:lvlText w:val="%1.%2.%3.%4.%5.%6.%7"/>
      <w:lvlJc w:val="left"/>
      <w:pPr>
        <w:ind w:left="1296" w:hanging="1296"/>
        <w:tabs>
          <w:tab w:val="left" w:pos="1296" w:leader="none"/>
        </w:tabs>
      </w:pPr>
    </w:lvl>
    <w:lvl w:ilvl="7">
      <w:start w:val="1"/>
      <w:numFmt w:val="decimal"/>
      <w:isLgl w:val="false"/>
      <w:suff w:val="tab"/>
      <w:lvlText w:val="%1.%2.%3.%4.%5.%6.%7.%8"/>
      <w:lvlJc w:val="left"/>
      <w:pPr>
        <w:ind w:left="1440" w:hanging="1440"/>
        <w:tabs>
          <w:tab w:val="left" w:pos="1440" w:leader="none"/>
        </w:tabs>
      </w:pPr>
    </w:lvl>
    <w:lvl w:ilvl="8">
      <w:start w:val="1"/>
      <w:numFmt w:val="decimal"/>
      <w:isLgl w:val="false"/>
      <w:suff w:val="tab"/>
      <w:lvlText w:val="%1.%2.%3.%4.%5.%6.%7.%8.%9"/>
      <w:lvlJc w:val="left"/>
      <w:pPr>
        <w:ind w:left="1584" w:hanging="1584"/>
        <w:tabs>
          <w:tab w:val="left" w:pos="1584" w:leader="none"/>
        </w:tabs>
      </w:pPr>
    </w:lvl>
  </w:abstractNum>
  <w:abstractNum w:abstractNumId="2">
    <w:multiLevelType w:val="hybridMultilevel"/>
    <w:lvl w:ilvl="0">
      <w:start w:val="1"/>
      <w:numFmt w:val="decimal"/>
      <w:pStyle w:val="913"/>
      <w:isLgl w:val="false"/>
      <w:suff w:val="tab"/>
      <w:lvlText w:val="%1."/>
      <w:lvlJc w:val="left"/>
      <w:pPr>
        <w:ind w:left="432" w:hanging="432"/>
        <w:tabs>
          <w:tab w:val="left" w:pos="432" w:leader="none"/>
        </w:tabs>
      </w:pPr>
      <w:rPr>
        <w:rFonts w:ascii="Times New Roman" w:hAnsi="Times New Roman"/>
        <w:b w:val="0"/>
        <w:sz w:val="22"/>
      </w:rPr>
    </w:lvl>
    <w:lvl w:ilvl="1">
      <w:start w:val="1"/>
      <w:numFmt w:val="decimal"/>
      <w:pStyle w:val="914"/>
      <w:isLgl w:val="false"/>
      <w:suff w:val="tab"/>
      <w:lvlText w:val="%1.%2."/>
      <w:lvlJc w:val="left"/>
      <w:pPr>
        <w:ind w:left="576" w:hanging="576"/>
        <w:tabs>
          <w:tab w:val="left" w:pos="576" w:leader="none"/>
        </w:tabs>
      </w:pPr>
    </w:lvl>
    <w:lvl w:ilvl="2">
      <w:start w:val="1"/>
      <w:numFmt w:val="decimal"/>
      <w:pStyle w:val="915"/>
      <w:isLgl w:val="false"/>
      <w:suff w:val="tab"/>
      <w:lvlText w:val="%1.%2.%3."/>
      <w:lvlJc w:val="left"/>
      <w:pPr>
        <w:ind w:left="720" w:hanging="720"/>
        <w:tabs>
          <w:tab w:val="left" w:pos="170" w:leader="none"/>
        </w:tabs>
      </w:pPr>
      <w:rPr>
        <w:rFonts w:ascii="Times New Roman" w:hAnsi="Times New Roman"/>
        <w:b w:val="0"/>
        <w:i w:val="0"/>
        <w:sz w:val="26"/>
      </w:rPr>
    </w:lvl>
    <w:lvl w:ilvl="3">
      <w:start w:val="1"/>
      <w:numFmt w:val="decimal"/>
      <w:isLgl w:val="false"/>
      <w:suff w:val="tab"/>
      <w:lvlText w:val="%4)"/>
      <w:lvlJc w:val="left"/>
      <w:pPr>
        <w:ind w:left="360" w:hanging="360"/>
        <w:tabs>
          <w:tab w:val="left" w:pos="360" w:leader="none"/>
        </w:tabs>
      </w:pPr>
      <w:rPr>
        <w:b w:val="0"/>
        <w:sz w:val="24"/>
      </w:rPr>
    </w:lvl>
    <w:lvl w:ilvl="4">
      <w:start w:val="1"/>
      <w:numFmt w:val="russianLower"/>
      <w:isLgl w:val="false"/>
      <w:suff w:val="tab"/>
      <w:lvlText w:val="%5)"/>
      <w:lvlJc w:val="left"/>
      <w:pPr>
        <w:ind w:left="1800" w:hanging="360"/>
        <w:tabs>
          <w:tab w:val="left" w:pos="1800" w:leader="none"/>
        </w:tabs>
      </w:pPr>
      <w:rPr>
        <w:sz w:val="26"/>
      </w:rPr>
    </w:lvl>
    <w:lvl w:ilvl="5">
      <w:start w:val="1"/>
      <w:numFmt w:val="decimal"/>
      <w:isLgl w:val="false"/>
      <w:suff w:val="tab"/>
      <w:lvlText w:val="%5.%6."/>
      <w:lvlJc w:val="left"/>
      <w:pPr>
        <w:ind w:left="1152" w:hanging="1152"/>
        <w:tabs>
          <w:tab w:val="left" w:pos="1152" w:leader="none"/>
        </w:tabs>
      </w:pPr>
    </w:lvl>
    <w:lvl w:ilvl="6">
      <w:start w:val="1"/>
      <w:numFmt w:val="decimal"/>
      <w:isLgl w:val="false"/>
      <w:suff w:val="tab"/>
      <w:lvlText w:val="%1.%2.%3.%4.%5.%6.%7"/>
      <w:lvlJc w:val="left"/>
      <w:pPr>
        <w:ind w:left="1296" w:hanging="1296"/>
        <w:tabs>
          <w:tab w:val="left" w:pos="1296" w:leader="none"/>
        </w:tabs>
      </w:pPr>
    </w:lvl>
    <w:lvl w:ilvl="7">
      <w:start w:val="1"/>
      <w:numFmt w:val="decimal"/>
      <w:isLgl w:val="false"/>
      <w:suff w:val="tab"/>
      <w:lvlText w:val="%1.%2.%3.%4.%5.%6.%7.%8"/>
      <w:lvlJc w:val="left"/>
      <w:pPr>
        <w:ind w:left="1440" w:hanging="1440"/>
        <w:tabs>
          <w:tab w:val="left" w:pos="1440" w:leader="none"/>
        </w:tabs>
      </w:pPr>
    </w:lvl>
    <w:lvl w:ilvl="8">
      <w:start w:val="1"/>
      <w:numFmt w:val="decimal"/>
      <w:isLgl w:val="false"/>
      <w:suff w:val="tab"/>
      <w:lvlText w:val="%1.%2.%3.%4.%5.%6.%7.%8.%9"/>
      <w:lvlJc w:val="left"/>
      <w:pPr>
        <w:ind w:left="1584" w:hanging="1584"/>
        <w:tabs>
          <w:tab w:val="left" w:pos="1584" w:leader="none"/>
        </w:tabs>
      </w:pPr>
    </w:lvl>
  </w:abstractNum>
  <w:abstractNum w:abstractNumId="3">
    <w:multiLevelType w:val="hybridMultilevel"/>
    <w:lvl w:ilvl="0">
      <w:start w:val="1"/>
      <w:numFmt w:val="decimal"/>
      <w:pStyle w:val="970"/>
      <w:isLgl w:val="false"/>
      <w:suff w:val="tab"/>
      <w:lvlText w:val="%1."/>
      <w:lvlJc w:val="left"/>
      <w:pPr>
        <w:ind w:left="432" w:hanging="432"/>
        <w:tabs>
          <w:tab w:val="left" w:pos="432" w:leader="none"/>
        </w:tabs>
      </w:pPr>
    </w:lvl>
    <w:lvl w:ilvl="1">
      <w:start w:val="1"/>
      <w:numFmt w:val="decimal"/>
      <w:isLgl w:val="false"/>
      <w:suff w:val="tab"/>
      <w:lvlText w:val="%1.%2"/>
      <w:lvlJc w:val="left"/>
      <w:pPr>
        <w:ind w:left="576" w:hanging="576"/>
        <w:tabs>
          <w:tab w:val="left" w:pos="576" w:leader="none"/>
        </w:tabs>
      </w:pPr>
    </w:lvl>
    <w:lvl w:ilvl="2">
      <w:start w:val="1"/>
      <w:numFmt w:val="decimal"/>
      <w:isLgl w:val="false"/>
      <w:suff w:val="tab"/>
      <w:lvlText w:val="%1.%2.%3"/>
      <w:lvlJc w:val="left"/>
      <w:pPr>
        <w:ind w:left="0" w:firstLine="0"/>
        <w:tabs>
          <w:tab w:val="left" w:pos="227" w:leader="none"/>
        </w:tabs>
      </w:pPr>
    </w:lvl>
    <w:lvl w:ilvl="3">
      <w:start w:val="1"/>
      <w:numFmt w:val="decimal"/>
      <w:isLgl w:val="false"/>
      <w:suff w:val="tab"/>
      <w:lvlText w:val="%1.%2.%3.%4"/>
      <w:lvlJc w:val="left"/>
      <w:pPr>
        <w:ind w:left="864" w:hanging="864"/>
        <w:tabs>
          <w:tab w:val="left" w:pos="864" w:leader="none"/>
        </w:tabs>
      </w:pPr>
    </w:lvl>
    <w:lvl w:ilvl="4">
      <w:start w:val="1"/>
      <w:numFmt w:val="decimal"/>
      <w:isLgl w:val="false"/>
      <w:suff w:val="tab"/>
      <w:lvlText w:val="%1.%2.%3.%4.%5"/>
      <w:lvlJc w:val="left"/>
      <w:pPr>
        <w:ind w:left="1008" w:hanging="1008"/>
        <w:tabs>
          <w:tab w:val="left" w:pos="1008" w:leader="none"/>
        </w:tabs>
      </w:pPr>
    </w:lvl>
    <w:lvl w:ilvl="5">
      <w:start w:val="1"/>
      <w:numFmt w:val="decimal"/>
      <w:isLgl w:val="false"/>
      <w:suff w:val="tab"/>
      <w:lvlText w:val="%1.%2.%3.%4.%5.%6"/>
      <w:lvlJc w:val="left"/>
      <w:pPr>
        <w:ind w:left="1152" w:hanging="1152"/>
        <w:tabs>
          <w:tab w:val="left" w:pos="1152" w:leader="none"/>
        </w:tabs>
      </w:pPr>
    </w:lvl>
    <w:lvl w:ilvl="6">
      <w:start w:val="1"/>
      <w:numFmt w:val="decimal"/>
      <w:isLgl w:val="false"/>
      <w:suff w:val="tab"/>
      <w:lvlText w:val="%1.%2.%3.%4.%5.%6.%7"/>
      <w:lvlJc w:val="left"/>
      <w:pPr>
        <w:ind w:left="1296" w:hanging="1296"/>
        <w:tabs>
          <w:tab w:val="left" w:pos="1296" w:leader="none"/>
        </w:tabs>
      </w:pPr>
    </w:lvl>
    <w:lvl w:ilvl="7">
      <w:start w:val="1"/>
      <w:numFmt w:val="decimal"/>
      <w:isLgl w:val="false"/>
      <w:suff w:val="tab"/>
      <w:lvlText w:val="%1.%2.%3.%4.%5.%6.%7.%8"/>
      <w:lvlJc w:val="left"/>
      <w:pPr>
        <w:ind w:left="1440" w:hanging="1440"/>
        <w:tabs>
          <w:tab w:val="left" w:pos="1440" w:leader="none"/>
        </w:tabs>
      </w:pPr>
    </w:lvl>
    <w:lvl w:ilvl="8">
      <w:start w:val="1"/>
      <w:numFmt w:val="decimal"/>
      <w:isLgl w:val="false"/>
      <w:suff w:val="tab"/>
      <w:lvlText w:val="%1.%2.%3.%4.%5.%6.%7.%8.%9"/>
      <w:lvlJc w:val="left"/>
      <w:pPr>
        <w:ind w:left="1584" w:hanging="1584"/>
        <w:tabs>
          <w:tab w:val="left" w:pos="1584" w:leader="none"/>
        </w:tabs>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000000"/>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61">
    <w:name w:val="Heading 1 Char"/>
    <w:basedOn w:val="920"/>
    <w:link w:val="913"/>
    <w:uiPriority w:val="9"/>
    <w:rPr>
      <w:rFonts w:ascii="Arial" w:hAnsi="Arial" w:eastAsia="Arial" w:cs="Arial"/>
      <w:sz w:val="40"/>
      <w:szCs w:val="40"/>
    </w:rPr>
  </w:style>
  <w:style w:type="character" w:styleId="762">
    <w:name w:val="Heading 2 Char"/>
    <w:basedOn w:val="920"/>
    <w:link w:val="914"/>
    <w:uiPriority w:val="9"/>
    <w:rPr>
      <w:rFonts w:ascii="Arial" w:hAnsi="Arial" w:eastAsia="Arial" w:cs="Arial"/>
      <w:sz w:val="34"/>
    </w:rPr>
  </w:style>
  <w:style w:type="character" w:styleId="763">
    <w:name w:val="Heading 3 Char"/>
    <w:basedOn w:val="920"/>
    <w:link w:val="915"/>
    <w:uiPriority w:val="9"/>
    <w:rPr>
      <w:rFonts w:ascii="Arial" w:hAnsi="Arial" w:eastAsia="Arial" w:cs="Arial"/>
      <w:sz w:val="30"/>
      <w:szCs w:val="30"/>
    </w:rPr>
  </w:style>
  <w:style w:type="character" w:styleId="764">
    <w:name w:val="Heading 4 Char"/>
    <w:basedOn w:val="920"/>
    <w:link w:val="916"/>
    <w:uiPriority w:val="9"/>
    <w:rPr>
      <w:rFonts w:ascii="Arial" w:hAnsi="Arial" w:eastAsia="Arial" w:cs="Arial"/>
      <w:b/>
      <w:bCs/>
      <w:sz w:val="26"/>
      <w:szCs w:val="26"/>
    </w:rPr>
  </w:style>
  <w:style w:type="character" w:styleId="765">
    <w:name w:val="Heading 5 Char"/>
    <w:basedOn w:val="920"/>
    <w:link w:val="917"/>
    <w:uiPriority w:val="9"/>
    <w:rPr>
      <w:rFonts w:ascii="Arial" w:hAnsi="Arial" w:eastAsia="Arial" w:cs="Arial"/>
      <w:b/>
      <w:bCs/>
      <w:sz w:val="24"/>
      <w:szCs w:val="24"/>
    </w:rPr>
  </w:style>
  <w:style w:type="character" w:styleId="766">
    <w:name w:val="Heading 6 Char"/>
    <w:basedOn w:val="920"/>
    <w:link w:val="918"/>
    <w:uiPriority w:val="9"/>
    <w:rPr>
      <w:rFonts w:ascii="Arial" w:hAnsi="Arial" w:eastAsia="Arial" w:cs="Arial"/>
      <w:b/>
      <w:bCs/>
      <w:sz w:val="22"/>
      <w:szCs w:val="22"/>
    </w:rPr>
  </w:style>
  <w:style w:type="paragraph" w:styleId="767">
    <w:name w:val="Heading 7"/>
    <w:basedOn w:val="912"/>
    <w:next w:val="912"/>
    <w:link w:val="768"/>
    <w:uiPriority w:val="9"/>
    <w:unhideWhenUsed/>
    <w:qFormat/>
    <w:pPr>
      <w:keepLines/>
      <w:keepNext/>
      <w:spacing w:before="320" w:after="200"/>
      <w:outlineLvl w:val="6"/>
    </w:pPr>
    <w:rPr>
      <w:rFonts w:ascii="Arial" w:hAnsi="Arial" w:eastAsia="Arial" w:cs="Arial"/>
      <w:b/>
      <w:bCs/>
      <w:i/>
      <w:iCs/>
      <w:sz w:val="22"/>
      <w:szCs w:val="22"/>
    </w:rPr>
  </w:style>
  <w:style w:type="character" w:styleId="768">
    <w:name w:val="Heading 7 Char"/>
    <w:basedOn w:val="920"/>
    <w:link w:val="767"/>
    <w:uiPriority w:val="9"/>
    <w:rPr>
      <w:rFonts w:ascii="Arial" w:hAnsi="Arial" w:eastAsia="Arial" w:cs="Arial"/>
      <w:b/>
      <w:bCs/>
      <w:i/>
      <w:iCs/>
      <w:sz w:val="22"/>
      <w:szCs w:val="22"/>
    </w:rPr>
  </w:style>
  <w:style w:type="character" w:styleId="769">
    <w:name w:val="Heading 8 Char"/>
    <w:basedOn w:val="920"/>
    <w:link w:val="919"/>
    <w:uiPriority w:val="9"/>
    <w:rPr>
      <w:rFonts w:ascii="Arial" w:hAnsi="Arial" w:eastAsia="Arial" w:cs="Arial"/>
      <w:i/>
      <w:iCs/>
      <w:sz w:val="22"/>
      <w:szCs w:val="22"/>
    </w:rPr>
  </w:style>
  <w:style w:type="paragraph" w:styleId="770">
    <w:name w:val="Heading 9"/>
    <w:basedOn w:val="912"/>
    <w:next w:val="912"/>
    <w:link w:val="771"/>
    <w:uiPriority w:val="9"/>
    <w:unhideWhenUsed/>
    <w:qFormat/>
    <w:pPr>
      <w:keepLines/>
      <w:keepNext/>
      <w:spacing w:before="320" w:after="200"/>
      <w:outlineLvl w:val="8"/>
    </w:pPr>
    <w:rPr>
      <w:rFonts w:ascii="Arial" w:hAnsi="Arial" w:eastAsia="Arial" w:cs="Arial"/>
      <w:i/>
      <w:iCs/>
      <w:sz w:val="21"/>
      <w:szCs w:val="21"/>
    </w:rPr>
  </w:style>
  <w:style w:type="character" w:styleId="771">
    <w:name w:val="Heading 9 Char"/>
    <w:basedOn w:val="920"/>
    <w:link w:val="770"/>
    <w:uiPriority w:val="9"/>
    <w:rPr>
      <w:rFonts w:ascii="Arial" w:hAnsi="Arial" w:eastAsia="Arial" w:cs="Arial"/>
      <w:i/>
      <w:iCs/>
      <w:sz w:val="21"/>
      <w:szCs w:val="21"/>
    </w:rPr>
  </w:style>
  <w:style w:type="character" w:styleId="772">
    <w:name w:val="Title Char"/>
    <w:basedOn w:val="920"/>
    <w:link w:val="1121"/>
    <w:uiPriority w:val="10"/>
    <w:rPr>
      <w:sz w:val="48"/>
      <w:szCs w:val="48"/>
    </w:rPr>
  </w:style>
  <w:style w:type="character" w:styleId="773">
    <w:name w:val="Subtitle Char"/>
    <w:basedOn w:val="920"/>
    <w:link w:val="1115"/>
    <w:uiPriority w:val="11"/>
    <w:rPr>
      <w:sz w:val="24"/>
      <w:szCs w:val="24"/>
    </w:rPr>
  </w:style>
  <w:style w:type="paragraph" w:styleId="774">
    <w:name w:val="Quote"/>
    <w:basedOn w:val="912"/>
    <w:next w:val="912"/>
    <w:link w:val="775"/>
    <w:uiPriority w:val="29"/>
    <w:qFormat/>
    <w:pPr>
      <w:ind w:left="720" w:right="720"/>
    </w:pPr>
    <w:rPr>
      <w:i/>
    </w:rPr>
  </w:style>
  <w:style w:type="character" w:styleId="775">
    <w:name w:val="Quote Char"/>
    <w:link w:val="774"/>
    <w:uiPriority w:val="29"/>
    <w:rPr>
      <w:i/>
    </w:rPr>
  </w:style>
  <w:style w:type="paragraph" w:styleId="776">
    <w:name w:val="Intense Quote"/>
    <w:basedOn w:val="912"/>
    <w:next w:val="912"/>
    <w:link w:val="777"/>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77">
    <w:name w:val="Intense Quote Char"/>
    <w:link w:val="776"/>
    <w:uiPriority w:val="30"/>
    <w:rPr>
      <w:i/>
    </w:rPr>
  </w:style>
  <w:style w:type="character" w:styleId="778">
    <w:name w:val="Header Char"/>
    <w:basedOn w:val="920"/>
    <w:link w:val="1013"/>
    <w:uiPriority w:val="99"/>
  </w:style>
  <w:style w:type="character" w:styleId="779">
    <w:name w:val="Footer Char"/>
    <w:basedOn w:val="920"/>
    <w:link w:val="1101"/>
    <w:uiPriority w:val="99"/>
  </w:style>
  <w:style w:type="character" w:styleId="780">
    <w:name w:val="Caption Char"/>
    <w:basedOn w:val="1033"/>
    <w:link w:val="1101"/>
    <w:uiPriority w:val="99"/>
  </w:style>
  <w:style w:type="table" w:styleId="781">
    <w:name w:val="Table Grid Light"/>
    <w:basedOn w:val="92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82">
    <w:name w:val="Plain Table 1"/>
    <w:basedOn w:val="92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83">
    <w:name w:val="Plain Table 2"/>
    <w:basedOn w:val="92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84">
    <w:name w:val="Plain Table 3"/>
    <w:basedOn w:val="92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85">
    <w:name w:val="Plain Table 4"/>
    <w:basedOn w:val="92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86">
    <w:name w:val="Plain Table 5"/>
    <w:basedOn w:val="92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87">
    <w:name w:val="Grid Table 1 Light"/>
    <w:basedOn w:val="92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88">
    <w:name w:val="Grid Table 1 Light - Accent 1"/>
    <w:basedOn w:val="92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89">
    <w:name w:val="Grid Table 1 Light - Accent 2"/>
    <w:basedOn w:val="92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90">
    <w:name w:val="Grid Table 1 Light - Accent 3"/>
    <w:basedOn w:val="92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91">
    <w:name w:val="Grid Table 1 Light - Accent 4"/>
    <w:basedOn w:val="92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92">
    <w:name w:val="Grid Table 1 Light - Accent 5"/>
    <w:basedOn w:val="92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93">
    <w:name w:val="Grid Table 1 Light - Accent 6"/>
    <w:basedOn w:val="92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94">
    <w:name w:val="Grid Table 2"/>
    <w:basedOn w:val="92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95">
    <w:name w:val="Grid Table 2 - Accent 1"/>
    <w:basedOn w:val="92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96">
    <w:name w:val="Grid Table 2 - Accent 2"/>
    <w:basedOn w:val="92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97">
    <w:name w:val="Grid Table 2 - Accent 3"/>
    <w:basedOn w:val="92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98">
    <w:name w:val="Grid Table 2 - Accent 4"/>
    <w:basedOn w:val="92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99">
    <w:name w:val="Grid Table 2 - Accent 5"/>
    <w:basedOn w:val="92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00">
    <w:name w:val="Grid Table 2 - Accent 6"/>
    <w:basedOn w:val="92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01">
    <w:name w:val="Grid Table 3"/>
    <w:basedOn w:val="92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2">
    <w:name w:val="Grid Table 3 - Accent 1"/>
    <w:basedOn w:val="92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3">
    <w:name w:val="Grid Table 3 - Accent 2"/>
    <w:basedOn w:val="92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4">
    <w:name w:val="Grid Table 3 - Accent 3"/>
    <w:basedOn w:val="92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5">
    <w:name w:val="Grid Table 3 - Accent 4"/>
    <w:basedOn w:val="92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6">
    <w:name w:val="Grid Table 3 - Accent 5"/>
    <w:basedOn w:val="92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7">
    <w:name w:val="Grid Table 3 - Accent 6"/>
    <w:basedOn w:val="92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8">
    <w:name w:val="Grid Table 4"/>
    <w:basedOn w:val="92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09">
    <w:name w:val="Grid Table 4 - Accent 1"/>
    <w:basedOn w:val="92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10">
    <w:name w:val="Grid Table 4 - Accent 2"/>
    <w:basedOn w:val="92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11">
    <w:name w:val="Grid Table 4 - Accent 3"/>
    <w:basedOn w:val="92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2">
    <w:name w:val="Grid Table 4 - Accent 4"/>
    <w:basedOn w:val="92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3">
    <w:name w:val="Grid Table 4 - Accent 5"/>
    <w:basedOn w:val="92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14">
    <w:name w:val="Grid Table 4 - Accent 6"/>
    <w:basedOn w:val="92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5">
    <w:name w:val="Grid Table 5 Dark"/>
    <w:basedOn w:val="92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16">
    <w:name w:val="Grid Table 5 Dark- Accent 1"/>
    <w:basedOn w:val="92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17">
    <w:name w:val="Grid Table 5 Dark - Accent 2"/>
    <w:basedOn w:val="92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18">
    <w:name w:val="Grid Table 5 Dark - Accent 3"/>
    <w:basedOn w:val="92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19">
    <w:name w:val="Grid Table 5 Dark- Accent 4"/>
    <w:basedOn w:val="92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20">
    <w:name w:val="Grid Table 5 Dark - Accent 5"/>
    <w:basedOn w:val="92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21">
    <w:name w:val="Grid Table 5 Dark - Accent 6"/>
    <w:basedOn w:val="92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22">
    <w:name w:val="Grid Table 6 Colorful"/>
    <w:basedOn w:val="92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23">
    <w:name w:val="Grid Table 6 Colorful - Accent 1"/>
    <w:basedOn w:val="92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24">
    <w:name w:val="Grid Table 6 Colorful - Accent 2"/>
    <w:basedOn w:val="92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25">
    <w:name w:val="Grid Table 6 Colorful - Accent 3"/>
    <w:basedOn w:val="92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26">
    <w:name w:val="Grid Table 6 Colorful - Accent 4"/>
    <w:basedOn w:val="92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27">
    <w:name w:val="Grid Table 6 Colorful - Accent 5"/>
    <w:basedOn w:val="92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28">
    <w:name w:val="Grid Table 6 Colorful - Accent 6"/>
    <w:basedOn w:val="92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29">
    <w:name w:val="Grid Table 7 Colorful"/>
    <w:basedOn w:val="92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30">
    <w:name w:val="Grid Table 7 Colorful - Accent 1"/>
    <w:basedOn w:val="92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31">
    <w:name w:val="Grid Table 7 Colorful - Accent 2"/>
    <w:basedOn w:val="92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32">
    <w:name w:val="Grid Table 7 Colorful - Accent 3"/>
    <w:basedOn w:val="92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33">
    <w:name w:val="Grid Table 7 Colorful - Accent 4"/>
    <w:basedOn w:val="92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34">
    <w:name w:val="Grid Table 7 Colorful - Accent 5"/>
    <w:basedOn w:val="92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35">
    <w:name w:val="Grid Table 7 Colorful - Accent 6"/>
    <w:basedOn w:val="92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36">
    <w:name w:val="List Table 1 Light"/>
    <w:basedOn w:val="92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37">
    <w:name w:val="List Table 1 Light - Accent 1"/>
    <w:basedOn w:val="92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38">
    <w:name w:val="List Table 1 Light - Accent 2"/>
    <w:basedOn w:val="921"/>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39">
    <w:name w:val="List Table 1 Light - Accent 3"/>
    <w:basedOn w:val="921"/>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40">
    <w:name w:val="List Table 1 Light - Accent 4"/>
    <w:basedOn w:val="921"/>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41">
    <w:name w:val="List Table 1 Light - Accent 5"/>
    <w:basedOn w:val="921"/>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42">
    <w:name w:val="List Table 1 Light - Accent 6"/>
    <w:basedOn w:val="921"/>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43">
    <w:name w:val="List Table 2"/>
    <w:basedOn w:val="92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44">
    <w:name w:val="List Table 2 - Accent 1"/>
    <w:basedOn w:val="92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45">
    <w:name w:val="List Table 2 - Accent 2"/>
    <w:basedOn w:val="92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46">
    <w:name w:val="List Table 2 - Accent 3"/>
    <w:basedOn w:val="92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47">
    <w:name w:val="List Table 2 - Accent 4"/>
    <w:basedOn w:val="92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48">
    <w:name w:val="List Table 2 - Accent 5"/>
    <w:basedOn w:val="92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49">
    <w:name w:val="List Table 2 - Accent 6"/>
    <w:basedOn w:val="92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50">
    <w:name w:val="List Table 3"/>
    <w:basedOn w:val="92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51">
    <w:name w:val="List Table 3 - Accent 1"/>
    <w:basedOn w:val="92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52">
    <w:name w:val="List Table 3 - Accent 2"/>
    <w:basedOn w:val="92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53">
    <w:name w:val="List Table 3 - Accent 3"/>
    <w:basedOn w:val="92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54">
    <w:name w:val="List Table 3 - Accent 4"/>
    <w:basedOn w:val="92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55">
    <w:name w:val="List Table 3 - Accent 5"/>
    <w:basedOn w:val="92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56">
    <w:name w:val="List Table 3 - Accent 6"/>
    <w:basedOn w:val="92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57">
    <w:name w:val="List Table 4"/>
    <w:basedOn w:val="92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58">
    <w:name w:val="List Table 4 - Accent 1"/>
    <w:basedOn w:val="92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59">
    <w:name w:val="List Table 4 - Accent 2"/>
    <w:basedOn w:val="92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60">
    <w:name w:val="List Table 4 - Accent 3"/>
    <w:basedOn w:val="92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61">
    <w:name w:val="List Table 4 - Accent 4"/>
    <w:basedOn w:val="92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62">
    <w:name w:val="List Table 4 - Accent 5"/>
    <w:basedOn w:val="92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63">
    <w:name w:val="List Table 4 - Accent 6"/>
    <w:basedOn w:val="92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64">
    <w:name w:val="List Table 5 Dark"/>
    <w:basedOn w:val="92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5">
    <w:name w:val="List Table 5 Dark - Accent 1"/>
    <w:basedOn w:val="92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6">
    <w:name w:val="List Table 5 Dark - Accent 2"/>
    <w:basedOn w:val="92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7">
    <w:name w:val="List Table 5 Dark - Accent 3"/>
    <w:basedOn w:val="92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8">
    <w:name w:val="List Table 5 Dark - Accent 4"/>
    <w:basedOn w:val="92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9">
    <w:name w:val="List Table 5 Dark - Accent 5"/>
    <w:basedOn w:val="92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70">
    <w:name w:val="List Table 5 Dark - Accent 6"/>
    <w:basedOn w:val="92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71">
    <w:name w:val="List Table 6 Colorful"/>
    <w:basedOn w:val="92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72">
    <w:name w:val="List Table 6 Colorful - Accent 1"/>
    <w:basedOn w:val="92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73">
    <w:name w:val="List Table 6 Colorful - Accent 2"/>
    <w:basedOn w:val="92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74">
    <w:name w:val="List Table 6 Colorful - Accent 3"/>
    <w:basedOn w:val="92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75">
    <w:name w:val="List Table 6 Colorful - Accent 4"/>
    <w:basedOn w:val="92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76">
    <w:name w:val="List Table 6 Colorful - Accent 5"/>
    <w:basedOn w:val="92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77">
    <w:name w:val="List Table 6 Colorful - Accent 6"/>
    <w:basedOn w:val="92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78">
    <w:name w:val="List Table 7 Colorful"/>
    <w:basedOn w:val="92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79">
    <w:name w:val="List Table 7 Colorful - Accent 1"/>
    <w:basedOn w:val="92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80">
    <w:name w:val="List Table 7 Colorful - Accent 2"/>
    <w:basedOn w:val="92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81">
    <w:name w:val="List Table 7 Colorful - Accent 3"/>
    <w:basedOn w:val="92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82">
    <w:name w:val="List Table 7 Colorful - Accent 4"/>
    <w:basedOn w:val="92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83">
    <w:name w:val="List Table 7 Colorful - Accent 5"/>
    <w:basedOn w:val="92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84">
    <w:name w:val="List Table 7 Colorful - Accent 6"/>
    <w:basedOn w:val="92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85">
    <w:name w:val="Lined - Accent"/>
    <w:basedOn w:val="92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86">
    <w:name w:val="Lined - Accent 1"/>
    <w:basedOn w:val="92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87">
    <w:name w:val="Lined - Accent 2"/>
    <w:basedOn w:val="92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88">
    <w:name w:val="Lined - Accent 3"/>
    <w:basedOn w:val="92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89">
    <w:name w:val="Lined - Accent 4"/>
    <w:basedOn w:val="92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90">
    <w:name w:val="Lined - Accent 5"/>
    <w:basedOn w:val="92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91">
    <w:name w:val="Lined - Accent 6"/>
    <w:basedOn w:val="92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92">
    <w:name w:val="Bordered &amp; Lined - Accent"/>
    <w:basedOn w:val="92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93">
    <w:name w:val="Bordered &amp; Lined - Accent 1"/>
    <w:basedOn w:val="92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94">
    <w:name w:val="Bordered &amp; Lined - Accent 2"/>
    <w:basedOn w:val="92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95">
    <w:name w:val="Bordered &amp; Lined - Accent 3"/>
    <w:basedOn w:val="92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96">
    <w:name w:val="Bordered &amp; Lined - Accent 4"/>
    <w:basedOn w:val="92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97">
    <w:name w:val="Bordered &amp; Lined - Accent 5"/>
    <w:basedOn w:val="92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98">
    <w:name w:val="Bordered &amp; Lined - Accent 6"/>
    <w:basedOn w:val="92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99">
    <w:name w:val="Bordered"/>
    <w:basedOn w:val="92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00">
    <w:name w:val="Bordered - Accent 1"/>
    <w:basedOn w:val="92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01">
    <w:name w:val="Bordered - Accent 2"/>
    <w:basedOn w:val="92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02">
    <w:name w:val="Bordered - Accent 3"/>
    <w:basedOn w:val="92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03">
    <w:name w:val="Bordered - Accent 4"/>
    <w:basedOn w:val="92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04">
    <w:name w:val="Bordered - Accent 5"/>
    <w:basedOn w:val="92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05">
    <w:name w:val="Bordered - Accent 6"/>
    <w:basedOn w:val="92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906">
    <w:name w:val="footnote text"/>
    <w:basedOn w:val="912"/>
    <w:link w:val="907"/>
    <w:uiPriority w:val="99"/>
    <w:semiHidden/>
    <w:unhideWhenUsed/>
    <w:pPr>
      <w:spacing w:after="40" w:line="240" w:lineRule="auto"/>
    </w:pPr>
    <w:rPr>
      <w:sz w:val="18"/>
    </w:rPr>
  </w:style>
  <w:style w:type="character" w:styleId="907">
    <w:name w:val="Footnote Text Char"/>
    <w:link w:val="906"/>
    <w:uiPriority w:val="99"/>
    <w:rPr>
      <w:sz w:val="18"/>
    </w:rPr>
  </w:style>
  <w:style w:type="paragraph" w:styleId="908">
    <w:name w:val="endnote text"/>
    <w:basedOn w:val="912"/>
    <w:link w:val="909"/>
    <w:uiPriority w:val="99"/>
    <w:semiHidden/>
    <w:unhideWhenUsed/>
    <w:pPr>
      <w:spacing w:after="0" w:line="240" w:lineRule="auto"/>
    </w:pPr>
    <w:rPr>
      <w:sz w:val="20"/>
    </w:rPr>
  </w:style>
  <w:style w:type="character" w:styleId="909">
    <w:name w:val="Endnote Text Char"/>
    <w:link w:val="908"/>
    <w:uiPriority w:val="99"/>
    <w:rPr>
      <w:sz w:val="20"/>
    </w:rPr>
  </w:style>
  <w:style w:type="paragraph" w:styleId="910">
    <w:name w:val="TOC Heading"/>
    <w:uiPriority w:val="39"/>
    <w:unhideWhenUsed/>
  </w:style>
  <w:style w:type="paragraph" w:styleId="911">
    <w:name w:val="table of figures"/>
    <w:basedOn w:val="912"/>
    <w:next w:val="912"/>
    <w:uiPriority w:val="99"/>
    <w:unhideWhenUsed/>
    <w:pPr>
      <w:spacing w:after="0" w:afterAutospacing="0"/>
    </w:pPr>
  </w:style>
  <w:style w:type="paragraph" w:styleId="912" w:default="1">
    <w:name w:val="Normal"/>
    <w:link w:val="923"/>
    <w:qFormat/>
    <w:pPr>
      <w:jc w:val="both"/>
      <w:spacing w:after="60"/>
    </w:pPr>
    <w:rPr>
      <w:sz w:val="24"/>
    </w:rPr>
  </w:style>
  <w:style w:type="paragraph" w:styleId="913">
    <w:name w:val="Heading 1"/>
    <w:basedOn w:val="912"/>
    <w:next w:val="912"/>
    <w:link w:val="1052"/>
    <w:uiPriority w:val="9"/>
    <w:qFormat/>
    <w:pPr>
      <w:numPr>
        <w:ilvl w:val="0"/>
        <w:numId w:val="4"/>
      </w:numPr>
      <w:jc w:val="center"/>
      <w:keepNext/>
      <w:spacing w:before="240"/>
      <w:outlineLvl w:val="0"/>
    </w:pPr>
    <w:rPr>
      <w:b/>
      <w:sz w:val="36"/>
    </w:rPr>
  </w:style>
  <w:style w:type="paragraph" w:styleId="914">
    <w:name w:val="Heading 2"/>
    <w:basedOn w:val="912"/>
    <w:next w:val="912"/>
    <w:link w:val="1138"/>
    <w:uiPriority w:val="9"/>
    <w:qFormat/>
    <w:pPr>
      <w:numPr>
        <w:ilvl w:val="1"/>
        <w:numId w:val="4"/>
      </w:numPr>
      <w:jc w:val="center"/>
      <w:keepNext/>
      <w:outlineLvl w:val="1"/>
    </w:pPr>
    <w:rPr>
      <w:b/>
      <w:sz w:val="30"/>
    </w:rPr>
  </w:style>
  <w:style w:type="paragraph" w:styleId="915">
    <w:name w:val="Heading 3"/>
    <w:basedOn w:val="912"/>
    <w:next w:val="912"/>
    <w:link w:val="974"/>
    <w:uiPriority w:val="9"/>
    <w:qFormat/>
    <w:pPr>
      <w:numPr>
        <w:ilvl w:val="2"/>
        <w:numId w:val="4"/>
      </w:numPr>
      <w:keepNext/>
      <w:spacing w:before="240"/>
      <w:outlineLvl w:val="2"/>
    </w:pPr>
    <w:rPr>
      <w:rFonts w:ascii="Arial" w:hAnsi="Arial"/>
      <w:b/>
    </w:rPr>
  </w:style>
  <w:style w:type="paragraph" w:styleId="916">
    <w:name w:val="Heading 4"/>
    <w:basedOn w:val="912"/>
    <w:next w:val="912"/>
    <w:link w:val="1127"/>
    <w:uiPriority w:val="9"/>
    <w:qFormat/>
    <w:pPr>
      <w:keepNext/>
      <w:spacing w:before="240"/>
      <w:outlineLvl w:val="3"/>
    </w:pPr>
    <w:rPr>
      <w:rFonts w:ascii="Arial" w:hAnsi="Arial"/>
    </w:rPr>
  </w:style>
  <w:style w:type="paragraph" w:styleId="917">
    <w:name w:val="Heading 5"/>
    <w:basedOn w:val="912"/>
    <w:next w:val="912"/>
    <w:link w:val="1049"/>
    <w:uiPriority w:val="9"/>
    <w:qFormat/>
    <w:pPr>
      <w:spacing w:before="240"/>
      <w:outlineLvl w:val="4"/>
    </w:pPr>
    <w:rPr>
      <w:b/>
      <w:i/>
      <w:sz w:val="26"/>
    </w:rPr>
  </w:style>
  <w:style w:type="paragraph" w:styleId="918">
    <w:name w:val="Heading 6"/>
    <w:basedOn w:val="912"/>
    <w:next w:val="912"/>
    <w:link w:val="1143"/>
    <w:uiPriority w:val="9"/>
    <w:qFormat/>
    <w:pPr>
      <w:spacing w:before="240"/>
      <w:outlineLvl w:val="5"/>
    </w:pPr>
    <w:rPr>
      <w:b/>
      <w:sz w:val="22"/>
    </w:rPr>
  </w:style>
  <w:style w:type="paragraph" w:styleId="919">
    <w:name w:val="Heading 8"/>
    <w:basedOn w:val="912"/>
    <w:next w:val="912"/>
    <w:link w:val="1065"/>
    <w:uiPriority w:val="9"/>
    <w:qFormat/>
    <w:pPr>
      <w:spacing w:before="240"/>
      <w:outlineLvl w:val="7"/>
    </w:pPr>
    <w:rPr>
      <w:i/>
    </w:rPr>
  </w:style>
  <w:style w:type="character" w:styleId="920" w:default="1">
    <w:name w:val="Default Paragraph Font"/>
    <w:uiPriority w:val="1"/>
    <w:semiHidden/>
    <w:unhideWhenUsed/>
  </w:style>
  <w:style w:type="table" w:styleId="921" w:default="1">
    <w:name w:val="Normal Table"/>
    <w:uiPriority w:val="99"/>
    <w:semiHidden/>
    <w:unhideWhenUsed/>
    <w:tblPr>
      <w:tblInd w:w="0" w:type="dxa"/>
      <w:tblCellMar>
        <w:left w:w="108" w:type="dxa"/>
        <w:top w:w="0" w:type="dxa"/>
        <w:right w:w="108" w:type="dxa"/>
        <w:bottom w:w="0" w:type="dxa"/>
      </w:tblCellMar>
    </w:tblPr>
  </w:style>
  <w:style w:type="numbering" w:styleId="922" w:default="1">
    <w:name w:val="No List"/>
    <w:uiPriority w:val="99"/>
    <w:semiHidden/>
    <w:unhideWhenUsed/>
  </w:style>
  <w:style w:type="character" w:styleId="923" w:customStyle="1">
    <w:name w:val="Обычный1"/>
    <w:rPr>
      <w:rFonts w:ascii="Times New Roman" w:hAnsi="Times New Roman"/>
      <w:color w:val="000000"/>
      <w:sz w:val="24"/>
    </w:rPr>
  </w:style>
  <w:style w:type="paragraph" w:styleId="924" w:customStyle="1">
    <w:name w:val="Заголовок 5 Знак"/>
    <w:basedOn w:val="1070"/>
    <w:link w:val="925"/>
    <w:rPr>
      <w:rFonts w:ascii="Calibri" w:hAnsi="Calibri"/>
      <w:b/>
      <w:i/>
      <w:sz w:val="26"/>
    </w:rPr>
  </w:style>
  <w:style w:type="character" w:styleId="925" w:customStyle="1">
    <w:name w:val="Заголовок 5 Знак"/>
    <w:basedOn w:val="920"/>
    <w:link w:val="924"/>
    <w:rPr>
      <w:rFonts w:ascii="Calibri" w:hAnsi="Calibri"/>
      <w:b/>
      <w:i/>
      <w:sz w:val="26"/>
    </w:rPr>
  </w:style>
  <w:style w:type="paragraph" w:styleId="926">
    <w:name w:val="Body Text 2"/>
    <w:basedOn w:val="912"/>
    <w:link w:val="927"/>
    <w:pPr>
      <w:spacing w:after="120" w:line="480" w:lineRule="auto"/>
    </w:pPr>
  </w:style>
  <w:style w:type="character" w:styleId="927" w:customStyle="1">
    <w:name w:val="Основной текст 2 Знак"/>
    <w:basedOn w:val="923"/>
    <w:link w:val="926"/>
    <w:rPr>
      <w:rFonts w:ascii="Times New Roman" w:hAnsi="Times New Roman"/>
      <w:color w:val="000000"/>
      <w:sz w:val="24"/>
    </w:rPr>
  </w:style>
  <w:style w:type="paragraph" w:styleId="928">
    <w:name w:val="Block Text"/>
    <w:basedOn w:val="912"/>
    <w:link w:val="929"/>
    <w:pPr>
      <w:ind w:left="-108" w:right="-108"/>
      <w:jc w:val="left"/>
      <w:spacing w:after="0"/>
    </w:pPr>
    <w:rPr>
      <w:color w:val="0000ff"/>
    </w:rPr>
  </w:style>
  <w:style w:type="character" w:styleId="929" w:customStyle="1">
    <w:name w:val="Цитата Знак"/>
    <w:basedOn w:val="923"/>
    <w:link w:val="928"/>
    <w:rPr>
      <w:rFonts w:ascii="Times New Roman" w:hAnsi="Times New Roman"/>
      <w:color w:val="0000ff"/>
      <w:sz w:val="24"/>
    </w:rPr>
  </w:style>
  <w:style w:type="paragraph" w:styleId="930" w:customStyle="1">
    <w:name w:val="ConsPlusTitle"/>
    <w:link w:val="931"/>
    <w:pPr>
      <w:widowControl w:val="off"/>
    </w:pPr>
    <w:rPr>
      <w:rFonts w:ascii="Arial" w:hAnsi="Arial"/>
      <w:b/>
      <w:sz w:val="16"/>
    </w:rPr>
  </w:style>
  <w:style w:type="character" w:styleId="931" w:customStyle="1">
    <w:name w:val="ConsPlusTitle"/>
    <w:link w:val="930"/>
    <w:rPr>
      <w:rFonts w:ascii="Arial" w:hAnsi="Arial"/>
      <w:b/>
      <w:color w:val="000000"/>
      <w:sz w:val="16"/>
    </w:rPr>
  </w:style>
  <w:style w:type="paragraph" w:styleId="932" w:customStyle="1">
    <w:name w:val="Заголовок 6 Знак"/>
    <w:basedOn w:val="1070"/>
    <w:link w:val="933"/>
    <w:rPr>
      <w:rFonts w:ascii="Calibri" w:hAnsi="Calibri"/>
      <w:b/>
    </w:rPr>
  </w:style>
  <w:style w:type="character" w:styleId="933" w:customStyle="1">
    <w:name w:val="Заголовок 6 Знак"/>
    <w:basedOn w:val="920"/>
    <w:link w:val="932"/>
    <w:rPr>
      <w:rFonts w:ascii="Calibri" w:hAnsi="Calibri"/>
      <w:b/>
    </w:rPr>
  </w:style>
  <w:style w:type="paragraph" w:styleId="934" w:customStyle="1">
    <w:name w:val="ConsPlusNormal"/>
    <w:link w:val="935"/>
    <w:pPr>
      <w:ind w:firstLine="720"/>
      <w:widowControl w:val="off"/>
    </w:pPr>
    <w:rPr>
      <w:rFonts w:ascii="Arial" w:hAnsi="Arial"/>
      <w:sz w:val="22"/>
    </w:rPr>
  </w:style>
  <w:style w:type="character" w:styleId="935" w:customStyle="1">
    <w:name w:val="ConsPlusNormal"/>
    <w:link w:val="934"/>
    <w:rPr>
      <w:rFonts w:ascii="Arial" w:hAnsi="Arial"/>
      <w:color w:val="000000"/>
      <w:sz w:val="22"/>
    </w:rPr>
  </w:style>
  <w:style w:type="paragraph" w:styleId="936">
    <w:name w:val="toc 2"/>
    <w:basedOn w:val="912"/>
    <w:next w:val="912"/>
    <w:link w:val="937"/>
    <w:uiPriority w:val="39"/>
    <w:pPr>
      <w:ind w:left="240"/>
      <w:jc w:val="left"/>
      <w:spacing w:after="0"/>
    </w:pPr>
    <w:rPr>
      <w:smallCaps/>
      <w:sz w:val="20"/>
    </w:rPr>
  </w:style>
  <w:style w:type="character" w:styleId="937" w:customStyle="1">
    <w:name w:val="Оглавление 2 Знак"/>
    <w:basedOn w:val="923"/>
    <w:link w:val="936"/>
    <w:rPr>
      <w:rFonts w:ascii="Times New Roman" w:hAnsi="Times New Roman"/>
      <w:smallCaps/>
      <w:color w:val="000000"/>
      <w:sz w:val="20"/>
    </w:rPr>
  </w:style>
  <w:style w:type="paragraph" w:styleId="938" w:customStyle="1">
    <w:name w:val="Таблицы (моноширинный)"/>
    <w:basedOn w:val="912"/>
    <w:next w:val="912"/>
    <w:link w:val="939"/>
    <w:pPr>
      <w:jc w:val="left"/>
      <w:spacing w:after="0"/>
    </w:pPr>
    <w:rPr>
      <w:rFonts w:ascii="Courier New" w:hAnsi="Courier New"/>
    </w:rPr>
  </w:style>
  <w:style w:type="character" w:styleId="939" w:customStyle="1">
    <w:name w:val="Таблицы (моноширинный)"/>
    <w:basedOn w:val="923"/>
    <w:link w:val="938"/>
    <w:rPr>
      <w:rFonts w:ascii="Courier New" w:hAnsi="Courier New"/>
      <w:color w:val="000000"/>
      <w:sz w:val="24"/>
    </w:rPr>
  </w:style>
  <w:style w:type="paragraph" w:styleId="940" w:customStyle="1">
    <w:name w:val="Строгий1"/>
    <w:basedOn w:val="1070"/>
    <w:link w:val="941"/>
    <w:rPr>
      <w:b/>
    </w:rPr>
  </w:style>
  <w:style w:type="character" w:styleId="941">
    <w:name w:val="Strong"/>
    <w:basedOn w:val="920"/>
    <w:link w:val="940"/>
    <w:rPr>
      <w:b/>
    </w:rPr>
  </w:style>
  <w:style w:type="paragraph" w:styleId="942">
    <w:name w:val="toc 4"/>
    <w:next w:val="912"/>
    <w:link w:val="943"/>
    <w:uiPriority w:val="39"/>
    <w:pPr>
      <w:ind w:left="600"/>
    </w:pPr>
    <w:rPr>
      <w:rFonts w:ascii="XO Thames" w:hAnsi="XO Thames"/>
      <w:sz w:val="28"/>
    </w:rPr>
  </w:style>
  <w:style w:type="character" w:styleId="943" w:customStyle="1">
    <w:name w:val="Оглавление 4 Знак"/>
    <w:link w:val="942"/>
    <w:rPr>
      <w:rFonts w:ascii="XO Thames" w:hAnsi="XO Thames"/>
      <w:sz w:val="28"/>
    </w:rPr>
  </w:style>
  <w:style w:type="paragraph" w:styleId="944">
    <w:name w:val="List"/>
    <w:basedOn w:val="1079"/>
    <w:link w:val="945"/>
  </w:style>
  <w:style w:type="character" w:styleId="945" w:customStyle="1">
    <w:name w:val="Список Знак"/>
    <w:basedOn w:val="1080"/>
    <w:link w:val="944"/>
    <w:rPr>
      <w:rFonts w:ascii="Times New Roman" w:hAnsi="Times New Roman"/>
      <w:color w:val="000000"/>
      <w:sz w:val="24"/>
    </w:rPr>
  </w:style>
  <w:style w:type="paragraph" w:styleId="946" w:customStyle="1">
    <w:name w:val="Стиль3"/>
    <w:basedOn w:val="991"/>
    <w:link w:val="947"/>
    <w:pPr>
      <w:ind w:left="1080"/>
      <w:spacing w:after="0" w:line="240" w:lineRule="auto"/>
      <w:widowControl w:val="off"/>
      <w:tabs>
        <w:tab w:val="left" w:pos="1307" w:leader="none"/>
      </w:tabs>
    </w:pPr>
  </w:style>
  <w:style w:type="character" w:styleId="947" w:customStyle="1">
    <w:name w:val="Стиль3"/>
    <w:basedOn w:val="992"/>
    <w:link w:val="946"/>
    <w:rPr>
      <w:rFonts w:ascii="Times New Roman" w:hAnsi="Times New Roman"/>
      <w:color w:val="000000"/>
      <w:sz w:val="24"/>
    </w:rPr>
  </w:style>
  <w:style w:type="paragraph" w:styleId="948">
    <w:name w:val="toc 6"/>
    <w:next w:val="912"/>
    <w:link w:val="949"/>
    <w:uiPriority w:val="39"/>
    <w:pPr>
      <w:ind w:left="1000"/>
    </w:pPr>
    <w:rPr>
      <w:rFonts w:ascii="XO Thames" w:hAnsi="XO Thames"/>
      <w:sz w:val="28"/>
    </w:rPr>
  </w:style>
  <w:style w:type="character" w:styleId="949" w:customStyle="1">
    <w:name w:val="Оглавление 6 Знак"/>
    <w:link w:val="948"/>
    <w:rPr>
      <w:rFonts w:ascii="XO Thames" w:hAnsi="XO Thames"/>
      <w:sz w:val="28"/>
    </w:rPr>
  </w:style>
  <w:style w:type="paragraph" w:styleId="950" w:customStyle="1">
    <w:name w:val="Заголовок 8 Знак"/>
    <w:basedOn w:val="1070"/>
    <w:link w:val="951"/>
    <w:rPr>
      <w:rFonts w:ascii="Calibri" w:hAnsi="Calibri"/>
      <w:i/>
      <w:sz w:val="24"/>
    </w:rPr>
  </w:style>
  <w:style w:type="character" w:styleId="951" w:customStyle="1">
    <w:name w:val="Заголовок 8 Знак"/>
    <w:basedOn w:val="920"/>
    <w:link w:val="950"/>
    <w:rPr>
      <w:rFonts w:ascii="Calibri" w:hAnsi="Calibri"/>
      <w:i/>
      <w:sz w:val="24"/>
    </w:rPr>
  </w:style>
  <w:style w:type="paragraph" w:styleId="952" w:customStyle="1">
    <w:name w:val="ConsNormal"/>
    <w:link w:val="953"/>
    <w:pPr>
      <w:ind w:left="709" w:right="19772" w:firstLine="720"/>
      <w:jc w:val="both"/>
      <w:widowControl w:val="off"/>
    </w:pPr>
    <w:rPr>
      <w:rFonts w:ascii="Arial" w:hAnsi="Arial"/>
    </w:rPr>
  </w:style>
  <w:style w:type="character" w:styleId="953" w:customStyle="1">
    <w:name w:val="ConsNormal"/>
    <w:link w:val="952"/>
    <w:rPr>
      <w:rFonts w:ascii="Arial" w:hAnsi="Arial"/>
      <w:color w:val="000000"/>
      <w:sz w:val="20"/>
    </w:rPr>
  </w:style>
  <w:style w:type="paragraph" w:styleId="954">
    <w:name w:val="toc 7"/>
    <w:next w:val="912"/>
    <w:link w:val="955"/>
    <w:uiPriority w:val="39"/>
    <w:pPr>
      <w:ind w:left="1200"/>
    </w:pPr>
    <w:rPr>
      <w:rFonts w:ascii="XO Thames" w:hAnsi="XO Thames"/>
      <w:sz w:val="28"/>
    </w:rPr>
  </w:style>
  <w:style w:type="character" w:styleId="955" w:customStyle="1">
    <w:name w:val="Оглавление 7 Знак"/>
    <w:link w:val="954"/>
    <w:rPr>
      <w:rFonts w:ascii="XO Thames" w:hAnsi="XO Thames"/>
      <w:sz w:val="28"/>
    </w:rPr>
  </w:style>
  <w:style w:type="paragraph" w:styleId="956" w:customStyle="1">
    <w:name w:val="Заголовок 2 Знак"/>
    <w:basedOn w:val="1070"/>
    <w:link w:val="957"/>
    <w:rPr>
      <w:b/>
      <w:sz w:val="30"/>
    </w:rPr>
  </w:style>
  <w:style w:type="character" w:styleId="957" w:customStyle="1">
    <w:name w:val="Заголовок 2 Знак"/>
    <w:basedOn w:val="920"/>
    <w:link w:val="956"/>
    <w:rPr>
      <w:b/>
      <w:sz w:val="30"/>
    </w:rPr>
  </w:style>
  <w:style w:type="paragraph" w:styleId="958" w:customStyle="1">
    <w:name w:val="Style6"/>
    <w:basedOn w:val="912"/>
    <w:link w:val="959"/>
    <w:pPr>
      <w:jc w:val="left"/>
      <w:spacing w:after="0"/>
      <w:widowControl w:val="off"/>
    </w:pPr>
    <w:rPr>
      <w:rFonts w:ascii="Arial" w:hAnsi="Arial"/>
    </w:rPr>
  </w:style>
  <w:style w:type="character" w:styleId="959" w:customStyle="1">
    <w:name w:val="Style6"/>
    <w:basedOn w:val="923"/>
    <w:link w:val="958"/>
    <w:rPr>
      <w:rFonts w:ascii="Arial" w:hAnsi="Arial"/>
      <w:color w:val="000000"/>
      <w:sz w:val="24"/>
    </w:rPr>
  </w:style>
  <w:style w:type="paragraph" w:styleId="960" w:customStyle="1">
    <w:name w:val="Стиль3 Знак"/>
    <w:basedOn w:val="991"/>
    <w:link w:val="961"/>
    <w:pPr>
      <w:numPr>
        <w:ilvl w:val="2"/>
        <w:numId w:val="1"/>
      </w:numPr>
      <w:spacing w:after="0" w:line="240" w:lineRule="auto"/>
      <w:widowControl w:val="off"/>
    </w:pPr>
  </w:style>
  <w:style w:type="character" w:styleId="961" w:customStyle="1">
    <w:name w:val="Стиль3 Знак"/>
    <w:basedOn w:val="992"/>
    <w:link w:val="960"/>
    <w:rPr>
      <w:rFonts w:ascii="Times New Roman" w:hAnsi="Times New Roman"/>
      <w:color w:val="000000"/>
      <w:sz w:val="24"/>
    </w:rPr>
  </w:style>
  <w:style w:type="paragraph" w:styleId="962" w:customStyle="1">
    <w:name w:val="Знак сноски1"/>
    <w:link w:val="963"/>
    <w:rPr>
      <w:vertAlign w:val="superscript"/>
    </w:rPr>
  </w:style>
  <w:style w:type="character" w:styleId="963">
    <w:name w:val="footnote reference"/>
    <w:link w:val="962"/>
    <w:rPr>
      <w:vertAlign w:val="superscript"/>
    </w:rPr>
  </w:style>
  <w:style w:type="paragraph" w:styleId="964">
    <w:name w:val="Body Text 3"/>
    <w:basedOn w:val="912"/>
    <w:link w:val="965"/>
    <w:pPr>
      <w:spacing w:after="120"/>
    </w:pPr>
    <w:rPr>
      <w:sz w:val="16"/>
    </w:rPr>
  </w:style>
  <w:style w:type="character" w:styleId="965" w:customStyle="1">
    <w:name w:val="Основной текст 3 Знак"/>
    <w:basedOn w:val="923"/>
    <w:link w:val="964"/>
    <w:rPr>
      <w:rFonts w:ascii="Times New Roman" w:hAnsi="Times New Roman"/>
      <w:color w:val="000000"/>
      <w:sz w:val="16"/>
    </w:rPr>
  </w:style>
  <w:style w:type="paragraph" w:styleId="966" w:customStyle="1">
    <w:name w:val="Заголовок 1 Знак"/>
    <w:basedOn w:val="1070"/>
    <w:link w:val="967"/>
    <w:rPr>
      <w:b/>
      <w:sz w:val="36"/>
    </w:rPr>
  </w:style>
  <w:style w:type="character" w:styleId="967" w:customStyle="1">
    <w:name w:val="Заголовок 1 Знак"/>
    <w:basedOn w:val="920"/>
    <w:link w:val="966"/>
    <w:rPr>
      <w:b/>
      <w:sz w:val="36"/>
    </w:rPr>
  </w:style>
  <w:style w:type="paragraph" w:styleId="968">
    <w:name w:val="List Bullet 2"/>
    <w:basedOn w:val="912"/>
    <w:link w:val="969"/>
    <w:pPr>
      <w:numPr>
        <w:ilvl w:val="0"/>
        <w:numId w:val="2"/>
      </w:numPr>
    </w:pPr>
  </w:style>
  <w:style w:type="character" w:styleId="969" w:customStyle="1">
    <w:name w:val="Маркированный список 2 Знак"/>
    <w:basedOn w:val="923"/>
    <w:link w:val="968"/>
    <w:rPr>
      <w:rFonts w:ascii="Times New Roman" w:hAnsi="Times New Roman"/>
      <w:color w:val="000000"/>
      <w:sz w:val="24"/>
    </w:rPr>
  </w:style>
  <w:style w:type="paragraph" w:styleId="970" w:customStyle="1">
    <w:name w:val="Контракт-пункт"/>
    <w:basedOn w:val="912"/>
    <w:link w:val="971"/>
    <w:pPr>
      <w:numPr>
        <w:ilvl w:val="0"/>
        <w:numId w:val="3"/>
      </w:numPr>
      <w:spacing w:after="0"/>
    </w:pPr>
  </w:style>
  <w:style w:type="character" w:styleId="971" w:customStyle="1">
    <w:name w:val="Контракт-пункт"/>
    <w:basedOn w:val="923"/>
    <w:link w:val="970"/>
    <w:rPr>
      <w:rFonts w:ascii="Times New Roman" w:hAnsi="Times New Roman"/>
      <w:color w:val="000000"/>
      <w:sz w:val="24"/>
    </w:rPr>
  </w:style>
  <w:style w:type="paragraph" w:styleId="972" w:customStyle="1">
    <w:name w:val="Endnote"/>
    <w:basedOn w:val="912"/>
    <w:link w:val="973"/>
    <w:pPr>
      <w:jc w:val="left"/>
      <w:spacing w:after="0"/>
      <w:widowControl w:val="off"/>
    </w:pPr>
    <w:rPr>
      <w:sz w:val="20"/>
    </w:rPr>
  </w:style>
  <w:style w:type="character" w:styleId="973" w:customStyle="1">
    <w:name w:val="Endnote"/>
    <w:basedOn w:val="923"/>
    <w:link w:val="972"/>
    <w:rPr>
      <w:rFonts w:ascii="Times New Roman" w:hAnsi="Times New Roman"/>
      <w:color w:val="000000"/>
      <w:sz w:val="20"/>
    </w:rPr>
  </w:style>
  <w:style w:type="character" w:styleId="974" w:customStyle="1">
    <w:name w:val="Заголовок 3 Знак1"/>
    <w:basedOn w:val="923"/>
    <w:link w:val="915"/>
    <w:rPr>
      <w:rFonts w:ascii="Arial" w:hAnsi="Arial"/>
      <w:b/>
      <w:color w:val="000000"/>
      <w:sz w:val="24"/>
    </w:rPr>
  </w:style>
  <w:style w:type="paragraph" w:styleId="975" w:customStyle="1">
    <w:name w:val="Символ концевой сноски"/>
    <w:basedOn w:val="1070"/>
    <w:link w:val="976"/>
    <w:rPr>
      <w:vertAlign w:val="superscript"/>
    </w:rPr>
  </w:style>
  <w:style w:type="character" w:styleId="976" w:customStyle="1">
    <w:name w:val="Символ концевой сноски"/>
    <w:basedOn w:val="920"/>
    <w:link w:val="975"/>
    <w:rPr>
      <w:vertAlign w:val="superscript"/>
    </w:rPr>
  </w:style>
  <w:style w:type="paragraph" w:styleId="977" w:customStyle="1">
    <w:name w:val="Font Style27"/>
    <w:basedOn w:val="1070"/>
    <w:link w:val="978"/>
    <w:rPr>
      <w:b/>
      <w:sz w:val="22"/>
    </w:rPr>
  </w:style>
  <w:style w:type="character" w:styleId="978" w:customStyle="1">
    <w:name w:val="Font Style27"/>
    <w:basedOn w:val="920"/>
    <w:link w:val="977"/>
    <w:rPr>
      <w:rFonts w:ascii="Times New Roman" w:hAnsi="Times New Roman"/>
      <w:b/>
      <w:sz w:val="22"/>
    </w:rPr>
  </w:style>
  <w:style w:type="paragraph" w:styleId="979" w:customStyle="1">
    <w:name w:val="Заголовок 3 Знак"/>
    <w:basedOn w:val="1070"/>
    <w:link w:val="980"/>
    <w:rPr>
      <w:rFonts w:ascii="Arial" w:hAnsi="Arial"/>
      <w:b/>
      <w:sz w:val="24"/>
    </w:rPr>
  </w:style>
  <w:style w:type="character" w:styleId="980" w:customStyle="1">
    <w:name w:val="Заголовок 3 Знак"/>
    <w:basedOn w:val="920"/>
    <w:link w:val="979"/>
    <w:rPr>
      <w:rFonts w:ascii="Arial" w:hAnsi="Arial"/>
      <w:b/>
      <w:sz w:val="24"/>
    </w:rPr>
  </w:style>
  <w:style w:type="paragraph" w:styleId="981" w:customStyle="1">
    <w:name w:val="Обычный1"/>
    <w:link w:val="982"/>
    <w:pPr>
      <w:jc w:val="both"/>
      <w:widowControl w:val="off"/>
    </w:pPr>
    <w:rPr>
      <w:rFonts w:ascii="Arial" w:hAnsi="Arial"/>
      <w:spacing w:val="-5"/>
      <w:sz w:val="25"/>
    </w:rPr>
  </w:style>
  <w:style w:type="character" w:styleId="982" w:customStyle="1">
    <w:name w:val="Обычный1"/>
    <w:link w:val="981"/>
    <w:rPr>
      <w:rFonts w:ascii="Arial" w:hAnsi="Arial"/>
      <w:color w:val="000000"/>
      <w:spacing w:val="-5"/>
      <w:sz w:val="25"/>
    </w:rPr>
  </w:style>
  <w:style w:type="paragraph" w:styleId="983" w:customStyle="1">
    <w:name w:val="s_1"/>
    <w:basedOn w:val="912"/>
    <w:link w:val="984"/>
    <w:pPr>
      <w:ind w:firstLine="720"/>
      <w:spacing w:after="0"/>
    </w:pPr>
    <w:rPr>
      <w:rFonts w:ascii="Arial" w:hAnsi="Arial"/>
      <w:sz w:val="28"/>
    </w:rPr>
  </w:style>
  <w:style w:type="character" w:styleId="984" w:customStyle="1">
    <w:name w:val="s_1"/>
    <w:basedOn w:val="923"/>
    <w:link w:val="983"/>
    <w:rPr>
      <w:rFonts w:ascii="Arial" w:hAnsi="Arial"/>
      <w:color w:val="000000"/>
      <w:sz w:val="28"/>
    </w:rPr>
  </w:style>
  <w:style w:type="paragraph" w:styleId="985" w:customStyle="1">
    <w:name w:val="Font Style28"/>
    <w:basedOn w:val="1070"/>
    <w:link w:val="986"/>
    <w:rPr>
      <w:b/>
      <w:sz w:val="34"/>
    </w:rPr>
  </w:style>
  <w:style w:type="character" w:styleId="986" w:customStyle="1">
    <w:name w:val="Font Style28"/>
    <w:basedOn w:val="920"/>
    <w:link w:val="985"/>
    <w:rPr>
      <w:rFonts w:ascii="Times New Roman" w:hAnsi="Times New Roman"/>
      <w:b/>
      <w:sz w:val="34"/>
    </w:rPr>
  </w:style>
  <w:style w:type="paragraph" w:styleId="987" w:customStyle="1">
    <w:name w:val="Body Text 22"/>
    <w:basedOn w:val="912"/>
    <w:link w:val="988"/>
    <w:pPr>
      <w:spacing w:after="0"/>
    </w:pPr>
    <w:rPr>
      <w:sz w:val="28"/>
    </w:rPr>
  </w:style>
  <w:style w:type="character" w:styleId="988" w:customStyle="1">
    <w:name w:val="Body Text 22"/>
    <w:basedOn w:val="923"/>
    <w:link w:val="987"/>
    <w:rPr>
      <w:rFonts w:ascii="Times New Roman" w:hAnsi="Times New Roman"/>
      <w:color w:val="000000"/>
      <w:sz w:val="28"/>
    </w:rPr>
  </w:style>
  <w:style w:type="paragraph" w:styleId="989">
    <w:name w:val="Body Text Indent 3"/>
    <w:basedOn w:val="912"/>
    <w:link w:val="990"/>
    <w:pPr>
      <w:ind w:left="283"/>
      <w:jc w:val="left"/>
      <w:spacing w:after="120"/>
    </w:pPr>
    <w:rPr>
      <w:sz w:val="16"/>
    </w:rPr>
  </w:style>
  <w:style w:type="character" w:styleId="990" w:customStyle="1">
    <w:name w:val="Основной текст с отступом 3 Знак"/>
    <w:basedOn w:val="923"/>
    <w:link w:val="989"/>
    <w:rPr>
      <w:rFonts w:ascii="Times New Roman" w:hAnsi="Times New Roman"/>
      <w:color w:val="000000"/>
      <w:sz w:val="16"/>
    </w:rPr>
  </w:style>
  <w:style w:type="paragraph" w:styleId="991">
    <w:name w:val="Body Text Indent 2"/>
    <w:basedOn w:val="912"/>
    <w:link w:val="992"/>
    <w:pPr>
      <w:ind w:left="283"/>
      <w:spacing w:after="120" w:line="480" w:lineRule="auto"/>
    </w:pPr>
  </w:style>
  <w:style w:type="character" w:styleId="992" w:customStyle="1">
    <w:name w:val="Основной текст с отступом 2 Знак"/>
    <w:basedOn w:val="923"/>
    <w:link w:val="991"/>
    <w:rPr>
      <w:rFonts w:ascii="Times New Roman" w:hAnsi="Times New Roman"/>
      <w:color w:val="000000"/>
      <w:sz w:val="24"/>
    </w:rPr>
  </w:style>
  <w:style w:type="paragraph" w:styleId="993" w:customStyle="1">
    <w:name w:val="Заголовок 1 Знак1"/>
    <w:basedOn w:val="1070"/>
    <w:link w:val="994"/>
    <w:rPr>
      <w:b/>
      <w:sz w:val="36"/>
    </w:rPr>
  </w:style>
  <w:style w:type="character" w:styleId="994" w:customStyle="1">
    <w:name w:val="Заголовок 1 Знак1"/>
    <w:basedOn w:val="920"/>
    <w:link w:val="993"/>
    <w:rPr>
      <w:b/>
      <w:sz w:val="36"/>
    </w:rPr>
  </w:style>
  <w:style w:type="paragraph" w:styleId="995">
    <w:name w:val="index heading"/>
    <w:basedOn w:val="912"/>
    <w:link w:val="996"/>
  </w:style>
  <w:style w:type="character" w:styleId="996" w:customStyle="1">
    <w:name w:val="Указатель Знак"/>
    <w:basedOn w:val="923"/>
    <w:link w:val="995"/>
    <w:rPr>
      <w:rFonts w:ascii="Times New Roman" w:hAnsi="Times New Roman"/>
      <w:color w:val="000000"/>
      <w:sz w:val="24"/>
    </w:rPr>
  </w:style>
  <w:style w:type="paragraph" w:styleId="997" w:customStyle="1">
    <w:name w:val="Знак"/>
    <w:basedOn w:val="912"/>
    <w:link w:val="998"/>
    <w:pPr>
      <w:jc w:val="left"/>
      <w:spacing w:after="160" w:line="240" w:lineRule="exact"/>
    </w:pPr>
    <w:rPr>
      <w:sz w:val="20"/>
    </w:rPr>
  </w:style>
  <w:style w:type="character" w:styleId="998" w:customStyle="1">
    <w:name w:val="Знак"/>
    <w:basedOn w:val="923"/>
    <w:link w:val="997"/>
    <w:rPr>
      <w:rFonts w:ascii="Times New Roman" w:hAnsi="Times New Roman"/>
      <w:color w:val="000000"/>
      <w:sz w:val="20"/>
    </w:rPr>
  </w:style>
  <w:style w:type="paragraph" w:styleId="999">
    <w:name w:val="annotation subject"/>
    <w:basedOn w:val="1055"/>
    <w:next w:val="1055"/>
    <w:link w:val="1000"/>
    <w:rPr>
      <w:b/>
    </w:rPr>
  </w:style>
  <w:style w:type="character" w:styleId="1000" w:customStyle="1">
    <w:name w:val="Тема примечания Знак"/>
    <w:basedOn w:val="1056"/>
    <w:link w:val="999"/>
    <w:rPr>
      <w:rFonts w:ascii="Times New Roman" w:hAnsi="Times New Roman"/>
      <w:b/>
      <w:color w:val="000000"/>
      <w:sz w:val="20"/>
    </w:rPr>
  </w:style>
  <w:style w:type="paragraph" w:styleId="1001" w:customStyle="1">
    <w:name w:val="Текст концевой сноски Знак"/>
    <w:basedOn w:val="1070"/>
    <w:link w:val="1002"/>
  </w:style>
  <w:style w:type="character" w:styleId="1002" w:customStyle="1">
    <w:name w:val="Текст концевой сноски Знак"/>
    <w:basedOn w:val="920"/>
    <w:link w:val="1001"/>
    <w:rPr>
      <w:sz w:val="20"/>
    </w:rPr>
  </w:style>
  <w:style w:type="paragraph" w:styleId="1003" w:customStyle="1">
    <w:name w:val="Font Style76"/>
    <w:link w:val="1004"/>
    <w:rPr>
      <w:sz w:val="22"/>
    </w:rPr>
  </w:style>
  <w:style w:type="character" w:styleId="1004" w:customStyle="1">
    <w:name w:val="Font Style76"/>
    <w:link w:val="1003"/>
    <w:rPr>
      <w:rFonts w:ascii="Times New Roman" w:hAnsi="Times New Roman"/>
      <w:sz w:val="22"/>
    </w:rPr>
  </w:style>
  <w:style w:type="paragraph" w:styleId="1005">
    <w:name w:val="No Spacing"/>
    <w:link w:val="1006"/>
    <w:pPr>
      <w:jc w:val="both"/>
    </w:pPr>
    <w:rPr>
      <w:sz w:val="24"/>
    </w:rPr>
  </w:style>
  <w:style w:type="character" w:styleId="1006" w:customStyle="1">
    <w:name w:val="Без интервала Знак"/>
    <w:link w:val="1005"/>
    <w:rPr>
      <w:rFonts w:ascii="Times New Roman" w:hAnsi="Times New Roman"/>
      <w:color w:val="000000"/>
      <w:sz w:val="24"/>
    </w:rPr>
  </w:style>
  <w:style w:type="paragraph" w:styleId="1007" w:customStyle="1">
    <w:name w:val="highlightsearch4"/>
    <w:basedOn w:val="1070"/>
    <w:link w:val="1008"/>
  </w:style>
  <w:style w:type="character" w:styleId="1008" w:customStyle="1">
    <w:name w:val="highlightsearch4"/>
    <w:basedOn w:val="920"/>
    <w:link w:val="1007"/>
  </w:style>
  <w:style w:type="paragraph" w:styleId="1009" w:customStyle="1">
    <w:name w:val="Знак примечания1"/>
    <w:basedOn w:val="1070"/>
    <w:link w:val="1010"/>
    <w:rPr>
      <w:sz w:val="16"/>
    </w:rPr>
  </w:style>
  <w:style w:type="character" w:styleId="1010">
    <w:name w:val="annotation reference"/>
    <w:basedOn w:val="920"/>
    <w:link w:val="1009"/>
    <w:rPr>
      <w:sz w:val="16"/>
    </w:rPr>
  </w:style>
  <w:style w:type="paragraph" w:styleId="1011" w:customStyle="1">
    <w:name w:val="Обычный таблица"/>
    <w:basedOn w:val="912"/>
    <w:link w:val="1012"/>
    <w:pPr>
      <w:jc w:val="left"/>
      <w:spacing w:after="0"/>
    </w:pPr>
    <w:rPr>
      <w:sz w:val="18"/>
    </w:rPr>
  </w:style>
  <w:style w:type="character" w:styleId="1012" w:customStyle="1">
    <w:name w:val="Обычный таблица"/>
    <w:basedOn w:val="923"/>
    <w:link w:val="1011"/>
    <w:rPr>
      <w:rFonts w:ascii="Times New Roman" w:hAnsi="Times New Roman"/>
      <w:color w:val="000000"/>
      <w:sz w:val="18"/>
    </w:rPr>
  </w:style>
  <w:style w:type="paragraph" w:styleId="1013">
    <w:name w:val="Header"/>
    <w:basedOn w:val="912"/>
    <w:link w:val="1014"/>
    <w:pPr>
      <w:tabs>
        <w:tab w:val="center" w:pos="4677" w:leader="none"/>
        <w:tab w:val="right" w:pos="9355" w:leader="none"/>
      </w:tabs>
    </w:pPr>
  </w:style>
  <w:style w:type="character" w:styleId="1014" w:customStyle="1">
    <w:name w:val="Верхний колонтитул Знак1"/>
    <w:basedOn w:val="923"/>
    <w:link w:val="1013"/>
    <w:rPr>
      <w:rFonts w:ascii="Times New Roman" w:hAnsi="Times New Roman"/>
      <w:color w:val="000000"/>
      <w:sz w:val="24"/>
    </w:rPr>
  </w:style>
  <w:style w:type="paragraph" w:styleId="1015">
    <w:name w:val="Document Map"/>
    <w:basedOn w:val="912"/>
    <w:link w:val="1016"/>
    <w:rPr>
      <w:rFonts w:ascii="Tahoma" w:hAnsi="Tahoma"/>
      <w:sz w:val="20"/>
    </w:rPr>
  </w:style>
  <w:style w:type="character" w:styleId="1016" w:customStyle="1">
    <w:name w:val="Схема документа Знак"/>
    <w:basedOn w:val="923"/>
    <w:link w:val="1015"/>
    <w:rPr>
      <w:rFonts w:ascii="Tahoma" w:hAnsi="Tahoma"/>
      <w:color w:val="000000"/>
      <w:sz w:val="20"/>
    </w:rPr>
  </w:style>
  <w:style w:type="paragraph" w:styleId="1017">
    <w:name w:val="List Number 2"/>
    <w:basedOn w:val="912"/>
    <w:link w:val="1018"/>
    <w:pPr>
      <w:ind w:left="432" w:hanging="432"/>
      <w:tabs>
        <w:tab w:val="left" w:pos="432" w:leader="none"/>
      </w:tabs>
    </w:pPr>
  </w:style>
  <w:style w:type="character" w:styleId="1018" w:customStyle="1">
    <w:name w:val="Нумерованный список 2 Знак"/>
    <w:basedOn w:val="923"/>
    <w:link w:val="1017"/>
    <w:rPr>
      <w:rFonts w:ascii="Times New Roman" w:hAnsi="Times New Roman"/>
      <w:color w:val="000000"/>
      <w:sz w:val="24"/>
    </w:rPr>
  </w:style>
  <w:style w:type="paragraph" w:styleId="1019" w:customStyle="1">
    <w:name w:val="s_9"/>
    <w:basedOn w:val="912"/>
    <w:link w:val="1020"/>
    <w:pPr>
      <w:spacing w:after="0"/>
    </w:pPr>
    <w:rPr>
      <w:rFonts w:ascii="Arial" w:hAnsi="Arial"/>
      <w:color w:val="353842"/>
      <w:sz w:val="26"/>
    </w:rPr>
  </w:style>
  <w:style w:type="character" w:styleId="1020" w:customStyle="1">
    <w:name w:val="s_9"/>
    <w:basedOn w:val="923"/>
    <w:link w:val="1019"/>
    <w:rPr>
      <w:rFonts w:ascii="Arial" w:hAnsi="Arial"/>
      <w:color w:val="353842"/>
      <w:sz w:val="26"/>
    </w:rPr>
  </w:style>
  <w:style w:type="paragraph" w:styleId="1021" w:customStyle="1">
    <w:name w:val="Font Style45 + не полужирный"/>
    <w:basedOn w:val="912"/>
    <w:link w:val="1022"/>
    <w:pPr>
      <w:spacing w:after="0"/>
      <w:widowControl w:val="off"/>
    </w:pPr>
    <w:rPr>
      <w:sz w:val="20"/>
    </w:rPr>
  </w:style>
  <w:style w:type="character" w:styleId="1022" w:customStyle="1">
    <w:name w:val="Font Style45 + не полужирный"/>
    <w:basedOn w:val="923"/>
    <w:link w:val="1021"/>
    <w:rPr>
      <w:rFonts w:ascii="Times New Roman" w:hAnsi="Times New Roman"/>
      <w:color w:val="000000"/>
      <w:sz w:val="20"/>
    </w:rPr>
  </w:style>
  <w:style w:type="paragraph" w:styleId="1023">
    <w:name w:val="toc 3"/>
    <w:basedOn w:val="912"/>
    <w:next w:val="912"/>
    <w:link w:val="1024"/>
    <w:uiPriority w:val="39"/>
    <w:pPr>
      <w:ind w:left="480"/>
    </w:pPr>
  </w:style>
  <w:style w:type="character" w:styleId="1024" w:customStyle="1">
    <w:name w:val="Оглавление 3 Знак"/>
    <w:basedOn w:val="923"/>
    <w:link w:val="1023"/>
    <w:rPr>
      <w:rFonts w:ascii="Times New Roman" w:hAnsi="Times New Roman"/>
      <w:color w:val="000000"/>
      <w:sz w:val="24"/>
    </w:rPr>
  </w:style>
  <w:style w:type="paragraph" w:styleId="1025" w:customStyle="1">
    <w:name w:val="posthilit1"/>
    <w:basedOn w:val="1070"/>
    <w:link w:val="1026"/>
    <w:rPr>
      <w:highlight w:val="yellow"/>
    </w:rPr>
  </w:style>
  <w:style w:type="character" w:styleId="1026" w:customStyle="1">
    <w:name w:val="posthilit1"/>
    <w:basedOn w:val="920"/>
    <w:link w:val="1025"/>
    <w:rPr>
      <w:highlight w:val="yellow"/>
    </w:rPr>
  </w:style>
  <w:style w:type="paragraph" w:styleId="1027" w:customStyle="1">
    <w:name w:val="Заголовок статьи"/>
    <w:basedOn w:val="912"/>
    <w:next w:val="912"/>
    <w:link w:val="1028"/>
    <w:pPr>
      <w:ind w:left="1612" w:hanging="892"/>
      <w:spacing w:after="0"/>
    </w:pPr>
    <w:rPr>
      <w:rFonts w:ascii="Arial" w:hAnsi="Arial"/>
    </w:rPr>
  </w:style>
  <w:style w:type="character" w:styleId="1028" w:customStyle="1">
    <w:name w:val="Заголовок статьи"/>
    <w:basedOn w:val="923"/>
    <w:link w:val="1027"/>
    <w:rPr>
      <w:rFonts w:ascii="Arial" w:hAnsi="Arial"/>
      <w:color w:val="000000"/>
      <w:sz w:val="24"/>
    </w:rPr>
  </w:style>
  <w:style w:type="paragraph" w:styleId="1029" w:customStyle="1">
    <w:name w:val="Номер страницы1"/>
    <w:basedOn w:val="1070"/>
    <w:link w:val="1030"/>
  </w:style>
  <w:style w:type="character" w:styleId="1030">
    <w:name w:val="page number"/>
    <w:basedOn w:val="920"/>
    <w:link w:val="1029"/>
  </w:style>
  <w:style w:type="paragraph" w:styleId="1031" w:customStyle="1">
    <w:name w:val="Style5"/>
    <w:basedOn w:val="912"/>
    <w:link w:val="1032"/>
    <w:pPr>
      <w:ind w:hanging="115"/>
      <w:jc w:val="left"/>
      <w:spacing w:after="0" w:line="298" w:lineRule="exact"/>
      <w:widowControl w:val="off"/>
    </w:pPr>
    <w:rPr>
      <w:sz w:val="20"/>
    </w:rPr>
  </w:style>
  <w:style w:type="character" w:styleId="1032" w:customStyle="1">
    <w:name w:val="Style5"/>
    <w:basedOn w:val="923"/>
    <w:link w:val="1031"/>
    <w:rPr>
      <w:rFonts w:ascii="Times New Roman" w:hAnsi="Times New Roman"/>
      <w:color w:val="000000"/>
      <w:sz w:val="20"/>
    </w:rPr>
  </w:style>
  <w:style w:type="paragraph" w:styleId="1033">
    <w:name w:val="Caption"/>
    <w:basedOn w:val="912"/>
    <w:link w:val="1034"/>
    <w:pPr>
      <w:spacing w:before="120" w:after="120"/>
    </w:pPr>
    <w:rPr>
      <w:i/>
    </w:rPr>
  </w:style>
  <w:style w:type="character" w:styleId="1034" w:customStyle="1">
    <w:name w:val="Название объекта Знак"/>
    <w:basedOn w:val="923"/>
    <w:link w:val="1033"/>
    <w:rPr>
      <w:rFonts w:ascii="Times New Roman" w:hAnsi="Times New Roman"/>
      <w:i/>
      <w:color w:val="000000"/>
      <w:sz w:val="24"/>
    </w:rPr>
  </w:style>
  <w:style w:type="paragraph" w:styleId="1035" w:customStyle="1">
    <w:name w:val="Основной текст Знак1"/>
    <w:basedOn w:val="1070"/>
    <w:link w:val="1036"/>
    <w:rPr>
      <w:sz w:val="24"/>
    </w:rPr>
  </w:style>
  <w:style w:type="character" w:styleId="1036" w:customStyle="1">
    <w:name w:val="Основной текст Знак1"/>
    <w:basedOn w:val="920"/>
    <w:link w:val="1035"/>
    <w:rPr>
      <w:sz w:val="24"/>
    </w:rPr>
  </w:style>
  <w:style w:type="paragraph" w:styleId="1037" w:customStyle="1">
    <w:name w:val="Font Style45"/>
    <w:basedOn w:val="1070"/>
    <w:link w:val="1038"/>
    <w:rPr>
      <w:sz w:val="22"/>
    </w:rPr>
  </w:style>
  <w:style w:type="character" w:styleId="1038" w:customStyle="1">
    <w:name w:val="Font Style45"/>
    <w:basedOn w:val="920"/>
    <w:link w:val="1037"/>
    <w:rPr>
      <w:rFonts w:ascii="Times New Roman" w:hAnsi="Times New Roman"/>
      <w:sz w:val="22"/>
    </w:rPr>
  </w:style>
  <w:style w:type="paragraph" w:styleId="1039" w:customStyle="1">
    <w:name w:val="caption1"/>
    <w:basedOn w:val="912"/>
    <w:next w:val="912"/>
    <w:link w:val="1040"/>
    <w:rPr>
      <w:b/>
      <w:sz w:val="20"/>
    </w:rPr>
  </w:style>
  <w:style w:type="character" w:styleId="1040" w:customStyle="1">
    <w:name w:val="caption1"/>
    <w:basedOn w:val="923"/>
    <w:link w:val="1039"/>
    <w:rPr>
      <w:rFonts w:ascii="Times New Roman" w:hAnsi="Times New Roman"/>
      <w:b/>
      <w:color w:val="000000"/>
      <w:sz w:val="20"/>
    </w:rPr>
  </w:style>
  <w:style w:type="paragraph" w:styleId="1041" w:customStyle="1">
    <w:name w:val=".HEADERTEXT"/>
    <w:link w:val="1042"/>
    <w:pPr>
      <w:widowControl w:val="off"/>
    </w:pPr>
    <w:rPr>
      <w:color w:val="2b4279"/>
      <w:sz w:val="24"/>
    </w:rPr>
  </w:style>
  <w:style w:type="character" w:styleId="1042" w:customStyle="1">
    <w:name w:val=".HEADERTEXT"/>
    <w:link w:val="1041"/>
    <w:rPr>
      <w:rFonts w:ascii="Times New Roman" w:hAnsi="Times New Roman"/>
      <w:color w:val="2b4279"/>
      <w:sz w:val="24"/>
    </w:rPr>
  </w:style>
  <w:style w:type="paragraph" w:styleId="1043" w:customStyle="1">
    <w:name w:val="Цветовое выделение"/>
    <w:link w:val="1044"/>
    <w:rPr>
      <w:b/>
      <w:color w:val="26282f"/>
    </w:rPr>
  </w:style>
  <w:style w:type="character" w:styleId="1044" w:customStyle="1">
    <w:name w:val="Цветовое выделение"/>
    <w:link w:val="1043"/>
    <w:rPr>
      <w:b/>
      <w:color w:val="26282f"/>
    </w:rPr>
  </w:style>
  <w:style w:type="paragraph" w:styleId="1045" w:customStyle="1">
    <w:name w:val="Знак Знак2 Char Char Знак Знак Char Char Знак Знак Char Char Знак Знак Char Char Знак Знак Char Char Знак Знак Char Char Знак Знак Char Char Знак Знак Char Char"/>
    <w:basedOn w:val="912"/>
    <w:link w:val="1046"/>
    <w:pPr>
      <w:jc w:val="left"/>
      <w:spacing w:beforeAutospacing="1" w:afterAutospacing="1"/>
    </w:pPr>
    <w:rPr>
      <w:rFonts w:ascii="Tahoma" w:hAnsi="Tahoma"/>
      <w:sz w:val="20"/>
    </w:rPr>
  </w:style>
  <w:style w:type="character" w:styleId="1046" w:customStyle="1">
    <w:name w:val="Знак Знак2 Char Char Знак Знак Char Char Знак Знак Char Char Знак Знак Char Char Знак Знак Char Char Знак Знак Char Char Знак Знак Char Char Знак Знак Char Char"/>
    <w:basedOn w:val="923"/>
    <w:link w:val="1045"/>
    <w:rPr>
      <w:rFonts w:ascii="Tahoma" w:hAnsi="Tahoma"/>
      <w:color w:val="000000"/>
      <w:sz w:val="20"/>
    </w:rPr>
  </w:style>
  <w:style w:type="paragraph" w:styleId="1047" w:customStyle="1">
    <w:name w:val="Гипертекстовая ссылка"/>
    <w:basedOn w:val="1070"/>
    <w:link w:val="1048"/>
    <w:rPr>
      <w:color w:val="106bbe"/>
    </w:rPr>
  </w:style>
  <w:style w:type="character" w:styleId="1048" w:customStyle="1">
    <w:name w:val="Гипертекстовая ссылка"/>
    <w:basedOn w:val="920"/>
    <w:link w:val="1047"/>
    <w:rPr>
      <w:color w:val="106bbe"/>
    </w:rPr>
  </w:style>
  <w:style w:type="character" w:styleId="1049" w:customStyle="1">
    <w:name w:val="Заголовок 5 Знак1"/>
    <w:basedOn w:val="923"/>
    <w:link w:val="917"/>
    <w:rPr>
      <w:rFonts w:ascii="Times New Roman" w:hAnsi="Times New Roman"/>
      <w:b/>
      <w:i/>
      <w:color w:val="000000"/>
      <w:sz w:val="26"/>
    </w:rPr>
  </w:style>
  <w:style w:type="paragraph" w:styleId="1050">
    <w:name w:val="Balloon Text"/>
    <w:basedOn w:val="912"/>
    <w:link w:val="1051"/>
    <w:rPr>
      <w:rFonts w:ascii="Tahoma" w:hAnsi="Tahoma"/>
      <w:sz w:val="16"/>
    </w:rPr>
  </w:style>
  <w:style w:type="character" w:styleId="1051" w:customStyle="1">
    <w:name w:val="Текст выноски Знак"/>
    <w:basedOn w:val="923"/>
    <w:link w:val="1050"/>
    <w:rPr>
      <w:rFonts w:ascii="Tahoma" w:hAnsi="Tahoma"/>
      <w:color w:val="000000"/>
      <w:sz w:val="16"/>
    </w:rPr>
  </w:style>
  <w:style w:type="character" w:styleId="1052" w:customStyle="1">
    <w:name w:val="Заголовок 1 Знак2"/>
    <w:basedOn w:val="923"/>
    <w:link w:val="913"/>
    <w:rPr>
      <w:rFonts w:ascii="Times New Roman" w:hAnsi="Times New Roman"/>
      <w:b/>
      <w:color w:val="000000"/>
      <w:sz w:val="36"/>
    </w:rPr>
  </w:style>
  <w:style w:type="paragraph" w:styleId="1053" w:customStyle="1">
    <w:name w:val="Стиль1"/>
    <w:basedOn w:val="912"/>
    <w:link w:val="1054"/>
    <w:pPr>
      <w:numPr>
        <w:ilvl w:val="0"/>
        <w:numId w:val="1"/>
      </w:numPr>
      <w:keepLines/>
      <w:keepNext/>
      <w:widowControl w:val="off"/>
    </w:pPr>
    <w:rPr>
      <w:b/>
      <w:sz w:val="28"/>
    </w:rPr>
  </w:style>
  <w:style w:type="character" w:styleId="1054" w:customStyle="1">
    <w:name w:val="Стиль1"/>
    <w:basedOn w:val="923"/>
    <w:link w:val="1053"/>
    <w:rPr>
      <w:rFonts w:ascii="Times New Roman" w:hAnsi="Times New Roman"/>
      <w:b/>
      <w:color w:val="000000"/>
      <w:sz w:val="28"/>
    </w:rPr>
  </w:style>
  <w:style w:type="paragraph" w:styleId="1055">
    <w:name w:val="annotation text"/>
    <w:basedOn w:val="912"/>
    <w:link w:val="1056"/>
    <w:rPr>
      <w:sz w:val="20"/>
    </w:rPr>
  </w:style>
  <w:style w:type="character" w:styleId="1056" w:customStyle="1">
    <w:name w:val="Текст примечания Знак"/>
    <w:basedOn w:val="923"/>
    <w:link w:val="1055"/>
    <w:rPr>
      <w:rFonts w:ascii="Times New Roman" w:hAnsi="Times New Roman"/>
      <w:color w:val="000000"/>
      <w:sz w:val="20"/>
    </w:rPr>
  </w:style>
  <w:style w:type="paragraph" w:styleId="1057" w:customStyle="1">
    <w:name w:val="indent_1"/>
    <w:basedOn w:val="912"/>
    <w:link w:val="1058"/>
    <w:pPr>
      <w:jc w:val="left"/>
      <w:spacing w:beforeAutospacing="1" w:afterAutospacing="1"/>
    </w:pPr>
  </w:style>
  <w:style w:type="character" w:styleId="1058" w:customStyle="1">
    <w:name w:val="indent_1"/>
    <w:basedOn w:val="923"/>
    <w:link w:val="1057"/>
    <w:rPr>
      <w:rFonts w:ascii="Times New Roman" w:hAnsi="Times New Roman"/>
      <w:color w:val="000000"/>
      <w:sz w:val="24"/>
    </w:rPr>
  </w:style>
  <w:style w:type="paragraph" w:styleId="1059" w:customStyle="1">
    <w:name w:val="s_22"/>
    <w:basedOn w:val="912"/>
    <w:link w:val="1060"/>
    <w:pPr>
      <w:ind w:firstLine="140"/>
      <w:spacing w:after="0"/>
    </w:pPr>
    <w:rPr>
      <w:rFonts w:ascii="Arial" w:hAnsi="Arial"/>
      <w:i/>
      <w:color w:val="353842"/>
      <w:sz w:val="26"/>
    </w:rPr>
  </w:style>
  <w:style w:type="character" w:styleId="1060" w:customStyle="1">
    <w:name w:val="s_22"/>
    <w:basedOn w:val="923"/>
    <w:link w:val="1059"/>
    <w:rPr>
      <w:rFonts w:ascii="Arial" w:hAnsi="Arial"/>
      <w:i/>
      <w:color w:val="353842"/>
      <w:sz w:val="26"/>
    </w:rPr>
  </w:style>
  <w:style w:type="paragraph" w:styleId="1061" w:customStyle="1">
    <w:name w:val="Гиперссылка1"/>
    <w:basedOn w:val="1070"/>
    <w:link w:val="1062"/>
    <w:rPr>
      <w:color w:val="0000ff"/>
      <w:u w:val="single"/>
    </w:rPr>
  </w:style>
  <w:style w:type="character" w:styleId="1062">
    <w:name w:val="Hyperlink"/>
    <w:basedOn w:val="920"/>
    <w:link w:val="1061"/>
    <w:rPr>
      <w:color w:val="0000ff"/>
      <w:u w:val="single"/>
    </w:rPr>
  </w:style>
  <w:style w:type="paragraph" w:styleId="1063" w:customStyle="1">
    <w:name w:val="Footnote"/>
    <w:basedOn w:val="912"/>
    <w:link w:val="1064"/>
    <w:rPr>
      <w:sz w:val="20"/>
    </w:rPr>
  </w:style>
  <w:style w:type="character" w:styleId="1064" w:customStyle="1">
    <w:name w:val="Footnote"/>
    <w:basedOn w:val="923"/>
    <w:link w:val="1063"/>
    <w:rPr>
      <w:rFonts w:ascii="Times New Roman" w:hAnsi="Times New Roman"/>
      <w:color w:val="000000"/>
      <w:sz w:val="20"/>
    </w:rPr>
  </w:style>
  <w:style w:type="character" w:styleId="1065" w:customStyle="1">
    <w:name w:val="Заголовок 8 Знак1"/>
    <w:basedOn w:val="923"/>
    <w:link w:val="919"/>
    <w:rPr>
      <w:rFonts w:ascii="Times New Roman" w:hAnsi="Times New Roman"/>
      <w:i/>
      <w:color w:val="000000"/>
      <w:sz w:val="24"/>
    </w:rPr>
  </w:style>
  <w:style w:type="paragraph" w:styleId="1066">
    <w:name w:val="toc 1"/>
    <w:basedOn w:val="912"/>
    <w:next w:val="912"/>
    <w:link w:val="1067"/>
    <w:uiPriority w:val="39"/>
    <w:pPr>
      <w:jc w:val="left"/>
      <w:spacing w:before="120" w:after="120"/>
    </w:pPr>
    <w:rPr>
      <w:b/>
      <w:caps/>
      <w:sz w:val="20"/>
    </w:rPr>
  </w:style>
  <w:style w:type="character" w:styleId="1067" w:customStyle="1">
    <w:name w:val="Оглавление 1 Знак"/>
    <w:basedOn w:val="923"/>
    <w:link w:val="1066"/>
    <w:rPr>
      <w:rFonts w:ascii="Times New Roman" w:hAnsi="Times New Roman"/>
      <w:b/>
      <w:caps/>
      <w:color w:val="000000"/>
      <w:sz w:val="20"/>
    </w:rPr>
  </w:style>
  <w:style w:type="paragraph" w:styleId="1068">
    <w:name w:val="Normal (Web)"/>
    <w:basedOn w:val="912"/>
    <w:link w:val="1069"/>
    <w:pPr>
      <w:jc w:val="left"/>
      <w:spacing w:beforeAutospacing="1" w:afterAutospacing="1"/>
    </w:pPr>
  </w:style>
  <w:style w:type="character" w:styleId="1069" w:customStyle="1">
    <w:name w:val="Обычный (Интернет) Знак"/>
    <w:basedOn w:val="923"/>
    <w:link w:val="1068"/>
    <w:rPr>
      <w:rFonts w:ascii="Times New Roman" w:hAnsi="Times New Roman"/>
      <w:color w:val="000000"/>
      <w:sz w:val="24"/>
    </w:rPr>
  </w:style>
  <w:style w:type="paragraph" w:styleId="1070" w:customStyle="1">
    <w:name w:val="Основной шрифт абзаца1"/>
  </w:style>
  <w:style w:type="paragraph" w:styleId="1071" w:customStyle="1">
    <w:name w:val="Нижний колонтитул Знак"/>
    <w:basedOn w:val="1070"/>
    <w:link w:val="1072"/>
    <w:rPr>
      <w:sz w:val="24"/>
    </w:rPr>
  </w:style>
  <w:style w:type="character" w:styleId="1072" w:customStyle="1">
    <w:name w:val="Нижний колонтитул Знак"/>
    <w:basedOn w:val="920"/>
    <w:link w:val="1071"/>
    <w:rPr>
      <w:sz w:val="24"/>
    </w:rPr>
  </w:style>
  <w:style w:type="paragraph" w:styleId="1073" w:customStyle="1">
    <w:name w:val="Header and Footer"/>
    <w:link w:val="1074"/>
    <w:pPr>
      <w:jc w:val="both"/>
    </w:pPr>
    <w:rPr>
      <w:rFonts w:ascii="XO Thames" w:hAnsi="XO Thames"/>
      <w:sz w:val="28"/>
    </w:rPr>
  </w:style>
  <w:style w:type="character" w:styleId="1074" w:customStyle="1">
    <w:name w:val="Header and Footer"/>
    <w:link w:val="1073"/>
    <w:rPr>
      <w:rFonts w:ascii="XO Thames" w:hAnsi="XO Thames"/>
      <w:sz w:val="28"/>
    </w:rPr>
  </w:style>
  <w:style w:type="paragraph" w:styleId="1075">
    <w:name w:val="toc 9"/>
    <w:next w:val="912"/>
    <w:link w:val="1076"/>
    <w:uiPriority w:val="39"/>
    <w:pPr>
      <w:ind w:left="1600"/>
    </w:pPr>
    <w:rPr>
      <w:rFonts w:ascii="XO Thames" w:hAnsi="XO Thames"/>
      <w:sz w:val="28"/>
    </w:rPr>
  </w:style>
  <w:style w:type="character" w:styleId="1076" w:customStyle="1">
    <w:name w:val="Оглавление 9 Знак"/>
    <w:link w:val="1075"/>
    <w:rPr>
      <w:rFonts w:ascii="XO Thames" w:hAnsi="XO Thames"/>
      <w:sz w:val="28"/>
    </w:rPr>
  </w:style>
  <w:style w:type="paragraph" w:styleId="1077" w:customStyle="1">
    <w:name w:val="Просмотренная гиперссылка1"/>
    <w:basedOn w:val="1070"/>
    <w:link w:val="1078"/>
    <w:rPr>
      <w:color w:val="800080"/>
      <w:u w:val="single"/>
    </w:rPr>
  </w:style>
  <w:style w:type="character" w:styleId="1078">
    <w:name w:val="FollowedHyperlink"/>
    <w:basedOn w:val="920"/>
    <w:link w:val="1077"/>
    <w:rPr>
      <w:color w:val="800080"/>
      <w:u w:val="single"/>
    </w:rPr>
  </w:style>
  <w:style w:type="paragraph" w:styleId="1079">
    <w:name w:val="Body Text"/>
    <w:basedOn w:val="912"/>
    <w:link w:val="1080"/>
    <w:pPr>
      <w:spacing w:after="120"/>
    </w:pPr>
  </w:style>
  <w:style w:type="character" w:styleId="1080" w:customStyle="1">
    <w:name w:val="Основной текст Знак"/>
    <w:basedOn w:val="923"/>
    <w:link w:val="1079"/>
    <w:rPr>
      <w:rFonts w:ascii="Times New Roman" w:hAnsi="Times New Roman"/>
      <w:color w:val="000000"/>
      <w:sz w:val="24"/>
    </w:rPr>
  </w:style>
  <w:style w:type="paragraph" w:styleId="1081" w:customStyle="1">
    <w:name w:val="Font Style23"/>
    <w:basedOn w:val="1070"/>
    <w:link w:val="1082"/>
    <w:rPr>
      <w:b/>
      <w:sz w:val="26"/>
    </w:rPr>
  </w:style>
  <w:style w:type="character" w:styleId="1082" w:customStyle="1">
    <w:name w:val="Font Style23"/>
    <w:basedOn w:val="920"/>
    <w:link w:val="1081"/>
    <w:rPr>
      <w:rFonts w:ascii="Times New Roman" w:hAnsi="Times New Roman"/>
      <w:b/>
      <w:sz w:val="26"/>
    </w:rPr>
  </w:style>
  <w:style w:type="paragraph" w:styleId="1083">
    <w:name w:val="List Paragraph"/>
    <w:basedOn w:val="912"/>
    <w:link w:val="1084"/>
    <w:pPr>
      <w:contextualSpacing/>
      <w:ind w:left="720"/>
    </w:pPr>
  </w:style>
  <w:style w:type="character" w:styleId="1084" w:customStyle="1">
    <w:name w:val="Абзац списка Знак"/>
    <w:basedOn w:val="923"/>
    <w:link w:val="1083"/>
    <w:rPr>
      <w:rFonts w:ascii="Times New Roman" w:hAnsi="Times New Roman"/>
      <w:color w:val="000000"/>
      <w:sz w:val="24"/>
    </w:rPr>
  </w:style>
  <w:style w:type="paragraph" w:styleId="1085" w:customStyle="1">
    <w:name w:val="Содержимое врезки"/>
    <w:basedOn w:val="912"/>
    <w:link w:val="1086"/>
  </w:style>
  <w:style w:type="character" w:styleId="1086" w:customStyle="1">
    <w:name w:val="Содержимое врезки"/>
    <w:basedOn w:val="923"/>
    <w:link w:val="1085"/>
    <w:rPr>
      <w:rFonts w:ascii="Times New Roman" w:hAnsi="Times New Roman"/>
      <w:color w:val="000000"/>
      <w:sz w:val="24"/>
    </w:rPr>
  </w:style>
  <w:style w:type="paragraph" w:styleId="1087" w:customStyle="1">
    <w:name w:val="ConsPlusNonformat"/>
    <w:link w:val="1088"/>
    <w:pPr>
      <w:widowControl w:val="off"/>
    </w:pPr>
    <w:rPr>
      <w:rFonts w:ascii="Courier New" w:hAnsi="Courier New"/>
    </w:rPr>
  </w:style>
  <w:style w:type="character" w:styleId="1088" w:customStyle="1">
    <w:name w:val="ConsPlusNonformat"/>
    <w:link w:val="1087"/>
    <w:rPr>
      <w:rFonts w:ascii="Courier New" w:hAnsi="Courier New"/>
      <w:color w:val="000000"/>
      <w:sz w:val="20"/>
    </w:rPr>
  </w:style>
  <w:style w:type="paragraph" w:styleId="1089" w:customStyle="1">
    <w:name w:val="s_91"/>
    <w:basedOn w:val="1070"/>
    <w:link w:val="1090"/>
  </w:style>
  <w:style w:type="character" w:styleId="1090" w:customStyle="1">
    <w:name w:val="s_91"/>
    <w:basedOn w:val="920"/>
    <w:link w:val="1089"/>
  </w:style>
  <w:style w:type="paragraph" w:styleId="1091">
    <w:name w:val="toc 8"/>
    <w:next w:val="912"/>
    <w:link w:val="1092"/>
    <w:uiPriority w:val="39"/>
    <w:pPr>
      <w:ind w:left="1400"/>
    </w:pPr>
    <w:rPr>
      <w:rFonts w:ascii="XO Thames" w:hAnsi="XO Thames"/>
      <w:sz w:val="28"/>
    </w:rPr>
  </w:style>
  <w:style w:type="character" w:styleId="1092" w:customStyle="1">
    <w:name w:val="Оглавление 8 Знак"/>
    <w:link w:val="1091"/>
    <w:rPr>
      <w:rFonts w:ascii="XO Thames" w:hAnsi="XO Thames"/>
      <w:sz w:val="28"/>
    </w:rPr>
  </w:style>
  <w:style w:type="paragraph" w:styleId="1093" w:customStyle="1">
    <w:name w:val="Style8"/>
    <w:basedOn w:val="912"/>
    <w:link w:val="1094"/>
    <w:pPr>
      <w:jc w:val="center"/>
      <w:spacing w:after="0" w:line="278" w:lineRule="exact"/>
      <w:widowControl w:val="off"/>
    </w:pPr>
  </w:style>
  <w:style w:type="character" w:styleId="1094" w:customStyle="1">
    <w:name w:val="Style8"/>
    <w:basedOn w:val="923"/>
    <w:link w:val="1093"/>
    <w:rPr>
      <w:rFonts w:ascii="Times New Roman" w:hAnsi="Times New Roman"/>
      <w:color w:val="000000"/>
      <w:sz w:val="24"/>
    </w:rPr>
  </w:style>
  <w:style w:type="paragraph" w:styleId="1095">
    <w:name w:val="HTML Preformatted"/>
    <w:basedOn w:val="912"/>
    <w:link w:val="1096"/>
    <w:pPr>
      <w:jc w:val="left"/>
      <w:spacing w:after="0"/>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rPr>
  </w:style>
  <w:style w:type="character" w:styleId="1096" w:customStyle="1">
    <w:name w:val="Стандартный HTML Знак"/>
    <w:basedOn w:val="923"/>
    <w:link w:val="1095"/>
    <w:rPr>
      <w:rFonts w:ascii="Courier New" w:hAnsi="Courier New"/>
      <w:color w:val="000000"/>
      <w:sz w:val="20"/>
    </w:rPr>
  </w:style>
  <w:style w:type="paragraph" w:styleId="1097" w:customStyle="1">
    <w:name w:val="Заголовок 4 Знак"/>
    <w:basedOn w:val="1070"/>
    <w:link w:val="1098"/>
    <w:rPr>
      <w:rFonts w:ascii="Calibri" w:hAnsi="Calibri"/>
      <w:b/>
      <w:sz w:val="28"/>
    </w:rPr>
  </w:style>
  <w:style w:type="character" w:styleId="1098" w:customStyle="1">
    <w:name w:val="Заголовок 4 Знак"/>
    <w:basedOn w:val="920"/>
    <w:link w:val="1097"/>
    <w:rPr>
      <w:rFonts w:ascii="Calibri" w:hAnsi="Calibri"/>
      <w:b/>
      <w:sz w:val="28"/>
    </w:rPr>
  </w:style>
  <w:style w:type="paragraph" w:styleId="1099" w:customStyle="1">
    <w:name w:val="xl50"/>
    <w:basedOn w:val="912"/>
    <w:link w:val="1100"/>
    <w:pPr>
      <w:jc w:val="center"/>
      <w:spacing w:before="280" w:after="280"/>
    </w:pPr>
  </w:style>
  <w:style w:type="character" w:styleId="1100" w:customStyle="1">
    <w:name w:val="xl50"/>
    <w:basedOn w:val="923"/>
    <w:link w:val="1099"/>
    <w:rPr>
      <w:rFonts w:ascii="Times New Roman" w:hAnsi="Times New Roman"/>
      <w:color w:val="000000"/>
      <w:sz w:val="24"/>
    </w:rPr>
  </w:style>
  <w:style w:type="paragraph" w:styleId="1101">
    <w:name w:val="Footer"/>
    <w:basedOn w:val="912"/>
    <w:link w:val="1102"/>
    <w:pPr>
      <w:tabs>
        <w:tab w:val="center" w:pos="4677" w:leader="none"/>
        <w:tab w:val="right" w:pos="9355" w:leader="none"/>
      </w:tabs>
    </w:pPr>
  </w:style>
  <w:style w:type="character" w:styleId="1102" w:customStyle="1">
    <w:name w:val="Нижний колонтитул Знак1"/>
    <w:basedOn w:val="923"/>
    <w:link w:val="1101"/>
    <w:rPr>
      <w:rFonts w:ascii="Times New Roman" w:hAnsi="Times New Roman"/>
      <w:color w:val="000000"/>
      <w:sz w:val="24"/>
    </w:rPr>
  </w:style>
  <w:style w:type="paragraph" w:styleId="1103" w:customStyle="1">
    <w:name w:val="link"/>
    <w:basedOn w:val="1070"/>
    <w:link w:val="1104"/>
  </w:style>
  <w:style w:type="character" w:styleId="1104" w:customStyle="1">
    <w:name w:val="link"/>
    <w:basedOn w:val="920"/>
    <w:link w:val="1103"/>
    <w:rPr>
      <w:u w:val="none"/>
    </w:rPr>
  </w:style>
  <w:style w:type="paragraph" w:styleId="1105" w:customStyle="1">
    <w:name w:val="Стиль3 Знак Знак"/>
    <w:basedOn w:val="991"/>
    <w:link w:val="1106"/>
    <w:pPr>
      <w:ind w:left="0"/>
      <w:spacing w:after="0" w:line="240" w:lineRule="auto"/>
      <w:widowControl w:val="off"/>
      <w:tabs>
        <w:tab w:val="left" w:pos="227" w:leader="none"/>
      </w:tabs>
    </w:pPr>
  </w:style>
  <w:style w:type="character" w:styleId="1106" w:customStyle="1">
    <w:name w:val="Стиль3 Знак Знак"/>
    <w:basedOn w:val="992"/>
    <w:link w:val="1105"/>
    <w:rPr>
      <w:rFonts w:ascii="Times New Roman" w:hAnsi="Times New Roman"/>
      <w:color w:val="000000"/>
      <w:sz w:val="24"/>
    </w:rPr>
  </w:style>
  <w:style w:type="paragraph" w:styleId="1107">
    <w:name w:val="toc 5"/>
    <w:next w:val="912"/>
    <w:link w:val="1108"/>
    <w:uiPriority w:val="39"/>
    <w:pPr>
      <w:ind w:left="800"/>
    </w:pPr>
    <w:rPr>
      <w:rFonts w:ascii="XO Thames" w:hAnsi="XO Thames"/>
      <w:sz w:val="28"/>
    </w:rPr>
  </w:style>
  <w:style w:type="character" w:styleId="1108" w:customStyle="1">
    <w:name w:val="Оглавление 5 Знак"/>
    <w:link w:val="1107"/>
    <w:rPr>
      <w:rFonts w:ascii="XO Thames" w:hAnsi="XO Thames"/>
      <w:sz w:val="28"/>
    </w:rPr>
  </w:style>
  <w:style w:type="paragraph" w:styleId="1109" w:customStyle="1">
    <w:name w:val="Текст сноски Знак"/>
    <w:basedOn w:val="1070"/>
    <w:link w:val="1110"/>
  </w:style>
  <w:style w:type="character" w:styleId="1110" w:customStyle="1">
    <w:name w:val="Текст сноски Знак"/>
    <w:basedOn w:val="920"/>
    <w:link w:val="1109"/>
  </w:style>
  <w:style w:type="paragraph" w:styleId="1111" w:customStyle="1">
    <w:name w:val="Заголовок1"/>
    <w:basedOn w:val="912"/>
    <w:next w:val="1079"/>
    <w:link w:val="1112"/>
    <w:pPr>
      <w:keepNext/>
      <w:spacing w:before="240" w:after="120"/>
    </w:pPr>
    <w:rPr>
      <w:rFonts w:ascii="Open Sans" w:hAnsi="Open Sans"/>
      <w:sz w:val="28"/>
    </w:rPr>
  </w:style>
  <w:style w:type="character" w:styleId="1112" w:customStyle="1">
    <w:name w:val="Заголовок2"/>
    <w:basedOn w:val="923"/>
    <w:link w:val="1111"/>
    <w:rPr>
      <w:rFonts w:ascii="Open Sans" w:hAnsi="Open Sans"/>
      <w:color w:val="000000"/>
      <w:sz w:val="28"/>
    </w:rPr>
  </w:style>
  <w:style w:type="paragraph" w:styleId="1113" w:customStyle="1">
    <w:name w:val="Style16"/>
    <w:basedOn w:val="912"/>
    <w:next w:val="912"/>
    <w:link w:val="1114"/>
    <w:pPr>
      <w:jc w:val="left"/>
      <w:spacing w:after="0"/>
      <w:widowControl w:val="off"/>
    </w:pPr>
    <w:rPr>
      <w:sz w:val="20"/>
    </w:rPr>
  </w:style>
  <w:style w:type="character" w:styleId="1114" w:customStyle="1">
    <w:name w:val="Style16"/>
    <w:basedOn w:val="923"/>
    <w:link w:val="1113"/>
    <w:rPr>
      <w:rFonts w:ascii="Times New Roman" w:hAnsi="Times New Roman"/>
      <w:color w:val="000000"/>
      <w:sz w:val="20"/>
    </w:rPr>
  </w:style>
  <w:style w:type="paragraph" w:styleId="1115">
    <w:name w:val="Subtitle"/>
    <w:next w:val="912"/>
    <w:link w:val="1116"/>
    <w:uiPriority w:val="11"/>
    <w:qFormat/>
    <w:pPr>
      <w:jc w:val="both"/>
    </w:pPr>
    <w:rPr>
      <w:rFonts w:ascii="XO Thames" w:hAnsi="XO Thames"/>
      <w:i/>
      <w:sz w:val="24"/>
    </w:rPr>
  </w:style>
  <w:style w:type="character" w:styleId="1116" w:customStyle="1">
    <w:name w:val="Подзаголовок Знак"/>
    <w:link w:val="1115"/>
    <w:rPr>
      <w:rFonts w:ascii="XO Thames" w:hAnsi="XO Thames"/>
      <w:i/>
      <w:sz w:val="24"/>
    </w:rPr>
  </w:style>
  <w:style w:type="paragraph" w:styleId="1117" w:customStyle="1">
    <w:name w:val="Стиль2"/>
    <w:basedOn w:val="1017"/>
    <w:link w:val="1118"/>
    <w:pPr>
      <w:keepLines/>
      <w:keepNext/>
      <w:widowControl w:val="off"/>
    </w:pPr>
    <w:rPr>
      <w:b/>
    </w:rPr>
  </w:style>
  <w:style w:type="character" w:styleId="1118" w:customStyle="1">
    <w:name w:val="Стиль2"/>
    <w:basedOn w:val="1018"/>
    <w:link w:val="1117"/>
    <w:rPr>
      <w:rFonts w:ascii="Times New Roman" w:hAnsi="Times New Roman"/>
      <w:b/>
      <w:color w:val="000000"/>
      <w:sz w:val="24"/>
    </w:rPr>
  </w:style>
  <w:style w:type="paragraph" w:styleId="1119" w:customStyle="1">
    <w:name w:val="Верхний колонтитул Знак"/>
    <w:basedOn w:val="1070"/>
    <w:link w:val="1120"/>
    <w:rPr>
      <w:sz w:val="24"/>
    </w:rPr>
  </w:style>
  <w:style w:type="character" w:styleId="1120" w:customStyle="1">
    <w:name w:val="Верхний колонтитул Знак"/>
    <w:basedOn w:val="920"/>
    <w:link w:val="1119"/>
    <w:rPr>
      <w:sz w:val="24"/>
    </w:rPr>
  </w:style>
  <w:style w:type="paragraph" w:styleId="1121">
    <w:name w:val="Title"/>
    <w:next w:val="912"/>
    <w:link w:val="1122"/>
    <w:uiPriority w:val="10"/>
    <w:qFormat/>
    <w:pPr>
      <w:jc w:val="center"/>
      <w:spacing w:before="567" w:after="567"/>
    </w:pPr>
    <w:rPr>
      <w:rFonts w:ascii="XO Thames" w:hAnsi="XO Thames"/>
      <w:b/>
      <w:caps/>
      <w:sz w:val="40"/>
    </w:rPr>
  </w:style>
  <w:style w:type="character" w:styleId="1122" w:customStyle="1">
    <w:name w:val="Заголовок Знак"/>
    <w:link w:val="1121"/>
    <w:rPr>
      <w:rFonts w:ascii="XO Thames" w:hAnsi="XO Thames"/>
      <w:b/>
      <w:caps/>
      <w:sz w:val="40"/>
    </w:rPr>
  </w:style>
  <w:style w:type="paragraph" w:styleId="1123">
    <w:name w:val="Date"/>
    <w:basedOn w:val="912"/>
    <w:next w:val="912"/>
    <w:link w:val="1124"/>
  </w:style>
  <w:style w:type="character" w:styleId="1124" w:customStyle="1">
    <w:name w:val="Дата Знак"/>
    <w:basedOn w:val="923"/>
    <w:link w:val="1123"/>
    <w:rPr>
      <w:rFonts w:ascii="Times New Roman" w:hAnsi="Times New Roman"/>
      <w:color w:val="000000"/>
      <w:sz w:val="24"/>
    </w:rPr>
  </w:style>
  <w:style w:type="paragraph" w:styleId="1125" w:customStyle="1">
    <w:name w:val="Колонтитул"/>
    <w:basedOn w:val="912"/>
    <w:link w:val="1126"/>
  </w:style>
  <w:style w:type="character" w:styleId="1126" w:customStyle="1">
    <w:name w:val="Колонтитул"/>
    <w:basedOn w:val="923"/>
    <w:link w:val="1125"/>
    <w:rPr>
      <w:rFonts w:ascii="Times New Roman" w:hAnsi="Times New Roman"/>
      <w:color w:val="000000"/>
      <w:sz w:val="24"/>
    </w:rPr>
  </w:style>
  <w:style w:type="character" w:styleId="1127" w:customStyle="1">
    <w:name w:val="Заголовок 4 Знак1"/>
    <w:basedOn w:val="923"/>
    <w:link w:val="916"/>
    <w:rPr>
      <w:rFonts w:ascii="Arial" w:hAnsi="Arial"/>
      <w:color w:val="000000"/>
      <w:sz w:val="24"/>
    </w:rPr>
  </w:style>
  <w:style w:type="paragraph" w:styleId="1128" w:customStyle="1">
    <w:name w:val="Font Style29"/>
    <w:basedOn w:val="1070"/>
    <w:link w:val="1129"/>
    <w:rPr>
      <w:b/>
      <w:sz w:val="18"/>
    </w:rPr>
  </w:style>
  <w:style w:type="character" w:styleId="1129" w:customStyle="1">
    <w:name w:val="Font Style29"/>
    <w:basedOn w:val="920"/>
    <w:link w:val="1128"/>
    <w:rPr>
      <w:rFonts w:ascii="Times New Roman" w:hAnsi="Times New Roman"/>
      <w:b/>
      <w:sz w:val="18"/>
    </w:rPr>
  </w:style>
  <w:style w:type="paragraph" w:styleId="1130" w:customStyle="1">
    <w:name w:val="Символ сноски"/>
    <w:basedOn w:val="1070"/>
    <w:link w:val="1131"/>
    <w:rPr>
      <w:vertAlign w:val="superscript"/>
    </w:rPr>
  </w:style>
  <w:style w:type="character" w:styleId="1131" w:customStyle="1">
    <w:name w:val="Символ сноски"/>
    <w:basedOn w:val="920"/>
    <w:link w:val="1130"/>
    <w:rPr>
      <w:vertAlign w:val="superscript"/>
    </w:rPr>
  </w:style>
  <w:style w:type="paragraph" w:styleId="1132" w:customStyle="1">
    <w:name w:val="s_10"/>
    <w:basedOn w:val="1070"/>
    <w:link w:val="1133"/>
  </w:style>
  <w:style w:type="character" w:styleId="1133" w:customStyle="1">
    <w:name w:val="s_10"/>
    <w:basedOn w:val="920"/>
    <w:link w:val="1132"/>
  </w:style>
  <w:style w:type="paragraph" w:styleId="1134" w:customStyle="1">
    <w:name w:val="Контракт-подпункт Знак"/>
    <w:basedOn w:val="1070"/>
    <w:link w:val="1135"/>
    <w:rPr>
      <w:sz w:val="24"/>
    </w:rPr>
  </w:style>
  <w:style w:type="character" w:styleId="1135" w:customStyle="1">
    <w:name w:val="Контракт-подпункт Знак"/>
    <w:basedOn w:val="920"/>
    <w:link w:val="1134"/>
    <w:rPr>
      <w:sz w:val="24"/>
    </w:rPr>
  </w:style>
  <w:style w:type="paragraph" w:styleId="1136" w:customStyle="1">
    <w:name w:val="Выделение1"/>
    <w:basedOn w:val="1070"/>
    <w:link w:val="1137"/>
  </w:style>
  <w:style w:type="character" w:styleId="1137">
    <w:name w:val="Emphasis"/>
    <w:basedOn w:val="920"/>
    <w:link w:val="1136"/>
    <w:rPr>
      <w:i w:val="0"/>
    </w:rPr>
  </w:style>
  <w:style w:type="character" w:styleId="1138" w:customStyle="1">
    <w:name w:val="Заголовок 2 Знак1"/>
    <w:basedOn w:val="923"/>
    <w:link w:val="914"/>
    <w:rPr>
      <w:rFonts w:ascii="Times New Roman" w:hAnsi="Times New Roman"/>
      <w:b/>
      <w:color w:val="000000"/>
      <w:sz w:val="30"/>
    </w:rPr>
  </w:style>
  <w:style w:type="paragraph" w:styleId="1139" w:customStyle="1">
    <w:name w:val=".FORMATTEXT"/>
    <w:link w:val="1140"/>
    <w:pPr>
      <w:widowControl w:val="off"/>
    </w:pPr>
    <w:rPr>
      <w:sz w:val="24"/>
    </w:rPr>
  </w:style>
  <w:style w:type="character" w:styleId="1140" w:customStyle="1">
    <w:name w:val=".FORMATTEXT"/>
    <w:link w:val="1139"/>
    <w:rPr>
      <w:rFonts w:ascii="Times New Roman" w:hAnsi="Times New Roman"/>
      <w:color w:val="000000"/>
      <w:sz w:val="24"/>
    </w:rPr>
  </w:style>
  <w:style w:type="paragraph" w:styleId="1141" w:customStyle="1">
    <w:name w:val="Знак концевой сноски1"/>
    <w:link w:val="1142"/>
    <w:rPr>
      <w:vertAlign w:val="superscript"/>
    </w:rPr>
  </w:style>
  <w:style w:type="character" w:styleId="1142">
    <w:name w:val="endnote reference"/>
    <w:link w:val="1141"/>
    <w:rPr>
      <w:vertAlign w:val="superscript"/>
    </w:rPr>
  </w:style>
  <w:style w:type="character" w:styleId="1143" w:customStyle="1">
    <w:name w:val="Заголовок 6 Знак1"/>
    <w:basedOn w:val="923"/>
    <w:link w:val="918"/>
    <w:rPr>
      <w:rFonts w:ascii="Times New Roman" w:hAnsi="Times New Roman"/>
      <w:b/>
      <w:color w:val="000000"/>
      <w:sz w:val="22"/>
    </w:rPr>
  </w:style>
  <w:style w:type="table" w:styleId="1144">
    <w:name w:val="Table Grid"/>
    <w:basedOn w:val="921"/>
    <w:pPr>
      <w:jc w:val="both"/>
      <w:spacing w:after="6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yperlink" Target="http://ivo.garant.ru/" TargetMode="External"/><Relationship Id="rId14" Type="http://schemas.openxmlformats.org/officeDocument/2006/relationships/hyperlink" Target="http://ivo.garant.ru/" TargetMode="External"/><Relationship Id="rId15" Type="http://schemas.openxmlformats.org/officeDocument/2006/relationships/hyperlink" Target="http://ivo.garant.ru/" TargetMode="External"/><Relationship Id="rId16" Type="http://schemas.openxmlformats.org/officeDocument/2006/relationships/hyperlink" Target="http://ivo.garant.ru/" TargetMode="External"/><Relationship Id="rId17" Type="http://schemas.openxmlformats.org/officeDocument/2006/relationships/hyperlink" Target="http://ivo.garant.ru/" TargetMode="External"/><Relationship Id="rId18" Type="http://schemas.openxmlformats.org/officeDocument/2006/relationships/hyperlink" Target="http://ivo.garant.ru/" TargetMode="External"/><Relationship Id="rId19" Type="http://schemas.openxmlformats.org/officeDocument/2006/relationships/hyperlink" Target="http://ivo.garant.ru/" TargetMode="External"/><Relationship Id="rId20" Type="http://schemas.openxmlformats.org/officeDocument/2006/relationships/hyperlink" Target="http://ivo.garant.ru/" TargetMode="External"/><Relationship Id="rId21" Type="http://schemas.openxmlformats.org/officeDocument/2006/relationships/hyperlink" Target="https://zakupki.gov.ru/" TargetMode="External"/><Relationship Id="rId22" Type="http://schemas.openxmlformats.org/officeDocument/2006/relationships/hyperlink" Target="http://ivo.garant.ru/" TargetMode="External"/><Relationship Id="rId23" Type="http://schemas.openxmlformats.org/officeDocument/2006/relationships/hyperlink" Target="http://ivo.garant.ru/" TargetMode="External"/><Relationship Id="rId24" Type="http://schemas.openxmlformats.org/officeDocument/2006/relationships/hyperlink" Target="http://ivo.garant.ru/" TargetMode="External"/><Relationship Id="rId25" Type="http://schemas.openxmlformats.org/officeDocument/2006/relationships/hyperlink" Target="http://ivo.garant.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Р7-Офис/7.4.0.227</Application>
  <Company>SPecialiST RePack</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11</cp:revision>
  <dcterms:created xsi:type="dcterms:W3CDTF">2026-09-09T19:23:00Z</dcterms:created>
  <dcterms:modified xsi:type="dcterms:W3CDTF">2026-10-15T11:26:48Z</dcterms:modified>
</cp:coreProperties>
</file>