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keepLines/>
        <w:keepNext/>
        <w:spacing w:after="0"/>
        <w:widowControl w:val="off"/>
      </w:pPr>
      <w:r/>
      <w:bookmarkStart w:id="0" w:name="ТекстовоеПоле101"/>
      <w:r>
        <w:t xml:space="preserve">Приложение №1</w:t>
      </w:r>
      <w:r/>
    </w:p>
    <w:p>
      <w:pPr>
        <w:jc w:val="right"/>
        <w:keepLines/>
        <w:keepNext/>
        <w:spacing w:after="0"/>
        <w:widowControl w:val="off"/>
      </w:pPr>
      <w:r/>
      <w:bookmarkEnd w:id="0"/>
      <w:r/>
    </w:p>
    <w:p>
      <w:pPr>
        <w:jc w:val="right"/>
        <w:keepLines/>
        <w:keepNext/>
        <w:spacing w:after="0"/>
        <w:widowControl w:val="off"/>
      </w:pPr>
      <w:r>
        <w:t xml:space="preserve">Выполнение работ по модернизации специализированной информационной системы учета неработающего населения Чеченской Республики в части организации (актуализации) информационного взаимодействия с внешними системами </w:t>
      </w:r>
      <w:r>
        <w:t xml:space="preserve">(в том числе с системой межведомственного электронного взаимодействия), повышения уровня защищенности программного обеспечения и оптимизации производительности системы, и проведение ежегодной сверки численности неработающего населения Чеченской Республики.</w:t>
      </w:r>
      <w:r/>
    </w:p>
    <w:p>
      <w:pPr>
        <w:jc w:val="right"/>
        <w:keepLines/>
        <w:keepNext/>
        <w:spacing w:after="0"/>
        <w:widowControl w:val="off"/>
        <w:rPr>
          <w:i/>
          <w:sz w:val="22"/>
        </w:rPr>
      </w:pPr>
      <w:r>
        <w:rPr>
          <w:i/>
          <w:sz w:val="18"/>
        </w:rPr>
        <w:t xml:space="preserve">наименование объекта закупки</w:t>
      </w:r>
      <w:r>
        <w:rPr>
          <w:i/>
          <w:sz w:val="22"/>
        </w:rPr>
      </w:r>
    </w:p>
    <w:p>
      <w:pPr>
        <w:pStyle w:val="707"/>
        <w:ind w:left="720" w:firstLine="0"/>
        <w:jc w:val="center"/>
        <w:widowControl/>
        <w:tabs>
          <w:tab w:val="left" w:pos="360" w:leader="none"/>
        </w:tabs>
        <w:rPr>
          <w:rFonts w:ascii="Times New Roman" w:hAnsi="Times New Roman"/>
          <w:b/>
          <w:color w:val="000080"/>
          <w:sz w:val="24"/>
        </w:rPr>
        <w:outlineLvl w:val="2"/>
      </w:pPr>
      <w:r>
        <w:rPr>
          <w:rFonts w:ascii="Times New Roman" w:hAnsi="Times New Roman"/>
          <w:b/>
          <w:color w:val="000080"/>
          <w:sz w:val="24"/>
        </w:rPr>
      </w:r>
      <w:r>
        <w:rPr>
          <w:rFonts w:ascii="Times New Roman" w:hAnsi="Times New Roman"/>
          <w:b/>
          <w:color w:val="000080"/>
          <w:sz w:val="24"/>
        </w:rPr>
      </w:r>
    </w:p>
    <w:p>
      <w:pPr>
        <w:pStyle w:val="707"/>
        <w:ind w:left="720" w:firstLine="0"/>
        <w:jc w:val="center"/>
        <w:widowControl/>
        <w:tabs>
          <w:tab w:val="left" w:pos="360" w:leader="none"/>
        </w:tabs>
        <w:rPr>
          <w:rFonts w:ascii="Times New Roman" w:hAnsi="Times New Roman"/>
          <w:b/>
          <w:color w:val="000080"/>
          <w:sz w:val="24"/>
        </w:rPr>
        <w:outlineLvl w:val="2"/>
      </w:pPr>
      <w:r>
        <w:rPr>
          <w:rFonts w:ascii="Times New Roman" w:hAnsi="Times New Roman"/>
          <w:b/>
          <w:color w:val="000080"/>
          <w:sz w:val="24"/>
        </w:rPr>
        <w:t xml:space="preserve">ТРЕБОВАНИЯ К СОДЕРЖАНИЮ, СОСТАВУ ЗАЯВКИ НА УЧАСТИЕ В ЗАКУПКЕ И ИНСТРУКЦИЯ ПО ЕЕ ЗАПОЛНЕНИЮ  </w:t>
      </w:r>
      <w:r>
        <w:rPr>
          <w:rFonts w:ascii="Times New Roman" w:hAnsi="Times New Roman"/>
          <w:b/>
          <w:color w:val="000080"/>
          <w:sz w:val="24"/>
        </w:rPr>
      </w:r>
    </w:p>
    <w:p>
      <w:pPr>
        <w:pStyle w:val="707"/>
        <w:ind w:left="720" w:firstLine="0"/>
        <w:jc w:val="center"/>
        <w:widowControl/>
        <w:tabs>
          <w:tab w:val="left" w:pos="360" w:leader="none"/>
        </w:tabs>
        <w:rPr>
          <w:rFonts w:ascii="Times New Roman" w:hAnsi="Times New Roman"/>
          <w:b/>
          <w:color w:val="000080"/>
          <w:sz w:val="24"/>
        </w:rPr>
        <w:outlineLvl w:val="2"/>
      </w:pPr>
      <w:r>
        <w:rPr>
          <w:rFonts w:ascii="Times New Roman" w:hAnsi="Times New Roman"/>
          <w:b/>
          <w:color w:val="000080"/>
          <w:sz w:val="24"/>
        </w:rPr>
      </w:r>
      <w:r>
        <w:rPr>
          <w:rFonts w:ascii="Times New Roman" w:hAnsi="Times New Roman"/>
          <w:b/>
          <w:color w:val="000080"/>
          <w:sz w:val="24"/>
        </w:rPr>
      </w:r>
    </w:p>
    <w:tbl>
      <w:tblPr>
        <w:tblW w:w="0" w:type="auto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782"/>
      </w:tblGrid>
      <w:tr>
        <w:trPr>
          <w:trHeight w:val="830"/>
        </w:trPr>
        <w:tc>
          <w:tcPr>
            <w:shd w:val="clear" w:color="auto" w:fill="808080" w:themeFill="background1" w:themeFillShade="8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Arial" w:hAnsi="Arial"/>
                <w:b/>
                <w:color w:val="ffffff"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Требования к содержанию, составу заявки на участие в закупке в соответствии со ст. 43 Федерального закона №44-ФЗ</w:t>
            </w:r>
            <w:r>
              <w:rPr>
                <w:rFonts w:ascii="Arial" w:hAnsi="Arial"/>
                <w:b/>
                <w:color w:val="ffffff"/>
                <w:sz w:val="20"/>
              </w:rPr>
            </w:r>
          </w:p>
        </w:tc>
      </w:tr>
      <w:tr>
        <w:trPr>
          <w:trHeight w:val="1191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78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tab/>
            </w:r>
            <w:bookmarkStart w:id="1" w:name="sub_669"/>
            <w:r>
              <w:t xml:space="preserve">Подача заявки на участие в закупк</w:t>
            </w:r>
            <w:r>
              <w:t xml:space="preserve">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 и в соответствии с заявкой такого участника закупки на участие в закупке.</w:t>
            </w:r>
            <w:r/>
          </w:p>
          <w:p>
            <w:pPr>
              <w:spacing w:after="0"/>
              <w:rPr>
                <w:b/>
              </w:rPr>
            </w:pPr>
            <w:r>
              <w:tab/>
            </w:r>
            <w:r>
              <w:rPr>
                <w:b/>
              </w:rPr>
              <w:t xml:space="preserve">Для участия в закупке заявка на участие в закупке должна содержать:</w:t>
            </w:r>
            <w:r>
              <w:rPr>
                <w:b/>
              </w:rPr>
            </w:r>
          </w:p>
          <w:p>
            <w:pPr>
              <w:jc w:val="left"/>
              <w:spacing w:after="0"/>
              <w:rPr>
                <w:b/>
              </w:rPr>
            </w:pPr>
            <w:r>
              <w:tab/>
            </w:r>
            <w:r>
              <w:rPr>
                <w:b/>
              </w:rPr>
              <w:t xml:space="preserve">1)  информацию и документы об участнике закупки:</w:t>
            </w:r>
            <w:r>
              <w:rPr>
                <w:b/>
              </w:rPr>
            </w:r>
          </w:p>
          <w:p>
            <w:pPr>
              <w:spacing w:after="0"/>
              <w:rPr>
                <w:rStyle w:val="694"/>
                <w:color w:val="22272f"/>
                <w:shd w:val="clear" w:color="auto" w:fill="abe0ff"/>
              </w:rPr>
            </w:pPr>
            <w:r>
              <w:tab/>
              <w:t xml:space="preserve">а)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</w:t>
            </w:r>
            <w:r>
              <w:t xml:space="preserve">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      </w:r>
            <w:r>
              <w:rPr>
                <w:rStyle w:val="694"/>
                <w:color w:val="22272f"/>
                <w:shd w:val="clear" w:color="auto" w:fill="abe0ff"/>
              </w:rPr>
            </w:r>
          </w:p>
          <w:p>
            <w:r>
              <w:tab/>
              <w:t xml:space="preserve">б)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</w:t>
            </w:r>
            <w:r>
              <w:t xml:space="preserve">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</w:t>
            </w:r>
            <w:r/>
          </w:p>
          <w:p>
            <w:r>
              <w:tab/>
              <w:t xml:space="preserve">в) декларация о соответствии участника закупки требованиям, установленным пунктами 3-5, 7-11 части 1 статьи 31 Федерального закона от 05.04.2013 № 44-ФЗ </w:t>
            </w:r>
            <w:r>
              <w:rPr>
                <w:color w:val="22272f"/>
                <w:sz w:val="23"/>
                <w:shd w:val="clear" w:color="auto" w:fill="c2d69b" w:themeFill="accent3" w:themeFillTint="99"/>
              </w:rPr>
              <w:t xml:space="preserve">(если информация и документы, которые подтверждают соответствие участника закупки требованиям, установленным </w:t>
            </w:r>
            <w:hyperlink r:id="rId9" w:tooltip="https://ivo.garant.ru/#/document/70353464/entry/3111" w:anchor="/document/70353464/entry/3111" w:history="1">
              <w:r>
                <w:rPr>
                  <w:rStyle w:val="698"/>
                  <w:color w:val="3272c0"/>
                  <w:sz w:val="23"/>
                  <w:u w:val="none"/>
                  <w:shd w:val="clear" w:color="auto" w:fill="c2d69b" w:themeFill="accent3" w:themeFillTint="99"/>
                </w:rPr>
                <w:t xml:space="preserve">п. 1 ч. 1 ст.</w:t>
              </w:r>
            </w:hyperlink>
            <w:r>
              <w:rPr>
                <w:color w:val="3272c0"/>
                <w:sz w:val="23"/>
                <w:shd w:val="clear" w:color="auto" w:fill="c2d69b" w:themeFill="accent3" w:themeFillTint="99"/>
              </w:rPr>
              <w:t xml:space="preserve"> </w:t>
            </w:r>
            <w:hyperlink r:id="rId10" w:tooltip="https://ivo.garant.ru/#/document/70353464/entry/3111" w:anchor="/document/70353464/entry/3111" w:history="1">
              <w:r>
                <w:rPr>
                  <w:rStyle w:val="698"/>
                  <w:color w:val="3272c0"/>
                  <w:sz w:val="23"/>
                  <w:u w:val="none"/>
                  <w:shd w:val="clear" w:color="auto" w:fill="c2d69b" w:themeFill="accent3" w:themeFillTint="99"/>
                </w:rPr>
                <w:t xml:space="preserve">31</w:t>
              </w:r>
            </w:hyperlink>
            <w:r>
              <w:rPr>
                <w:color w:val="22272f"/>
                <w:sz w:val="23"/>
                <w:shd w:val="clear" w:color="auto" w:fill="c2d69b" w:themeFill="accent3" w:themeFillTint="99"/>
              </w:rPr>
              <w:t xml:space="preserve">  Федерального закона от 05.04.2013 № 44-ФЗ, содержатся в открытых и общед</w:t>
            </w:r>
            <w:r>
              <w:rPr>
                <w:color w:val="22272f"/>
                <w:sz w:val="23"/>
                <w:shd w:val="clear" w:color="auto" w:fill="c2d69b" w:themeFill="accent3" w:themeFillTint="99"/>
              </w:rPr>
              <w:t xml:space="preserve">оступных государственных реестрах, размещенных в информационно - телекоммуникационной сети "Интернет", в указанную декларацию может быть также включено положение о соответствии участника закупки требованиям, установленным п.1 ч.1 ст.31 Федерального закона </w:t>
            </w:r>
            <w:r>
              <w:rPr>
                <w:shd w:val="clear" w:color="auto" w:fill="c2d69b" w:themeFill="accent3" w:themeFillTint="99"/>
              </w:rPr>
              <w:t xml:space="preserve">от 05.04.2013 № 44-ФЗ</w:t>
            </w:r>
            <w:r>
              <w:rPr>
                <w:color w:val="22272f"/>
                <w:sz w:val="23"/>
                <w:shd w:val="clear" w:color="auto" w:fill="c2d69b" w:themeFill="accent3" w:themeFillTint="99"/>
              </w:rPr>
              <w:t xml:space="preserve"> с указанием адреса сайта или страницы сайта в информационно - телекоммуникационной сети "Интернет", на которых размещены такие информация и документы)</w:t>
            </w:r>
            <w:r>
              <w:rPr>
                <w:shd w:val="clear" w:color="auto" w:fill="c2d69b" w:themeFill="accent3" w:themeFillTint="99"/>
              </w:rPr>
              <w:t xml:space="preserve">;</w:t>
            </w:r>
            <w:r/>
          </w:p>
          <w:p>
            <w:pPr>
              <w:ind w:firstLine="566"/>
              <w:rPr>
                <w:color w:val="ff0000"/>
                <w:highlight w:val="yellow"/>
              </w:rPr>
            </w:pPr>
            <w:r>
              <w:rPr>
                <w:color w:val="22272f"/>
                <w:shd w:val="clear" w:color="auto" w:fill="ffffff" w:themeFill="background1"/>
              </w:rPr>
              <w:t xml:space="preserve">г) </w:t>
            </w:r>
            <w:r>
              <w:rPr>
                <w:color w:val="22272f"/>
                <w:shd w:val="clear" w:color="auto" w:fill="c2d69b" w:themeFill="accent3" w:themeFillTint="99"/>
              </w:rPr>
              <w:t xml:space="preserve">информация и</w:t>
            </w:r>
            <w:r>
              <w:rPr>
                <w:color w:val="22272f"/>
                <w:shd w:val="clear" w:color="auto" w:fill="ffffff" w:themeFill="background1"/>
              </w:rPr>
              <w:t xml:space="preserve"> </w:t>
            </w:r>
            <w:r>
              <w:rPr>
                <w:shd w:val="clear" w:color="auto" w:fill="ffffff" w:themeFill="background1"/>
              </w:rPr>
              <w:t xml:space="preserve">документы, </w:t>
            </w:r>
            <w:r>
              <w:rPr>
                <w:shd w:val="clear" w:color="auto" w:fill="c2d69b" w:themeFill="accent3" w:themeFillTint="99"/>
              </w:rPr>
              <w:t xml:space="preserve">которые подтверждают</w:t>
            </w:r>
            <w:r>
              <w:rPr>
                <w:shd w:val="clear" w:color="auto" w:fill="ffffff" w:themeFill="background1"/>
              </w:rPr>
              <w:t xml:space="preserve"> соответствие участника закупки требованиям, установленным п. </w:t>
            </w:r>
            <w:r>
              <w:rPr>
                <w:highlight w:val="yellow"/>
              </w:rPr>
              <w:t xml:space="preserve">1 ч. 1 ст. 31</w:t>
            </w:r>
            <w:r>
              <w:rPr>
                <w:shd w:val="clear" w:color="auto" w:fill="ffffff" w:themeFill="background1"/>
              </w:rPr>
              <w:t xml:space="preserve"> Федерального закона от 05.04.2013 № 44-ФЗ (</w:t>
            </w:r>
            <w:r>
              <w:rPr>
                <w:shd w:val="clear" w:color="auto" w:fill="c2d69b" w:themeFill="accent3" w:themeFillTint="99"/>
              </w:rPr>
              <w:t xml:space="preserve">могут не включат</w:t>
            </w:r>
            <w:r>
              <w:rPr>
                <w:shd w:val="clear" w:color="auto" w:fill="c2d69b" w:themeFill="accent3" w:themeFillTint="99"/>
              </w:rPr>
              <w:t xml:space="preserve">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 - телекоммуникационной сети "Интернет", и в такую заявку включена предусмотренная </w:t>
            </w:r>
            <w:hyperlink r:id="rId11" w:tooltip="https://ivo.garant.ru/#/document/70353464/entry/431114" w:anchor="/document/70353464/entry/431114" w:history="1">
              <w:r>
                <w:rPr>
                  <w:shd w:val="clear" w:color="auto" w:fill="c2d69b" w:themeFill="accent3" w:themeFillTint="99"/>
                </w:rPr>
                <w:t xml:space="preserve">подпунктом "о"</w:t>
              </w:r>
            </w:hyperlink>
            <w:r>
              <w:rPr>
                <w:shd w:val="clear" w:color="auto" w:fill="c2d69b" w:themeFill="accent3" w:themeFillTint="99"/>
              </w:rPr>
              <w:t xml:space="preserve">  п.1 ч.1 ст.43 Федерального закона от 05.04.2013 № 44-ФЗ декларация о соответствии участника закупки требованиям, установленным п.1 ч.1 ст. 31 Федерального закона)</w:t>
            </w:r>
            <w:r>
              <w:rPr>
                <w:b/>
                <w:color w:val="ff0000"/>
                <w:vertAlign w:val="superscript"/>
              </w:rPr>
              <w:t xml:space="preserve">1</w:t>
            </w:r>
            <w:r>
              <w:rPr>
                <w:shd w:val="clear" w:color="auto" w:fill="ffffff" w:themeFill="background1"/>
              </w:rPr>
              <w:t xml:space="preserve">: </w:t>
            </w:r>
            <w:r>
              <w:rPr>
                <w:color w:val="ff0000"/>
              </w:rPr>
              <w:t xml:space="preserve">не установлено.</w:t>
            </w:r>
            <w:r>
              <w:rPr>
                <w:color w:val="ff0000"/>
                <w:highlight w:val="yellow"/>
              </w:rPr>
            </w:r>
          </w:p>
          <w:p>
            <w:r>
              <w:rPr>
                <w:shd w:val="clear" w:color="auto" w:fill="ffffff" w:themeFill="background1"/>
              </w:rPr>
              <w:tab/>
              <w:t xml:space="preserve">д) </w:t>
            </w:r>
            <w:r>
              <w:rPr>
                <w:shd w:val="clear" w:color="auto" w:fill="c2d69b" w:themeFill="accent3" w:themeFillTint="99"/>
              </w:rPr>
              <w:t xml:space="preserve">информация и</w:t>
            </w:r>
            <w:r>
              <w:t xml:space="preserve"> документы, </w:t>
            </w:r>
            <w:r>
              <w:rPr>
                <w:shd w:val="clear" w:color="auto" w:fill="c2d69b" w:themeFill="accent3" w:themeFillTint="99"/>
              </w:rPr>
              <w:t xml:space="preserve">которые подтверждают</w:t>
            </w:r>
            <w:r>
              <w:t xml:space="preserve"> </w:t>
            </w:r>
            <w:r>
              <w:rPr>
                <w:shd w:val="clear" w:color="auto" w:fill="ffffff" w:themeFill="background1"/>
              </w:rPr>
              <w:t xml:space="preserve">соответствие участников закупки  дополнительным требованиям, установленным  в соответствии с </w:t>
            </w:r>
            <w:r>
              <w:rPr>
                <w:highlight w:val="yellow"/>
              </w:rPr>
              <w:t xml:space="preserve">ч. 2 ст. 31</w:t>
            </w:r>
            <w:r>
              <w:rPr>
                <w:shd w:val="clear" w:color="auto" w:fill="ffffff" w:themeFill="background1"/>
              </w:rPr>
              <w:t xml:space="preserve"> Федерального закона от 05.04.2013г. №44-ФЗ  и с позицией </w:t>
            </w:r>
            <w:r>
              <w:rPr>
                <w:highlight w:val="lightGray"/>
              </w:rPr>
              <w:t xml:space="preserve">___</w:t>
            </w:r>
            <w:r>
              <w:rPr>
                <w:shd w:val="clear" w:color="auto" w:fill="ffffff" w:themeFill="background1"/>
              </w:rPr>
              <w:t xml:space="preserve"> приложения к постановлению Правительства РФ от 29 декабря 2021  №2571 </w:t>
            </w:r>
            <w:r>
              <w:rPr>
                <w:sz w:val="23"/>
                <w:shd w:val="clear" w:color="auto" w:fill="ffffff" w:themeFill="background1"/>
              </w:rPr>
              <w:t xml:space="preserve">(при</w:t>
            </w:r>
            <w:r>
              <w:rPr>
                <w:sz w:val="23"/>
                <w:highlight w:val="white"/>
              </w:rPr>
              <w:t xml:space="preserve"> указании таких требований в извещении о закупке)</w:t>
            </w:r>
            <w:r>
              <w:rPr>
                <w:b/>
                <w:color w:val="ff0000"/>
                <w:vertAlign w:val="superscript"/>
              </w:rPr>
              <w:t xml:space="preserve">2</w:t>
            </w:r>
            <w:r>
              <w:rPr>
                <w:highlight w:val="white"/>
              </w:rPr>
              <w:t xml:space="preserve">:</w:t>
            </w:r>
            <w:r>
              <w:rPr>
                <w:i/>
                <w:shd w:val="clear" w:color="auto" w:fill="ffffff" w:themeFill="background1"/>
              </w:rPr>
              <w:t xml:space="preserve"> </w:t>
            </w:r>
            <w:r>
              <w:rPr>
                <w:i/>
                <w:highlight w:val="lightGray"/>
              </w:rPr>
              <w:t xml:space="preserve"> </w:t>
            </w:r>
            <w:r>
              <w:rPr>
                <w:i/>
                <w:highlight w:val="lightGray"/>
              </w:rPr>
              <w:t xml:space="preserve"> </w:t>
            </w:r>
            <w:r>
              <w:rPr>
                <w:i/>
                <w:highlight w:val="lightGray"/>
              </w:rPr>
              <w:t xml:space="preserve"> </w:t>
            </w:r>
            <w:r>
              <w:rPr>
                <w:i/>
                <w:highlight w:val="lightGray"/>
              </w:rPr>
              <w:t xml:space="preserve"> </w:t>
            </w:r>
            <w:r>
              <w:rPr>
                <w:i/>
                <w:highlight w:val="lightGray"/>
              </w:rPr>
              <w:t xml:space="preserve"> </w:t>
            </w:r>
            <w:r>
              <w:rPr>
                <w:i/>
                <w:shd w:val="clear" w:color="auto" w:fill="ffffff" w:themeFill="background1"/>
              </w:rPr>
              <w:t xml:space="preserve"> </w:t>
            </w:r>
            <w:r>
              <w:rPr>
                <w:i/>
                <w:highlight w:val="lightGray"/>
              </w:rPr>
              <w:t xml:space="preserve"> требование не установлено</w:t>
            </w:r>
            <w:r>
              <w:t xml:space="preserve">.</w:t>
            </w:r>
            <w:r/>
          </w:p>
          <w:p>
            <w:r>
              <w:rPr>
                <w:i/>
                <w:shd w:val="clear" w:color="auto" w:fill="ffffff" w:themeFill="background1"/>
              </w:rPr>
              <w:tab/>
            </w:r>
            <w:r>
              <w:rPr>
                <w:shd w:val="clear" w:color="auto" w:fill="ffffff" w:themeFill="background1"/>
              </w:rPr>
              <w:t xml:space="preserve">е)</w:t>
            </w:r>
            <w:r>
              <w:t xml:space="preserve"> </w:t>
            </w:r>
            <w:r>
              <w:rPr>
                <w:shd w:val="clear" w:color="auto" w:fill="c2d69b" w:themeFill="accent3" w:themeFillTint="99"/>
              </w:rPr>
              <w:t xml:space="preserve">информация и</w:t>
            </w:r>
            <w:r>
              <w:t xml:space="preserve"> документы, </w:t>
            </w:r>
            <w:r>
              <w:rPr>
                <w:shd w:val="clear" w:color="auto" w:fill="c2d69b" w:themeFill="accent3" w:themeFillTint="99"/>
              </w:rPr>
              <w:t xml:space="preserve">которые подтверждают</w:t>
            </w:r>
            <w:r>
              <w:t xml:space="preserve"> соответствие участников закупки  дополнительным требованиям, установленным  в соответствии </w:t>
            </w:r>
            <w:r>
              <w:rPr>
                <w:highlight w:val="yellow"/>
              </w:rPr>
              <w:t xml:space="preserve">с ч. 2.1 ст. 31</w:t>
            </w:r>
            <w:r>
              <w:t xml:space="preserve"> Федерального закона от 05.04.2013г. №44-ФЗ   и п. 4 постановления Правительства РФ от 29 декабря 2021 №2571</w:t>
            </w:r>
            <w:r>
              <w:rPr>
                <w:color w:val="22272f"/>
                <w:sz w:val="23"/>
                <w:highlight w:val="white"/>
              </w:rPr>
              <w:t xml:space="preserve"> (</w:t>
            </w:r>
            <w:r>
              <w:rPr>
                <w:sz w:val="23"/>
                <w:highlight w:val="white"/>
              </w:rPr>
              <w:t xml:space="preserve">при указании таких требований в извещении о закупке</w:t>
            </w:r>
            <w:r>
              <w:t xml:space="preserve">)</w:t>
            </w:r>
            <w:r>
              <w:rPr>
                <w:b/>
                <w:color w:val="ff0000"/>
                <w:vertAlign w:val="superscript"/>
              </w:rPr>
              <w:t xml:space="preserve">3</w:t>
            </w:r>
            <w:r>
              <w:t xml:space="preserve">:</w:t>
            </w:r>
            <w:r>
              <w:rPr>
                <w:color w:val="ff0000"/>
                <w:shd w:val="clear" w:color="auto" w:fill="d6e3bc" w:themeFill="accent3" w:themeFillTint="66"/>
              </w:rPr>
              <w:t xml:space="preserve"> </w:t>
            </w:r>
            <w:r>
              <w:rPr>
                <w:i/>
                <w:color w:val="c00000"/>
                <w:highlight w:val="lightGray"/>
              </w:rPr>
              <w:t xml:space="preserve"> </w:t>
            </w:r>
            <w:r>
              <w:rPr>
                <w:i/>
                <w:color w:val="c00000"/>
                <w:highlight w:val="lightGray"/>
              </w:rPr>
              <w:t xml:space="preserve"> </w:t>
            </w:r>
            <w:r>
              <w:rPr>
                <w:i/>
                <w:color w:val="c00000"/>
                <w:highlight w:val="lightGray"/>
              </w:rPr>
              <w:t xml:space="preserve"> </w:t>
            </w:r>
            <w:r>
              <w:rPr>
                <w:i/>
                <w:color w:val="c00000"/>
                <w:highlight w:val="lightGray"/>
              </w:rPr>
              <w:t xml:space="preserve"> </w:t>
            </w:r>
            <w:r>
              <w:rPr>
                <w:i/>
                <w:color w:val="c00000"/>
                <w:highlight w:val="lightGray"/>
              </w:rPr>
              <w:t xml:space="preserve"> </w:t>
            </w:r>
            <w:r>
              <w:rPr>
                <w:i/>
                <w:color w:val="c00000"/>
                <w:shd w:val="clear" w:color="auto" w:fill="ffffff" w:themeFill="background1"/>
              </w:rPr>
              <w:t xml:space="preserve"> </w:t>
            </w:r>
            <w:r>
              <w:rPr>
                <w:i/>
                <w:highlight w:val="lightGray"/>
              </w:rPr>
              <w:t xml:space="preserve"> требование не установлено</w:t>
            </w:r>
            <w:r>
              <w:t xml:space="preserve">.</w:t>
            </w:r>
            <w:r/>
          </w:p>
          <w:p>
            <w:pPr>
              <w:rPr>
                <w:b/>
              </w:rPr>
            </w:pPr>
            <w:r>
              <w:rPr>
                <w:highlight w:val="white"/>
              </w:rPr>
              <w:tab/>
            </w:r>
            <w:r>
              <w:rPr>
                <w:b/>
              </w:rPr>
              <w:t xml:space="preserve">2) предложение участника закупки в отношении объекта закупки:</w:t>
            </w:r>
            <w:r>
              <w:rPr>
                <w:b/>
              </w:rPr>
            </w:r>
          </w:p>
          <w:p>
            <w:r>
              <w:tab/>
              <w:t xml:space="preserve">а) документы, подтверждающие соответствие товара, работы или услуги требованиям, установле</w:t>
            </w:r>
            <w:r>
              <w:t xml:space="preserve">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 закупке:</w:t>
            </w:r>
            <w:r>
              <w:rPr>
                <w:i/>
                <w:highlight w:val="lightGray"/>
              </w:rPr>
              <w:t xml:space="preserve"> требование не установлено</w:t>
            </w:r>
            <w:r>
              <w:rPr>
                <w:i/>
                <w:shd w:val="clear" w:color="auto" w:fill="c2d69b" w:themeFill="accent3" w:themeFillTint="99"/>
              </w:rPr>
              <w:t xml:space="preserve">.</w:t>
            </w:r>
            <w:r>
              <w:t xml:space="preserve">  Заказчик не вправе требовать представление указанных документов, если в соответствии с законодательством Российской Федерации они передаются вместе с товаром.</w:t>
            </w:r>
            <w:r/>
          </w:p>
          <w:p>
            <w:r>
              <w:tab/>
              <w:t xml:space="preserve">б) иные информация и документы, в том числе эскиз, рисунок, чертеж, фотография, иное изображение предлагаемого участником закупки товара </w:t>
            </w:r>
            <w:r>
              <w:rPr>
                <w:shd w:val="clear" w:color="auto" w:fill="b8cce4" w:themeFill="accent1" w:themeFillTint="66"/>
              </w:rPr>
              <w:t xml:space="preserve">(предоставление данных сведений и документов необязательно)</w:t>
            </w:r>
            <w:r>
              <w:t xml:space="preserve">. При этом отсутствие таких информации и документов не является основанием для отклонения заявки на участие в закупке;</w:t>
            </w:r>
            <w:r/>
          </w:p>
          <w:p>
            <w:pPr>
              <w:spacing w:after="0"/>
              <w:rPr>
                <w:color w:val="22272f"/>
                <w:highlight w:val="white"/>
              </w:rPr>
            </w:pPr>
            <w:r>
              <w:tab/>
              <w:t xml:space="preserve">в)  в случае </w:t>
            </w:r>
            <w:r>
              <w:rPr>
                <w:color w:val="22272f"/>
                <w:highlight w:val="white"/>
              </w:rPr>
              <w:t xml:space="preserve">осуществления закупки товара, поставляемого заказчику при выполнении закупаемых работ, оказании закупаемых услуг с </w:t>
            </w:r>
            <w:r>
              <w:rPr>
                <w:color w:val="22272f"/>
                <w:shd w:val="clear" w:color="auto" w:fill="b8cce4" w:themeFill="accent1" w:themeFillTint="66"/>
              </w:rPr>
              <w:t xml:space="preserve">учетом положений </w:t>
            </w:r>
            <w:hyperlink r:id="rId12" w:tooltip="http://ivo.garant.ru/#/document/70353464/entry/432" w:anchor="/document/70353464/entry/432" w:history="1">
              <w:r>
                <w:rPr>
                  <w:rStyle w:val="698"/>
                  <w:color w:val="3272c0"/>
                  <w:shd w:val="clear" w:color="auto" w:fill="b8cce4" w:themeFill="accent1" w:themeFillTint="66"/>
                </w:rPr>
                <w:t xml:space="preserve">ч.2</w:t>
              </w:r>
            </w:hyperlink>
            <w:r>
              <w:rPr>
                <w:color w:val="22272f"/>
                <w:shd w:val="clear" w:color="auto" w:fill="b8cce4" w:themeFill="accent1" w:themeFillTint="66"/>
              </w:rPr>
              <w:t xml:space="preserve">  ст. 43 </w:t>
            </w:r>
            <w:r>
              <w:rPr>
                <w:shd w:val="clear" w:color="auto" w:fill="b8cce4" w:themeFill="accent1" w:themeFillTint="66"/>
              </w:rPr>
              <w:t xml:space="preserve">Федерального</w:t>
            </w:r>
            <w:r>
              <w:t xml:space="preserve"> закона от 05.04.2013г. №44-ФЗ</w:t>
            </w:r>
            <w:r>
              <w:rPr>
                <w:color w:val="22272f"/>
                <w:highlight w:val="white"/>
              </w:rPr>
              <w:t xml:space="preserve"> заявка на участие в </w:t>
            </w:r>
            <w:r>
              <w:rPr>
                <w:color w:val="22272f"/>
                <w:shd w:val="clear" w:color="auto" w:fill="b8cce4" w:themeFill="accent1" w:themeFillTint="66"/>
              </w:rPr>
              <w:t xml:space="preserve">закупке также должна содержать:</w:t>
            </w:r>
            <w:r>
              <w:rPr>
                <w:color w:val="22272f"/>
                <w:highlight w:val="white"/>
              </w:rPr>
            </w:r>
          </w:p>
          <w:p>
            <w:r>
              <w:rPr>
                <w:color w:val="22272f"/>
                <w:highlight w:val="white"/>
              </w:rPr>
              <w:tab/>
              <w:t xml:space="preserve">- </w:t>
            </w:r>
            <w:r>
              <w:t xml:space="preserve">характеристики предлагаемого участником закупки товара (</w:t>
            </w:r>
            <w:r>
              <w:rPr>
                <w:color w:val="22272f"/>
                <w:highlight w:val="white"/>
              </w:rPr>
              <w:t xml:space="preserve">с учетом положений </w:t>
            </w:r>
            <w:hyperlink r:id="rId13" w:tooltip="http://ivo.garant.ru/#/document/70353464/entry/432" w:anchor="/document/70353464/entry/432" w:history="1">
              <w:r>
                <w:rPr>
                  <w:rStyle w:val="698"/>
                  <w:color w:val="3272c0"/>
                  <w:highlight w:val="white"/>
                </w:rPr>
                <w:t xml:space="preserve">ч.2</w:t>
              </w:r>
            </w:hyperlink>
            <w:r>
              <w:rPr>
                <w:color w:val="22272f"/>
                <w:highlight w:val="white"/>
              </w:rPr>
              <w:t xml:space="preserve">  ст. 43 </w:t>
            </w:r>
            <w:r>
              <w:t xml:space="preserve">Федерального закона от 05.04.2013г. №44-ФЗ), соответствующие показателям, установленным в описании объекта закупки в соответствии с частью 2 статьи 33 Федерального закона от 05.04.2013 № 44-ФЗ, товарный знак (при наличии у</w:t>
            </w:r>
            <w:r>
              <w:t xml:space="preserve"> товара товарного знака) (может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</w:t>
            </w:r>
            <w:r>
              <w:t xml:space="preserve">, оказании закупаемых услуг, обозначенного таким товарным знаком в соответствии с п.1 ч.1 ст.43 Федерального закона от 05.04.2013г. №44-ФЗ или в случае включения заказчиком в соответствии с пунктом 8 части 1 статьи 33 Федерального закона от 05.04.2013г. №4</w:t>
            </w:r>
            <w:r>
              <w:t xml:space="preserve">4-ФЗ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   в соответствии с пунктами 1 и 2  части 1 статьи 43 Федерального закона от 05.04.2013г. №44-ФЗ);</w:t>
            </w:r>
            <w:r/>
          </w:p>
          <w:p>
            <w:pPr>
              <w:spacing w:after="0"/>
            </w:pPr>
            <w:r>
              <w:tab/>
              <w:t xml:space="preserve">- наименование страны происхождения товара в соответствии с общероссийским классификатором, используемым для идентификации стран мира, с учетом положений ч. 2 ст. 43 Федерального закона от 05.04.2013 № 44-ФЗ;</w:t>
            </w:r>
            <w:r/>
          </w:p>
          <w:p>
            <w:r>
              <w:tab/>
            </w:r>
            <w:r>
              <w:rPr>
                <w:b/>
                <w:szCs w:val="24"/>
              </w:rPr>
              <w:t xml:space="preserve">3) информация и документы, определенные в соответствии с п. 2 ч. 2 ст. 14 Федерального закона </w:t>
            </w:r>
            <w:r>
              <w:rPr>
                <w:color w:val="auto"/>
                <w:szCs w:val="24"/>
              </w:rPr>
              <w:t xml:space="preserve">от 05.04.2013 №44-</w:t>
            </w:r>
            <w:r>
              <w:rPr>
                <w:color w:val="auto"/>
                <w:szCs w:val="24"/>
              </w:rPr>
              <w:t xml:space="preserve">ФЗ</w:t>
            </w:r>
            <w:r>
              <w:rPr>
                <w:b/>
                <w:szCs w:val="24"/>
              </w:rPr>
              <w:t xml:space="preserve">  </w:t>
            </w:r>
            <w:r>
              <w:rPr>
                <w:szCs w:val="24"/>
              </w:rPr>
              <w:t xml:space="preserve">(</w:t>
            </w:r>
            <w:r>
              <w:rPr>
                <w:szCs w:val="24"/>
              </w:rPr>
              <w:t xml:space="preserve">в случае, если в извещении об осуществлении закупки установлены предусмотренные указанной статьей </w:t>
            </w:r>
            <w:r>
              <w:rPr>
                <w:szCs w:val="24"/>
                <w:u w:val="single"/>
              </w:rPr>
              <w:t xml:space="preserve">запрет</w:t>
            </w:r>
            <w:r>
              <w:rPr>
                <w:szCs w:val="24"/>
              </w:rPr>
              <w:t xml:space="preserve">, ограничение, </w:t>
            </w:r>
            <w:r>
              <w:rPr>
                <w:szCs w:val="24"/>
              </w:rPr>
              <w:t xml:space="preserve">преимущество</w:t>
            </w:r>
            <w:r>
              <w:rPr>
                <w:szCs w:val="24"/>
              </w:rPr>
              <w:t xml:space="preserve">)</w:t>
            </w:r>
            <w:r>
              <w:rPr>
                <w:color w:val="ff0000"/>
                <w:szCs w:val="24"/>
                <w:vertAlign w:val="superscript"/>
              </w:rPr>
              <w:t xml:space="preserve">4</w:t>
            </w:r>
            <w:r>
              <w:rPr>
                <w:szCs w:val="24"/>
              </w:rPr>
              <w:t xml:space="preserve">:</w:t>
            </w:r>
            <w:r>
              <w:rPr>
                <w:color w:val="auto"/>
                <w:szCs w:val="24"/>
                <w:shd w:val="clear" w:color="auto" w:fill="c2d69b"/>
              </w:rPr>
              <w:t xml:space="preserve"> </w:t>
            </w:r>
            <w:r>
              <w:rPr>
                <w:highlight w:val="lightGray"/>
              </w:rPr>
              <w:t xml:space="preserve">предусмотрены</w:t>
            </w:r>
            <w:r/>
          </w:p>
          <w:p>
            <w:pPr>
              <w:jc w:val="left"/>
              <w:spacing w:after="0"/>
              <w:widowControl w:val="off"/>
              <w:rPr>
                <w:b/>
                <w:bCs/>
                <w:i/>
                <w:iCs/>
                <w:color w:val="ff0000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Cs w:val="24"/>
              </w:rPr>
              <w:t xml:space="preserve">для подтверждения происхождения программ для электронных вычислительных машин и (или) баз данных (далее - программное обеспечение):</w:t>
            </w:r>
            <w:r>
              <w:rPr>
                <w:b/>
                <w:bCs/>
                <w:i/>
                <w:iCs/>
                <w:color w:val="ff0000"/>
                <w:szCs w:val="24"/>
              </w:rPr>
            </w:r>
          </w:p>
          <w:p>
            <w:pPr>
              <w:jc w:val="left"/>
              <w:spacing w:after="0"/>
              <w:widowControl w:val="off"/>
              <w:rPr>
                <w:b/>
                <w:bCs/>
                <w:i/>
                <w:color w:val="ff0000"/>
              </w:rPr>
            </w:pPr>
            <w:r>
              <w:rPr>
                <w:b/>
                <w:bCs/>
                <w:i/>
                <w:iCs/>
                <w:color w:val="ff0000"/>
                <w:szCs w:val="24"/>
              </w:rPr>
              <w:t xml:space="preserve">          а) из Российской Федерации (</w:t>
            </w:r>
            <w:r>
              <w:rPr>
                <w:b/>
                <w:bCs/>
                <w:i/>
                <w:iCs/>
                <w:color w:val="ff0000"/>
                <w:szCs w:val="24"/>
              </w:rPr>
              <w:t xml:space="preserve">пп</w:t>
            </w:r>
            <w:r>
              <w:rPr>
                <w:b/>
                <w:bCs/>
                <w:i/>
                <w:iCs/>
                <w:color w:val="ff0000"/>
                <w:szCs w:val="24"/>
              </w:rPr>
              <w:t xml:space="preserve">. «г» </w:t>
            </w:r>
            <w:r>
              <w:rPr>
                <w:b/>
                <w:bCs/>
                <w:i/>
                <w:iCs/>
                <w:color w:val="ff0000"/>
                <w:spacing w:val="-4"/>
                <w:szCs w:val="24"/>
              </w:rPr>
              <w:t xml:space="preserve">п.3 </w:t>
            </w:r>
            <w:r>
              <w:rPr>
                <w:b/>
                <w:bCs/>
                <w:i/>
                <w:iCs/>
                <w:color w:val="ff0000"/>
                <w:szCs w:val="24"/>
              </w:rPr>
              <w:t xml:space="preserve">постановления Правительства Российской Федерации от 23 декабря 2024 г. №1875):</w:t>
            </w:r>
            <w:r>
              <w:rPr>
                <w:b/>
                <w:bCs/>
                <w:i/>
                <w:color w:val="ff0000"/>
                <w:highlight w:val="none"/>
              </w:rPr>
            </w:r>
          </w:p>
          <w:p>
            <w:pPr>
              <w:jc w:val="left"/>
              <w:spacing w:after="0"/>
              <w:widowControl w:val="off"/>
              <w:rPr>
                <w:b/>
                <w:bCs/>
                <w:i/>
                <w:color w:val="ff0000"/>
                <w:highlight w:val="none"/>
              </w:rPr>
            </w:pPr>
            <w:r>
              <w:rPr>
                <w:b/>
                <w:bCs/>
                <w:i/>
                <w:iCs/>
                <w:color w:val="ff0000"/>
                <w:szCs w:val="24"/>
              </w:rPr>
              <w:t xml:space="preserve">- порядковый номер реестровой записи из </w:t>
            </w:r>
            <w:hyperlink r:id="rId14" w:tooltip="https://reestr.digital.gov.ru/" w:history="1">
              <w:r>
                <w:rPr>
                  <w:b/>
                  <w:bCs/>
                  <w:i/>
                  <w:iCs/>
                  <w:color w:val="ff0000"/>
                  <w:szCs w:val="24"/>
                </w:rPr>
                <w:t xml:space="preserve">единого реестра</w:t>
              </w:r>
            </w:hyperlink>
            <w:r>
              <w:rPr>
                <w:b/>
                <w:bCs/>
                <w:i/>
                <w:iCs/>
                <w:color w:val="ff0000"/>
                <w:szCs w:val="24"/>
              </w:rPr>
              <w:t xml:space="preserve"> российских программ для электронных вычислительных машин и баз данных </w:t>
            </w:r>
            <w:r>
              <w:rPr>
                <w:b/>
                <w:bCs/>
                <w:i/>
                <w:iCs/>
                <w:color w:val="ff0000"/>
                <w:szCs w:val="24"/>
              </w:rPr>
              <w:t xml:space="preserve">(</w:t>
            </w:r>
            <w:r>
              <w:rPr>
                <w:b/>
                <w:bCs/>
                <w:i/>
                <w:iCs/>
                <w:color w:val="ff0000"/>
                <w:szCs w:val="24"/>
              </w:rPr>
              <w:t xml:space="preserve">пп</w:t>
            </w:r>
            <w:r>
              <w:rPr>
                <w:b/>
                <w:bCs/>
                <w:i/>
                <w:iCs/>
                <w:color w:val="ff0000"/>
                <w:szCs w:val="24"/>
              </w:rPr>
              <w:t xml:space="preserve">. «г» </w:t>
            </w:r>
            <w:r>
              <w:rPr>
                <w:b/>
                <w:bCs/>
                <w:i/>
                <w:iCs/>
                <w:color w:val="ff0000"/>
                <w:spacing w:val="-4"/>
                <w:szCs w:val="24"/>
              </w:rPr>
              <w:t xml:space="preserve">п.3 </w:t>
            </w:r>
            <w:r>
              <w:rPr>
                <w:b/>
                <w:bCs/>
                <w:i/>
                <w:iCs/>
                <w:color w:val="ff0000"/>
                <w:szCs w:val="24"/>
              </w:rPr>
              <w:t xml:space="preserve">постановления Правительства Российской Федерации от 23 декабря 2024 г. №1875)</w:t>
            </w:r>
            <w:r/>
            <w:r>
              <w:rPr>
                <w:b/>
                <w:bCs/>
                <w:i/>
                <w:iCs/>
                <w:color w:val="ff0000"/>
                <w:szCs w:val="24"/>
              </w:rPr>
            </w:r>
            <w:r>
              <w:rPr>
                <w:b/>
                <w:bCs/>
                <w:i/>
                <w:color w:val="ff0000"/>
                <w:highlight w:val="none"/>
              </w:rPr>
            </w:r>
            <w:r/>
          </w:p>
          <w:p>
            <w:pPr>
              <w:jc w:val="left"/>
              <w:spacing w:after="0"/>
              <w:widowControl w:val="off"/>
              <w:rPr>
                <w:b/>
                <w:bCs/>
                <w:i/>
                <w:color w:val="ff0000"/>
                <w:highlight w:val="none"/>
              </w:rPr>
            </w:pPr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  <w:t xml:space="preserve">Или </w:t>
            </w:r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</w:r>
          </w:p>
          <w:p>
            <w:pPr>
              <w:jc w:val="left"/>
              <w:spacing w:after="0"/>
              <w:widowControl w:val="off"/>
              <w:rPr>
                <w:rFonts w:ascii="Calibri" w:hAnsi="Calibri"/>
              </w:rPr>
            </w:pPr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</w:r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  <w:t xml:space="preserve">- </w:t>
            </w:r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  <w:t xml:space="preserve">для подтверждения происхождения </w:t>
            </w:r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  <w:t xml:space="preserve">программного обеспечения </w:t>
            </w:r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  <w:t xml:space="preserve">из РФ и его соответствия требованиям к доверенному программному обеспечению согласно частям 3.7 и 3.9 статьи 2 Федерального закона от 7 апреля 2025 г. № 58-ФЗ: порядковый номер реестровой записи из реестра российского ПО, </w:t>
            </w:r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  <w:t xml:space="preserve">содержащей информацию о соответствии </w:t>
            </w:r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  <w:t xml:space="preserve">программного обеспечения </w:t>
            </w:r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  <w:t xml:space="preserve">требованиям к доверенному программному обеспечению </w:t>
            </w:r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  <w:t xml:space="preserve"> </w:t>
            </w:r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  <w:t xml:space="preserve">(подп. "д" п. 3 </w:t>
            </w:r>
            <w:r>
              <w:rPr>
                <w:b/>
                <w:bCs/>
                <w:i/>
                <w:iCs/>
                <w:color w:val="ff0000"/>
                <w:szCs w:val="24"/>
              </w:rPr>
              <w:t xml:space="preserve">постановления Правительства Российской Федерации от 23 декабря 2024 г. №1875</w:t>
            </w:r>
            <w:r/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  <w:t xml:space="preserve">)</w:t>
            </w:r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  <w:t xml:space="preserve">.</w:t>
            </w:r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</w:r>
            <w:r>
              <w:rPr>
                <w:b/>
                <w:bCs/>
                <w:i/>
                <w:iCs/>
                <w:color w:val="ff0000"/>
                <w:szCs w:val="24"/>
                <w:highlight w:val="none"/>
              </w:rPr>
            </w:r>
          </w:p>
          <w:p>
            <w:pPr>
              <w:pStyle w:val="726"/>
              <w:ind w:left="58" w:right="38"/>
              <w:spacing w:before="181" w:line="288" w:lineRule="auto"/>
              <w:rPr>
                <w:rFonts w:ascii="Times New Roman" w:hAnsi="Times New Roman"/>
                <w:b/>
                <w:bCs/>
                <w:i/>
                <w:color w:val="ff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  <w:tab/>
              <w:t xml:space="preserve">б) из государств - членов Евразийского экономического союза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  <w:t xml:space="preserve">, за исключением Российской Федерации:</w:t>
            </w:r>
            <w:r/>
          </w:p>
          <w:p>
            <w:pPr>
              <w:pStyle w:val="726"/>
              <w:ind w:left="58" w:right="38"/>
              <w:spacing w:before="181" w:line="288" w:lineRule="auto"/>
              <w:rPr>
                <w:rFonts w:ascii="Times New Roman" w:hAnsi="Times New Roman"/>
                <w:b/>
                <w:bCs/>
                <w:i/>
                <w:color w:val="ff0000"/>
                <w:highlight w:val="non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  <w:t xml:space="preserve"> - порядковый номер реестровой записи из </w:t>
            </w:r>
            <w:hyperlink r:id="rId15" w:tooltip="http://eac-reestr.digital.gov.ru/" w:history="1">
              <w:r>
                <w:rPr>
                  <w:rFonts w:ascii="Times New Roman" w:hAnsi="Times New Roman"/>
                  <w:b/>
                  <w:bCs/>
                  <w:i/>
                  <w:iCs/>
                  <w:color w:val="ff0000"/>
                  <w:szCs w:val="24"/>
                </w:rPr>
                <w:t xml:space="preserve">единого реестра</w:t>
              </w:r>
            </w:hyperlink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  <w:t xml:space="preserve"> 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  <w:t xml:space="preserve">(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  <w:t xml:space="preserve">пп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  <w:t xml:space="preserve">. «е»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pacing w:val="-4"/>
                <w:szCs w:val="24"/>
              </w:rPr>
              <w:t xml:space="preserve">п.3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  <w:t xml:space="preserve">постановления Правительства Российской Федерации от 23 декабря 2024 г. №1875)</w:t>
            </w:r>
            <w:r/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  <w:t xml:space="preserve">;</w:t>
            </w:r>
            <w:r/>
            <w:r/>
          </w:p>
          <w:p>
            <w:pPr>
              <w:pStyle w:val="726"/>
              <w:ind w:left="58" w:right="38"/>
              <w:spacing w:before="181" w:line="288" w:lineRule="auto"/>
              <w:rPr>
                <w:rFonts w:ascii="Times New Roman" w:hAnsi="Times New Roman"/>
                <w:b/>
                <w:bCs/>
                <w:i/>
                <w:color w:val="ff0000"/>
                <w:highlight w:val="non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  <w:highlight w:val="none"/>
              </w:rPr>
              <w:t xml:space="preserve">Или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  <w:highlight w:val="none"/>
              </w:rPr>
            </w:r>
          </w:p>
          <w:p>
            <w:pPr>
              <w:pStyle w:val="726"/>
              <w:ind w:left="58" w:right="38"/>
              <w:spacing w:before="181" w:line="288" w:lineRule="auto"/>
            </w:pP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  <w:highlight w:val="none"/>
              </w:rPr>
              <w:t xml:space="preserve">-</w:t>
            </w:r>
            <w:r>
              <w:rPr>
                <w:rFonts w:ascii="Roboto" w:hAnsi="Roboto" w:eastAsia="Roboto" w:cs="Roboto"/>
                <w:color w:val="333333"/>
                <w:sz w:val="21"/>
                <w:highlight w:val="white"/>
              </w:rPr>
              <w:t xml:space="preserve">для подтверждения происхождения ПО из государств-членов ЕАЭС (за исключением РФ) и его соответствия требованиям к доверенному программному обеспечению: порядковый номер реестровой записи из реестра евразийского </w:t>
            </w:r>
            <w:r>
              <w:rPr>
                <w:rFonts w:ascii="Roboto" w:hAnsi="Roboto" w:eastAsia="Roboto" w:cs="Roboto"/>
                <w:color w:val="333333"/>
                <w:sz w:val="21"/>
                <w:highlight w:val="white"/>
              </w:rPr>
              <w:t xml:space="preserve">программного обеспечения </w:t>
            </w:r>
            <w:r>
              <w:rPr>
                <w:rFonts w:ascii="Roboto" w:hAnsi="Roboto" w:eastAsia="Roboto" w:cs="Roboto"/>
                <w:color w:val="333333"/>
                <w:sz w:val="21"/>
                <w:highlight w:val="white"/>
              </w:rPr>
              <w:t xml:space="preserve">, содержащей информацию о соответствии </w:t>
            </w:r>
            <w:r>
              <w:rPr>
                <w:rFonts w:ascii="Roboto" w:hAnsi="Roboto" w:eastAsia="Roboto" w:cs="Roboto"/>
                <w:color w:val="333333"/>
                <w:sz w:val="21"/>
                <w:highlight w:val="white"/>
              </w:rPr>
              <w:t xml:space="preserve">программного обеспечения </w:t>
            </w:r>
            <w:r>
              <w:rPr>
                <w:rFonts w:ascii="Roboto" w:hAnsi="Roboto" w:eastAsia="Roboto" w:cs="Roboto"/>
                <w:color w:val="333333"/>
                <w:sz w:val="21"/>
                <w:highlight w:val="white"/>
              </w:rPr>
              <w:t xml:space="preserve"> т</w:t>
            </w:r>
            <w:r>
              <w:rPr>
                <w:rFonts w:ascii="Roboto" w:hAnsi="Roboto" w:eastAsia="Roboto" w:cs="Roboto"/>
                <w:color w:val="333333"/>
                <w:sz w:val="21"/>
                <w:highlight w:val="white"/>
              </w:rPr>
              <w:t xml:space="preserve">ребованиям к доверенному программному обеспечению</w:t>
            </w:r>
            <w:r>
              <w:rPr>
                <w:rFonts w:ascii="Roboto" w:hAnsi="Roboto" w:eastAsia="Roboto" w:cs="Roboto"/>
                <w:color w:val="333333"/>
                <w:sz w:val="21"/>
                <w:highlight w:val="none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  <w:t xml:space="preserve">(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  <w:t xml:space="preserve">пп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  <w:t xml:space="preserve">. «ж»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pacing w:val="-4"/>
                <w:szCs w:val="24"/>
              </w:rPr>
              <w:t xml:space="preserve">п.3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  <w:t xml:space="preserve">постановления Правительства Российской Федерации от 23 декабря 2024 г. №1875)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  <w:highlight w:val="none"/>
              </w:rPr>
            </w:r>
          </w:p>
          <w:p>
            <w:pPr>
              <w:pStyle w:val="726"/>
              <w:ind w:left="58" w:right="38"/>
              <w:spacing w:before="181" w:line="288" w:lineRule="auto"/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</w:r>
            <w:r>
              <w:rPr>
                <w:color w:val="auto"/>
                <w:szCs w:val="24"/>
                <w:shd w:val="clear" w:color="auto" w:fill="c2d69b"/>
              </w:rPr>
            </w:r>
            <w:r>
              <w:rPr>
                <w:color w:val="auto"/>
                <w:szCs w:val="24"/>
                <w:shd w:val="clear" w:color="auto" w:fill="c2d69b"/>
              </w:rPr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Cs w:val="24"/>
              </w:rPr>
            </w:r>
          </w:p>
          <w:p>
            <w:pPr>
              <w:rPr>
                <w:b/>
              </w:rPr>
            </w:pPr>
            <w:r>
              <w:rPr>
                <w:b/>
              </w:rPr>
              <w:tab/>
            </w:r>
            <w:r>
              <w:t xml:space="preserve">В случае отсутствия таких инфор</w:t>
            </w:r>
            <w:r>
              <w:t xml:space="preserve">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</w:t>
            </w:r>
            <w:r>
              <w:rPr>
                <w:sz w:val="23"/>
                <w:highlight w:val="white"/>
              </w:rPr>
              <w:t xml:space="preserve">(если в извещении об осуществлении закупки установлены предусмотренные ст.  14</w:t>
            </w:r>
            <w:r>
              <w:rPr>
                <w:b/>
              </w:rPr>
              <w:t xml:space="preserve"> </w:t>
            </w:r>
            <w:r>
              <w:t xml:space="preserve">Федерального закона от 05.04.2013г. №44-ФЗ</w:t>
            </w:r>
            <w:r>
              <w:rPr>
                <w:sz w:val="23"/>
                <w:highlight w:val="white"/>
              </w:rPr>
              <w:t xml:space="preserve"> запреты, ограничения, преимущество)</w:t>
            </w:r>
            <w:r>
              <w:t xml:space="preserve">.</w:t>
            </w:r>
            <w:bookmarkEnd w:id="1"/>
            <w:r/>
            <w:r>
              <w:rPr>
                <w:b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4) Информация и документы об участнике закупки, предусмотренные </w:t>
            </w:r>
            <w:hyperlink r:id="rId16" w:tooltip="http://ivo.garant.ru/#/document/70353464/entry/431101" w:anchor="/document/70353464/entry/431101" w:history="1">
              <w:r>
                <w:rPr>
                  <w:rStyle w:val="698"/>
                  <w:rFonts w:ascii="Times New Roman" w:hAnsi="Times New Roman"/>
                  <w:b/>
                  <w:color w:val="000000"/>
                  <w:sz w:val="24"/>
                  <w:u w:val="none"/>
                </w:rPr>
                <w:t xml:space="preserve">подпунктами "а" - "л" пункта 1 части 1</w:t>
              </w:r>
            </w:hyperlink>
            <w:r>
              <w:rPr>
                <w:rFonts w:ascii="Times New Roman" w:hAnsi="Times New Roman"/>
                <w:b/>
                <w:sz w:val="24"/>
              </w:rPr>
              <w:t xml:space="preserve">  статьи 43 Федерального закона от 05.04.2013г. №44-ФЗ и которые не включаются участником закупки в заявку на участие в закупке, а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направляются (</w:t>
            </w:r>
            <w:r>
              <w:rPr>
                <w:rFonts w:ascii="Times New Roman" w:hAnsi="Times New Roman"/>
                <w:sz w:val="24"/>
              </w:rPr>
              <w:t xml:space="preserve">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 в соответствии с п.2 ч. 6 ст. 43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Федерального закона от 05.04.2013г. №44-ФЗ: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а) полное и сокращенное (при наличии) наименование юридического лица, в том числе иностранного юридического лица (если участником закупки является </w:t>
            </w:r>
            <w:r>
              <w:rPr>
                <w:rFonts w:ascii="Times New Roman" w:hAnsi="Times New Roman"/>
                <w:sz w:val="24"/>
              </w:rPr>
              <w:t xml:space="preserve">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наименование обособленного подразделения юридического ли</w:t>
            </w:r>
            <w:r>
              <w:rPr>
                <w:rFonts w:ascii="Times New Roman" w:hAnsi="Times New Roman"/>
                <w:sz w:val="24"/>
              </w:rPr>
              <w:t xml:space="preserve">ца (если от имени участника закупки выступает обособленное подразделение юридического лица), фамилия, имя, отчество (при наличии) (если участником закупки является физическое лицо, в том числе зарегистрированное в качестве индивидуального предпринимателя);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б) фамилия, имя, отчество (при наличии), идентификационный номер налогоплательщика (при наличии) и должность лица, имеющего право без доверенности дейс</w:t>
            </w:r>
            <w:r>
              <w:rPr>
                <w:rFonts w:ascii="Times New Roman" w:hAnsi="Times New Roman"/>
                <w:sz w:val="24"/>
              </w:rPr>
              <w:t xml:space="preserve">твовать от имени юридического лица, либо действующего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лица;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в) идентификационный номер налогоплательщика (при наличии) чле</w:t>
            </w:r>
            <w:r>
              <w:rPr>
                <w:rFonts w:ascii="Times New Roman" w:hAnsi="Times New Roman"/>
                <w:sz w:val="24"/>
              </w:rPr>
              <w:t xml:space="preserve">нов коллегиального исполнительного органа, лица, исполняющего функции единоличного исполнительного органа, управляющего (при наличии), управляющей организации (при наличии), участников (членов) корпоративного юридического лица, владеющих более чем двадцать</w:t>
            </w:r>
            <w:r>
              <w:rPr>
                <w:rFonts w:ascii="Times New Roman" w:hAnsi="Times New Roman"/>
                <w:sz w:val="24"/>
              </w:rPr>
              <w:t xml:space="preserve">ю пятью процентами акций (долей, паев) корпоративного юридического лица,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г) адрес юридического лица, в том числе иностранного юридичес</w:t>
            </w:r>
            <w:r>
              <w:rPr>
                <w:rFonts w:ascii="Times New Roman" w:hAnsi="Times New Roman"/>
                <w:sz w:val="24"/>
              </w:rPr>
              <w:t xml:space="preserve">кого лица (если участником закупки является юридическое лицо) в пределах места нахождения юридического лица, адрес (место нахождения) аккредитованного филиала или представительства на территории Российской Федерации (если от имени иностранного юридического</w:t>
            </w:r>
            <w:r>
              <w:rPr>
                <w:rFonts w:ascii="Times New Roman" w:hAnsi="Times New Roman"/>
                <w:sz w:val="24"/>
              </w:rPr>
              <w:t xml:space="preserve"> лица выступает аккредитованный филиал или представительство), адрес (место нахождения) обособленного подразделения юридического лица (если от имени участника закупки выступает обособленное подразделение юридического лица), место жительства физического лиц</w:t>
            </w:r>
            <w:r>
              <w:rPr>
                <w:rFonts w:ascii="Times New Roman" w:hAnsi="Times New Roman"/>
                <w:sz w:val="24"/>
              </w:rPr>
              <w:t xml:space="preserve">а, в том числе зарегистрированного в качестве индивидуального предпринимателя (если участник закупки является физическим лицом, в том числе зарегистрированным в качестве индивидуального предпринимателя), адрес электронной почты, номер контактного телефона;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д) копия документа, удостоверяющего личность участника закупки в соответствии с законодательством Российской Федерации (если участник закупки является физическим лицом, не являющимся индивидуальным предпринимателем);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spacing w:after="0"/>
              <w:rPr>
                <w:sz w:val="23"/>
              </w:rPr>
            </w:pPr>
            <w:r>
              <w:rPr>
                <w:sz w:val="23"/>
              </w:rPr>
              <w:tab/>
              <w:t xml:space="preserve">е) идентификационный номер налогоплательщика юридического лица (если участником закупки явля</w:t>
            </w:r>
            <w:r>
              <w:rPr>
                <w:sz w:val="23"/>
              </w:rPr>
              <w:t xml:space="preserve">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физического лица, в том числе зарегистрированного в</w:t>
            </w:r>
            <w:r>
              <w:rPr>
                <w:sz w:val="23"/>
              </w:rPr>
              <w:t xml:space="preserve"> качестве индивидуального предпринимателя (если участником закупки является физическое лицо, в том числе зарегистрированное в качестве индивидуального предпринимателя), аналог идентификационного номера налогоплательщика в соответствии с законодательством с</w:t>
            </w:r>
            <w:r>
              <w:rPr>
                <w:sz w:val="23"/>
              </w:rPr>
              <w:t xml:space="preserve">оответствующего иностранного государства (если участником закупки является иностранное лицо), код причины постановки на учет юридического лица (если участником закупки является юридическое лицо), аккредитованного филиала или представительства иностранного </w:t>
            </w:r>
            <w:r>
              <w:rPr>
                <w:sz w:val="23"/>
              </w:rPr>
              <w:t xml:space="preserve">юридического лица (если от имени иностранного юридического лица выступает аккредитованный филиал или представительство), обособленного подразделения юридического лица (если от имени участника закупки выступает обособленное подразделение юридического лица);</w:t>
            </w:r>
            <w:r>
              <w:rPr>
                <w:sz w:val="23"/>
              </w:rPr>
            </w:r>
          </w:p>
          <w:p>
            <w:pPr>
              <w:spacing w:after="0"/>
              <w:rPr>
                <w:sz w:val="23"/>
              </w:rPr>
            </w:pPr>
            <w:r>
              <w:rPr>
                <w:sz w:val="23"/>
              </w:rPr>
              <w:tab/>
              <w:t xml:space="preserve">ж)</w:t>
            </w:r>
            <w:r>
              <w:rPr>
                <w:sz w:val="23"/>
              </w:rPr>
              <w:t xml:space="preserve"> выписка из единого государственного реестра юридических лиц (если участником закупки является юридическое лицо), выписка из единого государственного реестра индивидуальных предпринимателей (если участником закупки является индивидуальный предприниматель);</w:t>
            </w:r>
            <w:r>
              <w:rPr>
                <w:sz w:val="23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з) надлежащим образом заверенный перевод</w:t>
            </w:r>
            <w:r>
              <w:rPr>
                <w:rFonts w:ascii="Times New Roman" w:hAnsi="Times New Roman"/>
                <w:sz w:val="24"/>
              </w:rPr>
              <w:t xml:space="preserve">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(если участником закупки является иностранное лицо);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и) декларация о принадлежности участника закупки к учреждению или предприятию уголовно-исполнительной системы (если участник закупки является учреждением или предприятием уголовно-исполнительной системы);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к) декларация о принадлежности участника закупки к организации инвалидов, предусмотренной частью 2 статьи 29 настоящего Федерального закона от 05.04.2013г. №44-ФЗ (если участник закупки является такой организацией);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л) декларация о принадлежности участника закупки к социально ориентированным некоммерческим организациям в случае установления преимущества, предусмотренного частью 3 статьи 30 Федерального закона от 05.04.2013г. №44-ФЗ.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2272f"/>
                <w:sz w:val="24"/>
              </w:rPr>
              <w:t xml:space="preserve">5)</w:t>
            </w:r>
            <w:r>
              <w:rPr>
                <w:rFonts w:ascii="Times New Roman" w:hAnsi="Times New Roman"/>
                <w:b/>
                <w:color w:val="22272f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информация и документы, подтверждающие предоставление обеспечения заявки на участие в закупке, в форме электронных документов или в форме электронных образов бумажных документов 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(в случае если в извещении об осуществлении закупки установлено требование предоставления обеспечения заявки на участие в электронном аукционе)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соответствии с постановлением Правительства РФ от 10.04.2023 № 579 «Об особенностях порядка предоставления обеспечения заявок на участие в закупках товаров, работ, услуг для обеспечения государственных или муниципальных нужд участниками </w:t>
            </w:r>
            <w:r>
              <w:rPr>
                <w:rFonts w:ascii="Times New Roman" w:hAnsi="Times New Roman"/>
                <w:sz w:val="24"/>
              </w:rPr>
              <w:t xml:space="preserve">таких закупок, являющимися иностранными лицами», 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2272f"/>
                <w:sz w:val="24"/>
              </w:rPr>
              <w:t xml:space="preserve">в</w:t>
            </w:r>
            <w:r>
              <w:rPr>
                <w:rFonts w:ascii="Times New Roman" w:hAnsi="Times New Roman"/>
                <w:sz w:val="24"/>
              </w:rPr>
              <w:t xml:space="preserve"> случае если участник закупки является юридическим лицом, зарег</w:t>
            </w:r>
            <w:r>
              <w:rPr>
                <w:rFonts w:ascii="Times New Roman" w:hAnsi="Times New Roman"/>
                <w:sz w:val="24"/>
              </w:rPr>
              <w:t xml:space="preserve">истрированным на территории государства - члена Евразийского экономического союза, за исключением Российской Федерации, или физическим лицом, являющимся гражданином государства - члена Евразийского экономического союза, за исключением Российской Федерации,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который предоставил </w:t>
            </w:r>
            <w:r>
              <w:rPr>
                <w:rFonts w:ascii="Times New Roman" w:hAnsi="Times New Roman"/>
                <w:b/>
                <w:sz w:val="24"/>
              </w:rPr>
              <w:t xml:space="preserve">обеспечения заявки на участие в </w:t>
            </w:r>
            <w:r>
              <w:rPr>
                <w:rFonts w:ascii="Times New Roman" w:hAnsi="Times New Roman"/>
                <w:b/>
                <w:sz w:val="24"/>
              </w:rPr>
              <w:t xml:space="preserve">закупке  путем</w:t>
            </w:r>
            <w:r>
              <w:rPr>
                <w:rFonts w:ascii="Times New Roman" w:hAnsi="Times New Roman"/>
                <w:b/>
                <w:sz w:val="24"/>
              </w:rPr>
              <w:t xml:space="preserve"> внесения денежных средств на счет </w:t>
            </w:r>
            <w:r>
              <w:rPr>
                <w:rFonts w:ascii="Times New Roman" w:hAnsi="Times New Roman"/>
                <w:sz w:val="24"/>
              </w:rPr>
              <w:t xml:space="preserve">Комитета по госзаказу ЧР (Уполномоченного органа), на котором в соответствии с законодательством РФ учитываются операции со средствами, поступающими на лицевой счет, указанный Уполномоченным органом в извещении об осуществлении закупки. 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Участник закупки признается н</w:t>
            </w:r>
            <w:r>
              <w:rPr>
                <w:rFonts w:ascii="Times New Roman" w:hAnsi="Times New Roman"/>
                <w:sz w:val="24"/>
              </w:rPr>
              <w:t xml:space="preserve">е предоставившим обеспечение заявки на участие в закупке в случае не поступления денежных средств, информация и документы о внесении которых в качестве обеспечения заявки представлены в заявке на участие в закупке, до даты подведения итогов определения пос</w:t>
            </w:r>
            <w:r>
              <w:rPr>
                <w:rFonts w:ascii="Times New Roman" w:hAnsi="Times New Roman"/>
                <w:sz w:val="24"/>
              </w:rPr>
              <w:t xml:space="preserve">тавщика (подрядчика, исполнителя) на счет Комитета по госзаказу ЧР (Уполномоченного органа), на котором в соответствии с законодательством РФ учитываются операции со средствами, поступающими на лицевой счет, указанный в извещении об осуществлении закупки. 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hd w:val="clear" w:color="auto" w:fill="c2d69b" w:themeFill="accent3" w:themeFillTint="99"/>
              </w:rPr>
              <w:t xml:space="preserve">Информация и</w:t>
            </w:r>
            <w:r>
              <w:rPr>
                <w:rFonts w:ascii="Times New Roman" w:hAnsi="Times New Roman"/>
                <w:b/>
                <w:sz w:val="24"/>
              </w:rPr>
              <w:t xml:space="preserve">, подтверждающие соответствие участника закупки дополнительным требованиям, установленным в соответствии с </w:t>
            </w:r>
            <w:hyperlink r:id="rId17" w:tooltip="http://ivo.garant.ru/#/document/70353464/entry/3120" w:anchor="/document/70353464/entry/3120" w:history="1">
              <w:r>
                <w:rPr>
                  <w:rStyle w:val="698"/>
                  <w:rFonts w:ascii="Times New Roman" w:hAnsi="Times New Roman"/>
                  <w:b/>
                  <w:color w:val="000000"/>
                  <w:sz w:val="24"/>
                  <w:u w:val="none"/>
                </w:rPr>
                <w:t xml:space="preserve">частью 2</w:t>
              </w:r>
            </w:hyperlink>
            <w:r>
              <w:rPr>
                <w:rFonts w:ascii="Times New Roman" w:hAnsi="Times New Roman"/>
                <w:b/>
                <w:sz w:val="24"/>
              </w:rPr>
              <w:t xml:space="preserve"> или </w:t>
            </w:r>
            <w:hyperlink r:id="rId18" w:tooltip="http://ivo.garant.ru/#/document/70353464/entry/990272" w:anchor="/document/70353464/entry/990272" w:history="1">
              <w:r>
                <w:rPr>
                  <w:rStyle w:val="698"/>
                  <w:rFonts w:ascii="Times New Roman" w:hAnsi="Times New Roman"/>
                  <w:b/>
                  <w:color w:val="000000"/>
                  <w:sz w:val="24"/>
                  <w:u w:val="none"/>
                </w:rPr>
                <w:t xml:space="preserve">2.1</w:t>
              </w:r>
            </w:hyperlink>
            <w:r>
              <w:rPr>
                <w:rFonts w:ascii="Times New Roman" w:hAnsi="Times New Roman"/>
                <w:b/>
                <w:sz w:val="24"/>
              </w:rPr>
              <w:t xml:space="preserve"> (при наличии таких требований) статьи 31 Федерального закона от 05.04.2013г. №44-ФЗ, и предусмотренные </w:t>
            </w:r>
            <w:hyperlink r:id="rId19" w:tooltip="http://ivo.garant.ru/#/document/70353464/entry/431113" w:anchor="/document/70353464/entry/431113" w:history="1">
              <w:r>
                <w:rPr>
                  <w:rStyle w:val="698"/>
                  <w:rFonts w:ascii="Times New Roman" w:hAnsi="Times New Roman"/>
                  <w:b/>
                  <w:color w:val="000000"/>
                  <w:sz w:val="24"/>
                  <w:u w:val="none"/>
                </w:rPr>
                <w:t xml:space="preserve">подпунктом "н" пункта 1 части 1</w:t>
              </w:r>
            </w:hyperlink>
            <w:r>
              <w:rPr>
                <w:rFonts w:ascii="Times New Roman" w:hAnsi="Times New Roman"/>
                <w:b/>
                <w:sz w:val="24"/>
              </w:rPr>
              <w:t xml:space="preserve">  статьи </w:t>
            </w:r>
            <w:r>
              <w:rPr>
                <w:rFonts w:ascii="Times New Roman" w:hAnsi="Times New Roman"/>
                <w:b/>
                <w:sz w:val="24"/>
                <w:shd w:val="clear" w:color="auto" w:fill="ffffff" w:themeFill="background1"/>
              </w:rPr>
              <w:t xml:space="preserve">43 Федерального закона от 05.04.2013г. №44-ФЗ, не включаются участником закупки</w:t>
            </w:r>
            <w:r>
              <w:rPr>
                <w:rFonts w:ascii="Times New Roman" w:hAnsi="Times New Roman"/>
                <w:b/>
                <w:sz w:val="24"/>
              </w:rPr>
              <w:t xml:space="preserve"> в заявку на участие в закупке. </w:t>
            </w:r>
            <w:r>
              <w:rPr>
                <w:rFonts w:ascii="Times New Roman" w:hAnsi="Times New Roman"/>
                <w:sz w:val="24"/>
                <w:shd w:val="clear" w:color="auto" w:fill="c2d69b" w:themeFill="accent3" w:themeFillTint="99"/>
              </w:rPr>
              <w:t xml:space="preserve">Такие информация и</w:t>
            </w:r>
            <w:r>
              <w:rPr>
                <w:rFonts w:ascii="Times New Roman" w:hAnsi="Times New Roman"/>
                <w:sz w:val="24"/>
              </w:rPr>
              <w:t xml:space="preserve"> в случаях, предусмотренных Федеральным законом </w:t>
            </w:r>
            <w:r>
              <w:rPr>
                <w:rFonts w:ascii="Times New Roman" w:hAnsi="Times New Roman"/>
                <w:b/>
                <w:sz w:val="24"/>
              </w:rPr>
              <w:t xml:space="preserve">от 05.04.2013г. №44-ФЗ</w:t>
            </w:r>
            <w:r>
              <w:rPr>
                <w:rFonts w:ascii="Times New Roman" w:hAnsi="Times New Roman"/>
                <w:sz w:val="24"/>
              </w:rPr>
              <w:t xml:space="preserve">,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 в соответствии с  п.3 ч. 6 ст. 43 Федерального закона от 05.04.2013г. №44-ФЗ).</w:t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hd w:val="clear" w:color="auto" w:fill="c2d69b" w:themeFill="accent3" w:themeFillTint="99"/>
              </w:rPr>
              <w:t xml:space="preserve">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72" w:hRule="exact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2" w:type="dxa"/>
            <w:vAlign w:val="center"/>
            <w:textDirection w:val="lrTb"/>
            <w:noWrap w:val="false"/>
          </w:tcPr>
          <w:p>
            <w:pPr>
              <w:spacing w:after="0"/>
              <w:tabs>
                <w:tab w:val="left" w:pos="432" w:leader="none"/>
              </w:tabs>
            </w:pPr>
            <w:r/>
            <w:r/>
          </w:p>
        </w:tc>
      </w:tr>
      <w:tr>
        <w:trPr>
          <w:trHeight w:val="403"/>
        </w:trPr>
        <w:tc>
          <w:tcPr>
            <w:shd w:val="clear" w:color="auto" w:fill="808080" w:themeFill="background1" w:themeFillShade="8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color w:val="ffffff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Инструкция по заполнению заявки на участие в электронном аукционе</w:t>
            </w:r>
            <w:r>
              <w:rPr>
                <w:color w:val="ffffff"/>
              </w:rPr>
            </w:r>
          </w:p>
        </w:tc>
      </w:tr>
      <w:tr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2" w:type="dxa"/>
            <w:textDirection w:val="lrTb"/>
            <w:noWrap w:val="false"/>
          </w:tcPr>
          <w:p>
            <w:pPr>
              <w:spacing w:after="0"/>
            </w:pPr>
            <w:r>
              <w:tab/>
              <w:t xml:space="preserve">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оператору электронной площадки.</w:t>
            </w:r>
            <w:r/>
          </w:p>
          <w:p>
            <w:pPr>
              <w:spacing w:after="0"/>
            </w:pPr>
            <w:r>
              <w:t xml:space="preserve"> </w:t>
            </w:r>
            <w:r>
              <w:tab/>
              <w:t xml:space="preserve">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срока подачи заявок на участие в закупке.</w:t>
            </w:r>
            <w:r/>
          </w:p>
          <w:p>
            <w:pPr>
              <w:spacing w:after="0"/>
            </w:pPr>
            <w:r>
              <w:tab/>
              <w:t xml:space="preserve">Подача заявки на участие в закупк</w:t>
            </w:r>
            <w:r>
              <w:t xml:space="preserve">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 и в соответствии с заявкой такого участника закупки на участие в закупке.</w:t>
            </w:r>
            <w:r/>
          </w:p>
          <w:p>
            <w:pPr>
              <w:spacing w:after="0"/>
            </w:pPr>
            <w:r>
              <w:tab/>
              <w:t xml:space="preserve">Все документы, входящие в состав заявки на участие в за</w:t>
            </w:r>
            <w:r>
              <w:t xml:space="preserve">купке, должны быть составлены на русском языке. Подача документов, входящих в состав заявки на иностранном языке, должна сопровождаться заверенным в соответствии с законодательством Российской Федерации переводом соответствующих документов на русский язык.</w:t>
            </w:r>
            <w:r/>
          </w:p>
          <w:p>
            <w:pPr>
              <w:spacing w:after="0"/>
            </w:pPr>
            <w:r>
              <w:tab/>
              <w:t xml:space="preserve">Все документы, входящие в состав заявки в закупке, должны иметь четко читаемый текст.</w:t>
            </w:r>
            <w:r>
              <w:tab/>
              <w:t xml:space="preserve">Сведения, содержащиеся в заявке на участие в закупке, в том числе характеристики предлагаемого участником закупки товара </w:t>
            </w:r>
            <w:r>
              <w:rPr>
                <w:shd w:val="clear" w:color="auto" w:fill="b8cce4" w:themeFill="accent1" w:themeFillTint="66"/>
              </w:rPr>
              <w:t xml:space="preserve">(если при выполнении закупаемых работ, оказании закупаемых услуг осуществляется поставка товара</w:t>
            </w:r>
            <w:r>
              <w:t xml:space="preserve">), не должны допускать двусмысленных толкований.</w:t>
            </w:r>
            <w:r/>
          </w:p>
          <w:p>
            <w:pPr>
              <w:rPr>
                <w:shd w:val="clear" w:color="auto" w:fill="b8cce4" w:themeFill="accent1" w:themeFillTint="66"/>
              </w:rPr>
            </w:pPr>
            <w:r>
              <w:rPr>
                <w:highlight w:val="white"/>
              </w:rPr>
              <w:tab/>
            </w:r>
            <w:r>
              <w:rPr>
                <w:shd w:val="clear" w:color="auto" w:fill="ffffff" w:themeFill="background1"/>
              </w:rPr>
              <w:t xml:space="preserve">В целях обеспечения доступа к участию в проводимых на электронной площадке закупках отдельных видов товаров, работ, услуг, в отношении участников которых установлены дополнительные требования в соответствии с </w:t>
            </w:r>
            <w:hyperlink r:id="rId20" w:tooltip="http://ivo.garant.ru/#/document/70353464/entry/3120" w:anchor="/document/70353464/entry/3120" w:history="1">
              <w:r>
                <w:rPr>
                  <w:rStyle w:val="698"/>
                  <w:color w:val="000000"/>
                  <w:shd w:val="clear" w:color="auto" w:fill="ffffff" w:themeFill="background1"/>
                </w:rPr>
                <w:t xml:space="preserve">частями 2</w:t>
              </w:r>
            </w:hyperlink>
            <w:r>
              <w:rPr>
                <w:shd w:val="clear" w:color="auto" w:fill="ffffff" w:themeFill="background1"/>
              </w:rPr>
              <w:t xml:space="preserve"> и </w:t>
            </w:r>
            <w:hyperlink r:id="rId21" w:tooltip="http://ivo.garant.ru/#/document/70353464/entry/990272" w:anchor="/document/70353464/entry/990272" w:history="1">
              <w:r>
                <w:rPr>
                  <w:rStyle w:val="698"/>
                  <w:color w:val="000000"/>
                  <w:shd w:val="clear" w:color="auto" w:fill="ffffff" w:themeFill="background1"/>
                </w:rPr>
                <w:t xml:space="preserve">2.1 статьи 31</w:t>
              </w:r>
            </w:hyperlink>
            <w:r>
              <w:rPr>
                <w:shd w:val="clear" w:color="auto" w:fill="ffffff" w:themeFill="background1"/>
              </w:rPr>
              <w:t xml:space="preserve">  Федерального закона от 05.04.2013г. №44-ФЗ (в случаях установления таких требований в извещении о закупке), участ</w:t>
            </w:r>
            <w:r>
              <w:rPr>
                <w:shd w:val="clear" w:color="auto" w:fill="ffffff" w:themeFill="background1"/>
              </w:rPr>
              <w:t xml:space="preserve">ник закупки, аккредитованный на электронной площадке, заблаговременно направляет оператору этой электронной площадки в отношении каждого такого вида информацию и документы, предусмотренные перечнем, установленным Правительством Российской Федерации (Постан</w:t>
            </w:r>
            <w:r>
              <w:rPr>
                <w:shd w:val="clear" w:color="auto" w:fill="ffffff" w:themeFill="background1"/>
              </w:rPr>
              <w:t xml:space="preserve">овление Правительства РФ от 29 декабря 2021 г. №2571 «О дополнительных требованиях к участникам закупки отдельных видов товаров, работ, услуг для обеспечения государственных и муниципальных нужд, а также об информации и документах, подтверждающих соответст</w:t>
            </w:r>
            <w:r>
              <w:rPr>
                <w:shd w:val="clear" w:color="auto" w:fill="ffffff" w:themeFill="background1"/>
              </w:rPr>
              <w:t xml:space="preserve">вие участников закупки указанным дополнительным требованиям, и признании утратившими силу некоторых актов и отдельных положений актов Правительства Российской Федерации» (далее - Постановление Правительства РФ от 29 декабря 2021 г. №2571) в соответствии с </w:t>
            </w:r>
            <w:hyperlink r:id="rId22" w:tooltip="http://ivo.garant.ru/#/document/70353464/entry/3130" w:anchor="/document/70353464/entry/3130" w:history="1">
              <w:r>
                <w:rPr>
                  <w:rStyle w:val="698"/>
                  <w:color w:val="000000"/>
                  <w:shd w:val="clear" w:color="auto" w:fill="ffffff" w:themeFill="background1"/>
                </w:rPr>
                <w:t xml:space="preserve">частью 3 статьи 31</w:t>
              </w:r>
            </w:hyperlink>
            <w:r>
              <w:rPr>
                <w:shd w:val="clear" w:color="auto" w:fill="ffffff" w:themeFill="background1"/>
              </w:rPr>
              <w:t xml:space="preserve">  Федерального закона от 05.04.2013г. №44-ФЗ и с частями 12-17 статьи  24.2 Федерального закона от 05.04.2013г. №44-ФЗ</w:t>
            </w:r>
            <w:r>
              <w:rPr>
                <w:highlight w:val="white"/>
              </w:rPr>
              <w:t xml:space="preserve">. </w:t>
            </w:r>
            <w:r>
              <w:rPr>
                <w:shd w:val="clear" w:color="auto" w:fill="dce6f2" w:themeFill="accent1" w:themeFillTint="32"/>
              </w:rPr>
              <w:t xml:space="preserve">При этом участнику закупки при на</w:t>
            </w:r>
            <w:r>
              <w:rPr>
                <w:shd w:val="clear" w:color="auto" w:fill="dce6f2" w:themeFill="accent1" w:themeFillTint="32"/>
              </w:rPr>
              <w:t xml:space="preserve">правлении оператору электронной площадки информации и документов, подтверждающих соответствие участников закупки дополнительным требованиям, установленным в соответствии участнику в соответствии с ч. 2 ст. 31 Федерального закона от 05.04.2013г. №44-ФЗ необ</w:t>
            </w:r>
            <w:r>
              <w:rPr>
                <w:shd w:val="clear" w:color="auto" w:fill="dce6f2" w:themeFill="accent1" w:themeFillTint="32"/>
              </w:rPr>
              <w:t xml:space="preserve">ходимо соблюдать требования, установленные в п. 3 Постановления Правительства Российской Федерации от 29 декабря 2021 г. №2571, а при направлении оператору электронной площадки информации и документов, подтверждающих соответствие участников закупки дополни</w:t>
            </w:r>
            <w:r>
              <w:rPr>
                <w:shd w:val="clear" w:color="auto" w:fill="dce6f2" w:themeFill="accent1" w:themeFillTint="32"/>
              </w:rPr>
              <w:t xml:space="preserve">тельным требованиям, установленным в соответствии участнику в соответствии с ч. 2.1 ст. 31 Федерального закона от 05.04.2013г. №44-ФЗ – соблюдать требования, установленные в п. 4 Постановления Правительства Российской Федерации от 29 декабря 2021 г. №2571.</w:t>
            </w:r>
            <w:r>
              <w:rPr>
                <w:shd w:val="clear" w:color="auto" w:fill="b8cce4" w:themeFill="accent1" w:themeFillTint="66"/>
              </w:rPr>
            </w:r>
          </w:p>
          <w:p>
            <w:r>
              <w:rPr>
                <w:highlight w:val="white"/>
              </w:rPr>
              <w:tab/>
            </w:r>
            <w:r>
              <w:t xml:space="preserve">В случае если при выполнении закупаемых работ, оказании закупаемых услуг осуществляется </w:t>
            </w:r>
            <w:r>
              <w:rPr>
                <w:highlight w:val="yellow"/>
              </w:rPr>
              <w:t xml:space="preserve">поставка товара</w:t>
            </w:r>
            <w:r>
              <w:t xml:space="preserve">, требования к техническим характеристикам, к функциональным характеристикам (потребительским свойствам), безопасности, комплектации, параметрам и </w:t>
            </w:r>
            <w:r>
              <w:t xml:space="preserve">иным показателям такого товара</w:t>
            </w:r>
            <w:r>
              <w:t xml:space="preserve"> которые указаны в описании объекта закупки:</w:t>
            </w:r>
            <w:r/>
          </w:p>
          <w:p>
            <w:r>
              <w:tab/>
              <w:t xml:space="preserve">1. Участнику закупки</w:t>
            </w:r>
            <w:r>
              <w:t xml:space="preserve"> при указании в соответствии с  подпунктом «а» пункта  2  части 1 статьи 43  Федерального закона от 05.04.2013г. №44-ФЗ характеристик предлагаемого к поставке при выполнении закупаемых работ, оказании закупаемых услуг товара, участнику закупки необходимо у</w:t>
            </w:r>
            <w:r>
              <w:t xml:space="preserve">казать такие характеристики по всем показателям товара и в единицах  измерения, указанных в описании объекта закупки, который является приложением к извещению о закупке. При этом товар, предлагаемый участником закупки, должен соответствовать требованиям За</w:t>
            </w:r>
            <w:r>
              <w:t xml:space="preserve">казчика к техническим характеристикам товара, к функциональным характеристикам (потребительским свойствам) товара, безопасности, комплектации, параметрам и иным показателям, связанным с определением соответствия поставляемого товара потребностям Заказчика </w:t>
            </w:r>
            <w:r>
              <w:t xml:space="preserve">согласно  описанию</w:t>
            </w:r>
            <w:r>
              <w:t xml:space="preserve"> объекта закупки, который является приложением к извещению о закупке. </w:t>
            </w:r>
            <w:r>
              <w:rPr>
                <w:highlight w:val="white"/>
              </w:rPr>
              <w:t xml:space="preserve">Информация, предусмотренная </w:t>
            </w:r>
            <w:r>
              <w:rPr>
                <w:shd w:val="clear" w:color="auto" w:fill="b8cce4" w:themeFill="accent1" w:themeFillTint="66"/>
              </w:rPr>
              <w:t xml:space="preserve">подпунктом "а" пункта 2 части 1 статьи 43</w:t>
            </w:r>
            <w:r>
              <w:rPr>
                <w:highlight w:val="white"/>
              </w:rPr>
              <w:t xml:space="preserve"> </w:t>
            </w:r>
            <w:r>
              <w:t xml:space="preserve">Федерального закона от 05.04.2013г. №44-ФЗ</w:t>
            </w:r>
            <w:r>
              <w:rPr>
                <w:highlight w:val="white"/>
              </w:rPr>
              <w:t xml:space="preserve">, может не включаться в заявку на участие в закупке в случае указания заказчи</w:t>
            </w:r>
            <w:r>
              <w:rPr>
                <w:highlight w:val="white"/>
              </w:rPr>
              <w:t xml:space="preserve">ком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знаком. Также  информация, предусмотренная </w:t>
            </w:r>
            <w:hyperlink r:id="rId23" w:tooltip="http://ivo.garant.ru/#/document/70353464/entry/431201" w:anchor="/document/70353464/entry/431201" w:history="1">
              <w:r>
                <w:rPr>
                  <w:highlight w:val="white"/>
                </w:rPr>
                <w:t xml:space="preserve">подпунктами "а"</w:t>
              </w:r>
            </w:hyperlink>
            <w:r/>
            <w:hyperlink r:id="rId24" w:tooltip="http://ivo.garant.ru/#/document/70353464/entry/431204" w:anchor="/document/70353464/entry/431204" w:history="1">
              <w:r>
                <w:rPr>
                  <w:highlight w:val="white"/>
                </w:rPr>
                <w:t xml:space="preserve">  2 ч. 1</w:t>
              </w:r>
            </w:hyperlink>
            <w:r>
              <w:rPr>
                <w:highlight w:val="white"/>
              </w:rPr>
              <w:t xml:space="preserve">  ст. 43 Федерального закона от 05.04.2013г. №44-ФЗ (характеристики предлагаемого участником закупки товара, соответствующие показателям, установленным в описании объекта закупки в соответствии с </w:t>
            </w:r>
            <w:hyperlink r:id="rId25" w:tooltip="http://ivo.garant.ru/#/document/70353464/entry/332" w:anchor="/document/70353464/entry/332" w:history="1">
              <w:r>
                <w:rPr>
                  <w:highlight w:val="white"/>
                </w:rPr>
                <w:t xml:space="preserve">частью 2 статьи 33</w:t>
              </w:r>
            </w:hyperlink>
            <w:r>
              <w:rPr>
                <w:highlight w:val="white"/>
              </w:rPr>
              <w:t xml:space="preserve">  Федерального закона от 05.04.2013г. №44, товарный знак (при наличии у товара товарного знака)), не включается в заявку на участие в закупке в случае включения </w:t>
            </w:r>
            <w:r>
              <w:rPr>
                <w:highlight w:val="white"/>
              </w:rPr>
              <w:t xml:space="preserve">заказчиком в соответствии с </w:t>
            </w:r>
            <w:hyperlink r:id="rId26" w:tooltip="http://ivo.garant.ru/#/document/70353464/entry/3318" w:anchor="/document/70353464/entry/3318" w:history="1">
              <w:r>
                <w:rPr>
                  <w:rStyle w:val="698"/>
                  <w:color w:val="000000"/>
                  <w:highlight w:val="white"/>
                </w:rPr>
                <w:t xml:space="preserve">п. 8 ч. 1 ст. 33</w:t>
              </w:r>
            </w:hyperlink>
            <w:r>
              <w:rPr>
                <w:highlight w:val="white"/>
              </w:rPr>
              <w:t xml:space="preserve"> </w:t>
            </w:r>
            <w:r>
              <w:t xml:space="preserve">Федерального закона от 05.04.2013г. №44-ФЗ</w:t>
            </w:r>
            <w:r>
              <w:rPr>
                <w:highlight w:val="white"/>
              </w:rPr>
              <w:t xml:space="preserve">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строительства.</w:t>
            </w:r>
            <w:r/>
          </w:p>
          <w:p>
            <w:pPr>
              <w:spacing w:after="0"/>
            </w:pPr>
            <w:r>
              <w:tab/>
              <w:t xml:space="preserve">2. В случае если участник закупки указывает в</w:t>
            </w:r>
            <w:r>
              <w:t xml:space="preserve"> своей заявке товарный знак (его словесное обозначение), знак обслуживания, фирменное наименование, патенты, полезные модели, промышленные образцы, наименование страны происхождения товара, такое указание не должно сопровождаться словами «или эквивалент». </w:t>
            </w:r>
            <w:r/>
          </w:p>
          <w:p>
            <w:pPr>
              <w:spacing w:after="0"/>
            </w:pPr>
            <w:r>
              <w:tab/>
              <w:t xml:space="preserve">3. Эквивалентность предлагаемого к поставке товара будет устанавливаться по показателям характеристик (технических, функциональных и др.) товара и их </w:t>
            </w:r>
            <w:r>
              <w:t xml:space="preserve">значениям,  указанных</w:t>
            </w:r>
            <w:r>
              <w:t xml:space="preserve"> в описании объекта закупки,  который является приложением к извещению о закупке.</w:t>
            </w:r>
            <w:r/>
          </w:p>
          <w:p>
            <w:pPr>
              <w:spacing w:after="0"/>
            </w:pPr>
            <w:r>
              <w:tab/>
              <w:t xml:space="preserve">4. Согласно п. 31 Дополнительных требований к операторам электронных площадок, о</w:t>
            </w:r>
            <w:r>
              <w:t xml:space="preserve">ператорам специализированных электронных площадок и функционированию электронных площадок, специализированных электронных площадок (утв. постановлением Правительства Российской Федерации от 8 июня 2018г. №656), при формировании предложения участника закупк</w:t>
            </w:r>
            <w:r>
              <w:t xml:space="preserve">и в отношении объекта закупки, предусмотренного пунктом 2 части 1 статьи 43 от 05.04.2013г. №44-ФЗ, с использованием электронной площадки, специализированной электронной площадки формируются наименование страны происхождения товара, товарный знак (при нали</w:t>
            </w:r>
            <w:r>
              <w:t xml:space="preserve">чии у товара товарного знака), а также характеристики предлагаемого участником закупки товара в части характеристик, содержащихся в извещении об осуществлении закупки в соответствии с пунктом 5 части 1 статьи 42 Федерального закона от 05.04.2013г. №44-ФЗ. </w:t>
            </w:r>
            <w:r>
              <w:tab/>
            </w:r>
            <w:r/>
          </w:p>
        </w:tc>
      </w:tr>
    </w:tbl>
    <w:p>
      <w:pPr>
        <w:spacing w:after="0"/>
        <w:rPr>
          <w:i/>
          <w:color w:val="ff0000"/>
        </w:rPr>
      </w:pPr>
      <w:r>
        <w:rPr>
          <w:i/>
          <w:color w:val="ff0000"/>
          <w:sz w:val="22"/>
          <w:vertAlign w:val="superscript"/>
        </w:rPr>
        <w:tab/>
      </w:r>
      <w:r>
        <w:rPr>
          <w:i/>
          <w:color w:val="ff0000"/>
          <w:vertAlign w:val="superscript"/>
        </w:rPr>
        <w:tab/>
      </w:r>
      <w:r>
        <w:rPr>
          <w:i/>
          <w:color w:val="ff0000"/>
        </w:rPr>
      </w:r>
    </w:p>
    <w:p>
      <w:r/>
      <w:r/>
    </w:p>
    <w:sectPr>
      <w:headerReference w:type="default" r:id="rId8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/>
      </w:pPr>
      <w:r>
        <w:separator/>
      </w:r>
      <w:r/>
    </w:p>
  </w:endnote>
  <w:endnote w:type="continuationSeparator" w:id="0">
    <w:p>
      <w:pPr>
        <w:spacing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Calibri">
    <w:panose1 w:val="020F0502020204030204"/>
  </w:font>
  <w:font w:name="XO Thames">
    <w:panose1 w:val="020206030504050203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keepLines/>
      <w:keepNext/>
      <w:spacing w:line="360" w:lineRule="auto"/>
      <w:widowControl w:val="off"/>
    </w:pPr>
    <w:r>
      <w:rPr>
        <w:color w:val="999999"/>
        <w:sz w:val="18"/>
      </w:rPr>
      <w:t xml:space="preserve">Заявка услуга, работа 2.03</w:t>
    </w:r>
    <w:r>
      <w:rPr>
        <w:color w:val="999999"/>
        <w:sz w:val="18"/>
      </w:rPr>
      <w:t xml:space="preserve">.26 44-ФЗ</w: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70"/>
    <w:link w:val="665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70"/>
    <w:link w:val="666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70"/>
    <w:link w:val="667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70"/>
    <w:link w:val="668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70"/>
    <w:link w:val="669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64"/>
    <w:next w:val="66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64"/>
    <w:next w:val="66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4"/>
    <w:next w:val="66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4"/>
    <w:next w:val="66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70"/>
    <w:link w:val="722"/>
    <w:uiPriority w:val="10"/>
    <w:rPr>
      <w:sz w:val="48"/>
      <w:szCs w:val="48"/>
    </w:rPr>
  </w:style>
  <w:style w:type="character" w:styleId="37">
    <w:name w:val="Subtitle Char"/>
    <w:basedOn w:val="670"/>
    <w:link w:val="720"/>
    <w:uiPriority w:val="11"/>
    <w:rPr>
      <w:sz w:val="24"/>
      <w:szCs w:val="24"/>
    </w:rPr>
  </w:style>
  <w:style w:type="paragraph" w:styleId="38">
    <w:name w:val="Quote"/>
    <w:basedOn w:val="664"/>
    <w:next w:val="66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64"/>
    <w:next w:val="66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0"/>
    <w:link w:val="676"/>
    <w:uiPriority w:val="99"/>
  </w:style>
  <w:style w:type="character" w:styleId="45">
    <w:name w:val="Footer Char"/>
    <w:basedOn w:val="670"/>
    <w:link w:val="687"/>
    <w:uiPriority w:val="99"/>
  </w:style>
  <w:style w:type="paragraph" w:styleId="46">
    <w:name w:val="Caption"/>
    <w:basedOn w:val="664"/>
    <w:next w:val="66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87"/>
    <w:uiPriority w:val="99"/>
  </w:style>
  <w:style w:type="table" w:styleId="48">
    <w:name w:val="Table Grid"/>
    <w:basedOn w:val="67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6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0"/>
    <w:uiPriority w:val="99"/>
    <w:unhideWhenUsed/>
    <w:rPr>
      <w:vertAlign w:val="superscript"/>
    </w:rPr>
  </w:style>
  <w:style w:type="paragraph" w:styleId="178">
    <w:name w:val="endnote text"/>
    <w:basedOn w:val="66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0"/>
    <w:uiPriority w:val="99"/>
    <w:semiHidden/>
    <w:unhideWhenUsed/>
    <w:rPr>
      <w:vertAlign w:val="superscript"/>
    </w:rPr>
  </w:style>
  <w:style w:type="paragraph" w:styleId="190">
    <w:name w:val="TOC Heading"/>
    <w:uiPriority w:val="39"/>
    <w:unhideWhenUsed/>
  </w:style>
  <w:style w:type="paragraph" w:styleId="191">
    <w:name w:val="table of figures"/>
    <w:basedOn w:val="664"/>
    <w:next w:val="664"/>
    <w:uiPriority w:val="99"/>
    <w:unhideWhenUsed/>
    <w:pPr>
      <w:spacing w:after="0" w:afterAutospacing="0"/>
    </w:pPr>
  </w:style>
  <w:style w:type="paragraph" w:styleId="664" w:default="1">
    <w:name w:val="Normal"/>
    <w:link w:val="673"/>
    <w:qFormat/>
    <w:pPr>
      <w:jc w:val="both"/>
      <w:spacing w:after="60" w:line="240" w:lineRule="auto"/>
    </w:pPr>
    <w:rPr>
      <w:rFonts w:ascii="Times New Roman" w:hAnsi="Times New Roman"/>
      <w:sz w:val="24"/>
    </w:rPr>
  </w:style>
  <w:style w:type="paragraph" w:styleId="665">
    <w:name w:val="Heading 1"/>
    <w:next w:val="664"/>
    <w:link w:val="696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666">
    <w:name w:val="Heading 2"/>
    <w:next w:val="664"/>
    <w:link w:val="725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667">
    <w:name w:val="Heading 3"/>
    <w:next w:val="664"/>
    <w:link w:val="686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668">
    <w:name w:val="Heading 4"/>
    <w:next w:val="664"/>
    <w:link w:val="724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69">
    <w:name w:val="Heading 5"/>
    <w:next w:val="664"/>
    <w:link w:val="695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670" w:default="1">
    <w:name w:val="Default Paragraph Font"/>
    <w:uiPriority w:val="1"/>
    <w:semiHidden/>
    <w:unhideWhenUsed/>
  </w:style>
  <w:style w:type="table" w:styleId="6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2" w:default="1">
    <w:name w:val="No List"/>
    <w:uiPriority w:val="99"/>
    <w:semiHidden/>
    <w:unhideWhenUsed/>
  </w:style>
  <w:style w:type="character" w:styleId="673" w:customStyle="1">
    <w:name w:val="Обычный1"/>
    <w:rPr>
      <w:rFonts w:ascii="Times New Roman" w:hAnsi="Times New Roman"/>
      <w:sz w:val="24"/>
    </w:rPr>
  </w:style>
  <w:style w:type="paragraph" w:styleId="674">
    <w:name w:val="toc 2"/>
    <w:basedOn w:val="664"/>
    <w:next w:val="664"/>
    <w:link w:val="675"/>
    <w:uiPriority w:val="39"/>
    <w:pPr>
      <w:ind w:left="240"/>
      <w:jc w:val="left"/>
      <w:spacing w:after="0"/>
    </w:pPr>
    <w:rPr>
      <w:smallCaps/>
      <w:sz w:val="20"/>
    </w:rPr>
  </w:style>
  <w:style w:type="character" w:styleId="675" w:customStyle="1">
    <w:name w:val="Оглавление 2 Знак"/>
    <w:basedOn w:val="673"/>
    <w:link w:val="674"/>
    <w:rPr>
      <w:rFonts w:ascii="Times New Roman" w:hAnsi="Times New Roman"/>
      <w:smallCaps/>
      <w:sz w:val="20"/>
    </w:rPr>
  </w:style>
  <w:style w:type="paragraph" w:styleId="676">
    <w:name w:val="Header"/>
    <w:basedOn w:val="664"/>
    <w:link w:val="677"/>
    <w:pPr>
      <w:spacing w:after="0"/>
      <w:tabs>
        <w:tab w:val="center" w:pos="4677" w:leader="none"/>
        <w:tab w:val="right" w:pos="9355" w:leader="none"/>
      </w:tabs>
    </w:pPr>
  </w:style>
  <w:style w:type="character" w:styleId="677" w:customStyle="1">
    <w:name w:val="Верхний колонтитул Знак"/>
    <w:basedOn w:val="673"/>
    <w:link w:val="676"/>
    <w:rPr>
      <w:rFonts w:ascii="Times New Roman" w:hAnsi="Times New Roman"/>
      <w:sz w:val="24"/>
    </w:rPr>
  </w:style>
  <w:style w:type="paragraph" w:styleId="678">
    <w:name w:val="toc 4"/>
    <w:next w:val="664"/>
    <w:link w:val="679"/>
    <w:uiPriority w:val="39"/>
    <w:pPr>
      <w:ind w:left="600"/>
    </w:pPr>
    <w:rPr>
      <w:rFonts w:ascii="XO Thames" w:hAnsi="XO Thames"/>
      <w:sz w:val="28"/>
    </w:rPr>
  </w:style>
  <w:style w:type="character" w:styleId="679" w:customStyle="1">
    <w:name w:val="Оглавление 4 Знак"/>
    <w:link w:val="678"/>
    <w:rPr>
      <w:rFonts w:ascii="XO Thames" w:hAnsi="XO Thames"/>
      <w:sz w:val="28"/>
    </w:rPr>
  </w:style>
  <w:style w:type="paragraph" w:styleId="680">
    <w:name w:val="toc 6"/>
    <w:next w:val="664"/>
    <w:link w:val="681"/>
    <w:uiPriority w:val="39"/>
    <w:pPr>
      <w:ind w:left="1000"/>
    </w:pPr>
    <w:rPr>
      <w:rFonts w:ascii="XO Thames" w:hAnsi="XO Thames"/>
      <w:sz w:val="28"/>
    </w:rPr>
  </w:style>
  <w:style w:type="character" w:styleId="681" w:customStyle="1">
    <w:name w:val="Оглавление 6 Знак"/>
    <w:link w:val="680"/>
    <w:rPr>
      <w:rFonts w:ascii="XO Thames" w:hAnsi="XO Thames"/>
      <w:sz w:val="28"/>
    </w:rPr>
  </w:style>
  <w:style w:type="paragraph" w:styleId="682">
    <w:name w:val="toc 7"/>
    <w:next w:val="664"/>
    <w:link w:val="683"/>
    <w:uiPriority w:val="39"/>
    <w:pPr>
      <w:ind w:left="1200"/>
    </w:pPr>
    <w:rPr>
      <w:rFonts w:ascii="XO Thames" w:hAnsi="XO Thames"/>
      <w:sz w:val="28"/>
    </w:rPr>
  </w:style>
  <w:style w:type="character" w:styleId="683" w:customStyle="1">
    <w:name w:val="Оглавление 7 Знак"/>
    <w:link w:val="682"/>
    <w:rPr>
      <w:rFonts w:ascii="XO Thames" w:hAnsi="XO Thames"/>
      <w:sz w:val="28"/>
    </w:rPr>
  </w:style>
  <w:style w:type="paragraph" w:styleId="684" w:customStyle="1">
    <w:name w:val="Endnote"/>
    <w:link w:val="685"/>
    <w:pPr>
      <w:ind w:firstLine="851"/>
      <w:jc w:val="both"/>
    </w:pPr>
    <w:rPr>
      <w:rFonts w:ascii="XO Thames" w:hAnsi="XO Thames"/>
    </w:rPr>
  </w:style>
  <w:style w:type="character" w:styleId="685" w:customStyle="1">
    <w:name w:val="Endnote"/>
    <w:link w:val="684"/>
    <w:rPr>
      <w:rFonts w:ascii="XO Thames" w:hAnsi="XO Thames"/>
      <w:sz w:val="22"/>
    </w:rPr>
  </w:style>
  <w:style w:type="character" w:styleId="686" w:customStyle="1">
    <w:name w:val="Заголовок 3 Знак"/>
    <w:link w:val="667"/>
    <w:rPr>
      <w:rFonts w:ascii="XO Thames" w:hAnsi="XO Thames"/>
      <w:b/>
      <w:sz w:val="26"/>
    </w:rPr>
  </w:style>
  <w:style w:type="paragraph" w:styleId="687">
    <w:name w:val="Footer"/>
    <w:basedOn w:val="664"/>
    <w:link w:val="688"/>
    <w:pPr>
      <w:spacing w:after="0"/>
      <w:tabs>
        <w:tab w:val="center" w:pos="4677" w:leader="none"/>
        <w:tab w:val="right" w:pos="9355" w:leader="none"/>
      </w:tabs>
    </w:pPr>
  </w:style>
  <w:style w:type="character" w:styleId="688" w:customStyle="1">
    <w:name w:val="Нижний колонтитул Знак"/>
    <w:basedOn w:val="673"/>
    <w:link w:val="687"/>
    <w:rPr>
      <w:rFonts w:ascii="Times New Roman" w:hAnsi="Times New Roman"/>
      <w:sz w:val="24"/>
    </w:rPr>
  </w:style>
  <w:style w:type="paragraph" w:styleId="689">
    <w:name w:val="toc 3"/>
    <w:next w:val="664"/>
    <w:link w:val="690"/>
    <w:uiPriority w:val="39"/>
    <w:pPr>
      <w:ind w:left="400"/>
    </w:pPr>
    <w:rPr>
      <w:rFonts w:ascii="XO Thames" w:hAnsi="XO Thames"/>
      <w:sz w:val="28"/>
    </w:rPr>
  </w:style>
  <w:style w:type="character" w:styleId="690" w:customStyle="1">
    <w:name w:val="Оглавление 3 Знак"/>
    <w:link w:val="689"/>
    <w:rPr>
      <w:rFonts w:ascii="XO Thames" w:hAnsi="XO Thames"/>
      <w:sz w:val="28"/>
    </w:rPr>
  </w:style>
  <w:style w:type="paragraph" w:styleId="691">
    <w:name w:val="Normal (Web)"/>
    <w:basedOn w:val="664"/>
    <w:link w:val="692"/>
    <w:pPr>
      <w:jc w:val="left"/>
      <w:spacing w:beforeAutospacing="1" w:afterAutospacing="1"/>
    </w:pPr>
  </w:style>
  <w:style w:type="character" w:styleId="692" w:customStyle="1">
    <w:name w:val="Обычный (Интернет) Знак"/>
    <w:basedOn w:val="673"/>
    <w:link w:val="691"/>
    <w:rPr>
      <w:rFonts w:ascii="Times New Roman" w:hAnsi="Times New Roman"/>
      <w:sz w:val="24"/>
    </w:rPr>
  </w:style>
  <w:style w:type="paragraph" w:styleId="693" w:customStyle="1">
    <w:name w:val="Выделение1"/>
    <w:basedOn w:val="717"/>
    <w:link w:val="694"/>
  </w:style>
  <w:style w:type="character" w:styleId="694">
    <w:name w:val="Emphasis"/>
    <w:basedOn w:val="670"/>
    <w:link w:val="693"/>
    <w:rPr>
      <w:i w:val="0"/>
    </w:rPr>
  </w:style>
  <w:style w:type="character" w:styleId="695" w:customStyle="1">
    <w:name w:val="Заголовок 5 Знак"/>
    <w:link w:val="669"/>
    <w:rPr>
      <w:rFonts w:ascii="XO Thames" w:hAnsi="XO Thames"/>
      <w:b/>
      <w:sz w:val="22"/>
    </w:rPr>
  </w:style>
  <w:style w:type="character" w:styleId="696" w:customStyle="1">
    <w:name w:val="Заголовок 1 Знак"/>
    <w:link w:val="665"/>
    <w:rPr>
      <w:rFonts w:ascii="XO Thames" w:hAnsi="XO Thames"/>
      <w:b/>
      <w:sz w:val="32"/>
    </w:rPr>
  </w:style>
  <w:style w:type="paragraph" w:styleId="697" w:customStyle="1">
    <w:name w:val="Гиперссылка1"/>
    <w:basedOn w:val="717"/>
    <w:link w:val="698"/>
    <w:rPr>
      <w:color w:val="0000ff"/>
      <w:u w:val="single"/>
    </w:rPr>
  </w:style>
  <w:style w:type="character" w:styleId="698">
    <w:name w:val="Hyperlink"/>
    <w:basedOn w:val="670"/>
    <w:link w:val="697"/>
    <w:rPr>
      <w:color w:val="0000ff"/>
      <w:u w:val="single"/>
    </w:rPr>
  </w:style>
  <w:style w:type="paragraph" w:styleId="699" w:customStyle="1">
    <w:name w:val="Footnote"/>
    <w:basedOn w:val="664"/>
    <w:link w:val="700"/>
    <w:rPr>
      <w:sz w:val="20"/>
    </w:rPr>
  </w:style>
  <w:style w:type="character" w:styleId="700" w:customStyle="1">
    <w:name w:val="Footnote"/>
    <w:basedOn w:val="673"/>
    <w:link w:val="699"/>
    <w:rPr>
      <w:rFonts w:ascii="Times New Roman" w:hAnsi="Times New Roman"/>
      <w:sz w:val="20"/>
    </w:rPr>
  </w:style>
  <w:style w:type="paragraph" w:styleId="701">
    <w:name w:val="toc 1"/>
    <w:next w:val="664"/>
    <w:link w:val="702"/>
    <w:uiPriority w:val="39"/>
    <w:rPr>
      <w:rFonts w:ascii="XO Thames" w:hAnsi="XO Thames"/>
      <w:b/>
      <w:sz w:val="28"/>
    </w:rPr>
  </w:style>
  <w:style w:type="character" w:styleId="702" w:customStyle="1">
    <w:name w:val="Оглавление 1 Знак"/>
    <w:link w:val="701"/>
    <w:rPr>
      <w:rFonts w:ascii="XO Thames" w:hAnsi="XO Thames"/>
      <w:b/>
      <w:sz w:val="28"/>
    </w:rPr>
  </w:style>
  <w:style w:type="paragraph" w:styleId="703" w:customStyle="1">
    <w:name w:val="s_1"/>
    <w:basedOn w:val="664"/>
    <w:link w:val="704"/>
    <w:pPr>
      <w:ind w:firstLine="720"/>
      <w:spacing w:after="0"/>
    </w:pPr>
    <w:rPr>
      <w:rFonts w:ascii="Arial" w:hAnsi="Arial"/>
      <w:sz w:val="28"/>
    </w:rPr>
  </w:style>
  <w:style w:type="character" w:styleId="704" w:customStyle="1">
    <w:name w:val="s_1"/>
    <w:basedOn w:val="673"/>
    <w:link w:val="703"/>
    <w:rPr>
      <w:rFonts w:ascii="Arial" w:hAnsi="Arial"/>
      <w:sz w:val="28"/>
    </w:rPr>
  </w:style>
  <w:style w:type="paragraph" w:styleId="705" w:customStyle="1">
    <w:name w:val="Header and Footer"/>
    <w:link w:val="706"/>
    <w:pPr>
      <w:jc w:val="both"/>
      <w:spacing w:line="240" w:lineRule="auto"/>
    </w:pPr>
    <w:rPr>
      <w:rFonts w:ascii="XO Thames" w:hAnsi="XO Thames"/>
      <w:sz w:val="28"/>
    </w:rPr>
  </w:style>
  <w:style w:type="character" w:styleId="706" w:customStyle="1">
    <w:name w:val="Header and Footer"/>
    <w:link w:val="705"/>
    <w:rPr>
      <w:rFonts w:ascii="XO Thames" w:hAnsi="XO Thames"/>
      <w:sz w:val="28"/>
    </w:rPr>
  </w:style>
  <w:style w:type="paragraph" w:styleId="707" w:customStyle="1">
    <w:name w:val="ConsPlusNormal"/>
    <w:link w:val="708"/>
    <w:pPr>
      <w:ind w:firstLine="720"/>
      <w:spacing w:after="0" w:line="240" w:lineRule="auto"/>
      <w:widowControl w:val="off"/>
    </w:pPr>
    <w:rPr>
      <w:rFonts w:ascii="Arial" w:hAnsi="Arial"/>
    </w:rPr>
  </w:style>
  <w:style w:type="character" w:styleId="708" w:customStyle="1">
    <w:name w:val="ConsPlusNormal"/>
    <w:link w:val="707"/>
    <w:rPr>
      <w:rFonts w:ascii="Arial" w:hAnsi="Arial"/>
    </w:rPr>
  </w:style>
  <w:style w:type="paragraph" w:styleId="709">
    <w:name w:val="toc 9"/>
    <w:next w:val="664"/>
    <w:link w:val="710"/>
    <w:uiPriority w:val="39"/>
    <w:pPr>
      <w:ind w:left="1600"/>
    </w:pPr>
    <w:rPr>
      <w:rFonts w:ascii="XO Thames" w:hAnsi="XO Thames"/>
      <w:sz w:val="28"/>
    </w:rPr>
  </w:style>
  <w:style w:type="character" w:styleId="710" w:customStyle="1">
    <w:name w:val="Оглавление 9 Знак"/>
    <w:link w:val="709"/>
    <w:rPr>
      <w:rFonts w:ascii="XO Thames" w:hAnsi="XO Thames"/>
      <w:sz w:val="28"/>
    </w:rPr>
  </w:style>
  <w:style w:type="paragraph" w:styleId="711">
    <w:name w:val="List Paragraph"/>
    <w:basedOn w:val="664"/>
    <w:link w:val="712"/>
    <w:pPr>
      <w:contextualSpacing/>
      <w:ind w:left="720"/>
    </w:pPr>
  </w:style>
  <w:style w:type="character" w:styleId="712" w:customStyle="1">
    <w:name w:val="Абзац списка Знак"/>
    <w:basedOn w:val="673"/>
    <w:link w:val="711"/>
    <w:rPr>
      <w:rFonts w:ascii="Times New Roman" w:hAnsi="Times New Roman"/>
      <w:sz w:val="24"/>
    </w:rPr>
  </w:style>
  <w:style w:type="paragraph" w:styleId="713">
    <w:name w:val="toc 8"/>
    <w:next w:val="664"/>
    <w:link w:val="714"/>
    <w:uiPriority w:val="39"/>
    <w:pPr>
      <w:ind w:left="1400"/>
    </w:pPr>
    <w:rPr>
      <w:rFonts w:ascii="XO Thames" w:hAnsi="XO Thames"/>
      <w:sz w:val="28"/>
    </w:rPr>
  </w:style>
  <w:style w:type="character" w:styleId="714" w:customStyle="1">
    <w:name w:val="Оглавление 8 Знак"/>
    <w:link w:val="713"/>
    <w:rPr>
      <w:rFonts w:ascii="XO Thames" w:hAnsi="XO Thames"/>
      <w:sz w:val="28"/>
    </w:rPr>
  </w:style>
  <w:style w:type="paragraph" w:styleId="715" w:customStyle="1">
    <w:name w:val="Просмотренная гиперссылка1"/>
    <w:basedOn w:val="717"/>
    <w:link w:val="716"/>
    <w:rPr>
      <w:color w:val="800080" w:themeColor="followedHyperlink"/>
      <w:u w:val="single"/>
    </w:rPr>
  </w:style>
  <w:style w:type="character" w:styleId="716">
    <w:name w:val="FollowedHyperlink"/>
    <w:basedOn w:val="670"/>
    <w:link w:val="715"/>
    <w:rPr>
      <w:color w:val="800080" w:themeColor="followedHyperlink"/>
      <w:u w:val="single"/>
    </w:rPr>
  </w:style>
  <w:style w:type="paragraph" w:styleId="717" w:customStyle="1">
    <w:name w:val="Основной шрифт абзаца1"/>
  </w:style>
  <w:style w:type="paragraph" w:styleId="718">
    <w:name w:val="toc 5"/>
    <w:next w:val="664"/>
    <w:link w:val="719"/>
    <w:uiPriority w:val="39"/>
    <w:pPr>
      <w:ind w:left="800"/>
    </w:pPr>
    <w:rPr>
      <w:rFonts w:ascii="XO Thames" w:hAnsi="XO Thames"/>
      <w:sz w:val="28"/>
    </w:rPr>
  </w:style>
  <w:style w:type="character" w:styleId="719" w:customStyle="1">
    <w:name w:val="Оглавление 5 Знак"/>
    <w:link w:val="718"/>
    <w:rPr>
      <w:rFonts w:ascii="XO Thames" w:hAnsi="XO Thames"/>
      <w:sz w:val="28"/>
    </w:rPr>
  </w:style>
  <w:style w:type="paragraph" w:styleId="720">
    <w:name w:val="Subtitle"/>
    <w:next w:val="664"/>
    <w:link w:val="721"/>
    <w:uiPriority w:val="11"/>
    <w:qFormat/>
    <w:pPr>
      <w:jc w:val="both"/>
    </w:pPr>
    <w:rPr>
      <w:rFonts w:ascii="XO Thames" w:hAnsi="XO Thames"/>
      <w:i/>
      <w:sz w:val="24"/>
    </w:rPr>
  </w:style>
  <w:style w:type="character" w:styleId="721" w:customStyle="1">
    <w:name w:val="Подзаголовок Знак"/>
    <w:link w:val="720"/>
    <w:rPr>
      <w:rFonts w:ascii="XO Thames" w:hAnsi="XO Thames"/>
      <w:i/>
      <w:sz w:val="24"/>
    </w:rPr>
  </w:style>
  <w:style w:type="paragraph" w:styleId="722">
    <w:name w:val="Title"/>
    <w:next w:val="664"/>
    <w:link w:val="723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723" w:customStyle="1">
    <w:name w:val="Заголовок Знак"/>
    <w:link w:val="722"/>
    <w:rPr>
      <w:rFonts w:ascii="XO Thames" w:hAnsi="XO Thames"/>
      <w:b/>
      <w:caps/>
      <w:sz w:val="40"/>
    </w:rPr>
  </w:style>
  <w:style w:type="character" w:styleId="724" w:customStyle="1">
    <w:name w:val="Заголовок 4 Знак"/>
    <w:link w:val="668"/>
    <w:rPr>
      <w:rFonts w:ascii="XO Thames" w:hAnsi="XO Thames"/>
      <w:b/>
      <w:sz w:val="24"/>
    </w:rPr>
  </w:style>
  <w:style w:type="character" w:styleId="725" w:customStyle="1">
    <w:name w:val="Заголовок 2 Знак"/>
    <w:link w:val="666"/>
    <w:rPr>
      <w:rFonts w:ascii="XO Thames" w:hAnsi="XO Thames"/>
      <w:b/>
      <w:sz w:val="28"/>
    </w:rPr>
  </w:style>
  <w:style w:type="paragraph" w:styleId="726" w:customStyle="1">
    <w:name w:val="Table Paragraph"/>
    <w:basedOn w:val="664"/>
    <w:qFormat/>
    <w:pPr>
      <w:spacing w:after="0"/>
      <w:widowControl w:val="off"/>
    </w:pPr>
    <w:rPr>
      <w:rFonts w:ascii="Arial" w:hAnsi="Aria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yperlink" Target="https://ivo.garant.ru/" TargetMode="External"/><Relationship Id="rId10" Type="http://schemas.openxmlformats.org/officeDocument/2006/relationships/hyperlink" Target="https://ivo.garant.ru/" TargetMode="External"/><Relationship Id="rId11" Type="http://schemas.openxmlformats.org/officeDocument/2006/relationships/hyperlink" Target="https://ivo.garant.ru/" TargetMode="External"/><Relationship Id="rId12" Type="http://schemas.openxmlformats.org/officeDocument/2006/relationships/hyperlink" Target="http://ivo.garant.ru/" TargetMode="External"/><Relationship Id="rId13" Type="http://schemas.openxmlformats.org/officeDocument/2006/relationships/hyperlink" Target="http://ivo.garant.ru/" TargetMode="External"/><Relationship Id="rId14" Type="http://schemas.openxmlformats.org/officeDocument/2006/relationships/hyperlink" Target="https://reestr.digital.gov.ru/" TargetMode="External"/><Relationship Id="rId15" Type="http://schemas.openxmlformats.org/officeDocument/2006/relationships/hyperlink" Target="http://eac-reestr.digital.gov.ru/" TargetMode="External"/><Relationship Id="rId16" Type="http://schemas.openxmlformats.org/officeDocument/2006/relationships/hyperlink" Target="http://ivo.garant.ru/" TargetMode="External"/><Relationship Id="rId17" Type="http://schemas.openxmlformats.org/officeDocument/2006/relationships/hyperlink" Target="http://ivo.garant.ru/" TargetMode="External"/><Relationship Id="rId18" Type="http://schemas.openxmlformats.org/officeDocument/2006/relationships/hyperlink" Target="http://ivo.garant.ru/" TargetMode="External"/><Relationship Id="rId19" Type="http://schemas.openxmlformats.org/officeDocument/2006/relationships/hyperlink" Target="http://ivo.garant.ru/" TargetMode="External"/><Relationship Id="rId20" Type="http://schemas.openxmlformats.org/officeDocument/2006/relationships/hyperlink" Target="http://ivo.garant.ru/" TargetMode="External"/><Relationship Id="rId21" Type="http://schemas.openxmlformats.org/officeDocument/2006/relationships/hyperlink" Target="http://ivo.garant.ru/" TargetMode="External"/><Relationship Id="rId22" Type="http://schemas.openxmlformats.org/officeDocument/2006/relationships/hyperlink" Target="http://ivo.garant.ru/" TargetMode="External"/><Relationship Id="rId23" Type="http://schemas.openxmlformats.org/officeDocument/2006/relationships/hyperlink" Target="http://ivo.garant.ru/" TargetMode="External"/><Relationship Id="rId24" Type="http://schemas.openxmlformats.org/officeDocument/2006/relationships/hyperlink" Target="http://ivo.garant.ru/" TargetMode="External"/><Relationship Id="rId25" Type="http://schemas.openxmlformats.org/officeDocument/2006/relationships/hyperlink" Target="http://ivo.garant.ru/" TargetMode="External"/><Relationship Id="rId26" Type="http://schemas.openxmlformats.org/officeDocument/2006/relationships/hyperlink" Target="http://ivo.garant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9</cp:revision>
  <dcterms:created xsi:type="dcterms:W3CDTF">2026-09-09T19:36:00Z</dcterms:created>
  <dcterms:modified xsi:type="dcterms:W3CDTF">2026-10-14T14:38:06Z</dcterms:modified>
</cp:coreProperties>
</file>