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2"/>
          <w:szCs w:val="22"/>
        </w:rPr>
      </w:pPr>
      <w:r>
        <w:rPr>
          <w:rFonts w:eastAsia="Times New Roman"/>
          <w:b/>
          <w:sz w:val="22"/>
          <w:szCs w:val="22"/>
        </w:rPr>
        <w:t xml:space="preserve">ПРОЕКТ ГОСУДАРСТВЕННОГО КОНТРАКТА 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center"/>
        <w:rPr>
          <w:rFonts w:eastAsia="Times New Roman"/>
          <w:b/>
          <w:sz w:val="22"/>
          <w:szCs w:val="22"/>
        </w:rPr>
      </w:pPr>
      <w:r>
        <w:rPr>
          <w:rFonts w:eastAsia="Times New Roman"/>
          <w:b/>
          <w:sz w:val="22"/>
          <w:szCs w:val="22"/>
        </w:rPr>
        <w:t xml:space="preserve">ЭА-101</w:t>
      </w:r>
      <w:r>
        <w:rPr>
          <w:rFonts w:eastAsia="Times New Roman"/>
          <w:b/>
          <w:sz w:val="22"/>
          <w:szCs w:val="22"/>
        </w:rPr>
        <w:t xml:space="preserve">-2026</w:t>
      </w:r>
      <w:r>
        <w:rPr>
          <w:rFonts w:eastAsia="Times New Roman"/>
          <w:b/>
          <w:sz w:val="22"/>
          <w:szCs w:val="22"/>
        </w:rPr>
      </w:r>
      <w:r>
        <w:rPr>
          <w:rFonts w:eastAsia="Times New Roman"/>
          <w:b/>
          <w:sz w:val="22"/>
          <w:szCs w:val="22"/>
        </w:rPr>
      </w:r>
    </w:p>
    <w:p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ГОСУДАРСТВЕННЫЙ КОНТРАКТ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shd w:val="clear" w:color="auto" w:fill="ffffff" w:themeFill="background1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afafa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afafa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afafa"/>
        </w:rPr>
      </w:r>
    </w:p>
    <w:p>
      <w:pPr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</w:pPr>
      <w:r>
        <w:rPr>
          <w:sz w:val="22"/>
          <w:szCs w:val="22"/>
        </w:rPr>
      </w:r>
      <w:r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</w:r>
      <w:r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</w:r>
    </w:p>
    <w:p>
      <w:pPr>
        <w:pStyle w:val="1442"/>
        <w:contextualSpacing/>
        <w:jc w:val="left"/>
        <w:keepLines/>
        <w:spacing w:line="119" w:lineRule="exact"/>
        <w:rPr>
          <w:rFonts w:ascii="Times New Roman" w:hAnsi="Times New Roman" w:cs="Times New Roman"/>
          <w:sz w:val="22"/>
          <w:szCs w:val="22"/>
        </w:rPr>
        <w:suppressLineNumbers w:val="0"/>
      </w:pPr>
      <w:r>
        <w:rPr>
          <w:rFonts w:ascii="Times New Roman" w:hAnsi="Times New Roman" w:cs="Times New Roman"/>
          <w:sz w:val="22"/>
          <w:szCs w:val="22"/>
        </w:rPr>
        <w:t xml:space="preserve">г. Ставрополь      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contextualSpacing/>
        <w:jc w:val="center"/>
        <w:rPr>
          <w:b/>
          <w:bCs/>
          <w:sz w:val="22"/>
          <w:szCs w:val="22"/>
          <w:highlight w:val="none"/>
          <w14:ligatures w14:val="none"/>
        </w:rPr>
        <w:suppressLineNumbers w:val="0"/>
      </w:pPr>
      <w:r>
        <w:rPr>
          <w:b/>
          <w:bCs/>
          <w:sz w:val="22"/>
          <w:szCs w:val="22"/>
        </w:rPr>
        <w:t xml:space="preserve">1. </w:t>
      </w:r>
      <w:r>
        <w:rPr>
          <w:b/>
          <w:bCs/>
          <w:sz w:val="22"/>
          <w:szCs w:val="22"/>
        </w:rPr>
        <w:t xml:space="preserve">Общая информация о контракте</w:t>
      </w:r>
      <w:r>
        <w:rPr>
          <w:b/>
          <w:bCs/>
          <w:sz w:val="22"/>
          <w:szCs w:val="22"/>
          <w:highlight w:val="none"/>
          <w14:ligatures w14:val="none"/>
        </w:rPr>
      </w:r>
      <w:r>
        <w:rPr>
          <w:b/>
          <w:bCs/>
          <w:sz w:val="22"/>
          <w:szCs w:val="22"/>
          <w:highlight w:val="none"/>
          <w14:ligatures w14:val="none"/>
        </w:rPr>
      </w:r>
    </w:p>
    <w:p>
      <w:pPr>
        <w:pStyle w:val="1456"/>
        <w:numPr>
          <w:ilvl w:val="1"/>
          <w:numId w:val="18"/>
        </w:numPr>
        <w:contextualSpacing/>
        <w:ind w:left="360" w:right="0" w:hanging="360"/>
        <w:jc w:val="center"/>
        <w:rPr>
          <w:rFonts w:ascii="Times New Roman" w:hAnsi="Times New Roman" w:cs="Times New Roman"/>
          <w:b/>
          <w:bCs/>
          <w:sz w:val="22"/>
          <w:szCs w:val="22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Реквизиты контракта</w:t>
      </w:r>
      <w:r>
        <w:rPr>
          <w:rFonts w:ascii="Times New Roman" w:hAnsi="Times New Roman" w:cs="Times New Roman"/>
          <w:b/>
          <w:bCs/>
          <w:sz w:val="22"/>
          <w:szCs w:val="22"/>
          <w14:ligatures w14:val="none"/>
        </w:rPr>
      </w:r>
      <w:r>
        <w:rPr>
          <w:rFonts w:ascii="Times New Roman" w:hAnsi="Times New Roman" w:cs="Times New Roman"/>
          <w:b/>
          <w:bCs/>
          <w:sz w:val="22"/>
          <w:szCs w:val="22"/>
          <w14:ligatures w14:val="none"/>
        </w:rPr>
      </w:r>
    </w:p>
    <w:tbl>
      <w:tblPr>
        <w:tblW w:w="14734" w:type="dxa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6796"/>
        <w:gridCol w:w="7938"/>
      </w:tblGrid>
      <w:tr>
        <w:tblPrEx/>
        <w:trPr>
          <w:trHeight w:val="27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6796" w:type="dxa"/>
            <w:vAlign w:val="center"/>
            <w:textDirection w:val="lrTb"/>
            <w:noWrap w:val="false"/>
          </w:tcPr>
          <w:p>
            <w:pPr>
              <w:contextualSpacing/>
              <w:jc w:val="left"/>
              <w:rPr>
                <w:sz w:val="18"/>
                <w:szCs w:val="18"/>
                <w14:ligatures w14:val="none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Контракт заключен для выполнения государственного оборонного заказа</w:t>
            </w:r>
            <w:r>
              <w:rPr>
                <w:sz w:val="18"/>
                <w:szCs w:val="18"/>
                <w14:ligatures w14:val="none"/>
              </w:rPr>
            </w:r>
            <w:r>
              <w:rPr>
                <w:sz w:val="18"/>
                <w:szCs w:val="18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938" w:type="dxa"/>
            <w:vAlign w:val="center"/>
            <w:textDirection w:val="lrTb"/>
            <w:noWrap w:val="false"/>
          </w:tcPr>
          <w:p>
            <w:pPr>
              <w:contextualSpacing/>
              <w:jc w:val="left"/>
              <w:rPr>
                <w:sz w:val="18"/>
                <w:szCs w:val="18"/>
                <w14:ligatures w14:val="none"/>
              </w:rPr>
            </w:pPr>
            <w:r>
              <w:rPr>
                <w:sz w:val="18"/>
                <w:szCs w:val="18"/>
              </w:rPr>
              <w:t xml:space="preserve">Нет</w:t>
            </w:r>
            <w:r>
              <w:rPr>
                <w:sz w:val="18"/>
                <w:szCs w:val="18"/>
                <w14:ligatures w14:val="none"/>
              </w:rPr>
            </w:r>
            <w:r>
              <w:rPr>
                <w:sz w:val="18"/>
                <w:szCs w:val="1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6796" w:type="dxa"/>
            <w:vAlign w:val="center"/>
            <w:textDirection w:val="lrTb"/>
            <w:noWrap w:val="false"/>
          </w:tcPr>
          <w:p>
            <w:pPr>
              <w:contextualSpacing/>
              <w:jc w:val="left"/>
              <w:rPr>
                <w:sz w:val="18"/>
                <w:szCs w:val="18"/>
                <w14:ligatures w14:val="none"/>
              </w:rPr>
            </w:pPr>
            <w:r>
              <w:rPr>
                <w:sz w:val="18"/>
                <w:szCs w:val="18"/>
              </w:rPr>
              <w:t xml:space="preserve">Идентификатор государственного контракта по государственному оборонному заказу</w:t>
            </w:r>
            <w:r>
              <w:rPr>
                <w:sz w:val="18"/>
                <w:szCs w:val="18"/>
                <w14:ligatures w14:val="none"/>
              </w:rPr>
            </w:r>
            <w:r>
              <w:rPr>
                <w:sz w:val="18"/>
                <w:szCs w:val="18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938" w:type="dxa"/>
            <w:vAlign w:val="center"/>
            <w:textDirection w:val="lrTb"/>
            <w:noWrap w:val="false"/>
          </w:tcPr>
          <w:p>
            <w:pPr>
              <w:contextualSpacing/>
              <w:jc w:val="left"/>
              <w:rPr>
                <w:sz w:val="18"/>
                <w:szCs w:val="18"/>
                <w14:ligatures w14:val="none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  <w14:ligatures w14:val="none"/>
              </w:rPr>
            </w:r>
            <w:r>
              <w:rPr>
                <w:sz w:val="18"/>
                <w:szCs w:val="1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6796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left"/>
              <w:rPr>
                <w:sz w:val="18"/>
                <w:szCs w:val="18"/>
                <w14:ligatures w14:val="none"/>
              </w:rPr>
            </w:pPr>
            <w:r>
              <w:rPr>
                <w:sz w:val="18"/>
                <w:szCs w:val="18"/>
              </w:rPr>
              <w:t xml:space="preserve">Номер контракта </w:t>
            </w:r>
            <w:r>
              <w:rPr>
                <w:sz w:val="18"/>
                <w:szCs w:val="18"/>
                <w14:ligatures w14:val="none"/>
              </w:rPr>
            </w:r>
            <w:r>
              <w:rPr>
                <w:sz w:val="18"/>
                <w:szCs w:val="18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938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left"/>
              <w:rPr>
                <w:sz w:val="18"/>
                <w:szCs w:val="18"/>
                <w14:ligatures w14:val="none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-----------------------------</w:t>
            </w:r>
            <w:r>
              <w:rPr>
                <w:sz w:val="18"/>
                <w:szCs w:val="18"/>
                <w14:ligatures w14:val="none"/>
              </w:rPr>
            </w:r>
            <w:r>
              <w:rPr>
                <w:sz w:val="18"/>
                <w:szCs w:val="18"/>
                <w14:ligatures w14:val="none"/>
              </w:rPr>
            </w:r>
          </w:p>
        </w:tc>
      </w:tr>
    </w:tbl>
    <w:p>
      <w:pPr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441"/>
        <w:contextualSpacing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Территориальный фонд обязательного медицинского страхования Ставропольского края, именуемый в дальнейшем «Заказчик», в лице __________________</w:t>
      </w:r>
      <w:r>
        <w:rPr>
          <w:rStyle w:val="1440"/>
          <w:rFonts w:cs="Times New Roman"/>
          <w:sz w:val="22"/>
          <w:szCs w:val="22"/>
        </w:rPr>
        <w:footnoteReference w:id="2"/>
      </w:r>
      <w:r>
        <w:rPr>
          <w:rFonts w:ascii="Times New Roman" w:hAnsi="Times New Roman" w:cs="Times New Roman"/>
          <w:sz w:val="22"/>
          <w:szCs w:val="22"/>
        </w:rPr>
        <w:t xml:space="preserve">, действующего на основании __________________</w:t>
      </w:r>
      <w:r>
        <w:rPr>
          <w:rStyle w:val="1440"/>
          <w:rFonts w:cs="Times New Roman"/>
          <w:sz w:val="22"/>
          <w:szCs w:val="22"/>
        </w:rPr>
        <w:footnoteReference w:id="3"/>
      </w:r>
      <w:r>
        <w:rPr>
          <w:rFonts w:ascii="Times New Roman" w:hAnsi="Times New Roman" w:cs="Times New Roman"/>
          <w:sz w:val="22"/>
          <w:szCs w:val="22"/>
        </w:rPr>
        <w:t xml:space="preserve">, с одной стороны, и __________________</w:t>
      </w:r>
      <w:r>
        <w:rPr>
          <w:rStyle w:val="1440"/>
          <w:rFonts w:cs="Times New Roman"/>
          <w:sz w:val="22"/>
          <w:szCs w:val="22"/>
        </w:rPr>
        <w:footnoteReference w:id="4"/>
      </w:r>
      <w:r>
        <w:rPr>
          <w:rFonts w:ascii="Times New Roman" w:hAnsi="Times New Roman" w:cs="Times New Roman"/>
          <w:sz w:val="22"/>
          <w:szCs w:val="22"/>
        </w:rPr>
        <w:t xml:space="preserve">, именуемый в дальнейшем «</w:t>
      </w:r>
      <w:r>
        <w:rPr>
          <w:rFonts w:ascii="Times New Roman" w:hAnsi="Times New Roman" w:cs="Times New Roman"/>
          <w:sz w:val="22"/>
          <w:szCs w:val="22"/>
        </w:rPr>
        <w:t xml:space="preserve">Исполнитель</w:t>
      </w:r>
      <w:r>
        <w:rPr>
          <w:rFonts w:ascii="Times New Roman" w:hAnsi="Times New Roman" w:cs="Times New Roman"/>
          <w:sz w:val="22"/>
          <w:szCs w:val="22"/>
        </w:rPr>
        <w:t xml:space="preserve">», в лице __________________</w:t>
      </w:r>
      <w:r>
        <w:rPr>
          <w:rStyle w:val="1440"/>
          <w:rFonts w:cs="Times New Roman"/>
          <w:sz w:val="22"/>
          <w:szCs w:val="22"/>
        </w:rPr>
        <w:footnoteReference w:id="5"/>
      </w:r>
      <w:r>
        <w:rPr>
          <w:rFonts w:ascii="Times New Roman" w:hAnsi="Times New Roman" w:cs="Times New Roman"/>
          <w:sz w:val="22"/>
          <w:szCs w:val="22"/>
        </w:rPr>
        <w:t xml:space="preserve">, действующего на основании __________________</w:t>
      </w:r>
      <w:r>
        <w:rPr>
          <w:rStyle w:val="1440"/>
          <w:rFonts w:cs="Times New Roman"/>
          <w:sz w:val="22"/>
          <w:szCs w:val="22"/>
        </w:rPr>
        <w:footnoteReference w:id="6"/>
      </w:r>
      <w:r>
        <w:rPr>
          <w:rFonts w:ascii="Times New Roman" w:hAnsi="Times New Roman" w:cs="Times New Roman"/>
          <w:sz w:val="22"/>
          <w:szCs w:val="22"/>
        </w:rPr>
        <w:t xml:space="preserve">, с другой стороны, вместе именуемые в дальнейшем «Стороны», заключили настоящий государственный контракт (далее - Контракт) о нижеследующем.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  <w:highlight w:val="non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</w:r>
    </w:p>
    <w:p>
      <w:pPr>
        <w:pStyle w:val="1441"/>
        <w:contextualSpacing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  <w:highlight w:val="none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1.2. Основание заключения контакта</w:t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</w:r>
    </w:p>
    <w:tbl>
      <w:tblPr>
        <w:tblStyle w:val="145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803"/>
        <w:gridCol w:w="10937"/>
      </w:tblGrid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80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white"/>
              </w:rPr>
              <w:t xml:space="preserve">Идентификационный код закупки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93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 w:themeFill="background1"/>
              <w:widowControl w:val="off"/>
              <w:tabs>
                <w:tab w:val="left" w:pos="4395" w:leader="none"/>
              </w:tabs>
              <w:rPr>
                <w:rFonts w:ascii="Times New Roman" w:hAnsi="Times New Roman" w:cs="Times New Roman"/>
                <w:i/>
                <w:color w:val="2f5696" w:themeColor="accent5" w:themeShade="BF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2f5696" w:themeColor="accent5" w:themeShade="BF"/>
                <w:sz w:val="18"/>
                <w:szCs w:val="18"/>
                <w:shd w:val="clear" w:color="auto" w:fill="fafafa"/>
              </w:rPr>
            </w:r>
            <w:r>
              <w:rPr>
                <w:rFonts w:ascii="Times New Roman" w:hAnsi="Times New Roman" w:cs="Times New Roman"/>
                <w:i/>
                <w:color w:val="2f5696" w:themeColor="accent5" w:themeShade="BF"/>
                <w:sz w:val="18"/>
                <w:szCs w:val="18"/>
                <w:highlight w:val="white"/>
                <w:shd w:val="clear" w:color="auto" w:fill="fafafa"/>
              </w:rPr>
              <w:t xml:space="preserve">26 12634033112263401001 0022 001 6201 244</w:t>
            </w:r>
            <w:r>
              <w:rPr>
                <w:rFonts w:ascii="Times New Roman" w:hAnsi="Times New Roman" w:cs="Times New Roman"/>
                <w:i/>
                <w:color w:val="2f5696" w:themeColor="accent5" w:themeShade="BF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color w:val="2f5696" w:themeColor="accent5" w:themeShade="BF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80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white"/>
              </w:rPr>
              <w:t xml:space="preserve">Способ определения поставщика (подрядчика, исполнителя)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937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white"/>
              </w:rPr>
              <w:t xml:space="preserve">Электронный аукцион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80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white"/>
              </w:rPr>
              <w:t xml:space="preserve">Номер извещения об осуществлении закупки (приглашения)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937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white"/>
              </w:rPr>
            </w:r>
            <w:r>
              <w:rPr>
                <w:color w:val="auto"/>
                <w:sz w:val="18"/>
                <w:szCs w:val="18"/>
              </w:rPr>
              <w:t xml:space="preserve">-----------------------------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80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white"/>
              </w:rPr>
              <w:t xml:space="preserve">Реквизиты документа, подтверждающего основание заключения контракта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937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white"/>
              </w:rPr>
            </w:r>
            <w:r>
              <w:rPr>
                <w:color w:val="auto"/>
                <w:sz w:val="18"/>
                <w:szCs w:val="18"/>
              </w:rPr>
              <w:t xml:space="preserve">-----------------------------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</w:r>
          </w:p>
        </w:tc>
      </w:tr>
    </w:tbl>
    <w:p>
      <w:pPr>
        <w:pStyle w:val="1441"/>
        <w:contextualSpacing/>
        <w:ind w:firstLine="540"/>
        <w:jc w:val="both"/>
        <w:rPr>
          <w:rFonts w:ascii="Times New Roman" w:hAnsi="Times New Roman" w:cs="Times New Roman"/>
          <w:sz w:val="22"/>
          <w:szCs w:val="22"/>
          <w:highlight w:val="none"/>
        </w:rPr>
      </w:pPr>
      <w:r>
        <w:rPr>
          <w:rFonts w:ascii="Times New Roman" w:hAnsi="Times New Roman" w:cs="Times New Roman"/>
          <w:sz w:val="22"/>
          <w:szCs w:val="22"/>
          <w:highlight w:val="none"/>
        </w:rPr>
      </w:r>
      <w:r>
        <w:rPr>
          <w:rFonts w:ascii="Times New Roman" w:hAnsi="Times New Roman" w:cs="Times New Roman"/>
          <w:sz w:val="22"/>
          <w:szCs w:val="22"/>
          <w:highlight w:val="none"/>
        </w:rPr>
      </w:r>
      <w:r>
        <w:rPr>
          <w:rFonts w:ascii="Times New Roman" w:hAnsi="Times New Roman" w:cs="Times New Roman"/>
          <w:sz w:val="22"/>
          <w:szCs w:val="22"/>
          <w:highlight w:val="none"/>
        </w:rPr>
      </w:r>
    </w:p>
    <w:p>
      <w:pPr>
        <w:pStyle w:val="1441"/>
        <w:contextualSpacing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2. Стороны контракта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1441"/>
        <w:contextualSpacing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2.1. Информация о заказчике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tbl>
      <w:tblPr>
        <w:tblStyle w:val="145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10063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Организационно-правовая форма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75204: Государственные казенные учреждения субъектов Российской Федерации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Полное наименование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ТЕРРИТОРИАЛЬНЫЙ ФОНД ОБЯЗАТЕЛЬНОГО МЕДИЦИНСКОГО СТРАХОВАНИЯ СТАВРОПОЛЬСКОГО КРАЯ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Сокращенное наименование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ТФОМС СК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ИНН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2634033112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КПП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263401001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Место нахождения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Российская Федерация, 355004, Ставропольский край, Ставрополь г, Мира, Д. 267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Почтовый адрес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Российская Федерация, 355004, Ставропольский край, Ставрополь г, Мира, Д. 267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Ответственное должностное лицо заказчика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Давидян Алена Александровна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Адрес электронной почты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zakupki@tfomssk.ru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Номер контактного телефона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7-865-2-948128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</w:tr>
    </w:tbl>
    <w:p>
      <w:pPr>
        <w:pStyle w:val="1441"/>
        <w:contextualSpacing/>
        <w:ind w:firstLine="5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1441"/>
        <w:contextualSpacing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2.2. Информация о поставщике</w:t>
      </w:r>
      <w:r>
        <w:rPr>
          <w:rFonts w:ascii="Times New Roman" w:hAnsi="Times New Roman" w:cs="Times New Roman"/>
          <w:b/>
          <w:sz w:val="22"/>
          <w:szCs w:val="22"/>
        </w:rPr>
        <w:t xml:space="preserve"> (подрядчике, исполнителе)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tbl>
      <w:tblPr>
        <w:tblW w:w="14740" w:type="dxa"/>
        <w:tblLayout w:type="fixed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4677"/>
        <w:gridCol w:w="1418"/>
        <w:gridCol w:w="8645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Вид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Наименование организации (ФИО физического лица)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Наименование страны, код по ОКСМ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Адрес места нахождения (адрес места жительства)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Почтовый адрес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ОГРН (для юридических лиц)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ИНН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textDirection w:val="lrTb"/>
            <w:noWrap w:val="false"/>
          </w:tcPr>
          <w:p>
            <w:pPr>
              <w:pStyle w:val="1463"/>
              <w:jc w:val="both"/>
              <w:spacing w:before="0" w:beforeAutospacing="0" w:after="0" w:afterAutospacing="0" w:line="288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ИНН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(при наличии) и должность лица, имеющего право без доверенности дей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ствовать от имени юридического лица, либо действующего в качестве руководителя юридического лица, аккредитованного филиала или представительства иностранного юридического лица, либо исполняющего функции единоличного исполнительного органа юридического лица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КПП (для юридических лиц)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Статус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Электронная почта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Телефон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Руководитель (лицо, имеющее право без доверенности действовать от имени юридического лица)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ФИО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13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widowControl/>
              <w:rPr>
                <w:rFonts w:eastAsia="Times New Roman"/>
                <w:color w:val="000000"/>
                <w:sz w:val="20"/>
                <w:szCs w:val="18"/>
              </w:rPr>
            </w:pPr>
            <w:r>
              <w:rPr>
                <w:rFonts w:eastAsia="Times New Roman"/>
                <w:color w:val="000000"/>
                <w:sz w:val="20"/>
                <w:szCs w:val="18"/>
              </w:rPr>
            </w:r>
            <w:r>
              <w:rPr>
                <w:rFonts w:eastAsia="Times New Roman"/>
                <w:color w:val="000000"/>
                <w:sz w:val="20"/>
                <w:szCs w:val="18"/>
              </w:rPr>
            </w:r>
            <w:r>
              <w:rPr>
                <w:rFonts w:eastAsia="Times New Roman"/>
                <w:color w:val="000000"/>
                <w:sz w:val="20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418" w:type="dxa"/>
            <w:vAlign w:val="center"/>
            <w:textDirection w:val="lrTb"/>
            <w:noWrap w:val="false"/>
          </w:tcPr>
          <w:p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18"/>
              </w:rPr>
              <w:t xml:space="preserve">ИНН</w:t>
            </w: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8645" w:type="dxa"/>
            <w:vAlign w:val="center"/>
            <w:textDirection w:val="lrTb"/>
            <w:noWrap w:val="false"/>
          </w:tcPr>
          <w:p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r>
          </w:p>
        </w:tc>
      </w:tr>
      <w:tr>
        <w:tblPrEx/>
        <w:trPr>
          <w:trHeight w:val="24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widowControl/>
              <w:rPr>
                <w:rFonts w:eastAsia="Times New Roman"/>
                <w:color w:val="000000"/>
                <w:sz w:val="20"/>
                <w:szCs w:val="18"/>
              </w:rPr>
            </w:pPr>
            <w:r>
              <w:rPr>
                <w:rFonts w:eastAsia="Times New Roman"/>
                <w:color w:val="000000"/>
                <w:sz w:val="20"/>
                <w:szCs w:val="18"/>
              </w:rPr>
            </w:r>
            <w:r>
              <w:rPr>
                <w:rFonts w:eastAsia="Times New Roman"/>
                <w:color w:val="000000"/>
                <w:sz w:val="20"/>
                <w:szCs w:val="18"/>
              </w:rPr>
            </w:r>
            <w:r>
              <w:rPr>
                <w:rFonts w:eastAsia="Times New Roman"/>
                <w:color w:val="000000"/>
                <w:sz w:val="20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418" w:type="dxa"/>
            <w:vAlign w:val="center"/>
            <w:textDirection w:val="lrTb"/>
            <w:noWrap w:val="false"/>
          </w:tcPr>
          <w:p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18"/>
              </w:rPr>
              <w:t xml:space="preserve">Должность</w:t>
            </w: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8645" w:type="dxa"/>
            <w:vAlign w:val="center"/>
            <w:textDirection w:val="lrTb"/>
            <w:noWrap w:val="false"/>
          </w:tcPr>
          <w:p>
            <w:pPr>
              <w:ind w:left="0" w:right="1897" w:firstLine="0"/>
              <w:widowControl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r>
          </w:p>
        </w:tc>
      </w:tr>
    </w:tbl>
    <w:p>
      <w:pPr>
        <w:pStyle w:val="1441"/>
        <w:contextualSpacing/>
        <w:ind w:firstLine="5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1441"/>
        <w:contextualSpacing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  <w:highlight w:val="none"/>
        </w:rPr>
        <w:outlineLvl w:val="1"/>
      </w:pPr>
      <w:r>
        <w:rPr>
          <w:rFonts w:ascii="Times New Roman" w:hAnsi="Times New Roman" w:cs="Times New Roman"/>
          <w:b/>
          <w:sz w:val="22"/>
          <w:szCs w:val="22"/>
        </w:rPr>
        <w:t xml:space="preserve">3. </w:t>
      </w:r>
      <w:r>
        <w:rPr>
          <w:rFonts w:ascii="Times New Roman" w:hAnsi="Times New Roman" w:cs="Times New Roman"/>
          <w:b/>
          <w:sz w:val="22"/>
          <w:szCs w:val="22"/>
        </w:rPr>
        <w:t xml:space="preserve">Предмет Контракта</w:t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</w:r>
    </w:p>
    <w:tbl>
      <w:tblPr>
        <w:tblStyle w:val="145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10063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white"/>
              </w:rPr>
              <w:t xml:space="preserve">Предмет контракта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jc w:val="both"/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ff0000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Оказание услуг по доработке программного комплекса «Мониторинг, аналитика, планирование обязательного медицинского страхования» и его переводу с СУБД Microsoft SQL Server на Postgres Pro и с операционной системы Windows на операционную систему Альт для нуж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д ТФОМС СК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  <w:t xml:space="preserve">Специализация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  <w:t xml:space="preserve">Нет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  <w:t xml:space="preserve">Контракт жизненного цикла (в соответствии с частью 16 статьи 34 Федерального закона 44-ФЗ)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  <w:t xml:space="preserve">Нет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  <w:t xml:space="preserve">Невозможно определить количество (объем) закупаемых товаров, работ, услуг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</w:r>
          </w:p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063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  <w:t xml:space="preserve">Нет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  <w:highlight w:val="white"/>
              </w:rPr>
            </w:r>
          </w:p>
        </w:tc>
      </w:tr>
    </w:tbl>
    <w:p>
      <w:pPr>
        <w:pStyle w:val="1441"/>
        <w:contextualSpacing/>
        <w:ind w:firstLine="0"/>
        <w:rPr>
          <w:rFonts w:ascii="Times New Roman" w:hAnsi="Times New Roman" w:cs="Times New Roman"/>
          <w:b/>
          <w:sz w:val="22"/>
          <w:szCs w:val="22"/>
        </w:rPr>
        <w:outlineLvl w:val="1"/>
      </w:pP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1441"/>
        <w:contextualSpacing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  <w:highlight w:val="none"/>
        </w:rPr>
        <w:outlineLvl w:val="1"/>
      </w:pPr>
      <w:r>
        <w:rPr>
          <w:rFonts w:ascii="Times New Roman" w:hAnsi="Times New Roman" w:cs="Times New Roman"/>
          <w:b/>
          <w:sz w:val="22"/>
          <w:szCs w:val="22"/>
        </w:rPr>
        <w:t xml:space="preserve">3.1. Объект закупки</w:t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</w:r>
    </w:p>
    <w:p>
      <w:pPr>
        <w:ind w:left="0" w:right="0" w:firstLine="0"/>
        <w:spacing w:before="150" w:after="0"/>
        <w:shd w:val="clear" w:color="ffffff" w:themeColor="background1" w:fill="ffffff" w:themeFill="background1"/>
        <w:rPr>
          <w:rFonts w:ascii="Times New Roman" w:hAnsi="Times New Roman" w:cs="Times New Roman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18"/>
          <w:highlight w:val="white"/>
        </w:rPr>
        <w:t xml:space="preserve">Невозможно определить количество (объем) закупаемых товаров, работ, услуг - Нет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tbl>
      <w:tblPr>
        <w:tblW w:w="14742" w:type="dxa"/>
        <w:tblInd w:w="-8" w:type="dxa"/>
        <w:tblLayout w:type="fixed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616"/>
        <w:gridCol w:w="2645"/>
        <w:gridCol w:w="1424"/>
        <w:gridCol w:w="1453"/>
        <w:gridCol w:w="1659"/>
        <w:gridCol w:w="1849"/>
        <w:gridCol w:w="1128"/>
        <w:gridCol w:w="992"/>
        <w:gridCol w:w="1423"/>
        <w:gridCol w:w="1553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61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hd w:val="clear" w:color="ffffff" w:themeColor="background1" w:fill="ffffff" w:themeFill="background1"/>
              <w:rPr>
                <w:rFonts w:eastAsia="Times New Roman"/>
                <w:color w:val="000000"/>
                <w:sz w:val="18"/>
                <w:szCs w:val="18"/>
                <w:highlight w:val="white"/>
              </w:rPr>
            </w:pP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  <w:t xml:space="preserve">№п/п</w:t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4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hd w:val="clear" w:color="ffffff" w:themeColor="background1" w:fill="ffffff" w:themeFill="background1"/>
              <w:rPr>
                <w:rFonts w:eastAsia="Times New Roman"/>
                <w:color w:val="000000"/>
                <w:sz w:val="18"/>
                <w:szCs w:val="18"/>
                <w:highlight w:val="white"/>
              </w:rPr>
            </w:pP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  <w:t xml:space="preserve">Наименование объекта закупки, товарный знак, знаки обслуживания, фирменные наименования, патенты, полезные модели, промышленные образцы</w:t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42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hd w:val="clear" w:color="ffffff" w:themeColor="background1" w:fill="ffffff" w:themeFill="background1"/>
              <w:rPr>
                <w:rFonts w:eastAsia="Times New Roman"/>
                <w:color w:val="000000"/>
                <w:sz w:val="18"/>
                <w:szCs w:val="18"/>
                <w:highlight w:val="white"/>
              </w:rPr>
            </w:pP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  <w:t xml:space="preserve">Тип объекта закупки</w:t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45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hd w:val="clear" w:color="ffffff" w:themeColor="background1" w:fill="ffffff" w:themeFill="background1"/>
              <w:rPr>
                <w:rFonts w:eastAsia="Times New Roman"/>
                <w:color w:val="000000"/>
                <w:sz w:val="18"/>
                <w:szCs w:val="18"/>
                <w:highlight w:val="white"/>
              </w:rPr>
            </w:pP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  <w:t xml:space="preserve">Позиции по КТРУ, ОКПД2</w:t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65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hd w:val="clear" w:color="ffffff" w:themeColor="background1" w:fill="ffffff" w:themeFill="background1"/>
              <w:rPr>
                <w:rFonts w:eastAsia="Times New Roman"/>
                <w:color w:val="000000"/>
                <w:sz w:val="18"/>
                <w:szCs w:val="18"/>
                <w:highlight w:val="white"/>
              </w:rPr>
            </w:pP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  <w:t xml:space="preserve">Количество (объем) и единица измерения товара, работы, услуги</w:t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hd w:val="clear" w:color="ffffff" w:themeColor="background1" w:fill="ffffff" w:themeFill="background1"/>
              <w:rPr>
                <w:rFonts w:eastAsia="Times New Roman"/>
                <w:color w:val="000000"/>
                <w:sz w:val="18"/>
                <w:szCs w:val="18"/>
                <w:highlight w:val="white"/>
              </w:rPr>
            </w:pP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  <w:t xml:space="preserve">Характеристики объекта закупки</w:t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12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hd w:val="clear" w:color="ffffff" w:themeColor="background1" w:fill="ffffff" w:themeFill="background1"/>
              <w:rPr>
                <w:rFonts w:eastAsia="Times New Roman"/>
                <w:color w:val="000000"/>
                <w:sz w:val="18"/>
                <w:szCs w:val="18"/>
                <w:highlight w:val="white"/>
              </w:rPr>
            </w:pP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  <w:t xml:space="preserve">Цена за единицу (в валюте контракта)</w:t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9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hd w:val="clear" w:color="ffffff" w:themeColor="background1" w:fill="ffffff" w:themeFill="background1"/>
              <w:rPr>
                <w:rFonts w:eastAsia="Times New Roman"/>
                <w:color w:val="000000"/>
                <w:sz w:val="18"/>
                <w:szCs w:val="18"/>
                <w:highlight w:val="white"/>
              </w:rPr>
            </w:pP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  <w:t xml:space="preserve">Ставка НДС</w:t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42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hd w:val="clear" w:color="ffffff" w:themeColor="background1" w:fill="ffffff" w:themeFill="background1"/>
              <w:rPr>
                <w:rFonts w:eastAsia="Times New Roman"/>
                <w:color w:val="000000"/>
                <w:sz w:val="18"/>
                <w:szCs w:val="18"/>
                <w:highlight w:val="white"/>
              </w:rPr>
            </w:pP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  <w:t xml:space="preserve">Страна происхождения товара</w:t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55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hd w:val="clear" w:color="ffffff" w:themeColor="background1" w:fill="ffffff" w:themeFill="background1"/>
              <w:rPr>
                <w:rFonts w:eastAsia="Times New Roman"/>
                <w:color w:val="000000"/>
                <w:sz w:val="18"/>
                <w:szCs w:val="18"/>
                <w:highlight w:val="white"/>
              </w:rPr>
            </w:pP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  <w:t xml:space="preserve">Сумма (в валюте контракта)</w:t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61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1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4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2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42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3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45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4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65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5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6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12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7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9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8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42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9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55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10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61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1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4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42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45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65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12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9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42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55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gridSpan w:val="9"/>
            <w:tcMar>
              <w:left w:w="75" w:type="dxa"/>
              <w:top w:w="75" w:type="dxa"/>
              <w:right w:w="75" w:type="dxa"/>
              <w:bottom w:w="75" w:type="dxa"/>
            </w:tcMar>
            <w:tcW w:w="13189" w:type="dxa"/>
            <w:vAlign w:val="center"/>
            <w:textDirection w:val="lrTb"/>
            <w:noWrap w:val="false"/>
          </w:tcPr>
          <w:p>
            <w:pPr>
              <w:contextualSpacing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Итого: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55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</w:tbl>
    <w:p>
      <w:pPr>
        <w:pStyle w:val="1441"/>
        <w:contextualSpacing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highlight w:val="none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contextualSpacing/>
        <w:jc w:val="both"/>
        <w:rPr>
          <w:sz w:val="22"/>
          <w:szCs w:val="22"/>
          <w:highlight w:val="none"/>
        </w:rPr>
      </w:pPr>
      <w:r>
        <w:rPr>
          <w:rFonts w:eastAsia="Times New Roman"/>
          <w:sz w:val="22"/>
          <w:szCs w:val="22"/>
        </w:rPr>
        <w:tab/>
      </w:r>
      <w:r>
        <w:rPr>
          <w:sz w:val="22"/>
          <w:szCs w:val="22"/>
        </w:rPr>
        <w:t xml:space="preserve">3.1. </w:t>
      </w:r>
      <w:r>
        <w:rPr>
          <w:sz w:val="22"/>
          <w:szCs w:val="22"/>
        </w:rPr>
        <w:t xml:space="preserve">Исполнитель, по заданию Заказчика обязуется в установленный контрактом срок оказать услуги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 xml:space="preserve">по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t xml:space="preserve">доработке программного комплекса «Мониторинг, аналитика, планирование обязательного медицинского страхования» и его переводу с СУБД Microsoft SQL Server на Postgres Pro и с операционной системы Windows на операционную систему Альт для нуж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t xml:space="preserve">д ТФОМС СК</w:t>
      </w:r>
      <w:r>
        <w:rPr>
          <w:sz w:val="22"/>
          <w:szCs w:val="22"/>
        </w:rPr>
        <w:t xml:space="preserve"> (далее - </w:t>
      </w:r>
      <w:r>
        <w:rPr>
          <w:sz w:val="22"/>
          <w:szCs w:val="22"/>
        </w:rPr>
        <w:t xml:space="preserve">услуги</w:t>
      </w:r>
      <w:r>
        <w:rPr>
          <w:sz w:val="22"/>
          <w:szCs w:val="22"/>
        </w:rPr>
        <w:t xml:space="preserve">, Система, ПК</w:t>
      </w:r>
      <w:r>
        <w:rPr>
          <w:sz w:val="22"/>
          <w:szCs w:val="22"/>
        </w:rPr>
        <w:t xml:space="preserve">), </w:t>
      </w:r>
      <w:r>
        <w:rPr>
          <w:sz w:val="22"/>
          <w:szCs w:val="22"/>
        </w:rPr>
        <w:t xml:space="preserve">а З</w:t>
      </w:r>
      <w:r>
        <w:rPr>
          <w:sz w:val="22"/>
          <w:szCs w:val="22"/>
        </w:rPr>
        <w:t xml:space="preserve">аказчик обязуется принять </w:t>
      </w:r>
      <w:r>
        <w:rPr>
          <w:sz w:val="22"/>
          <w:szCs w:val="22"/>
        </w:rPr>
        <w:t xml:space="preserve">оказанные услуги</w:t>
      </w:r>
      <w:r>
        <w:rPr>
          <w:sz w:val="22"/>
          <w:szCs w:val="22"/>
        </w:rPr>
        <w:t xml:space="preserve"> и оплатить</w:t>
      </w:r>
      <w:r>
        <w:rPr>
          <w:rStyle w:val="1440"/>
          <w:sz w:val="22"/>
          <w:szCs w:val="22"/>
        </w:rPr>
        <w:footnoteReference w:id="7"/>
      </w:r>
      <w:r>
        <w:rPr>
          <w:rStyle w:val="1440"/>
          <w:sz w:val="22"/>
          <w:szCs w:val="22"/>
          <w:vertAlign w:val="baseline"/>
        </w:rPr>
        <w:t xml:space="preserve"> их.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contextualSpacing/>
        <w:ind w:firstLine="708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3.2. У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слуги оказываются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в установленные настоящим контрактом порядке,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сроки,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объеме, качестве в соответствии с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Техническим заданием (Приложение 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1).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contextualSpacing/>
        <w:ind w:firstLine="708"/>
        <w:jc w:val="both"/>
        <w:rPr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sz w:val="22"/>
          <w:szCs w:val="22"/>
        </w:rPr>
        <w:t xml:space="preserve">3.3. Оказываемые Исполнителем услуги должны соответствовать обязательным нормам и требованиям, действующим на территории Российской Федерации, предъявляемым к услугам данного рода.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Условия контракта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4.1. Сроки исполнения контракта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tbl>
      <w:tblPr>
        <w:tblW w:w="14734" w:type="dxa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4103"/>
        <w:gridCol w:w="10631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103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Дата начала исполнения контракта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631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 даты заключения контракта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103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Дата окончания исполнения контракта (срок исполнения контракта)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631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05.04.2027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4734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both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highlight w:val="non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highlight w:val="white"/>
              </w:rPr>
              <w:t xml:space="preserve">рок исполнения контракта (отдельных этапов исполнения контракта) включает в том числе приемку поставленного товара, выполненной работы, оказанной услуги, а также оплату заказчиком поставщику (подрядчику, исполнителю) поставленного товара, выполненной рабо</w:t>
            </w:r>
            <w:r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highlight w:val="white"/>
              </w:rPr>
              <w:t xml:space="preserve">ты, оказанной услуги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r>
          </w:p>
        </w:tc>
      </w:tr>
    </w:tbl>
    <w:p>
      <w:pPr>
        <w:pStyle w:val="1441"/>
        <w:contextualSpacing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highlight w:val="none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0"/>
        <w:jc w:val="both"/>
        <w:rPr>
          <w:rFonts w:ascii="Times New Roman" w:hAnsi="Times New Roman" w:cs="Times New Roman"/>
          <w:sz w:val="22"/>
          <w:szCs w:val="22"/>
          <w:highlight w:val="none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4.1.1. Исполнитель оказывает услуги Заказчику </w:t>
      </w:r>
      <w:r>
        <w:rPr>
          <w:rFonts w:ascii="Times New Roman" w:hAnsi="Times New Roman" w:cs="Times New Roman"/>
          <w:sz w:val="22"/>
          <w:szCs w:val="22"/>
        </w:rPr>
        <w:t xml:space="preserve">с даты заключения контракта</w:t>
      </w:r>
      <w:r>
        <w:rPr>
          <w:rFonts w:ascii="Times New Roman" w:hAnsi="Times New Roman" w:cs="Times New Roman"/>
          <w:sz w:val="22"/>
          <w:szCs w:val="22"/>
        </w:rPr>
        <w:t xml:space="preserve"> по 22 февраля 2027</w:t>
      </w:r>
      <w:r>
        <w:rPr>
          <w:rFonts w:ascii="Times New Roman" w:hAnsi="Times New Roman" w:cs="Times New Roman"/>
          <w:sz w:val="22"/>
          <w:szCs w:val="22"/>
        </w:rPr>
        <w:t xml:space="preserve"> года</w:t>
      </w:r>
      <w:r>
        <w:rPr>
          <w:rFonts w:ascii="Times New Roman" w:hAnsi="Times New Roman" w:cs="Times New Roman"/>
          <w:sz w:val="22"/>
          <w:szCs w:val="22"/>
        </w:rPr>
        <w:t xml:space="preserve"> включительно, </w:t>
      </w:r>
      <w:r>
        <w:rPr>
          <w:rFonts w:ascii="Times New Roman" w:hAnsi="Times New Roman" w:cs="Times New Roman"/>
          <w:sz w:val="22"/>
          <w:szCs w:val="22"/>
        </w:rPr>
        <w:t xml:space="preserve">по адресу: 355004, г. Ставрополь, ул. Мира, 267 (далее - место оказания услуг).</w:t>
      </w:r>
      <w:r>
        <w:rPr>
          <w:rFonts w:ascii="Times New Roman" w:hAnsi="Times New Roman" w:cs="Times New Roman"/>
          <w:sz w:val="22"/>
          <w:szCs w:val="22"/>
          <w:highlight w:val="none"/>
        </w:rPr>
      </w:r>
      <w:r>
        <w:rPr>
          <w:rFonts w:ascii="Times New Roman" w:hAnsi="Times New Roman" w:cs="Times New Roman"/>
          <w:sz w:val="22"/>
          <w:szCs w:val="22"/>
          <w:highlight w:val="none"/>
        </w:rPr>
      </w:r>
    </w:p>
    <w:p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Услуги оказываются в соответствии с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Календарным планом (приложение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к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Техническому заданию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).  Срок оказания услуг включает в себя: 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56"/>
        <w:numPr>
          <w:ilvl w:val="0"/>
          <w:numId w:val="15"/>
        </w:numPr>
        <w:contextualSpacing w:val="0"/>
        <w:ind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  <w:t xml:space="preserve">оказание услуг по техническому проектированию и разработке рабочей документации на ПК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;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56"/>
        <w:numPr>
          <w:ilvl w:val="0"/>
          <w:numId w:val="15"/>
        </w:numPr>
        <w:contextualSpacing w:val="0"/>
        <w:ind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п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роведение предварительных комплексных испытаний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П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;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56"/>
        <w:numPr>
          <w:ilvl w:val="0"/>
          <w:numId w:val="15"/>
        </w:numPr>
        <w:contextualSpacing w:val="0"/>
        <w:ind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п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роведение опытной эксплуатации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;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56"/>
        <w:numPr>
          <w:ilvl w:val="0"/>
          <w:numId w:val="15"/>
        </w:numPr>
        <w:contextualSpacing w:val="0"/>
        <w:ind w:left="0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  <w:t xml:space="preserve">проведение прие</w:t>
      </w:r>
      <w:r>
        <w:rPr>
          <w:rFonts w:ascii="Times New Roman" w:hAnsi="Times New Roman" w:cs="Times New Roman"/>
          <w:sz w:val="22"/>
          <w:szCs w:val="22"/>
        </w:rPr>
        <w:t xml:space="preserve">мочных испытаний </w:t>
      </w:r>
      <w:r>
        <w:rPr>
          <w:rFonts w:ascii="Times New Roman" w:hAnsi="Times New Roman" w:cs="Times New Roman"/>
          <w:sz w:val="22"/>
          <w:szCs w:val="22"/>
        </w:rPr>
        <w:t xml:space="preserve">ПК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contextualSpacing w:val="0"/>
        <w:ind w:left="0" w:right="0" w:firstLine="360"/>
        <w:jc w:val="both"/>
        <w:rPr>
          <w:rFonts w:eastAsia="Tahoma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  <w:highlight w:val="none"/>
        </w:rPr>
        <w:t xml:space="preserve">4.1.2. </w:t>
      </w:r>
      <w:r>
        <w:rPr>
          <w:rFonts w:eastAsia="Tahoma"/>
          <w:sz w:val="22"/>
          <w:szCs w:val="22"/>
        </w:rPr>
        <w:t xml:space="preserve">Исполнитель</w:t>
      </w:r>
      <w:r>
        <w:rPr>
          <w:sz w:val="22"/>
          <w:szCs w:val="22"/>
        </w:rPr>
        <w:t xml:space="preserve"> </w:t>
      </w:r>
      <w:r>
        <w:rPr>
          <w:rFonts w:eastAsia="Tahoma"/>
          <w:sz w:val="22"/>
          <w:szCs w:val="22"/>
        </w:rPr>
        <w:t xml:space="preserve">оформляет отчетные документы (акты, протоколы),  определенные Контрактом и Техническим заданием</w:t>
      </w:r>
      <w:r>
        <w:rPr>
          <w:rFonts w:eastAsia="Tahoma"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(Приложение 1)</w:t>
      </w:r>
      <w:r>
        <w:rPr>
          <w:rFonts w:eastAsia="Tahoma"/>
          <w:sz w:val="22"/>
          <w:szCs w:val="22"/>
        </w:rPr>
        <w:t xml:space="preserve">, по форме, разработанной Заказчиком,</w:t>
      </w:r>
      <w:r>
        <w:rPr>
          <w:rFonts w:eastAsia="Tahoma"/>
          <w:sz w:val="22"/>
          <w:szCs w:val="22"/>
        </w:rPr>
        <w:t xml:space="preserve"> не позднее срока, установленного </w:t>
      </w:r>
      <w:r>
        <w:rPr>
          <w:rFonts w:eastAsia="Tahoma"/>
          <w:sz w:val="22"/>
          <w:szCs w:val="22"/>
        </w:rPr>
        <w:t xml:space="preserve">Техническим заданием</w:t>
      </w:r>
      <w:r>
        <w:rPr>
          <w:rFonts w:eastAsia="Tahoma"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(Приложение 1)</w:t>
      </w:r>
      <w:r>
        <w:rPr>
          <w:rFonts w:eastAsia="Tahoma"/>
          <w:sz w:val="22"/>
          <w:szCs w:val="22"/>
        </w:rPr>
        <w:t xml:space="preserve">.</w:t>
      </w:r>
      <w:r>
        <w:rPr>
          <w:rFonts w:eastAsia="Tahoma"/>
          <w:sz w:val="22"/>
          <w:szCs w:val="22"/>
        </w:rPr>
      </w:r>
      <w:r>
        <w:rPr>
          <w:rFonts w:eastAsia="Tahoma"/>
          <w:sz w:val="22"/>
          <w:szCs w:val="22"/>
        </w:rPr>
      </w:r>
    </w:p>
    <w:p>
      <w:pPr>
        <w:contextualSpacing w:val="0"/>
        <w:ind w:left="0" w:right="0" w:firstLine="36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ahoma"/>
          <w:sz w:val="22"/>
          <w:szCs w:val="22"/>
        </w:rPr>
      </w:r>
      <w:bookmarkStart w:id="9" w:name="P1482"/>
      <w:r/>
      <w:bookmarkStart w:id="10" w:name="P1485"/>
      <w:r/>
      <w:bookmarkEnd w:id="9"/>
      <w:r/>
      <w:bookmarkEnd w:id="10"/>
      <w:r>
        <w:rPr>
          <w:rFonts w:ascii="Times New Roman" w:hAnsi="Times New Roman" w:cs="Times New Roman"/>
          <w:sz w:val="22"/>
          <w:szCs w:val="22"/>
        </w:rPr>
        <w:t xml:space="preserve">4.1.3.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Приемка оказанных услуг осуществляется Заказчиком в порядке, определенном контрактом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в том числе с целью установления соответствия оказанных услуг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качеству,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объему, установленным Контрактом и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Техническим заданием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(Приложение 1)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contextualSpacing w:val="0"/>
        <w:ind w:left="0" w:right="0" w:firstLine="360"/>
        <w:jc w:val="both"/>
        <w:rPr>
          <w:rFonts w:eastAsiaTheme="minorHAnsi"/>
          <w:i/>
          <w:iCs/>
          <w:color w:val="1e4f79" w:themeColor="accent1" w:themeShade="80"/>
          <w:sz w:val="22"/>
          <w:szCs w:val="22"/>
        </w:rPr>
      </w:pPr>
      <w:r>
        <w:rPr>
          <w:rFonts w:ascii="Times New Roman" w:hAnsi="Times New Roman" w:eastAsia="Times New Roman" w:cs="Times New Roman"/>
          <w:i/>
          <w:iCs/>
          <w:color w:val="1e4f79" w:themeColor="accent1" w:themeShade="80"/>
          <w:sz w:val="22"/>
          <w:szCs w:val="22"/>
        </w:rPr>
      </w:r>
      <w:r>
        <w:rPr>
          <w:rFonts w:eastAsiaTheme="minorHAnsi"/>
          <w:bCs/>
          <w:i/>
          <w:iCs/>
          <w:color w:val="1e4f79" w:themeColor="accent1" w:themeShade="80"/>
          <w:sz w:val="22"/>
          <w:szCs w:val="22"/>
          <w:lang w:eastAsia="en-US"/>
        </w:rPr>
        <w:t xml:space="preserve">Исполните</w:t>
      </w:r>
      <w:r>
        <w:rPr>
          <w:rFonts w:eastAsiaTheme="minorHAnsi"/>
          <w:bCs/>
          <w:i/>
          <w:iCs/>
          <w:color w:val="1e4f79" w:themeColor="accent1" w:themeShade="80"/>
          <w:sz w:val="22"/>
          <w:szCs w:val="22"/>
          <w:lang w:eastAsia="en-US"/>
        </w:rPr>
        <w:t xml:space="preserve">ль</w:t>
      </w:r>
      <w:r>
        <w:rPr>
          <w:rFonts w:eastAsiaTheme="minorHAnsi"/>
          <w:bCs/>
          <w:i/>
          <w:iCs/>
          <w:color w:val="1e4f79" w:themeColor="accent1" w:themeShade="80"/>
          <w:sz w:val="22"/>
          <w:szCs w:val="22"/>
          <w:lang w:eastAsia="en-US"/>
        </w:rPr>
        <w:t xml:space="preserve"> по окончании оказания услуг формирует с использованием единой информационной системы </w:t>
      </w:r>
      <w:r>
        <w:rPr>
          <w:rFonts w:eastAsiaTheme="minorHAnsi"/>
          <w:i/>
          <w:sz w:val="22"/>
          <w:szCs w:val="22"/>
          <w:lang w:eastAsia="en-US"/>
        </w:rPr>
        <w:t xml:space="preserve">в сфере закупок</w:t>
      </w:r>
      <w:r>
        <w:rPr>
          <w:rFonts w:eastAsiaTheme="minorHAnsi"/>
          <w:bCs/>
          <w:i/>
          <w:iCs/>
          <w:color w:val="1e4f79" w:themeColor="accent1" w:themeShade="80"/>
          <w:sz w:val="22"/>
          <w:szCs w:val="22"/>
          <w:lang w:eastAsia="en-US"/>
        </w:rPr>
        <w:t xml:space="preserve">, подписывает усиленной электронной подписью лица, имеющего право действовать от имени Исполнителя, и размещает в единой информационной системе документ о приемке</w:t>
      </w:r>
      <w:r>
        <w:rPr>
          <w:rFonts w:eastAsiaTheme="minorHAnsi"/>
          <w:bCs/>
          <w:i/>
          <w:iCs/>
          <w:color w:val="1e4f79" w:themeColor="accent1" w:themeShade="80"/>
          <w:sz w:val="22"/>
          <w:szCs w:val="22"/>
          <w:lang w:eastAsia="en-US"/>
        </w:rPr>
        <w:t xml:space="preserve">.</w:t>
      </w:r>
      <w:r>
        <w:rPr>
          <w:rFonts w:eastAsiaTheme="minorHAnsi"/>
          <w:i/>
          <w:iCs/>
          <w:color w:val="1e4f79" w:themeColor="accent1" w:themeShade="80"/>
          <w:sz w:val="22"/>
          <w:szCs w:val="22"/>
        </w:rPr>
      </w:r>
      <w:r>
        <w:rPr>
          <w:rFonts w:eastAsiaTheme="minorHAnsi"/>
          <w:i/>
          <w:iCs/>
          <w:color w:val="1e4f79" w:themeColor="accent1" w:themeShade="80"/>
          <w:sz w:val="22"/>
          <w:szCs w:val="22"/>
        </w:rPr>
      </w:r>
    </w:p>
    <w:p>
      <w:pPr>
        <w:contextualSpacing w:val="0"/>
        <w:ind w:left="0" w:right="0" w:firstLine="360"/>
        <w:jc w:val="both"/>
        <w:rPr>
          <w:rFonts w:eastAsiaTheme="minorHAnsi"/>
          <w:bCs/>
          <w:i/>
          <w:sz w:val="22"/>
          <w:szCs w:val="22"/>
          <w:lang w:eastAsia="en-US"/>
        </w:rPr>
      </w:pPr>
      <w:r>
        <w:rPr>
          <w:rFonts w:eastAsiaTheme="minorHAnsi"/>
          <w:bCs/>
          <w:i/>
          <w:sz w:val="22"/>
          <w:szCs w:val="22"/>
          <w:highlight w:val="none"/>
          <w:lang w:eastAsia="en-US"/>
        </w:rPr>
      </w:r>
      <w:r>
        <w:rPr>
          <w:rFonts w:eastAsia="Times New Roman"/>
          <w:i/>
          <w:iCs/>
          <w:color w:val="1e4f79" w:themeColor="accent1" w:themeShade="80"/>
          <w:sz w:val="22"/>
          <w:szCs w:val="22"/>
        </w:rPr>
        <w:t xml:space="preserve">Обязательство Исполнителя по оказанию услуг считается исполненным с момента удостоверения факта надлежащего оказания услуг в соответствии с условиями настоящего контракта, а именно с даты (дня) подписания сторонами документа о приемке без замечаний.</w:t>
      </w:r>
      <w:r>
        <w:rPr>
          <w:rFonts w:eastAsiaTheme="minorHAnsi"/>
          <w:bCs/>
          <w:i/>
          <w:sz w:val="22"/>
          <w:szCs w:val="22"/>
          <w:lang w:eastAsia="en-US"/>
        </w:rPr>
      </w:r>
      <w:r>
        <w:rPr>
          <w:rFonts w:eastAsiaTheme="minorHAnsi"/>
          <w:bCs/>
          <w:i/>
          <w:sz w:val="22"/>
          <w:szCs w:val="22"/>
          <w:lang w:eastAsia="en-US"/>
        </w:rPr>
      </w:r>
    </w:p>
    <w:p>
      <w:pPr>
        <w:contextualSpacing w:val="0"/>
        <w:ind w:left="0" w:right="0" w:firstLine="36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Theme="minorHAnsi"/>
          <w:i/>
          <w:sz w:val="22"/>
          <w:szCs w:val="22"/>
          <w:lang w:eastAsia="en-US"/>
        </w:rPr>
      </w:r>
      <w:r>
        <w:rPr>
          <w:rFonts w:ascii="Times New Roman" w:hAnsi="Times New Roman" w:cs="Times New Roman"/>
          <w:sz w:val="22"/>
          <w:szCs w:val="22"/>
        </w:rPr>
        <w:t xml:space="preserve">4.1.4. Для проверки предоставленных Исполнителем результатов оказанных услуг, предусмотренных Контрактом, в части их соответствия условиям Контракта Заказчи</w:t>
      </w:r>
      <w:r>
        <w:rPr>
          <w:rFonts w:ascii="Times New Roman" w:hAnsi="Times New Roman" w:cs="Times New Roman"/>
          <w:sz w:val="22"/>
          <w:szCs w:val="22"/>
        </w:rPr>
        <w:t xml:space="preserve">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</w:t>
      </w:r>
      <w:hyperlink r:id="rId12" w:tooltip="consultantplus://offline/ref=782E9CC4CCC6932545801925E3B536176E50B53C1FD70BD7655CABC93DB89C27024180C10398FB96372E7F1F5737VEP" w:history="1">
        <w:r>
          <w:rPr>
            <w:rFonts w:ascii="Times New Roman" w:hAnsi="Times New Roman" w:cs="Times New Roman"/>
            <w:sz w:val="22"/>
            <w:szCs w:val="22"/>
          </w:rPr>
          <w:t xml:space="preserve">законом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от 5 апреля 2013 г. № 44-ФЗ «О контрактной системе в сфере закупок товаров, работ, услуг для обеспечения государственных и муниципальных нужд».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ind w:left="0" w:right="0" w:firstLine="360"/>
        <w:jc w:val="both"/>
        <w:spacing w:line="240" w:lineRule="atLeast"/>
        <w:rPr>
          <w:sz w:val="22"/>
          <w:szCs w:val="22"/>
        </w:rPr>
      </w:pPr>
      <w:r/>
      <w:bookmarkStart w:id="11" w:name="P1489"/>
      <w:r/>
      <w:bookmarkEnd w:id="11"/>
      <w:r>
        <w:rPr>
          <w:sz w:val="22"/>
          <w:szCs w:val="22"/>
        </w:rPr>
        <w:t xml:space="preserve">4.1.5. Заказчик в течение 20 (двадцати) рабочих дней,</w:t>
      </w:r>
      <w:r>
        <w:rPr>
          <w:rFonts w:eastAsiaTheme="minorHAnsi"/>
          <w:sz w:val="22"/>
          <w:szCs w:val="22"/>
        </w:rPr>
        <w:t xml:space="preserve"> следующих за днем поступления документа о приемке подписанного Исполнителем, осуществляет одно из следующих действий: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0" w:right="0" w:firstLine="360"/>
        <w:jc w:val="both"/>
        <w:spacing w:line="240" w:lineRule="atLeast"/>
        <w:widowControl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- подписывает усиленной электронной подписью лица, имеющего право действовать от имени Заказчика, и размещает в единой информационной системе документ о приемке</w:t>
      </w:r>
      <w:r>
        <w:rPr>
          <w:sz w:val="22"/>
          <w:szCs w:val="22"/>
        </w:rPr>
        <w:t xml:space="preserve">, после этого услуги считаются принятыми Заказчиком</w:t>
      </w:r>
      <w:r>
        <w:rPr>
          <w:rFonts w:eastAsiaTheme="minorHAnsi"/>
          <w:sz w:val="22"/>
          <w:szCs w:val="22"/>
        </w:rPr>
        <w:t xml:space="preserve">;</w:t>
      </w:r>
      <w:r>
        <w:rPr>
          <w:rFonts w:eastAsiaTheme="minorHAnsi"/>
          <w:sz w:val="22"/>
          <w:szCs w:val="22"/>
        </w:rPr>
      </w:r>
      <w:r>
        <w:rPr>
          <w:rFonts w:eastAsiaTheme="minorHAnsi"/>
          <w:sz w:val="22"/>
          <w:szCs w:val="22"/>
        </w:rPr>
      </w:r>
    </w:p>
    <w:p>
      <w:pPr>
        <w:ind w:left="0" w:right="0" w:firstLine="360"/>
        <w:jc w:val="both"/>
        <w:spacing w:line="240" w:lineRule="atLeast"/>
        <w:widowControl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- </w:t>
      </w:r>
      <w:r>
        <w:rPr>
          <w:sz w:val="22"/>
          <w:szCs w:val="22"/>
        </w:rPr>
        <w:t xml:space="preserve">при выявлении несоответствий в оказанных услугах условиям Контракта, препятствующих приемке, Заказчик </w:t>
      </w:r>
      <w:r>
        <w:rPr>
          <w:rFonts w:eastAsiaTheme="minorHAnsi"/>
          <w:sz w:val="22"/>
          <w:szCs w:val="22"/>
        </w:rPr>
        <w:t xml:space="preserve">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</w:t>
      </w:r>
      <w:r>
        <w:rPr>
          <w:rFonts w:eastAsiaTheme="minorHAnsi"/>
          <w:sz w:val="22"/>
          <w:szCs w:val="22"/>
        </w:rPr>
        <w:t xml:space="preserve">размещает в единой информационной системе мотивированный отказ от подписания документа о приемке с указанием причин такого отказа.</w:t>
      </w:r>
      <w:r>
        <w:rPr>
          <w:rFonts w:eastAsiaTheme="minorHAnsi"/>
          <w:sz w:val="22"/>
          <w:szCs w:val="22"/>
        </w:rPr>
      </w:r>
      <w:r>
        <w:rPr>
          <w:rFonts w:eastAsiaTheme="minorHAnsi"/>
          <w:sz w:val="22"/>
          <w:szCs w:val="22"/>
        </w:rPr>
      </w:r>
    </w:p>
    <w:p>
      <w:pPr>
        <w:contextualSpacing/>
        <w:ind w:left="0" w:right="0" w:first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Ответственность за достоверность указанной в документах информации возлагается на Исполнителя.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left="0" w:right="0" w:firstLine="360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4.1.6</w:t>
      </w:r>
      <w:r>
        <w:rPr>
          <w:sz w:val="22"/>
          <w:szCs w:val="22"/>
        </w:rPr>
        <w:t xml:space="preserve">. При приемке оказанных услуг Заказчик: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left="0" w:right="0" w:first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проверяет соответствие оказанных услуг по объему и качеству требованиям, установленным настоящим контрактом;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left="0" w:right="0" w:first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проводит анализ отче</w:t>
      </w:r>
      <w:r>
        <w:rPr>
          <w:sz w:val="22"/>
          <w:szCs w:val="22"/>
        </w:rPr>
        <w:t xml:space="preserve">тных документов и материалов, представленных Исполнителем на предмет соответствия их оформления требованиям законодательства Российской Федерации и условиям настоящего контракта, проверяет комплектность и количество экземпляров представленной документации;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left="0" w:right="0" w:first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при необходимости запрашивает от Исполнителя недостающие документы и материалы, а также получает разъяснения по представленным документам и материалам;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left="0" w:right="0" w:first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осуществляет иные действия для всесторонней оценки (проверки) соответствия оказанных услуг условиям контракта и требованиям законодательства Российской Федерации.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left="0" w:right="0" w:firstLine="360"/>
        <w:jc w:val="both"/>
        <w:spacing w:line="240" w:lineRule="atLeas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4.1.7. Качество услуг должно соответствовать требованиям дейст</w:t>
      </w:r>
      <w:r>
        <w:rPr>
          <w:sz w:val="22"/>
          <w:szCs w:val="22"/>
        </w:rPr>
        <w:t xml:space="preserve">вующих норм и правил. В случае, если в процессе оказания услуг Исполнитель допустил отступление от условий контракта, ухудшившее качество результата оказанных услуг, по требованию Заказчика исправить все выявленные недостатки за свой счет в указанный срок.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left="0" w:right="0" w:first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4.1.8. </w:t>
      </w:r>
      <w:r>
        <w:rPr>
          <w:rFonts w:eastAsiaTheme="minorHAnsi"/>
          <w:sz w:val="22"/>
          <w:szCs w:val="22"/>
          <w:lang w:eastAsia="en-US"/>
        </w:rPr>
        <w:t xml:space="preserve">Заказчик вправе не отказывать в приемк</w:t>
      </w:r>
      <w:r>
        <w:rPr>
          <w:rFonts w:eastAsiaTheme="minorHAnsi"/>
          <w:sz w:val="22"/>
          <w:szCs w:val="22"/>
          <w:lang w:eastAsia="en-US"/>
        </w:rPr>
        <w:t xml:space="preserve">е результатов отдельного этапа исполнения контракта либо оказанной услуги в случае выявления несоответствия этих результатов, услуги условиям контракта, если выявленное несоответствие </w:t>
      </w:r>
      <w:r>
        <w:rPr>
          <w:rFonts w:ascii="Times New Roman" w:hAnsi="Times New Roman" w:eastAsia="Times New Roman" w:cs="Times New Roman" w:eastAsiaTheme="minorHAnsi"/>
          <w:sz w:val="22"/>
          <w:szCs w:val="22"/>
          <w:lang w:eastAsia="en-US"/>
        </w:rPr>
        <w:t xml:space="preserve">не препятствует приемке этих результатов либо услуги и устранено Исполнителем.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left="0" w:right="0" w:first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</w:t>
      </w:r>
      <w:r>
        <w:rPr>
          <w:sz w:val="22"/>
          <w:szCs w:val="22"/>
        </w:rPr>
        <w:t xml:space="preserve">.9. Исполнитель не имеет права использовать самостоятельно или предоставлять третьим лицам права на использование результатов, выполненных в рамках настоящего контракта услуг, как на территории Российской Федерации, так и на территории всего мира.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left="0" w:right="0" w:firstLine="360"/>
        <w:jc w:val="both"/>
        <w:rPr>
          <w:sz w:val="22"/>
          <w:szCs w:val="22"/>
          <w:highlight w:val="none"/>
        </w:rPr>
      </w:pPr>
      <w:r>
        <w:rPr>
          <w:sz w:val="22"/>
          <w:szCs w:val="22"/>
        </w:rPr>
        <w:t xml:space="preserve">4.1.10. Исполнитель </w:t>
      </w:r>
      <w:r>
        <w:rPr>
          <w:sz w:val="22"/>
          <w:szCs w:val="22"/>
        </w:rPr>
        <w:t xml:space="preserve">гарантирует, что он обладает в необходимом объеме правами на оказание услуг, предусмотренных контрактом. В случае если к Заказчику будут предъявлены со стороны третьих лиц какие-либо претензии, вытекающие из нарушения их патентных, авторских или смежных </w:t>
      </w:r>
      <w:r>
        <w:rPr>
          <w:sz w:val="22"/>
          <w:szCs w:val="22"/>
        </w:rPr>
        <w:t xml:space="preserve">прав, Исполнитель обязуется принять на себя эти претензии и возместить Заказчику все убытки и расходы, понесенные Заказчиком в связи с нарушением таких прав, и за свой счет, и на свой риск незамедлительно принять меры к урегулированию заявленных претензий.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contextualSpacing/>
        <w:ind w:firstLine="540"/>
        <w:jc w:val="both"/>
        <w:rPr>
          <w:sz w:val="22"/>
          <w:szCs w:val="22"/>
          <w:highlight w:val="none"/>
        </w:rPr>
      </w:pPr>
      <w:r>
        <w:rPr>
          <w:sz w:val="22"/>
          <w:szCs w:val="22"/>
        </w:rPr>
      </w:r>
      <w:r>
        <w:rPr>
          <w:sz w:val="22"/>
          <w:szCs w:val="22"/>
        </w:rPr>
        <w:t xml:space="preserve">4.1.11. </w:t>
      </w:r>
      <w:r>
        <w:rPr>
          <w:sz w:val="22"/>
          <w:szCs w:val="22"/>
        </w:rPr>
        <w:t xml:space="preserve">Исключительное право </w:t>
      </w:r>
      <w:r>
        <w:rPr>
          <w:sz w:val="22"/>
          <w:szCs w:val="22"/>
        </w:rPr>
        <w:t xml:space="preserve">на </w:t>
      </w:r>
      <w:r>
        <w:rPr>
          <w:bCs/>
          <w:sz w:val="22"/>
          <w:szCs w:val="22"/>
        </w:rPr>
        <w:t xml:space="preserve">ПК </w:t>
      </w:r>
      <w:r>
        <w:rPr>
          <w:sz w:val="22"/>
          <w:szCs w:val="22"/>
        </w:rPr>
        <w:t xml:space="preserve">«</w:t>
      </w:r>
      <w:r>
        <w:rPr>
          <w:sz w:val="22"/>
          <w:szCs w:val="22"/>
          <w:shd w:val="clear" w:color="auto" w:fill="ffffff"/>
        </w:rPr>
        <w:t xml:space="preserve">Мониторинг, аналитика, планирование обязательного медицинского страхования</w:t>
      </w:r>
      <w:r>
        <w:rPr>
          <w:sz w:val="22"/>
          <w:szCs w:val="22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none"/>
        </w:rPr>
        <w:t xml:space="preserve">, </w:t>
      </w:r>
      <w:r>
        <w:rPr>
          <w:sz w:val="22"/>
          <w:szCs w:val="22"/>
        </w:rPr>
        <w:t xml:space="preserve">в полном объеме принадлежит в лице Заказчика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highlight w:val="white"/>
        </w:rPr>
        <w:t xml:space="preserve">субъекту Российской Федерации – Ставропольскому краю</w:t>
      </w:r>
      <w:r>
        <w:rPr>
          <w:sz w:val="22"/>
          <w:szCs w:val="22"/>
        </w:rPr>
        <w:t xml:space="preserve">. Исполнитель не вправе использовать программное обеспечение. В частности, в течение всего срока дейс</w:t>
      </w:r>
      <w:r>
        <w:rPr>
          <w:sz w:val="22"/>
          <w:szCs w:val="22"/>
        </w:rPr>
        <w:t xml:space="preserve">твия исключительного права Исполнитель не вправе использовать такое программное обеспечение для собственных нужд на условиях безвозмездной простой (неисключительной) лицензии, а также передавать право использования на программное обеспечение третьим лицам.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contextualSpacing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:lang w:eastAsia="ru-RU"/>
        </w:rPr>
        <w:t xml:space="preserve">.2. Этапы исполнения контракта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highlight w:val="none"/>
        </w:rPr>
      </w:r>
      <w:r>
        <w:rPr>
          <w:rFonts w:eastAsia="Times New Roman"/>
          <w:i/>
          <w:color w:val="000000"/>
          <w:sz w:val="22"/>
          <w:szCs w:val="22"/>
        </w:rPr>
        <w:t xml:space="preserve">Контракт не разделен на этапы исполнения контракта.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  <w:lang w:eastAsia="ru-RU"/>
        </w:rPr>
        <w:t xml:space="preserve">4.3. Место поставки товара, выполнения работы или оказания услуги</w:t>
      </w:r>
      <w:r>
        <w:rPr>
          <w:rFonts w:ascii="Times New Roman" w:hAnsi="Times New Roman" w:eastAsia="Times New Roman" w:cs="Times New Roman"/>
          <w:b/>
          <w:bCs/>
          <w:color w:val="000000"/>
        </w:rPr>
      </w:r>
      <w:r>
        <w:rPr>
          <w:rFonts w:ascii="Times New Roman" w:hAnsi="Times New Roman" w:eastAsia="Times New Roman" w:cs="Times New Roman"/>
          <w:b/>
          <w:bCs/>
          <w:color w:val="000000"/>
        </w:rPr>
      </w:r>
    </w:p>
    <w:tbl>
      <w:tblPr>
        <w:tblStyle w:val="145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394"/>
        <w:gridCol w:w="4535"/>
        <w:gridCol w:w="5528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39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18"/>
              </w:rPr>
              <w:t xml:space="preserve">Страна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535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18"/>
              </w:rPr>
              <w:t xml:space="preserve">Адрес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552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18"/>
              </w:rPr>
              <w:t xml:space="preserve">Дополнительная информация об адресе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39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18"/>
              </w:rPr>
              <w:t xml:space="preserve">Российская Федерация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535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18"/>
              </w:rPr>
              <w:t xml:space="preserve">край Ставропольский, г.о. город Ставрополь,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  <w:p>
            <w:pPr>
              <w:jc w:val="center"/>
              <w:spacing w:before="0" w:after="0" w:line="57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18"/>
              </w:rPr>
              <w:t xml:space="preserve">г Ставрополь, ул Мира, дом 267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552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18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contextualSpacing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jc w:val="center"/>
        <w:spacing w:before="450" w:after="100" w:afterAutospacing="1"/>
        <w:tabs>
          <w:tab w:val="center" w:pos="7285" w:leader="none"/>
        </w:tabs>
        <w:rPr>
          <w:rFonts w:eastAsia="Times New Roman"/>
          <w:b/>
          <w:bCs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z w:val="22"/>
          <w:szCs w:val="22"/>
        </w:rPr>
      </w:r>
      <w:r>
        <w:rPr>
          <w:rFonts w:eastAsia="Times New Roman"/>
          <w:b/>
          <w:bCs/>
          <w:color w:val="000000"/>
          <w:sz w:val="22"/>
          <w:szCs w:val="22"/>
        </w:rPr>
        <w:t xml:space="preserve">4.4. Требования к гарантии качества товара, работы, услуги</w:t>
      </w:r>
      <w:r>
        <w:rPr>
          <w:rFonts w:eastAsia="Times New Roman"/>
          <w:b/>
          <w:bCs/>
          <w:color w:val="000000"/>
          <w:sz w:val="22"/>
          <w:szCs w:val="22"/>
        </w:rPr>
      </w:r>
      <w:r>
        <w:rPr>
          <w:rFonts w:eastAsia="Times New Roman"/>
          <w:b/>
          <w:bCs/>
          <w:color w:val="000000"/>
          <w:sz w:val="22"/>
          <w:szCs w:val="22"/>
        </w:rPr>
      </w:r>
    </w:p>
    <w:tbl>
      <w:tblPr>
        <w:tblW w:w="14598" w:type="dxa"/>
        <w:tblLayout w:type="fixed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4394"/>
        <w:gridCol w:w="10204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394" w:type="dxa"/>
            <w:vAlign w:val="center"/>
            <w:textDirection w:val="lrTb"/>
            <w:noWrap w:val="false"/>
          </w:tcPr>
          <w:p>
            <w:pPr>
              <w:contextualSpacing/>
              <w:spacing w:after="300"/>
              <w:rPr>
                <w:rFonts w:eastAsia="Times New Roman"/>
                <w:color w:val="000000"/>
                <w:sz w:val="18"/>
                <w:szCs w:val="18"/>
                <w:highlight w:val="white"/>
              </w:rPr>
            </w:pP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  <w:t xml:space="preserve">Требуется гарантия качества товара, работы, услуги</w:t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204" w:type="dxa"/>
            <w:vAlign w:val="center"/>
            <w:textDirection w:val="lrTb"/>
            <w:noWrap w:val="false"/>
          </w:tcPr>
          <w:p>
            <w:pPr>
              <w:contextualSpacing/>
              <w:spacing w:after="300"/>
              <w:rPr>
                <w:rFonts w:eastAsia="Times New Roman"/>
                <w:color w:val="000000"/>
                <w:sz w:val="18"/>
                <w:szCs w:val="18"/>
                <w:highlight w:val="white"/>
              </w:rPr>
            </w:pP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  <w:t xml:space="preserve">Да</w:t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394" w:type="dxa"/>
            <w:vAlign w:val="center"/>
            <w:textDirection w:val="lrTb"/>
            <w:noWrap w:val="false"/>
          </w:tcPr>
          <w:p>
            <w:pPr>
              <w:contextualSpacing/>
              <w:spacing w:after="300"/>
              <w:rPr>
                <w:rFonts w:eastAsia="Times New Roman"/>
                <w:color w:val="000000"/>
                <w:sz w:val="18"/>
                <w:szCs w:val="18"/>
                <w:highlight w:val="white"/>
              </w:rPr>
            </w:pP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  <w:t xml:space="preserve">Информация о требованиях к гарантийному обслуживанию товара</w:t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204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Исполнитель обязуется устранить своими силами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в срок,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 установленный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 Заказчиком, выявленные недостатки и ошибки в функционировании ПК «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МАПОМС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». 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394" w:type="dxa"/>
            <w:vAlign w:val="center"/>
            <w:textDirection w:val="lrTb"/>
            <w:noWrap w:val="false"/>
          </w:tcPr>
          <w:p>
            <w:pPr>
              <w:contextualSpacing/>
              <w:spacing w:after="300"/>
              <w:rPr>
                <w:rFonts w:eastAsia="Times New Roman"/>
                <w:color w:val="000000"/>
                <w:sz w:val="18"/>
                <w:szCs w:val="18"/>
                <w:highlight w:val="white"/>
              </w:rPr>
            </w:pP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  <w:t xml:space="preserve">Требования к гарантии производителя товара</w:t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204" w:type="dxa"/>
            <w:vAlign w:val="center"/>
            <w:textDirection w:val="lrTb"/>
            <w:noWrap w:val="false"/>
          </w:tcPr>
          <w:p>
            <w:pPr>
              <w:contextualSpacing/>
              <w:spacing w:after="300"/>
              <w:rPr>
                <w:rFonts w:eastAsia="Times New Roman"/>
                <w:color w:val="000000"/>
                <w:sz w:val="18"/>
                <w:szCs w:val="18"/>
                <w:highlight w:val="white"/>
              </w:rPr>
            </w:pP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394" w:type="dxa"/>
            <w:vAlign w:val="center"/>
            <w:textDirection w:val="lrTb"/>
            <w:noWrap w:val="false"/>
          </w:tcPr>
          <w:p>
            <w:pPr>
              <w:contextualSpacing/>
              <w:spacing w:after="300"/>
              <w:rPr>
                <w:rFonts w:eastAsia="Times New Roman"/>
                <w:color w:val="000000"/>
                <w:sz w:val="18"/>
                <w:szCs w:val="18"/>
                <w:highlight w:val="white"/>
              </w:rPr>
            </w:pP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  <w:t xml:space="preserve">Срок, на который предоставляется гарантия и (или) требования к объему предоставления гарантий качества товара, работы, услуги</w:t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204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Исполнитель гарантирует работоспособность новой конфигурации ПК «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МАПОМС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», а также её взаимодействие с иными ранее разработанными се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рвисами ТФОМС СК, интеграция с которыми была реализована в ранее эксплуатируемой конфигурации, в течение 12 месяцев со дня подписания документа о приемке в Единой информационной системе в рамках настоящего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к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о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н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р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к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394" w:type="dxa"/>
            <w:vAlign w:val="center"/>
            <w:textDirection w:val="lrTb"/>
            <w:noWrap w:val="false"/>
          </w:tcPr>
          <w:p>
            <w:pPr>
              <w:contextualSpacing/>
              <w:spacing w:after="300"/>
              <w:rPr>
                <w:rFonts w:eastAsia="Times New Roman"/>
                <w:color w:val="000000"/>
                <w:sz w:val="18"/>
                <w:szCs w:val="18"/>
                <w:highlight w:val="white"/>
              </w:rPr>
            </w:pP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  <w:t xml:space="preserve">Требуется обеспечение исполнения обязательств по предоставленной гарантии качества товаров, работ, услуг</w:t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204" w:type="dxa"/>
            <w:vAlign w:val="center"/>
            <w:textDirection w:val="lrTb"/>
            <w:noWrap w:val="false"/>
          </w:tcPr>
          <w:p>
            <w:pPr>
              <w:contextualSpacing/>
              <w:spacing w:after="300"/>
              <w:rPr>
                <w:rFonts w:eastAsia="Times New Roman"/>
                <w:color w:val="000000"/>
                <w:sz w:val="18"/>
                <w:szCs w:val="18"/>
                <w:highlight w:val="white"/>
              </w:rPr>
            </w:pP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  <w:t xml:space="preserve">Нет</w:t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  <w:r>
              <w:rPr>
                <w:rFonts w:eastAsia="Times New Roman"/>
                <w:color w:val="000000"/>
                <w:sz w:val="18"/>
                <w:szCs w:val="18"/>
                <w:highlight w:val="white"/>
              </w:rPr>
            </w:r>
          </w:p>
        </w:tc>
      </w:tr>
    </w:tbl>
    <w:p>
      <w:pPr>
        <w:contextualSpacing/>
        <w:ind w:firstLine="540"/>
        <w:jc w:val="both"/>
        <w:spacing w:before="22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4.4</w:t>
      </w:r>
      <w:r>
        <w:rPr>
          <w:rFonts w:eastAsia="Times New Roman"/>
          <w:sz w:val="22"/>
          <w:szCs w:val="22"/>
        </w:rPr>
        <w:t xml:space="preserve">.1. Требования к гарантии качества услуг, к гарантийному сроку и (или) объему предоставления гарантий его качества, к гарантийному обслуживанию,</w:t>
      </w:r>
      <w:r>
        <w:rPr>
          <w:rFonts w:eastAsia="Times New Roman"/>
          <w:sz w:val="22"/>
          <w:szCs w:val="22"/>
        </w:rPr>
        <w:t xml:space="preserve"> указаны в Техническом задании (Приложение 1).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jc w:val="center"/>
        <w:spacing w:before="450" w:after="100" w:afterAutospacing="1"/>
        <w:rPr>
          <w:rFonts w:eastAsia="Times New Roman"/>
          <w:b/>
          <w:bCs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z w:val="22"/>
          <w:szCs w:val="22"/>
        </w:rPr>
      </w:r>
      <w:r>
        <w:rPr>
          <w:rFonts w:eastAsia="Times New Roman"/>
          <w:b/>
          <w:bCs/>
          <w:color w:val="000000"/>
          <w:sz w:val="22"/>
          <w:szCs w:val="22"/>
        </w:rPr>
      </w:r>
      <w:r>
        <w:rPr>
          <w:rFonts w:eastAsia="Times New Roman"/>
          <w:b/>
          <w:bCs/>
          <w:color w:val="000000"/>
          <w:sz w:val="22"/>
          <w:szCs w:val="22"/>
        </w:rPr>
      </w:r>
    </w:p>
    <w:p>
      <w:pPr>
        <w:contextualSpacing/>
        <w:jc w:val="center"/>
        <w:spacing w:before="450" w:after="100" w:afterAutospacing="1"/>
        <w:rPr>
          <w:rFonts w:eastAsia="Times New Roman"/>
          <w:b/>
          <w:bCs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z w:val="22"/>
          <w:szCs w:val="22"/>
        </w:rPr>
        <w:t xml:space="preserve">4.5. Обеспечение исполнения контракта (гарантийных обязательств)</w:t>
      </w:r>
      <w:r>
        <w:rPr>
          <w:rFonts w:eastAsia="Times New Roman"/>
          <w:b/>
          <w:bCs/>
          <w:color w:val="000000"/>
          <w:sz w:val="22"/>
          <w:szCs w:val="22"/>
        </w:rPr>
      </w:r>
      <w:r>
        <w:rPr>
          <w:rFonts w:eastAsia="Times New Roman"/>
          <w:b/>
          <w:bCs/>
          <w:color w:val="000000"/>
          <w:sz w:val="22"/>
          <w:szCs w:val="22"/>
        </w:rPr>
      </w:r>
    </w:p>
    <w:tbl>
      <w:tblPr>
        <w:tblW w:w="14451" w:type="dxa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4387"/>
        <w:gridCol w:w="2656"/>
        <w:gridCol w:w="2815"/>
        <w:gridCol w:w="4593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38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Вид обеспечения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5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Размер обеспечения исполнения контракта в %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81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Размер обеспечения исполнения контракта, который должен предоставить поставщик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59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Порядок предоставления, требования к обеспечению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38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1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5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2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81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3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59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4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38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Обеспечение исполнения контракта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5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10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81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———————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593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Исполнение обязательств</w:t>
            </w:r>
            <w:r>
              <w:rPr>
                <w:rFonts w:eastAsia="Times New Roman"/>
                <w:color w:val="000000"/>
                <w:sz w:val="18"/>
                <w:szCs w:val="18"/>
              </w:rPr>
              <w:t xml:space="preserve"> по контракту, могут обеспечиваться предоставлением независимой гарантии, соответствующей требованиям статьи 45 Федерального закона № 44-ФЗ, или внесением денежных средств на указанный заказчиком счет, на котором в соответствии с законодательством Российск</w:t>
            </w:r>
            <w:r>
              <w:rPr>
                <w:rFonts w:eastAsia="Times New Roman"/>
                <w:color w:val="000000"/>
                <w:sz w:val="18"/>
                <w:szCs w:val="18"/>
              </w:rPr>
              <w:t xml:space="preserve">ой Федерации учитываются операции со средствами, поступающими заказчику. Способ обеспечения исполнения контракта, срок действия независимой гарантии определяются в соответствии с требованиями Федерального закона № 44-ФЗ участником закупки, с которым заключ</w:t>
            </w:r>
            <w:r>
              <w:rPr>
                <w:rFonts w:eastAsia="Times New Roman"/>
                <w:color w:val="000000"/>
                <w:sz w:val="18"/>
                <w:szCs w:val="18"/>
              </w:rPr>
              <w:t xml:space="preserve">ается контракт, самостоятельно.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38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Обеспечение исполнения контракта по поставке товара или выполнению работы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5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81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59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38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Обеспечение исполнения контракта по последующему обслуживанию, эксплуатации (при наличии) в течение срока службы, ремонту и (или) утилизации поставленного товара или созданного в результате выполнения работы объекта капитального строительства или товара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5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81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59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38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Обеспечение исполнения гарантийных обязательств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65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81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highlight w:val="yellow"/>
                <w:u w:val="none"/>
              </w:rPr>
            </w:pPr>
            <w:r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highlight w:val="none"/>
                <w:u w:val="none"/>
              </w:rPr>
            </w:r>
            <w:r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highlight w:val="yellow"/>
                <w:u w:val="none"/>
              </w:rPr>
            </w:r>
            <w:r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highlight w:val="yellow"/>
                <w:u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593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</w:r>
          </w:p>
        </w:tc>
      </w:tr>
    </w:tbl>
    <w:p>
      <w:pPr>
        <w:pStyle w:val="1441"/>
        <w:contextualSpacing/>
        <w:ind w:firstLine="0"/>
        <w:jc w:val="left"/>
        <w:rPr>
          <w:rFonts w:ascii="Times New Roman" w:hAnsi="Times New Roman" w:cs="Times New Roman"/>
          <w:sz w:val="22"/>
          <w:szCs w:val="22"/>
          <w:highlight w:val="none"/>
        </w:rPr>
        <w:outlineLvl w:val="1"/>
      </w:pPr>
      <w:r>
        <w:rPr>
          <w:rFonts w:ascii="Times New Roman" w:hAnsi="Times New Roman" w:cs="Times New Roman"/>
          <w:sz w:val="22"/>
          <w:szCs w:val="22"/>
          <w:highlight w:val="none"/>
        </w:rPr>
      </w:r>
      <w:r>
        <w:rPr>
          <w:rFonts w:ascii="Times New Roman" w:hAnsi="Times New Roman" w:cs="Times New Roman"/>
          <w:sz w:val="22"/>
          <w:szCs w:val="22"/>
          <w:highlight w:val="none"/>
        </w:rPr>
      </w:r>
      <w:r>
        <w:rPr>
          <w:rFonts w:ascii="Times New Roman" w:hAnsi="Times New Roman" w:cs="Times New Roman"/>
          <w:sz w:val="22"/>
          <w:szCs w:val="22"/>
          <w:highlight w:val="none"/>
        </w:rPr>
      </w:r>
    </w:p>
    <w:p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4.5.1.Обеспечение исполнения Контракта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4.5.1.</w:t>
      </w:r>
      <w:r>
        <w:rPr>
          <w:sz w:val="22"/>
          <w:szCs w:val="22"/>
        </w:rPr>
        <w:t xml:space="preserve">1.</w:t>
      </w:r>
      <w:r>
        <w:rPr>
          <w:sz w:val="22"/>
          <w:szCs w:val="22"/>
        </w:rPr>
        <w:t xml:space="preserve"> Обеспечение исполнения Контракта устанавливается в размере</w:t>
      </w:r>
      <w:r>
        <w:rPr>
          <w:rStyle w:val="1440"/>
          <w:sz w:val="22"/>
          <w:szCs w:val="22"/>
        </w:rPr>
        <w:footnoteReference w:id="8"/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jc w:val="center"/>
      </w:pPr>
      <w:r>
        <w:t xml:space="preserve">____________________________________________________________________________</w:t>
      </w:r>
      <w:r/>
    </w:p>
    <w:p>
      <w:pPr>
        <w:contextualSpacing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(сумма цифрами и прописью) рублей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  <w:p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jc w:val="both"/>
        <w:widowControl/>
        <w:rPr>
          <w:sz w:val="22"/>
          <w:szCs w:val="22"/>
        </w:rPr>
      </w:pPr>
      <w:r>
        <w:rPr>
          <w:sz w:val="22"/>
          <w:szCs w:val="22"/>
        </w:rPr>
        <w:t xml:space="preserve">                   С учетом снижения начальной (максимальной) цены контракта по результатам осуществления закупки на </w:t>
      </w:r>
      <w:r>
        <w:rPr>
          <w:i/>
          <w:sz w:val="22"/>
          <w:szCs w:val="22"/>
        </w:rPr>
        <w:t xml:space="preserve">___ %,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Исполнитель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предоставляет обеспечение исполнения контракта в размере, превышающем в полтора раза размер обеспечения исполнения контракта, указанный в извещении об осуществлении закупки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(сумма цифрами и прописью) рублей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  <w:p>
      <w:pPr>
        <w:contextualSpacing/>
        <w:jc w:val="both"/>
        <w:widowControl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</w:r>
      <w:r>
        <w:rPr>
          <w:rFonts w:eastAsiaTheme="minorHAnsi"/>
          <w:sz w:val="22"/>
          <w:szCs w:val="22"/>
          <w:lang w:eastAsia="en-US"/>
        </w:rPr>
      </w:r>
      <w:r>
        <w:rPr>
          <w:rFonts w:eastAsiaTheme="minorHAnsi"/>
          <w:sz w:val="22"/>
          <w:szCs w:val="22"/>
          <w:lang w:eastAsia="en-US"/>
        </w:rPr>
      </w:r>
    </w:p>
    <w:p>
      <w:pPr>
        <w:contextualSpacing/>
        <w:jc w:val="both"/>
        <w:widowControl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            или информации, подтверждающей добросовестность такого участника в соответствии с </w:t>
      </w:r>
      <w:hyperlink r:id="rId13" w:tooltip="consultantplus://offline/ref=DC7B8EBB214CA91E528348CE44BC4CA1DB339B4011481E92C4BB7DE0E1D2DAB29ADC7CF35E6159764E5B1EBAF5B31BCCDACAAC7BF4B51610j2uFI" w:history="1">
        <w:r>
          <w:rPr>
            <w:rFonts w:eastAsiaTheme="minorHAnsi"/>
            <w:sz w:val="22"/>
            <w:szCs w:val="22"/>
            <w:lang w:eastAsia="en-US"/>
          </w:rPr>
          <w:t xml:space="preserve">частью 3</w:t>
        </w:r>
      </w:hyperlink>
      <w:r>
        <w:rPr>
          <w:rFonts w:eastAsiaTheme="minorHAnsi"/>
          <w:sz w:val="22"/>
          <w:szCs w:val="22"/>
          <w:lang w:eastAsia="en-US"/>
        </w:rPr>
        <w:t xml:space="preserve"> статьи 37</w:t>
      </w:r>
      <w:r>
        <w:rPr>
          <w:sz w:val="22"/>
          <w:szCs w:val="22"/>
        </w:rPr>
        <w:t xml:space="preserve"> Федерального закона № 44-ФЗ</w:t>
      </w:r>
      <w:r>
        <w:rPr>
          <w:rFonts w:eastAsiaTheme="minorHAnsi"/>
          <w:sz w:val="22"/>
          <w:szCs w:val="22"/>
          <w:lang w:eastAsia="en-US"/>
        </w:rPr>
        <w:t xml:space="preserve">, с одновременным предоставлением таким участником обеспечения исполнения контракта в размере обеспечения исполнения контракта, указанном в извещении об осуществлении закупки</w:t>
      </w:r>
      <w:r>
        <w:rPr>
          <w:rStyle w:val="1440"/>
          <w:sz w:val="22"/>
          <w:szCs w:val="22"/>
        </w:rPr>
        <w:footnoteReference w:id="9"/>
      </w:r>
      <w:r>
        <w:rPr>
          <w:sz w:val="22"/>
          <w:szCs w:val="22"/>
        </w:rPr>
        <w:t xml:space="preserve"> </w:t>
      </w:r>
      <w:r>
        <w:rPr>
          <w:rFonts w:eastAsiaTheme="minorHAnsi"/>
          <w:sz w:val="22"/>
          <w:szCs w:val="22"/>
          <w:lang w:eastAsia="en-US"/>
        </w:rPr>
      </w:r>
      <w:r>
        <w:rPr>
          <w:rFonts w:eastAsiaTheme="minorHAnsi"/>
          <w:sz w:val="22"/>
          <w:szCs w:val="22"/>
          <w:lang w:eastAsia="en-US"/>
        </w:rPr>
      </w:r>
    </w:p>
    <w:p>
      <w:pPr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(сумма цифрами и прописью) рублей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  <w:p>
      <w:pPr>
        <w:contextualSpacing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  <w:p>
      <w:pPr>
        <w:contextualSpacing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или информации, подтверждающей добросовестность такого участника на дату подачи заявки в соответствии с частью 8.1 статьи 96 Федерального закона № 44-ФЗ</w:t>
      </w:r>
      <w:r>
        <w:rPr>
          <w:rStyle w:val="1440"/>
          <w:sz w:val="22"/>
          <w:szCs w:val="22"/>
        </w:rPr>
        <w:footnoteReference w:id="10"/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firstLine="53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если Контрактом предусмотрены отдельные этапы его исполнения размер обеспечения исполнения Контракта в ходе исполнения Контракта подлежит уменьшению в порядке и случаях, которые предусмотрены </w:t>
      </w:r>
      <w:hyperlink w:tooltip="#P1579" w:anchor="P1579" w:history="1">
        <w:r>
          <w:rPr>
            <w:sz w:val="22"/>
            <w:szCs w:val="22"/>
          </w:rPr>
          <w:t xml:space="preserve">пунктами 4.5</w:t>
        </w:r>
        <w:r>
          <w:rPr>
            <w:sz w:val="22"/>
            <w:szCs w:val="22"/>
          </w:rPr>
          <w:t xml:space="preserve">.</w:t>
        </w:r>
        <w:r>
          <w:rPr>
            <w:sz w:val="22"/>
            <w:szCs w:val="22"/>
          </w:rPr>
          <w:t xml:space="preserve">1.</w:t>
        </w:r>
        <w:r>
          <w:rPr>
            <w:sz w:val="22"/>
            <w:szCs w:val="22"/>
          </w:rPr>
          <w:t xml:space="preserve">6</w:t>
        </w:r>
      </w:hyperlink>
      <w:r>
        <w:rPr>
          <w:sz w:val="22"/>
          <w:szCs w:val="22"/>
        </w:rPr>
        <w:t xml:space="preserve"> и </w:t>
      </w:r>
      <w:hyperlink w:tooltip="#P1580" w:anchor="P1580" w:history="1">
        <w:r>
          <w:rPr>
            <w:sz w:val="22"/>
            <w:szCs w:val="22"/>
          </w:rPr>
          <w:t xml:space="preserve">4.5</w:t>
        </w:r>
        <w:r>
          <w:rPr>
            <w:sz w:val="22"/>
            <w:szCs w:val="22"/>
          </w:rPr>
          <w:t xml:space="preserve">.</w:t>
        </w:r>
        <w:r>
          <w:rPr>
            <w:sz w:val="22"/>
            <w:szCs w:val="22"/>
          </w:rPr>
          <w:t xml:space="preserve">1.</w:t>
        </w:r>
        <w:r>
          <w:rPr>
            <w:sz w:val="22"/>
            <w:szCs w:val="22"/>
          </w:rPr>
          <w:t xml:space="preserve">7</w:t>
        </w:r>
      </w:hyperlink>
      <w:r>
        <w:rPr>
          <w:sz w:val="22"/>
          <w:szCs w:val="22"/>
        </w:rPr>
        <w:t xml:space="preserve"> Контракта.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4.5</w:t>
      </w:r>
      <w:r>
        <w:rPr>
          <w:rFonts w:eastAsia="Times New Roman"/>
          <w:sz w:val="22"/>
          <w:szCs w:val="22"/>
        </w:rPr>
        <w:t xml:space="preserve">.</w:t>
      </w:r>
      <w:r>
        <w:rPr>
          <w:rFonts w:eastAsia="Times New Roman"/>
          <w:sz w:val="22"/>
          <w:szCs w:val="22"/>
        </w:rPr>
        <w:t xml:space="preserve">1.</w:t>
      </w:r>
      <w:r>
        <w:rPr>
          <w:rFonts w:eastAsia="Times New Roman"/>
          <w:sz w:val="22"/>
          <w:szCs w:val="22"/>
        </w:rPr>
        <w:t xml:space="preserve">2. Исполнение Контракта обеспечивается предоставлением независимой гарантии, выданной в соответствии с требованиям </w:t>
      </w:r>
      <w:hyperlink r:id="rId14" w:tooltip="consultantplus://offline/ref=782E9CC4CCC6932545801925E3B536176E50B53C1FD70BD7655CABC93DB89C271041D8C90794B1C77465701D5260D5009943EF493EVAP" w:history="1"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статьи 45</w:t>
        </w:r>
      </w:hyperlink>
      <w:r>
        <w:rPr>
          <w:rFonts w:eastAsia="Times New Roman"/>
          <w:sz w:val="22"/>
          <w:szCs w:val="22"/>
        </w:rPr>
        <w:t xml:space="preserve">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(Собрание законодательств</w:t>
      </w:r>
      <w:r>
        <w:rPr>
          <w:rFonts w:eastAsia="Times New Roman"/>
          <w:sz w:val="22"/>
          <w:szCs w:val="22"/>
        </w:rPr>
        <w:t xml:space="preserve">а Российской Федерации, 2013, № 14, ст. 1652; 2019, № 52, ст. 7787),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Способ обеспеч</w:t>
      </w:r>
      <w:r>
        <w:rPr>
          <w:rFonts w:eastAsia="Times New Roman"/>
          <w:sz w:val="22"/>
          <w:szCs w:val="22"/>
        </w:rPr>
        <w:t xml:space="preserve">ения исполнения контракта, гарантийных обязательств, срок действия независимой гарантии определяются в соответствии с требованиями Федерального закона от 5 апреля 2013 г. № 44-ФЗ «О контрактной системе в сфере закупок товаров, работ, услуг для обеспечения </w:t>
      </w:r>
      <w:r>
        <w:rPr>
          <w:rFonts w:eastAsia="Times New Roman"/>
          <w:sz w:val="22"/>
          <w:szCs w:val="22"/>
        </w:rPr>
        <w:t xml:space="preserve">государственных и муниципальных нужд» участником закупки, с которым заключается контракт, самостоятельно. 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При</w:t>
      </w:r>
      <w:r>
        <w:rPr>
          <w:rFonts w:eastAsia="Times New Roman"/>
          <w:sz w:val="22"/>
          <w:szCs w:val="22"/>
        </w:rPr>
        <w:t xml:space="preserve">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</w:t>
      </w:r>
      <w:hyperlink r:id="rId15" w:tooltip="consultantplus://offline/ref=068708861DB2017460363FE8F2F03A5D7701F0B89317251AD4152154FE252F392F6FC1806B7CF37C83F30FD998C10077C97B14DED30FB67DbBP4L" w:history="1"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статьей 95</w:t>
        </w:r>
      </w:hyperlink>
      <w:r>
        <w:rPr>
          <w:rFonts w:eastAsia="Times New Roman"/>
          <w:sz w:val="22"/>
          <w:szCs w:val="22"/>
        </w:rPr>
        <w:t xml:space="preserve">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нужд».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          4.5</w:t>
      </w:r>
      <w:r>
        <w:rPr>
          <w:rFonts w:eastAsia="Times New Roman"/>
          <w:sz w:val="22"/>
          <w:szCs w:val="22"/>
        </w:rPr>
        <w:t xml:space="preserve">.</w:t>
      </w:r>
      <w:r>
        <w:rPr>
          <w:rFonts w:eastAsia="Times New Roman"/>
          <w:sz w:val="22"/>
          <w:szCs w:val="22"/>
        </w:rPr>
        <w:t xml:space="preserve">1.</w:t>
      </w:r>
      <w:r>
        <w:rPr>
          <w:rFonts w:eastAsia="Times New Roman"/>
          <w:sz w:val="22"/>
          <w:szCs w:val="22"/>
        </w:rPr>
        <w:t xml:space="preserve">3. Денежные средства, внесенные Поставщиком в качестве обеспечения исполнения Контракта, в том числе часть этих денежных средств в случае уменьшения размера обеспечения исполнения Контракта в соответствии с </w:t>
      </w:r>
      <w:hyperlink w:tooltip="#P1570" w:anchor="P1570" w:history="1"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пунктами 4.5</w:t>
        </w:r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.1</w:t>
        </w:r>
      </w:hyperlink>
      <w:r>
        <w:rPr>
          <w:rStyle w:val="1437"/>
          <w:rFonts w:eastAsia="Times New Roman"/>
          <w:color w:val="auto"/>
          <w:sz w:val="22"/>
          <w:szCs w:val="22"/>
          <w:u w:val="none"/>
        </w:rPr>
        <w:t xml:space="preserve">.1</w:t>
      </w:r>
      <w:r>
        <w:rPr>
          <w:rFonts w:eastAsia="Times New Roman"/>
          <w:sz w:val="22"/>
          <w:szCs w:val="22"/>
        </w:rPr>
        <w:t xml:space="preserve">, </w:t>
      </w:r>
      <w:hyperlink w:tooltip="#P1578" w:anchor="P1578" w:history="1"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4.5</w:t>
        </w:r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.</w:t>
        </w:r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1.</w:t>
        </w:r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5</w:t>
        </w:r>
      </w:hyperlink>
      <w:r>
        <w:rPr>
          <w:rFonts w:eastAsia="Times New Roman"/>
          <w:sz w:val="22"/>
          <w:szCs w:val="22"/>
        </w:rPr>
        <w:t xml:space="preserve"> и </w:t>
      </w:r>
      <w:hyperlink w:tooltip="#P1579" w:anchor="P1579" w:history="1"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4.5</w:t>
        </w:r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.</w:t>
        </w:r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1.</w:t>
        </w:r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6</w:t>
        </w:r>
      </w:hyperlink>
      <w:r>
        <w:rPr>
          <w:rFonts w:eastAsia="Times New Roman"/>
          <w:sz w:val="22"/>
          <w:szCs w:val="22"/>
        </w:rPr>
        <w:t xml:space="preserve"> Контракта, возвращаются Поставщику в срок не превышающий 15 (пятнадцать) дней с даты исполнения Поставщиком обязательств, предусмотренных Контрактом (если такая форма обеспечения исполнения Контракта применяется Поставщиком).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jc w:val="both"/>
        <w:rPr>
          <w:rFonts w:eastAsia="Times New Roman"/>
          <w:color w:val="1e4f79" w:themeColor="accent1" w:themeShade="80"/>
          <w:sz w:val="22"/>
          <w:szCs w:val="22"/>
        </w:rPr>
      </w:pPr>
      <w:r>
        <w:rPr>
          <w:rFonts w:eastAsia="Times New Roman"/>
          <w:color w:val="1f4e79" w:themeColor="accent1" w:themeShade="80"/>
          <w:sz w:val="22"/>
          <w:szCs w:val="22"/>
        </w:rPr>
        <w:t xml:space="preserve">       </w:t>
      </w:r>
      <w:r>
        <w:rPr>
          <w:rFonts w:eastAsia="Times New Roman"/>
          <w:color w:val="1e4f79" w:themeColor="accent1" w:themeShade="80"/>
          <w:sz w:val="22"/>
          <w:szCs w:val="22"/>
        </w:rPr>
        <w:t xml:space="preserve">  4.5</w:t>
      </w:r>
      <w:r>
        <w:rPr>
          <w:rFonts w:eastAsia="Times New Roman"/>
          <w:color w:val="1e4f79" w:themeColor="accent1" w:themeShade="80"/>
          <w:sz w:val="22"/>
          <w:szCs w:val="22"/>
        </w:rPr>
        <w:t xml:space="preserve">.</w:t>
      </w:r>
      <w:r>
        <w:rPr>
          <w:rFonts w:eastAsia="Times New Roman"/>
          <w:color w:val="1e4f79" w:themeColor="accent1" w:themeShade="80"/>
          <w:sz w:val="22"/>
          <w:szCs w:val="22"/>
        </w:rPr>
        <w:t xml:space="preserve">1.</w:t>
      </w:r>
      <w:r>
        <w:rPr>
          <w:rFonts w:eastAsia="Times New Roman"/>
          <w:color w:val="1e4f79" w:themeColor="accent1" w:themeShade="80"/>
          <w:sz w:val="22"/>
          <w:szCs w:val="22"/>
        </w:rPr>
        <w:t xml:space="preserve">4</w:t>
      </w:r>
      <w:r>
        <w:rPr>
          <w:rFonts w:eastAsia="Times New Roman"/>
          <w:color w:val="1e4f79" w:themeColor="accent1" w:themeShade="80"/>
          <w:sz w:val="22"/>
          <w:szCs w:val="22"/>
        </w:rPr>
        <w:t xml:space="preserve">. </w:t>
      </w:r>
      <w:r>
        <w:rPr>
          <w:rFonts w:eastAsia="Times New Roman"/>
          <w:color w:val="1e4f79" w:themeColor="accent1" w:themeShade="80"/>
          <w:sz w:val="22"/>
          <w:szCs w:val="22"/>
        </w:rPr>
        <w:t xml:space="preserve">Независимая гарантия, предоставленная в качестве обеспечения исполнения Контракта, должна содержать условие</w:t>
      </w:r>
      <w:r>
        <w:rPr>
          <w:rFonts w:eastAsia="Times New Roman"/>
          <w:i/>
          <w:color w:val="1e4f79" w:themeColor="accent1" w:themeShade="80"/>
          <w:sz w:val="22"/>
          <w:szCs w:val="22"/>
        </w:rPr>
        <w:t xml:space="preserve"> </w:t>
      </w:r>
      <w:r>
        <w:rPr>
          <w:rFonts w:eastAsia="Times New Roman"/>
          <w:color w:val="1e4f79" w:themeColor="accent1" w:themeShade="80"/>
          <w:sz w:val="22"/>
          <w:szCs w:val="22"/>
        </w:rPr>
        <w:t xml:space="preserve">об обязанности гаранта уплатить заказчику (бенефи</w:t>
      </w:r>
      <w:r>
        <w:rPr>
          <w:rFonts w:eastAsia="Times New Roman"/>
          <w:color w:val="1e4f79" w:themeColor="accent1" w:themeShade="80"/>
          <w:sz w:val="22"/>
          <w:szCs w:val="22"/>
        </w:rPr>
        <w:t xml:space="preserve">циару) денежную сумму по независимой гарантии не позднее десяти рабочих дней со дня, следующего за днем получения гарантом требования заказчика (бенефициара), соответствующего условиям такой независимой гарантии, при отсутствии предусмотренных Гражданским </w:t>
      </w:r>
      <w:hyperlink r:id="rId16" w:tooltip="consultantplus://offline/ref=03FC0996997AD7E3841CCC109FCDD5AD53BE96D596E35B1D511B7274D0139065360C9941F30CE76286EB2180D1C80C287E8B32A9550C8A02J2N" w:history="1">
        <w:r>
          <w:rPr>
            <w:rStyle w:val="1437"/>
            <w:rFonts w:eastAsia="Times New Roman"/>
            <w:color w:val="1e4f79" w:themeColor="accent1" w:themeShade="80"/>
            <w:sz w:val="22"/>
            <w:szCs w:val="22"/>
            <w:u w:val="none"/>
          </w:rPr>
          <w:t xml:space="preserve">кодексом</w:t>
        </w:r>
      </w:hyperlink>
      <w:r>
        <w:rPr>
          <w:rFonts w:eastAsia="Times New Roman"/>
          <w:color w:val="1e4f79" w:themeColor="accent1" w:themeShade="80"/>
          <w:sz w:val="22"/>
          <w:szCs w:val="22"/>
        </w:rPr>
        <w:t xml:space="preserve"> Российской Федерации оснований для отказа в удовлетворении этого требования</w:t>
      </w:r>
      <w:r>
        <w:rPr>
          <w:rFonts w:eastAsia="Times New Roman"/>
          <w:color w:val="1e4f79" w:themeColor="accent1" w:themeShade="80"/>
          <w:sz w:val="22"/>
          <w:szCs w:val="22"/>
        </w:rPr>
        <w:t xml:space="preserve">.</w:t>
      </w:r>
      <w:r>
        <w:rPr>
          <w:rFonts w:eastAsia="Times New Roman"/>
          <w:color w:val="1e4f79" w:themeColor="accent1" w:themeShade="80"/>
          <w:sz w:val="22"/>
          <w:szCs w:val="22"/>
        </w:rPr>
      </w:r>
      <w:r>
        <w:rPr>
          <w:rFonts w:eastAsia="Times New Roman"/>
          <w:color w:val="1e4f79" w:themeColor="accent1" w:themeShade="80"/>
          <w:sz w:val="22"/>
          <w:szCs w:val="22"/>
        </w:rPr>
      </w:r>
    </w:p>
    <w:p>
      <w:pPr>
        <w:contextualSpacing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         4</w:t>
      </w:r>
      <w:r>
        <w:rPr>
          <w:rFonts w:eastAsia="Times New Roman"/>
          <w:sz w:val="22"/>
          <w:szCs w:val="22"/>
        </w:rPr>
        <w:t xml:space="preserve">.5.</w:t>
      </w:r>
      <w:r>
        <w:rPr>
          <w:rFonts w:eastAsia="Times New Roman"/>
          <w:sz w:val="22"/>
          <w:szCs w:val="22"/>
        </w:rPr>
        <w:t xml:space="preserve">1.</w:t>
      </w:r>
      <w:r>
        <w:rPr>
          <w:rFonts w:eastAsia="Times New Roman"/>
          <w:sz w:val="22"/>
          <w:szCs w:val="22"/>
        </w:rPr>
        <w:t xml:space="preserve">5.</w:t>
      </w:r>
      <w:r>
        <w:rPr>
          <w:rFonts w:eastAsia="Times New Roman"/>
          <w:sz w:val="22"/>
          <w:szCs w:val="22"/>
        </w:rPr>
        <w:t xml:space="preserve"> В ходе исполнения Контракта Поставщик вправе измени</w:t>
      </w:r>
      <w:r>
        <w:rPr>
          <w:rFonts w:eastAsia="Times New Roman"/>
          <w:sz w:val="22"/>
          <w:szCs w:val="22"/>
        </w:rPr>
        <w:t xml:space="preserve">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которые предусмотрены </w:t>
      </w:r>
      <w:hyperlink w:tooltip="#P1579" w:anchor="P1579" w:history="1"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пунктами 4.5</w:t>
        </w:r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.</w:t>
        </w:r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1.</w:t>
        </w:r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6</w:t>
        </w:r>
      </w:hyperlink>
      <w:r>
        <w:rPr>
          <w:rFonts w:eastAsia="Times New Roman"/>
          <w:sz w:val="22"/>
          <w:szCs w:val="22"/>
        </w:rPr>
        <w:t xml:space="preserve"> и </w:t>
      </w:r>
      <w:hyperlink w:tooltip="#P1580" w:anchor="P1580" w:history="1"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4.5</w:t>
        </w:r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.</w:t>
        </w:r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1.</w:t>
        </w:r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7</w:t>
        </w:r>
      </w:hyperlink>
      <w:r>
        <w:rPr>
          <w:rFonts w:eastAsia="Times New Roman"/>
          <w:sz w:val="22"/>
          <w:szCs w:val="22"/>
        </w:rPr>
        <w:t xml:space="preserve"> Контракта.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         4.5</w:t>
      </w:r>
      <w:r>
        <w:rPr>
          <w:rFonts w:eastAsia="Times New Roman"/>
          <w:sz w:val="22"/>
          <w:szCs w:val="22"/>
        </w:rPr>
        <w:t xml:space="preserve">.</w:t>
      </w:r>
      <w:r>
        <w:rPr>
          <w:rFonts w:eastAsia="Times New Roman"/>
          <w:sz w:val="22"/>
          <w:szCs w:val="22"/>
        </w:rPr>
        <w:t xml:space="preserve">1.</w:t>
      </w:r>
      <w:r>
        <w:rPr>
          <w:rFonts w:eastAsia="Times New Roman"/>
          <w:sz w:val="22"/>
          <w:szCs w:val="22"/>
        </w:rPr>
        <w:t xml:space="preserve">6</w:t>
      </w:r>
      <w:r>
        <w:rPr>
          <w:rFonts w:eastAsia="Times New Roman"/>
          <w:sz w:val="22"/>
          <w:szCs w:val="22"/>
        </w:rPr>
        <w:t xml:space="preserve"> Размер обеспечения исполнения Контракта уменьша</w:t>
      </w:r>
      <w:r>
        <w:rPr>
          <w:rFonts w:eastAsia="Times New Roman"/>
          <w:sz w:val="22"/>
          <w:szCs w:val="22"/>
        </w:rPr>
        <w:t xml:space="preserve">ется посредством направления Заказчиком информации об исполнении Поставщиком обязательств по поставке Товара или об исполнении им отдельного этапа исполнения Контракта и стоимости исполненных обязательств для включения в реестр контрактов, предусмотренный </w:t>
      </w:r>
      <w:hyperlink r:id="rId17" w:tooltip="consultantplus://offline/ref=782E9CC4CCC6932545801925E3B536176E50B53C1FD70BD7655CABC93DB89C271041D8CD019EE191343B294E112BD805805FEF4CF4B5672237V6P" w:history="1"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статьей 103</w:t>
        </w:r>
      </w:hyperlink>
      <w:r>
        <w:rPr>
          <w:rFonts w:eastAsia="Times New Roman"/>
          <w:sz w:val="22"/>
          <w:szCs w:val="22"/>
        </w:rPr>
        <w:t xml:space="preserve">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(далее - реестр контракто</w:t>
      </w:r>
      <w:r>
        <w:rPr>
          <w:rFonts w:eastAsia="Times New Roman"/>
          <w:sz w:val="22"/>
          <w:szCs w:val="22"/>
        </w:rPr>
        <w:t xml:space="preserve">в). Уменьшение размера обеспечения исполнения Контракта производится пропорционально стоимости исполненных обязательств, приемка и оплата которых осуществлены в порядке и сроки, которые предусмотрены Контрактом. В случае, если обеспечение исполнения Контра</w:t>
      </w:r>
      <w:r>
        <w:rPr>
          <w:rFonts w:eastAsia="Times New Roman"/>
          <w:sz w:val="22"/>
          <w:szCs w:val="22"/>
        </w:rPr>
        <w:t xml:space="preserve">кта осуществляется путем предоставления независимой гарантии, требование Заказчика об уплате денежных сумм по этой гарантии может быть предъявлено в размере не более размера обеспечения исполнения Контракта, рассчитанного Заказчиком на основании информации</w:t>
      </w:r>
      <w:r>
        <w:rPr>
          <w:rFonts w:eastAsia="Times New Roman"/>
          <w:sz w:val="22"/>
          <w:szCs w:val="22"/>
        </w:rPr>
        <w:t xml:space="preserve"> об исполнении Контракта, размещенной в реестре контрактов. В случае, если обеспечение исполнения Контракта осуществляется путем внесения денежных средств на счет, указанный Заказчиком, по заявлению Поставщика ему возвращаются Заказчиком в установленный в </w:t>
      </w:r>
      <w:hyperlink w:tooltip="#P1576" w:anchor="P1576" w:history="1"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пункте 4.5</w:t>
        </w:r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.</w:t>
        </w:r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1.</w:t>
        </w:r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3</w:t>
        </w:r>
      </w:hyperlink>
      <w:r>
        <w:rPr>
          <w:rFonts w:eastAsia="Times New Roman"/>
          <w:sz w:val="22"/>
          <w:szCs w:val="22"/>
        </w:rPr>
        <w:t xml:space="preserve"> Контракта срок денежные средства в сумме, на которую уменьшен размер обеспечения исполнения Контракта, рассчитанный Заказчиком на основании информации об исполнении Контракта, размещенной в реестре контрактов.</w:t>
      </w:r>
      <w:r>
        <w:rPr>
          <w:rFonts w:eastAsia="Times New Roman"/>
          <w:sz w:val="22"/>
          <w:szCs w:val="22"/>
        </w:rPr>
        <w:t xml:space="preserve">4.5.</w:t>
      </w:r>
      <w:r>
        <w:rPr>
          <w:rFonts w:eastAsia="Times New Roman"/>
          <w:sz w:val="22"/>
          <w:szCs w:val="22"/>
        </w:rPr>
        <w:t xml:space="preserve">1.</w:t>
      </w:r>
      <w:r>
        <w:rPr>
          <w:rFonts w:eastAsia="Times New Roman"/>
          <w:sz w:val="22"/>
          <w:szCs w:val="22"/>
        </w:rPr>
        <w:t xml:space="preserve">7</w:t>
      </w:r>
      <w:r>
        <w:rPr>
          <w:rFonts w:eastAsia="Times New Roman"/>
          <w:sz w:val="22"/>
          <w:szCs w:val="22"/>
        </w:rPr>
        <w:t xml:space="preserve">. Предусмотренное Контрактом уменьшение размера обеспечения исполнения Контракта осуществляется при условии отсутствия неисполненных Поставщиком требований об уплате неустоек (штрафов, пеней), предъявленных Заказчиком в соответствии с </w:t>
      </w:r>
      <w:hyperlink w:tooltip="#P1550" w:anchor="P1550" w:history="1"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разделом VI</w:t>
        </w:r>
      </w:hyperlink>
      <w:r>
        <w:rPr>
          <w:rFonts w:eastAsia="Times New Roman"/>
          <w:sz w:val="22"/>
          <w:szCs w:val="22"/>
        </w:rPr>
        <w:t xml:space="preserve"> Контракта, а также приемки Заказчиком поставленного Товара, результатов отдельного этапа исполнения Контракта в объеме выплаченного аванса (если Контрактом предусмотрена выплата аванса) либо в объеме, превышающем выплаченный аван</w:t>
      </w:r>
      <w:r>
        <w:rPr>
          <w:rFonts w:eastAsia="Times New Roman"/>
          <w:sz w:val="22"/>
          <w:szCs w:val="22"/>
        </w:rPr>
        <w:t xml:space="preserve">с (если в соответствии с законодательством Российской Федерации расчеты по Контракту в части выплаты аванса подлежат казначейскому сопровождению). Такое уменьшение не допускается в случаях, определенных Правительством Российской Федерации в соответствии с </w:t>
      </w:r>
      <w:hyperlink r:id="rId18" w:tooltip="consultantplus://offline/ref=782E9CC4CCC6932545801925E3B536176E50B53C1FD70BD7655CABC93DB89C271041D8CD069EE39D6461394A587CD2198746F149EAB536V7P" w:history="1"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частью 7.3 статьи 96</w:t>
        </w:r>
      </w:hyperlink>
      <w:r>
        <w:rPr>
          <w:rFonts w:eastAsia="Times New Roman"/>
          <w:sz w:val="22"/>
          <w:szCs w:val="22"/>
        </w:rPr>
        <w:t xml:space="preserve">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нужд».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left="0" w:right="0" w:firstLine="600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4.5</w:t>
      </w:r>
      <w:r>
        <w:rPr>
          <w:rFonts w:eastAsia="Times New Roman"/>
          <w:sz w:val="22"/>
          <w:szCs w:val="22"/>
        </w:rPr>
        <w:t xml:space="preserve">.</w:t>
      </w:r>
      <w:r>
        <w:rPr>
          <w:rFonts w:eastAsia="Times New Roman"/>
          <w:sz w:val="22"/>
          <w:szCs w:val="22"/>
        </w:rPr>
        <w:t xml:space="preserve">1.</w:t>
      </w:r>
      <w:r>
        <w:rPr>
          <w:rFonts w:eastAsia="Times New Roman"/>
          <w:sz w:val="22"/>
          <w:szCs w:val="22"/>
        </w:rPr>
        <w:t xml:space="preserve">8. В случае отзы</w:t>
      </w:r>
      <w:r>
        <w:rPr>
          <w:rFonts w:eastAsia="Times New Roman"/>
          <w:sz w:val="22"/>
          <w:szCs w:val="22"/>
        </w:rPr>
        <w:t xml:space="preserve">ва в соответствии с законодательством Российской Федерации у банка, предоставившего независимую гарантию в качестве обеспечения исполнения Контракта, лицензии на осуществление банковских операций, Поставщик обязан предоставить новое обеспечение исполнения </w:t>
      </w:r>
      <w:r>
        <w:rPr>
          <w:rFonts w:eastAsia="Times New Roman"/>
          <w:sz w:val="22"/>
          <w:szCs w:val="22"/>
        </w:rPr>
        <w:t xml:space="preserve">Контракта не позднее одного месяца со дня надлежащего уведомления Заказчиком Поставщика о необходимости предоставить соответствующее обеспечение. Размер такого обеспечения может быть уменьшен в порядке и случаях, предусмотренных Контрактом. 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left="0" w:right="0" w:firstLine="600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За каждый день просрочки исполнения Поставщиком данного обязательства, начисляется пеня в размере, определенном в порядке, установленном в соответствии с настоящим контрактом.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left="0" w:right="0" w:firstLine="600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4.5</w:t>
      </w:r>
      <w:r>
        <w:rPr>
          <w:rFonts w:eastAsia="Times New Roman"/>
          <w:sz w:val="22"/>
          <w:szCs w:val="22"/>
        </w:rPr>
        <w:t xml:space="preserve">.</w:t>
      </w:r>
      <w:r>
        <w:rPr>
          <w:rFonts w:eastAsia="Times New Roman"/>
          <w:sz w:val="22"/>
          <w:szCs w:val="22"/>
        </w:rPr>
        <w:t xml:space="preserve">1.</w:t>
      </w:r>
      <w:r>
        <w:rPr>
          <w:rFonts w:eastAsia="Times New Roman"/>
          <w:sz w:val="22"/>
          <w:szCs w:val="22"/>
        </w:rPr>
        <w:t xml:space="preserve">9. Уменьшение в соответствии с </w:t>
      </w:r>
      <w:r>
        <w:rPr>
          <w:rFonts w:eastAsia="Times New Roman"/>
          <w:sz w:val="22"/>
          <w:szCs w:val="22"/>
        </w:rPr>
        <w:t xml:space="preserve">пунктом</w:t>
      </w:r>
      <w:r>
        <w:rPr>
          <w:rFonts w:eastAsia="Times New Roman"/>
          <w:sz w:val="22"/>
          <w:szCs w:val="22"/>
        </w:rPr>
        <w:t xml:space="preserve"> </w:t>
      </w:r>
      <w:r>
        <w:rPr>
          <w:sz w:val="22"/>
          <w:szCs w:val="22"/>
        </w:rPr>
        <w:t xml:space="preserve">4.5.1</w:t>
      </w:r>
      <w:r>
        <w:rPr>
          <w:sz w:val="22"/>
          <w:szCs w:val="22"/>
        </w:rPr>
        <w:t xml:space="preserve">.</w:t>
      </w:r>
      <w:r>
        <w:rPr>
          <w:rFonts w:eastAsia="Times New Roman"/>
          <w:sz w:val="22"/>
          <w:szCs w:val="22"/>
        </w:rPr>
        <w:t xml:space="preserve">5 </w:t>
      </w:r>
      <w:r>
        <w:rPr>
          <w:rFonts w:eastAsia="Times New Roman"/>
          <w:sz w:val="22"/>
          <w:szCs w:val="22"/>
        </w:rPr>
        <w:t xml:space="preserve">Контракта размера обеспечения исполнения Контракта, предоставленного в виде независимой гарантии, осуществляется Заказчиком путем отказа от части своих прав по этой гарантии. При этом датой такого отказа признается дата включения предусмотренной </w:t>
      </w:r>
      <w:hyperlink w:tooltip="#P1579" w:anchor="P1579" w:history="1"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пунктом 4.5</w:t>
        </w:r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.</w:t>
        </w:r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1.</w:t>
        </w:r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6</w:t>
        </w:r>
      </w:hyperlink>
      <w:r>
        <w:rPr>
          <w:rFonts w:eastAsia="Times New Roman"/>
          <w:sz w:val="22"/>
          <w:szCs w:val="22"/>
        </w:rPr>
        <w:t xml:space="preserve"> Контракта </w:t>
      </w:r>
      <w:r>
        <w:rPr>
          <w:rFonts w:eastAsia="Times New Roman"/>
          <w:sz w:val="22"/>
          <w:szCs w:val="22"/>
        </w:rPr>
        <w:t xml:space="preserve">информации в реестр контрактов.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left="0" w:right="0" w:firstLine="600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4.5</w:t>
      </w:r>
      <w:r>
        <w:rPr>
          <w:rFonts w:eastAsia="Times New Roman"/>
          <w:sz w:val="22"/>
          <w:szCs w:val="22"/>
        </w:rPr>
        <w:t xml:space="preserve">.</w:t>
      </w:r>
      <w:r>
        <w:rPr>
          <w:rFonts w:eastAsia="Times New Roman"/>
          <w:sz w:val="22"/>
          <w:szCs w:val="22"/>
        </w:rPr>
        <w:t xml:space="preserve">1.</w:t>
      </w:r>
      <w:r>
        <w:rPr>
          <w:rFonts w:eastAsia="Times New Roman"/>
          <w:sz w:val="22"/>
          <w:szCs w:val="22"/>
        </w:rPr>
        <w:t xml:space="preserve">10. В случае предоставления нового обеспечения исполнения Контракта в соответствии с </w:t>
      </w:r>
      <w:hyperlink w:tooltip="#P1578" w:anchor="P1578" w:history="1"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пунктами 4.5</w:t>
        </w:r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.</w:t>
        </w:r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1.</w:t>
        </w:r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5</w:t>
        </w:r>
      </w:hyperlink>
      <w:r>
        <w:rPr>
          <w:rFonts w:eastAsia="Times New Roman"/>
          <w:sz w:val="22"/>
          <w:szCs w:val="22"/>
        </w:rPr>
        <w:t xml:space="preserve"> и </w:t>
      </w:r>
      <w:hyperlink w:tooltip="#P1581" w:anchor="P1581" w:history="1"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4.5</w:t>
        </w:r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.</w:t>
        </w:r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1.</w:t>
        </w:r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8</w:t>
        </w:r>
      </w:hyperlink>
      <w:r>
        <w:rPr>
          <w:rFonts w:eastAsia="Times New Roman"/>
          <w:sz w:val="22"/>
          <w:szCs w:val="22"/>
        </w:rPr>
        <w:t xml:space="preserve"> Контракта возврат независимой гарантии Заказчиком гаранту, предоставившему указанную независимую гарантию, не осуществляется, вз</w:t>
      </w:r>
      <w:r>
        <w:rPr>
          <w:rFonts w:eastAsia="Times New Roman"/>
          <w:sz w:val="22"/>
          <w:szCs w:val="22"/>
        </w:rPr>
        <w:t xml:space="preserve">ыскание по ней не производится.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left="0" w:right="0" w:firstLine="600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4.5</w:t>
      </w:r>
      <w:r>
        <w:rPr>
          <w:rFonts w:eastAsia="Times New Roman"/>
          <w:sz w:val="22"/>
          <w:szCs w:val="22"/>
        </w:rPr>
        <w:t xml:space="preserve">.</w:t>
      </w:r>
      <w:r>
        <w:rPr>
          <w:rFonts w:eastAsia="Times New Roman"/>
          <w:sz w:val="22"/>
          <w:szCs w:val="22"/>
        </w:rPr>
        <w:t xml:space="preserve">1.</w:t>
      </w:r>
      <w:r>
        <w:rPr>
          <w:rFonts w:eastAsia="Times New Roman"/>
          <w:sz w:val="22"/>
          <w:szCs w:val="22"/>
        </w:rPr>
        <w:t xml:space="preserve">11. Участник закупки, с которым заключается контракт по результатам определения поставщика в соответствии с </w:t>
      </w:r>
      <w:hyperlink r:id="rId19" w:tooltip="consultantplus://offline/ref=AD466E2BC961AA50F6CF2AD0B88804779645B7FE4292578B635A5D1C1BD491D0CB3ACCCFD133F0175D8B33DF53FE247708232B9B12FA5CC0d1Y5L" w:history="1"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пунктом 1 части 1 статьи 30</w:t>
        </w:r>
      </w:hyperlink>
      <w:r>
        <w:rPr>
          <w:rFonts w:eastAsia="Times New Roman"/>
          <w:sz w:val="22"/>
          <w:szCs w:val="22"/>
        </w:rPr>
        <w:t xml:space="preserve"> Федерального закона, освобождается от предоставления обеспечения исполнения контракта, в том числе с учетом положений </w:t>
      </w:r>
      <w:hyperlink r:id="rId20" w:tooltip="consultantplus://offline/ref=AD466E2BC961AA50F6CF2AD0B88804779645B7FE4292578B635A5D1C1BD491D0CB3ACCCFD132FC11528B33DF53FE247708232B9B12FA5CC0d1Y5L" w:history="1"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статьи 37</w:t>
        </w:r>
      </w:hyperlink>
      <w:r>
        <w:rPr>
          <w:rFonts w:eastAsia="Times New Roman"/>
          <w:sz w:val="22"/>
          <w:szCs w:val="22"/>
        </w:rPr>
        <w:t xml:space="preserve"> нас</w:t>
      </w:r>
      <w:r>
        <w:rPr>
          <w:rFonts w:eastAsia="Times New Roman"/>
          <w:sz w:val="22"/>
          <w:szCs w:val="22"/>
        </w:rPr>
        <w:t xml:space="preserve">тоящего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нужд», от обеспечения гарантийных обязательств в случае предоставления таким участником зак</w:t>
      </w:r>
      <w:r>
        <w:rPr>
          <w:rFonts w:eastAsia="Times New Roman"/>
          <w:sz w:val="22"/>
          <w:szCs w:val="22"/>
        </w:rPr>
        <w:t xml:space="preserve">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заявки на участие в закупке трех контрактов, исполненных без применения к</w:t>
      </w:r>
      <w:r>
        <w:rPr>
          <w:rFonts w:eastAsia="Times New Roman"/>
          <w:sz w:val="22"/>
          <w:szCs w:val="22"/>
        </w:rPr>
        <w:t xml:space="preserve"> такому участнику неустоек (штрафов, пеней). Такая информация представляется участником закупки до заключения контракта в случаях, установленных Федеральным законом от 5 апреля 2013 г. № 44-ФЗ «О контрактной системе в сфере закупок товаров, работ, услуг дл</w:t>
      </w:r>
      <w:r>
        <w:rPr>
          <w:rFonts w:eastAsia="Times New Roman"/>
          <w:sz w:val="22"/>
          <w:szCs w:val="22"/>
        </w:rPr>
        <w:t xml:space="preserve">я обеспечения государственных и муниципальных нужд» для предоставления обеспечения исполнения контракта.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закупки.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left="0" w:right="0" w:firstLine="600"/>
        <w:jc w:val="both"/>
        <w:rPr>
          <w:rFonts w:eastAsia="Times New Roman"/>
          <w:color w:val="1e4f79" w:themeColor="accent1" w:themeShade="80"/>
          <w:sz w:val="22"/>
          <w:szCs w:val="22"/>
        </w:rPr>
      </w:pPr>
      <w:r>
        <w:rPr>
          <w:rFonts w:eastAsia="Times New Roman"/>
          <w:sz w:val="22"/>
          <w:szCs w:val="22"/>
        </w:rPr>
      </w:r>
      <w:r>
        <w:rPr>
          <w:rFonts w:eastAsia="Times New Roman"/>
          <w:color w:val="1f4e79" w:themeColor="accent1" w:themeShade="80"/>
          <w:sz w:val="22"/>
          <w:szCs w:val="22"/>
        </w:rPr>
        <w:t xml:space="preserve">4.5</w:t>
      </w:r>
      <w:r>
        <w:rPr>
          <w:rFonts w:eastAsia="Times New Roman"/>
          <w:color w:val="1f4e79" w:themeColor="accent1" w:themeShade="80"/>
          <w:sz w:val="22"/>
          <w:szCs w:val="22"/>
        </w:rPr>
        <w:t xml:space="preserve">.</w:t>
      </w:r>
      <w:r>
        <w:rPr>
          <w:rFonts w:eastAsia="Times New Roman"/>
          <w:color w:val="1f4e79" w:themeColor="accent1" w:themeShade="80"/>
          <w:sz w:val="22"/>
          <w:szCs w:val="22"/>
        </w:rPr>
        <w:t xml:space="preserve">1.</w:t>
      </w:r>
      <w:r>
        <w:rPr>
          <w:rFonts w:eastAsia="Times New Roman"/>
          <w:color w:val="1f4e79" w:themeColor="accent1" w:themeShade="80"/>
          <w:sz w:val="22"/>
          <w:szCs w:val="22"/>
        </w:rPr>
        <w:t xml:space="preserve">12. При изменении цены контракта изменение обеспечения исполнения контракта осуществляется в соотв</w:t>
      </w:r>
      <w:r>
        <w:rPr>
          <w:rFonts w:eastAsia="Times New Roman"/>
          <w:color w:val="1f4e79" w:themeColor="accent1" w:themeShade="80"/>
          <w:sz w:val="22"/>
          <w:szCs w:val="22"/>
        </w:rPr>
        <w:t xml:space="preserve">етствии с положениями статьи 95 </w:t>
      </w:r>
      <w:r>
        <w:rPr>
          <w:rFonts w:eastAsia="Times New Roman"/>
          <w:color w:val="1f4e79" w:themeColor="accent1" w:themeShade="80"/>
          <w:sz w:val="22"/>
          <w:szCs w:val="22"/>
        </w:rPr>
        <w:t xml:space="preserve">Федерального закона от 5 апреля 2013 г.  № 44-ФЗ.</w:t>
      </w:r>
      <w:r>
        <w:rPr>
          <w:rFonts w:eastAsia="Times New Roman"/>
          <w:color w:val="1e4f79" w:themeColor="accent1" w:themeShade="80"/>
          <w:sz w:val="22"/>
          <w:szCs w:val="22"/>
        </w:rPr>
      </w:r>
      <w:r>
        <w:rPr>
          <w:rFonts w:eastAsia="Times New Roman"/>
          <w:color w:val="1e4f79" w:themeColor="accent1" w:themeShade="80"/>
          <w:sz w:val="22"/>
          <w:szCs w:val="22"/>
        </w:rPr>
      </w:r>
    </w:p>
    <w:p>
      <w:pPr>
        <w:contextualSpacing/>
        <w:ind w:left="0" w:right="0" w:firstLine="600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color w:val="1f4e79" w:themeColor="accent1" w:themeShade="80"/>
          <w:sz w:val="22"/>
          <w:szCs w:val="22"/>
        </w:rPr>
      </w:r>
      <w:r>
        <w:rPr>
          <w:rFonts w:eastAsia="Times New Roman"/>
          <w:sz w:val="22"/>
          <w:szCs w:val="22"/>
        </w:rPr>
        <w:t xml:space="preserve">4.5</w:t>
      </w:r>
      <w:r>
        <w:rPr>
          <w:rFonts w:eastAsia="Times New Roman"/>
          <w:sz w:val="22"/>
          <w:szCs w:val="22"/>
        </w:rPr>
        <w:t xml:space="preserve">.</w:t>
      </w:r>
      <w:r>
        <w:rPr>
          <w:rFonts w:eastAsia="Times New Roman"/>
          <w:sz w:val="22"/>
          <w:szCs w:val="22"/>
        </w:rPr>
        <w:t xml:space="preserve">1.</w:t>
      </w:r>
      <w:r>
        <w:rPr>
          <w:rFonts w:eastAsia="Times New Roman"/>
          <w:sz w:val="22"/>
          <w:szCs w:val="22"/>
        </w:rPr>
        <w:t xml:space="preserve">13. Положения настоящего раздела Контракта не применяются в случае заключения Контракта с участником закупки, который</w:t>
      </w:r>
      <w:r>
        <w:rPr>
          <w:rFonts w:eastAsia="Times New Roman"/>
          <w:sz w:val="22"/>
          <w:szCs w:val="22"/>
        </w:rPr>
        <w:t xml:space="preserve"> является казенным учреждением</w:t>
      </w:r>
      <w:r>
        <w:rPr>
          <w:rFonts w:eastAsia="Times New Roman"/>
          <w:sz w:val="22"/>
          <w:szCs w:val="22"/>
        </w:rPr>
        <w:t xml:space="preserve">.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jc w:val="center"/>
        <w:rPr>
          <w:rFonts w:eastAsia="Times New Roman"/>
          <w:b/>
          <w:sz w:val="22"/>
          <w:szCs w:val="22"/>
        </w:rPr>
      </w:pPr>
      <w:r>
        <w:rPr>
          <w:b/>
          <w:sz w:val="22"/>
          <w:szCs w:val="22"/>
        </w:rPr>
        <w:t xml:space="preserve">4.5.2. Обеспечение гарантийных обязательств</w:t>
      </w:r>
      <w:r>
        <w:rPr>
          <w:rFonts w:eastAsia="Times New Roman"/>
          <w:b/>
          <w:sz w:val="22"/>
          <w:szCs w:val="22"/>
        </w:rPr>
      </w:r>
      <w:r>
        <w:rPr>
          <w:rFonts w:eastAsia="Times New Roman"/>
          <w:b/>
          <w:sz w:val="22"/>
          <w:szCs w:val="22"/>
        </w:rPr>
      </w:r>
    </w:p>
    <w:p>
      <w:pPr>
        <w:contextualSpacing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pStyle w:val="1441"/>
        <w:contextualSpacing/>
        <w:ind w:left="0" w:right="0" w:firstLine="360"/>
        <w:jc w:val="both"/>
        <w:rPr>
          <w:rFonts w:ascii="Times New Roman" w:hAnsi="Times New Roman" w:cs="Times New Roman"/>
          <w:sz w:val="22"/>
          <w:szCs w:val="22"/>
          <w:highlight w:val="none"/>
        </w:rPr>
      </w:pPr>
      <w:r>
        <w:rPr>
          <w:rFonts w:ascii="Times New Roman" w:hAnsi="Times New Roman" w:cs="Times New Roman"/>
          <w:sz w:val="22"/>
          <w:szCs w:val="22"/>
        </w:rPr>
        <w:t xml:space="preserve">4.5.2.1 </w:t>
      </w:r>
      <w:r>
        <w:rPr>
          <w:rFonts w:ascii="Times New Roman" w:hAnsi="Times New Roman" w:cs="Times New Roman"/>
          <w:sz w:val="22"/>
          <w:szCs w:val="22"/>
        </w:rPr>
        <w:t xml:space="preserve">Обеспечение гарантийных обязательств не устанавливается.</w:t>
      </w:r>
      <w:r>
        <w:rPr>
          <w:rFonts w:ascii="Times New Roman" w:hAnsi="Times New Roman" w:cs="Times New Roman"/>
          <w:sz w:val="22"/>
          <w:szCs w:val="22"/>
        </w:rPr>
      </w:r>
      <w:bookmarkStart w:id="1" w:name="P1440"/>
      <w:r/>
      <w:bookmarkEnd w:id="1"/>
      <w:r>
        <w:rPr>
          <w:rFonts w:ascii="Times New Roman" w:hAnsi="Times New Roman" w:cs="Times New Roman"/>
          <w:sz w:val="22"/>
          <w:szCs w:val="22"/>
          <w:highlight w:val="none"/>
        </w:rPr>
      </w:r>
      <w:r>
        <w:rPr>
          <w:rFonts w:ascii="Times New Roman" w:hAnsi="Times New Roman" w:cs="Times New Roman"/>
          <w:sz w:val="22"/>
          <w:szCs w:val="22"/>
          <w:highlight w:val="none"/>
        </w:rPr>
      </w:r>
    </w:p>
    <w:p>
      <w:pPr>
        <w:contextualSpacing/>
        <w:jc w:val="center"/>
        <w:spacing w:before="450" w:after="100" w:afterAutospacing="1"/>
        <w:rPr>
          <w:rFonts w:eastAsia="Times New Roman"/>
          <w:b/>
          <w:bCs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z w:val="22"/>
          <w:szCs w:val="22"/>
        </w:rPr>
        <w:t xml:space="preserve">4.6. Условия привлечения субподрядчиков, соисполнителей из числа СМП, СОНО</w:t>
      </w:r>
      <w:r>
        <w:rPr>
          <w:rFonts w:eastAsia="Times New Roman"/>
          <w:b/>
          <w:bCs/>
          <w:color w:val="000000"/>
          <w:sz w:val="22"/>
          <w:szCs w:val="22"/>
        </w:rPr>
      </w:r>
      <w:r>
        <w:rPr>
          <w:rFonts w:eastAsia="Times New Roman"/>
          <w:b/>
          <w:bCs/>
          <w:color w:val="000000"/>
          <w:sz w:val="22"/>
          <w:szCs w:val="22"/>
        </w:rPr>
      </w:r>
    </w:p>
    <w:tbl>
      <w:tblPr>
        <w:tblW w:w="14451" w:type="dxa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7080"/>
        <w:gridCol w:w="7371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080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eastAsia="Times New Roman"/>
                <w:color w:val="aeaaaa" w:themeColor="background2" w:themeShade="BF"/>
                <w:sz w:val="18"/>
                <w:szCs w:val="18"/>
              </w:rPr>
            </w:pPr>
            <w:r>
              <w:rPr>
                <w:rFonts w:eastAsia="Times New Roman"/>
                <w:color w:val="aeaaaa" w:themeColor="background2" w:themeShade="BF"/>
                <w:sz w:val="18"/>
                <w:szCs w:val="18"/>
              </w:rPr>
              <w:t xml:space="preserve">Предъявляется требование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 в соответствии с ч. 5 ст. 30 Закона № 44 ФЗ</w:t>
            </w:r>
            <w:r>
              <w:rPr>
                <w:rFonts w:eastAsia="Times New Roman"/>
                <w:color w:val="aeaaaa" w:themeColor="background2" w:themeShade="BF"/>
                <w:sz w:val="18"/>
                <w:szCs w:val="18"/>
              </w:rPr>
            </w:r>
            <w:r>
              <w:rPr>
                <w:rFonts w:eastAsia="Times New Roman"/>
                <w:color w:val="aeaaaa" w:themeColor="background2" w:themeShade="BF"/>
                <w:sz w:val="18"/>
                <w:szCs w:val="18"/>
              </w:rPr>
            </w:r>
          </w:p>
          <w:p>
            <w:pPr>
              <w:contextualSpacing/>
              <w:jc w:val="both"/>
              <w:rPr>
                <w:rFonts w:eastAsia="Times New Roman"/>
                <w:color w:val="aeaaaa" w:themeColor="background2" w:themeShade="BF"/>
                <w:sz w:val="18"/>
                <w:szCs w:val="18"/>
              </w:rPr>
            </w:pPr>
            <w:r>
              <w:rPr>
                <w:rFonts w:eastAsia="Times New Roman"/>
                <w:color w:val="aeaaaa" w:themeColor="background2" w:themeShade="BF"/>
                <w:sz w:val="18"/>
                <w:szCs w:val="18"/>
              </w:rPr>
              <w:t xml:space="preserve">Если поставщик является субъектом малого предпринимательства, социально ориентированной некоммерческой организацией, то требование о привлечении к исполнению контракта субподрядчиков, соисполнителей из числа СМП/СОНО к такому поставщику не предъявляется</w:t>
            </w:r>
            <w:r>
              <w:rPr>
                <w:rFonts w:eastAsia="Times New Roman"/>
                <w:color w:val="aeaaaa" w:themeColor="background2" w:themeShade="BF"/>
                <w:sz w:val="18"/>
                <w:szCs w:val="18"/>
              </w:rPr>
            </w:r>
            <w:r>
              <w:rPr>
                <w:rFonts w:eastAsia="Times New Roman"/>
                <w:color w:val="aeaaaa" w:themeColor="background2" w:themeShade="BF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371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eastAsia="Times New Roman"/>
                <w:color w:val="aeaaaa" w:themeColor="background2" w:themeShade="BF"/>
                <w:sz w:val="18"/>
                <w:szCs w:val="18"/>
              </w:rPr>
            </w:pPr>
            <w:r>
              <w:rPr>
                <w:rFonts w:eastAsia="Times New Roman"/>
                <w:color w:val="aeaaaa" w:themeColor="background2" w:themeShade="BF"/>
                <w:sz w:val="18"/>
                <w:szCs w:val="18"/>
              </w:rPr>
              <w:t xml:space="preserve">Нет</w:t>
            </w:r>
            <w:r>
              <w:rPr>
                <w:rFonts w:eastAsia="Times New Roman"/>
                <w:color w:val="aeaaaa" w:themeColor="background2" w:themeShade="BF"/>
                <w:sz w:val="18"/>
                <w:szCs w:val="18"/>
              </w:rPr>
            </w:r>
            <w:r>
              <w:rPr>
                <w:rFonts w:eastAsia="Times New Roman"/>
                <w:color w:val="aeaaaa" w:themeColor="background2" w:themeShade="BF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080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eastAsia="Times New Roman"/>
                <w:color w:val="aeaaaa" w:themeColor="background2" w:themeShade="BF"/>
                <w:sz w:val="18"/>
                <w:szCs w:val="18"/>
              </w:rPr>
            </w:pPr>
            <w:r>
              <w:rPr>
                <w:rFonts w:eastAsia="Times New Roman"/>
                <w:color w:val="aeaaaa" w:themeColor="background2" w:themeShade="BF"/>
                <w:sz w:val="18"/>
                <w:szCs w:val="18"/>
              </w:rPr>
              <w:t xml:space="preserve">Объем привлечения к исполнению контракта субподрядчиков, соисполнителей из числа СМП, СОНО (%)</w:t>
            </w:r>
            <w:r>
              <w:rPr>
                <w:rFonts w:eastAsia="Times New Roman"/>
                <w:color w:val="aeaaaa" w:themeColor="background2" w:themeShade="BF"/>
                <w:sz w:val="18"/>
                <w:szCs w:val="18"/>
              </w:rPr>
            </w:r>
            <w:r>
              <w:rPr>
                <w:rFonts w:eastAsia="Times New Roman"/>
                <w:color w:val="aeaaaa" w:themeColor="background2" w:themeShade="BF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371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080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eastAsia="Times New Roman"/>
                <w:color w:val="aeaaaa" w:themeColor="background2" w:themeShade="BF"/>
                <w:sz w:val="18"/>
                <w:szCs w:val="18"/>
              </w:rPr>
            </w:pPr>
            <w:r>
              <w:rPr>
                <w:rFonts w:eastAsia="Times New Roman"/>
                <w:color w:val="aeaaaa" w:themeColor="background2" w:themeShade="BF"/>
                <w:sz w:val="18"/>
                <w:szCs w:val="18"/>
              </w:rPr>
              <w:t xml:space="preserve">За неисполнение условий по привлечению к исполнению контракта субподрядчиков, соисполнителей из числа СМП/СОНО предусмотрена гражданско-правовая ответственность поставщика (подрядчика, исполнителя)</w:t>
            </w:r>
            <w:r>
              <w:rPr>
                <w:rFonts w:eastAsia="Times New Roman"/>
                <w:color w:val="aeaaaa" w:themeColor="background2" w:themeShade="BF"/>
                <w:sz w:val="18"/>
                <w:szCs w:val="18"/>
              </w:rPr>
            </w:r>
            <w:r>
              <w:rPr>
                <w:rFonts w:eastAsia="Times New Roman"/>
                <w:color w:val="aeaaaa" w:themeColor="background2" w:themeShade="BF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371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</w:tbl>
    <w:p>
      <w:pPr>
        <w:contextualSpacing/>
        <w:jc w:val="left"/>
        <w:spacing w:before="450" w:after="100" w:afterAutospacing="1"/>
        <w:rPr>
          <w:rFonts w:eastAsia="Times New Roman"/>
          <w:b/>
          <w:bCs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z w:val="22"/>
          <w:szCs w:val="22"/>
        </w:rPr>
      </w:r>
      <w:r>
        <w:rPr>
          <w:rFonts w:eastAsia="Times New Roman"/>
          <w:b/>
          <w:bCs/>
          <w:color w:val="000000"/>
          <w:sz w:val="22"/>
          <w:szCs w:val="22"/>
        </w:rPr>
      </w:r>
      <w:r>
        <w:rPr>
          <w:rFonts w:eastAsia="Times New Roman"/>
          <w:b/>
          <w:bCs/>
          <w:color w:val="000000"/>
          <w:sz w:val="22"/>
          <w:szCs w:val="22"/>
        </w:rPr>
      </w:r>
    </w:p>
    <w:p>
      <w:pPr>
        <w:contextualSpacing/>
        <w:jc w:val="center"/>
        <w:spacing w:before="450" w:after="100" w:afterAutospacing="1"/>
        <w:rPr>
          <w:rFonts w:eastAsia="Times New Roman"/>
          <w:b/>
          <w:bCs/>
          <w:color w:val="000000"/>
          <w:sz w:val="22"/>
          <w:szCs w:val="22"/>
          <w:highlight w:val="none"/>
        </w:rPr>
      </w:pPr>
      <w:r>
        <w:rPr>
          <w:rFonts w:eastAsia="Times New Roman"/>
          <w:b/>
          <w:bCs/>
          <w:color w:val="000000"/>
          <w:sz w:val="22"/>
          <w:szCs w:val="22"/>
        </w:rPr>
        <w:t xml:space="preserve">4.7. Прочие условия контракта</w:t>
      </w:r>
      <w:r>
        <w:rPr>
          <w:rFonts w:eastAsia="Times New Roman"/>
          <w:b/>
          <w:bCs/>
          <w:color w:val="000000"/>
          <w:sz w:val="22"/>
          <w:szCs w:val="22"/>
          <w:highlight w:val="none"/>
        </w:rPr>
      </w:r>
      <w:r>
        <w:rPr>
          <w:rFonts w:eastAsia="Times New Roman"/>
          <w:b/>
          <w:bCs/>
          <w:color w:val="000000"/>
          <w:sz w:val="22"/>
          <w:szCs w:val="22"/>
          <w:highlight w:val="none"/>
        </w:rPr>
      </w:r>
    </w:p>
    <w:tbl>
      <w:tblPr>
        <w:tblStyle w:val="145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086"/>
        <w:gridCol w:w="7370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086" w:type="dxa"/>
            <w:vAlign w:val="center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</w:rPr>
              <w:t xml:space="preserve">Предусмотрена возможность одностороннего отказа от исполнения контракта в соответствии со ст. 95 Закона № 44-ФЗ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370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</w:rPr>
              <w:t xml:space="preserve">Да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086" w:type="dxa"/>
            <w:vAlign w:val="center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</w:rPr>
              <w:t xml:space="preserve">Предусмотрено уменьшение суммы, подлежащей уплате заказчиком поставщику (подрядчику, исполнителю), на размер налогов, сборов и иных обязательных платежей</w:t>
            </w:r>
            <w:r>
              <w:rPr>
                <w:rStyle w:val="1440"/>
                <w:rFonts w:ascii="Times New Roman" w:hAnsi="Times New Roman" w:eastAsia="Times New Roman" w:cs="Times New Roman"/>
                <w:color w:val="auto"/>
                <w:sz w:val="18"/>
              </w:rPr>
              <w:footnoteReference w:id="11"/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370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086" w:type="dxa"/>
            <w:vAlign w:val="center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</w:rPr>
              <w:t xml:space="preserve">Предусмотрено удержание суммы неисполненных требований об уплате неустоек (штрафов, пеней) из суммы, подлежащей оплате поставщику (подрядчику, исполнителю)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370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</w:rPr>
              <w:t xml:space="preserve">Нет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</w:tbl>
    <w:p>
      <w:pPr>
        <w:contextualSpacing/>
        <w:ind w:firstLine="0"/>
        <w:jc w:val="both"/>
        <w:rPr>
          <w:rFonts w:eastAsia="Times New Roman"/>
          <w:b/>
          <w:bCs/>
          <w:i/>
          <w:sz w:val="22"/>
          <w:szCs w:val="22"/>
        </w:rPr>
      </w:pPr>
      <w:r>
        <w:rPr>
          <w:rFonts w:eastAsia="Times New Roman"/>
          <w:b/>
          <w:i/>
          <w:sz w:val="22"/>
          <w:szCs w:val="22"/>
          <w:highlight w:val="none"/>
        </w:rPr>
      </w:r>
      <w:r>
        <w:rPr>
          <w:rFonts w:eastAsia="Times New Roman"/>
          <w:b/>
          <w:bCs/>
          <w:i/>
          <w:sz w:val="22"/>
          <w:szCs w:val="22"/>
        </w:rPr>
      </w:r>
      <w:r>
        <w:rPr>
          <w:rFonts w:eastAsia="Times New Roman"/>
          <w:b/>
          <w:bCs/>
          <w:i/>
          <w:sz w:val="22"/>
          <w:szCs w:val="22"/>
        </w:rPr>
      </w:r>
    </w:p>
    <w:p>
      <w:pPr>
        <w:contextualSpacing/>
        <w:ind w:firstLine="540"/>
        <w:jc w:val="both"/>
        <w:rPr>
          <w:rFonts w:eastAsia="Times New Roman"/>
          <w:b/>
          <w:bCs/>
          <w:i/>
          <w:sz w:val="22"/>
          <w:szCs w:val="22"/>
          <w:highlight w:val="none"/>
        </w:rPr>
      </w:pPr>
      <w:r>
        <w:rPr>
          <w:rFonts w:eastAsia="Times New Roman"/>
          <w:b/>
          <w:i/>
          <w:sz w:val="22"/>
          <w:szCs w:val="22"/>
        </w:rPr>
        <w:t xml:space="preserve">4.8. </w:t>
      </w:r>
      <w:r>
        <w:rPr>
          <w:rFonts w:eastAsia="Times New Roman"/>
          <w:b/>
          <w:i/>
          <w:sz w:val="22"/>
          <w:szCs w:val="22"/>
        </w:rPr>
        <w:t xml:space="preserve">Исполнитель обязан:</w:t>
      </w:r>
      <w:r>
        <w:rPr>
          <w:rFonts w:eastAsia="Times New Roman"/>
          <w:b/>
          <w:bCs/>
          <w:i/>
          <w:sz w:val="22"/>
          <w:szCs w:val="22"/>
          <w:highlight w:val="none"/>
        </w:rPr>
      </w:r>
      <w:r>
        <w:rPr>
          <w:rFonts w:eastAsia="Times New Roman"/>
          <w:b/>
          <w:bCs/>
          <w:i/>
          <w:sz w:val="22"/>
          <w:szCs w:val="22"/>
          <w:highlight w:val="none"/>
        </w:rPr>
      </w:r>
    </w:p>
    <w:p>
      <w:pPr>
        <w:contextualSpacing/>
        <w:ind w:firstLine="540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4.8.1. своевременно и надлежащим образом оказать услуги, предусмотренные настоящим контрактом в соответствии с Т</w:t>
      </w:r>
      <w:r>
        <w:rPr>
          <w:rFonts w:eastAsia="Times New Roman"/>
          <w:sz w:val="22"/>
          <w:szCs w:val="22"/>
        </w:rPr>
        <w:t xml:space="preserve">ехническим заданием (Приложение</w:t>
      </w:r>
      <w:r>
        <w:rPr>
          <w:rFonts w:eastAsia="Times New Roman"/>
          <w:sz w:val="22"/>
          <w:szCs w:val="22"/>
        </w:rPr>
        <w:t xml:space="preserve">), а также выполнять требования, установленные настоящим Контрактом.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firstLine="540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4.8.2. своими силами и за свой счет, устранять допущенные при оказании услуг недостатки, которые могут повлечь отступления от Технического задания (</w:t>
      </w:r>
      <w:r>
        <w:rPr>
          <w:rFonts w:eastAsia="Times New Roman"/>
          <w:sz w:val="22"/>
          <w:szCs w:val="22"/>
        </w:rPr>
        <w:t xml:space="preserve">Приложение</w:t>
      </w:r>
      <w:r>
        <w:rPr>
          <w:rFonts w:eastAsia="Times New Roman"/>
          <w:sz w:val="22"/>
          <w:szCs w:val="22"/>
        </w:rPr>
        <w:t xml:space="preserve">)</w:t>
      </w:r>
      <w:r>
        <w:rPr>
          <w:rFonts w:eastAsia="Times New Roman"/>
          <w:sz w:val="22"/>
          <w:szCs w:val="22"/>
        </w:rPr>
        <w:t xml:space="preserve"> и</w:t>
      </w:r>
      <w:r>
        <w:rPr>
          <w:rFonts w:eastAsia="Times New Roman"/>
          <w:sz w:val="22"/>
          <w:szCs w:val="22"/>
        </w:rPr>
        <w:t xml:space="preserve"> условий контракта.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firstLine="540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4.8.3. устранять своими силами и за свой счет недостатки, иные дефекты, выявленные Заказчиком в ходе контроля за оказанием услуг или при приемке результатов оказанных услуг, в указанные Заказчиком порядке и сроки.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firstLine="540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4.8.4. </w:t>
      </w:r>
      <w:r>
        <w:rPr>
          <w:rFonts w:eastAsia="Times New Roman"/>
          <w:sz w:val="22"/>
          <w:szCs w:val="22"/>
        </w:rPr>
        <w:t xml:space="preserve">предоставлять Заказчику по его требованию документы, относящиеся к предмету Контракта,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Контракта.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firstLine="540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4.8.5. безотлагательно информировать Заказчика об обстоятельствах, возникающих в ходе оказания услуг, которые могут повлиять на сроки и качество оказываемых услуг по контракту. 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firstLine="540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4.8.6. обеспечить сохранность и неразглашение документов, получаемых и составляемых в ходе оказания услуг, а по окончании возвратить их Заказчику в срок не позднее 3 (трех) рабочих дней с даты окончания оказания услуг.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firstLine="540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4.8.7. обеспечить Заказчику возможность осуществления контроля за ходом и качеством оказания Исполнителем услуг.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firstLine="540"/>
        <w:jc w:val="both"/>
        <w:shd w:val="clear" w:color="ffffff" w:themeColor="background1" w:fill="ffffff" w:themeFill="background1"/>
        <w:rPr>
          <w:rFonts w:eastAsia="Times New Roman"/>
          <w:sz w:val="22"/>
          <w:szCs w:val="22"/>
          <w:highlight w:val="white"/>
        </w:rPr>
      </w:pPr>
      <w:r>
        <w:rPr>
          <w:rFonts w:eastAsia="Times New Roman"/>
          <w:sz w:val="22"/>
          <w:szCs w:val="22"/>
        </w:rPr>
        <w:t xml:space="preserve">4.8.8. в случае принятия решения об одностороннем отказе от исполнения Контракта Исполнитель с использованием ед</w:t>
      </w:r>
      <w:r>
        <w:rPr>
          <w:rFonts w:eastAsia="Times New Roman"/>
          <w:sz w:val="22"/>
          <w:szCs w:val="22"/>
        </w:rPr>
        <w:t xml:space="preserve">иной информационной системы формирует решение об одностороннем отказе от исполнения контракта, подписывает его усиленной электронной подписью лица, имеющего право дейс</w:t>
      </w:r>
      <w:r>
        <w:rPr>
          <w:rFonts w:eastAsia="Times New Roman"/>
          <w:sz w:val="22"/>
          <w:szCs w:val="22"/>
          <w:highlight w:val="white"/>
        </w:rPr>
        <w:t xml:space="preserve">твовать от имени исполнителя, и размещает такое решение в единой информационной системе; </w:t>
      </w:r>
      <w:r>
        <w:rPr>
          <w:rFonts w:eastAsia="Times New Roman"/>
          <w:sz w:val="22"/>
          <w:szCs w:val="22"/>
          <w:highlight w:val="white"/>
        </w:rPr>
      </w:r>
      <w:r>
        <w:rPr>
          <w:rFonts w:eastAsia="Times New Roman"/>
          <w:sz w:val="22"/>
          <w:szCs w:val="22"/>
          <w:highlight w:val="white"/>
        </w:rPr>
      </w:r>
    </w:p>
    <w:p>
      <w:pPr>
        <w:contextualSpacing/>
        <w:ind w:firstLine="540"/>
        <w:jc w:val="both"/>
        <w:shd w:val="clear" w:color="ffffff" w:themeColor="background1" w:fill="ffffff" w:themeFill="background1"/>
        <w:rPr>
          <w:bCs/>
          <w:i/>
          <w:sz w:val="22"/>
          <w:szCs w:val="22"/>
          <w:highlight w:val="white"/>
        </w:rPr>
      </w:pPr>
      <w:r>
        <w:rPr>
          <w:rFonts w:eastAsia="Times New Roman"/>
          <w:sz w:val="22"/>
          <w:szCs w:val="22"/>
          <w:highlight w:val="white"/>
        </w:rPr>
      </w:r>
      <w:bookmarkStart w:id="0" w:name="undefined"/>
      <w:r>
        <w:rPr>
          <w:highlight w:val="white"/>
        </w:rPr>
      </w:r>
      <w:bookmarkEnd w:id="0"/>
      <w:r>
        <w:rPr>
          <w:sz w:val="22"/>
          <w:szCs w:val="22"/>
          <w:highlight w:val="white"/>
        </w:rPr>
        <w:t xml:space="preserve">4.8.9.</w:t>
      </w:r>
      <w:r>
        <w:rPr>
          <w:sz w:val="22"/>
          <w:szCs w:val="22"/>
          <w:highlight w:val="white"/>
        </w:rPr>
        <w:t xml:space="preserve"> </w:t>
      </w:r>
      <w:r>
        <w:rPr>
          <w:sz w:val="22"/>
          <w:szCs w:val="22"/>
          <w:highlight w:val="white"/>
        </w:rPr>
        <w:t xml:space="preserve"> </w:t>
      </w:r>
      <w:r>
        <w:rPr>
          <w:i/>
          <w:sz w:val="22"/>
          <w:szCs w:val="22"/>
          <w:highlight w:val="white"/>
        </w:rPr>
        <w:t xml:space="preserve">о</w:t>
      </w:r>
      <w:r>
        <w:rPr>
          <w:i/>
          <w:sz w:val="22"/>
          <w:szCs w:val="22"/>
          <w:highlight w:val="white"/>
        </w:rPr>
        <w:t xml:space="preserve">беспечить отсутствие нарушений исключительных, авторских и смежных прав третьих лиц при реализации технических, программных, организационных и иных решений, предусмотренных Техническим заданием</w:t>
      </w:r>
      <w:r>
        <w:rPr>
          <w:i/>
          <w:sz w:val="22"/>
          <w:szCs w:val="22"/>
          <w:highlight w:val="white"/>
        </w:rPr>
        <w:t xml:space="preserve"> </w:t>
      </w:r>
      <w:r>
        <w:rPr>
          <w:i/>
          <w:sz w:val="22"/>
          <w:szCs w:val="22"/>
          <w:highlight w:val="white"/>
        </w:rPr>
        <w:t xml:space="preserve">на </w:t>
      </w:r>
      <w:r>
        <w:rPr>
          <w:i/>
          <w:sz w:val="22"/>
          <w:szCs w:val="22"/>
          <w:highlight w:val="white"/>
        </w:rPr>
        <w:t xml:space="preserve">оказание услуг</w:t>
      </w:r>
      <w:r>
        <w:rPr>
          <w:i/>
          <w:sz w:val="22"/>
          <w:szCs w:val="22"/>
          <w:highlight w:val="white"/>
        </w:rPr>
        <w:t xml:space="preserve">.</w:t>
      </w:r>
      <w:r>
        <w:rPr>
          <w:i/>
          <w:sz w:val="22"/>
          <w:szCs w:val="22"/>
          <w:highlight w:val="white"/>
        </w:rPr>
        <w:t xml:space="preserve"> </w:t>
      </w:r>
      <w:r>
        <w:rPr>
          <w:bCs/>
          <w:i/>
          <w:sz w:val="22"/>
          <w:szCs w:val="22"/>
          <w:highlight w:val="white"/>
        </w:rPr>
      </w:r>
      <w:r>
        <w:rPr>
          <w:bCs/>
          <w:i/>
          <w:sz w:val="22"/>
          <w:szCs w:val="22"/>
          <w:highlight w:val="white"/>
        </w:rPr>
      </w:r>
    </w:p>
    <w:p>
      <w:pPr>
        <w:contextualSpacing/>
        <w:ind w:firstLine="540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4.8.10. при наличии разночтений в документе о приемке, направляемом посредством единой информационной системы, с условиями контракта и дополнительными документами Исполнителя, устранить выявленные нарушения в указанные Заказчиком сроки.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firstLine="540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4.8.11. Исполнять иные обязательства, предусмотренные контрактом и законодательством Российской Федерации. 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firstLine="540"/>
        <w:jc w:val="both"/>
        <w:spacing w:line="240" w:lineRule="atLeast"/>
        <w:rPr>
          <w:rFonts w:eastAsia="Times New Roman"/>
          <w:b/>
          <w:i/>
          <w:sz w:val="22"/>
          <w:szCs w:val="22"/>
        </w:rPr>
      </w:pPr>
      <w:r>
        <w:rPr>
          <w:rFonts w:eastAsia="Times New Roman"/>
          <w:b/>
          <w:i/>
          <w:sz w:val="22"/>
          <w:szCs w:val="22"/>
        </w:rPr>
        <w:t xml:space="preserve">4.9. </w:t>
      </w:r>
      <w:r>
        <w:rPr>
          <w:rFonts w:eastAsia="Times New Roman"/>
          <w:b/>
          <w:i/>
          <w:sz w:val="22"/>
          <w:szCs w:val="22"/>
        </w:rPr>
        <w:t xml:space="preserve">Исполнитель вправе:</w:t>
      </w:r>
      <w:r>
        <w:rPr>
          <w:rFonts w:eastAsia="Times New Roman"/>
          <w:b/>
          <w:i/>
          <w:sz w:val="22"/>
          <w:szCs w:val="22"/>
        </w:rPr>
      </w:r>
      <w:r>
        <w:rPr>
          <w:rFonts w:eastAsia="Times New Roman"/>
          <w:b/>
          <w:i/>
          <w:sz w:val="22"/>
          <w:szCs w:val="22"/>
        </w:rPr>
      </w:r>
    </w:p>
    <w:p>
      <w:pPr>
        <w:contextualSpacing/>
        <w:ind w:firstLine="540"/>
        <w:jc w:val="both"/>
        <w:spacing w:line="240" w:lineRule="atLeast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4.9.1. требовать от Заказчика произвести приемку оказанных услуг в порядке и в сроки, предусмотренные Контрактом;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firstLine="540"/>
        <w:jc w:val="both"/>
        <w:spacing w:line="240" w:lineRule="atLeast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4.9.2. </w:t>
      </w:r>
      <w:r>
        <w:rPr>
          <w:rFonts w:eastAsia="Times New Roman"/>
          <w:sz w:val="22"/>
          <w:szCs w:val="22"/>
        </w:rPr>
        <w:t xml:space="preserve">требовать своевременной оплаты на условиях, установленных Контрактом, надлежащим образом </w:t>
      </w:r>
      <w:r>
        <w:rPr>
          <w:rFonts w:eastAsia="Times New Roman"/>
          <w:sz w:val="22"/>
          <w:szCs w:val="22"/>
        </w:rPr>
        <w:t xml:space="preserve">оказанных</w:t>
      </w:r>
      <w:r>
        <w:rPr>
          <w:rFonts w:eastAsia="Times New Roman"/>
          <w:sz w:val="22"/>
          <w:szCs w:val="22"/>
        </w:rPr>
        <w:t xml:space="preserve"> и </w:t>
      </w:r>
      <w:r>
        <w:rPr>
          <w:rFonts w:eastAsia="Times New Roman"/>
          <w:sz w:val="22"/>
          <w:szCs w:val="22"/>
        </w:rPr>
        <w:t xml:space="preserve">принятых</w:t>
      </w:r>
      <w:r>
        <w:rPr>
          <w:rFonts w:eastAsia="Times New Roman"/>
          <w:sz w:val="22"/>
          <w:szCs w:val="22"/>
        </w:rPr>
        <w:t xml:space="preserve"> Заказчиком </w:t>
      </w:r>
      <w:r>
        <w:rPr>
          <w:rFonts w:eastAsia="Times New Roman"/>
          <w:sz w:val="22"/>
          <w:szCs w:val="22"/>
        </w:rPr>
        <w:t xml:space="preserve">услуг</w:t>
      </w:r>
      <w:r>
        <w:rPr>
          <w:rFonts w:eastAsia="Times New Roman"/>
          <w:sz w:val="22"/>
          <w:szCs w:val="22"/>
          <w:vertAlign w:val="superscript"/>
        </w:rPr>
        <w:footnoteReference w:id="12"/>
      </w:r>
      <w:r>
        <w:rPr>
          <w:rFonts w:eastAsia="Times New Roman"/>
          <w:sz w:val="22"/>
          <w:szCs w:val="22"/>
        </w:rPr>
        <w:t xml:space="preserve">; 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firstLine="540"/>
        <w:jc w:val="both"/>
        <w:spacing w:line="240" w:lineRule="atLeast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4.9.3. принять решение об одностороннем отказе от исполнения Контракта в соответствии с гражданским законодательством; 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firstLine="540"/>
        <w:jc w:val="both"/>
        <w:spacing w:line="240" w:lineRule="atLeast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4.9.4. требовать возмещения убытков, уплаты неустоек (штрафов, пеней) в соответствии с разделом </w:t>
      </w:r>
      <w:r>
        <w:rPr>
          <w:rFonts w:eastAsia="Times New Roman"/>
          <w:sz w:val="22"/>
          <w:szCs w:val="22"/>
        </w:rPr>
        <w:t xml:space="preserve">6</w:t>
      </w:r>
      <w:r>
        <w:rPr>
          <w:rFonts w:eastAsia="Times New Roman"/>
          <w:sz w:val="22"/>
          <w:szCs w:val="22"/>
        </w:rPr>
        <w:t xml:space="preserve"> Контракта;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firstLine="540"/>
        <w:jc w:val="both"/>
        <w:spacing w:line="240" w:lineRule="atLeast"/>
        <w:rPr>
          <w:rFonts w:eastAsia="Times New Roman"/>
          <w:color w:val="1e4f79" w:themeColor="accent1" w:themeShade="80"/>
          <w:sz w:val="22"/>
          <w:szCs w:val="22"/>
          <w:highlight w:val="none"/>
        </w:rPr>
      </w:pPr>
      <w:r>
        <w:rPr>
          <w:rFonts w:eastAsia="Times New Roman"/>
          <w:color w:val="1e4f79" w:themeColor="accent1" w:themeShade="80"/>
          <w:sz w:val="22"/>
          <w:szCs w:val="22"/>
        </w:rPr>
        <w:t xml:space="preserve">4.9.5. </w:t>
      </w:r>
      <w:r>
        <w:rPr>
          <w:rFonts w:ascii="Times New Roman" w:hAnsi="Times New Roman" w:eastAsia="Times New Roman" w:cs="Times New Roman"/>
          <w:color w:val="1e4f79" w:themeColor="accent1" w:themeShade="80"/>
          <w:sz w:val="22"/>
          <w:szCs w:val="22"/>
        </w:rPr>
        <w:t xml:space="preserve">по согласованию с заказчиком  допускается поставка товара, выполнение работы или оказание услуги, качество, технические и функциональные характеристики (потребительские свойства) которы</w:t>
      </w:r>
      <w:r>
        <w:rPr>
          <w:rFonts w:ascii="Times New Roman" w:hAnsi="Times New Roman" w:eastAsia="Times New Roman" w:cs="Times New Roman"/>
          <w:color w:val="1e4f79" w:themeColor="accent1" w:themeShade="80"/>
          <w:sz w:val="22"/>
          <w:szCs w:val="22"/>
        </w:rPr>
        <w:t xml:space="preserve">х являются улучшенными по сравнению с качеством и соответствующими техническими и функциональными характеристиками, указанными в контракте </w:t>
      </w:r>
      <w:r>
        <w:rPr>
          <w:rFonts w:ascii="Times New Roman" w:hAnsi="Times New Roman" w:eastAsia="Times New Roman" w:cs="Times New Roman"/>
          <w:color w:val="1e4f79" w:themeColor="accent1" w:themeShade="80"/>
          <w:sz w:val="22"/>
          <w:szCs w:val="22"/>
        </w:rPr>
        <w:t xml:space="preserve">(за исключением случаев, предусмотренных </w:t>
      </w:r>
      <w:hyperlink r:id="rId21" w:tooltip="https://login.consultant.ru/link/?req=doc&amp;base=LAW&amp;n=466154&amp;dst=12383&amp;field=134&amp;date=23.01.2025" w:history="1">
        <w:r>
          <w:rPr>
            <w:rStyle w:val="1437"/>
            <w:rFonts w:ascii="Times New Roman" w:hAnsi="Times New Roman" w:eastAsia="Times New Roman" w:cs="Times New Roman"/>
            <w:color w:val="1e4f79" w:themeColor="accent1" w:themeShade="80"/>
            <w:sz w:val="22"/>
            <w:szCs w:val="22"/>
            <w:u w:val="none"/>
          </w:rPr>
          <w:t xml:space="preserve">подпунктом «в» пункта 1</w:t>
        </w:r>
      </w:hyperlink>
      <w:r>
        <w:rPr>
          <w:rFonts w:ascii="Times New Roman" w:hAnsi="Times New Roman" w:eastAsia="Times New Roman" w:cs="Times New Roman"/>
          <w:color w:val="1e4f79" w:themeColor="accent1" w:themeShade="80"/>
          <w:sz w:val="22"/>
          <w:szCs w:val="22"/>
        </w:rPr>
        <w:t xml:space="preserve">, </w:t>
      </w:r>
      <w:hyperlink r:id="rId22" w:tooltip="https://login.consultant.ru/link/?req=doc&amp;base=LAW&amp;n=466154&amp;dst=12386&amp;field=134&amp;date=23.01.2025" w:history="1">
        <w:r>
          <w:rPr>
            <w:rStyle w:val="1437"/>
            <w:rFonts w:ascii="Times New Roman" w:hAnsi="Times New Roman" w:eastAsia="Times New Roman" w:cs="Times New Roman"/>
            <w:color w:val="1e4f79" w:themeColor="accent1" w:themeShade="80"/>
            <w:sz w:val="22"/>
            <w:szCs w:val="22"/>
            <w:u w:val="none"/>
          </w:rPr>
          <w:t xml:space="preserve">подпунктом «б» пункта 2</w:t>
        </w:r>
      </w:hyperlink>
      <w:r>
        <w:rPr>
          <w:rFonts w:ascii="Times New Roman" w:hAnsi="Times New Roman" w:eastAsia="Times New Roman" w:cs="Times New Roman"/>
          <w:color w:val="1e4f79" w:themeColor="accent1" w:themeShade="80"/>
          <w:sz w:val="22"/>
          <w:szCs w:val="22"/>
        </w:rPr>
        <w:t xml:space="preserve">, </w:t>
      </w:r>
      <w:hyperlink r:id="rId23" w:tooltip="https://login.consultant.ru/link/?req=doc&amp;base=LAW&amp;n=466154&amp;dst=12390&amp;field=134&amp;date=23.01.2025" w:history="1">
        <w:r>
          <w:rPr>
            <w:rStyle w:val="1437"/>
            <w:rFonts w:ascii="Times New Roman" w:hAnsi="Times New Roman" w:eastAsia="Times New Roman" w:cs="Times New Roman"/>
            <w:color w:val="1e4f79" w:themeColor="accent1" w:themeShade="80"/>
            <w:sz w:val="22"/>
            <w:szCs w:val="22"/>
            <w:u w:val="none"/>
          </w:rPr>
          <w:t xml:space="preserve">подпунктом «в»</w:t>
        </w:r>
        <w:r>
          <w:rPr>
            <w:rStyle w:val="1440"/>
            <w:rFonts w:ascii="Times New Roman" w:hAnsi="Times New Roman" w:eastAsia="Times New Roman" w:cs="Times New Roman"/>
            <w:color w:val="1e4f79" w:themeColor="accent1" w:themeShade="80"/>
            <w:sz w:val="22"/>
            <w:szCs w:val="22"/>
            <w:u w:val="none"/>
          </w:rPr>
          <w:footnoteReference w:id="13"/>
        </w:r>
        <w:r>
          <w:rPr>
            <w:rStyle w:val="1437"/>
            <w:rFonts w:ascii="Times New Roman" w:hAnsi="Times New Roman" w:eastAsia="Times New Roman" w:cs="Times New Roman"/>
            <w:color w:val="1e4f79" w:themeColor="accent1" w:themeShade="80"/>
            <w:sz w:val="22"/>
            <w:szCs w:val="22"/>
            <w:u w:val="none"/>
          </w:rPr>
          <w:t xml:space="preserve"> пункта 3 части 4 статьи 14</w:t>
        </w:r>
      </w:hyperlink>
      <w:r>
        <w:rPr>
          <w:rFonts w:ascii="Times New Roman" w:hAnsi="Times New Roman" w:eastAsia="Times New Roman" w:cs="Times New Roman"/>
          <w:color w:val="1e4f79" w:themeColor="accent1" w:themeShade="8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color w:val="1e4f79" w:themeColor="accent1" w:themeShade="80"/>
          <w:sz w:val="22"/>
          <w:szCs w:val="22"/>
        </w:rPr>
        <w:t xml:space="preserve">Федерального закона № 44-ФЗ)</w:t>
      </w:r>
      <w:r>
        <w:rPr>
          <w:rFonts w:ascii="Times New Roman" w:hAnsi="Times New Roman" w:eastAsia="Times New Roman" w:cs="Times New Roman"/>
          <w:color w:val="1e4f79" w:themeColor="accent1" w:themeShade="80"/>
          <w:sz w:val="22"/>
          <w:szCs w:val="22"/>
        </w:rPr>
        <w:t xml:space="preserve">.</w:t>
      </w:r>
      <w:r>
        <w:rPr>
          <w:rFonts w:eastAsia="Times New Roman"/>
          <w:color w:val="1e4f79" w:themeColor="accent1" w:themeShade="80"/>
          <w:sz w:val="22"/>
          <w:szCs w:val="22"/>
          <w:highlight w:val="none"/>
        </w:rPr>
      </w:r>
      <w:r>
        <w:rPr>
          <w:rFonts w:eastAsia="Times New Roman"/>
          <w:color w:val="1e4f79" w:themeColor="accent1" w:themeShade="80"/>
          <w:sz w:val="22"/>
          <w:szCs w:val="22"/>
          <w:highlight w:val="none"/>
        </w:rPr>
      </w:r>
    </w:p>
    <w:p>
      <w:pPr>
        <w:contextualSpacing/>
        <w:ind w:firstLine="540"/>
        <w:jc w:val="both"/>
        <w:spacing w:line="240" w:lineRule="atLeast"/>
        <w:rPr>
          <w:rFonts w:eastAsia="Times New Roman"/>
          <w:i/>
          <w:sz w:val="22"/>
          <w:szCs w:val="22"/>
        </w:rPr>
      </w:pPr>
      <w:r>
        <w:rPr>
          <w:rFonts w:eastAsia="Times New Roman"/>
          <w:i/>
          <w:sz w:val="22"/>
          <w:szCs w:val="22"/>
        </w:rPr>
      </w:r>
      <w:r>
        <w:rPr>
          <w:rFonts w:eastAsia="Times New Roman"/>
          <w:i/>
          <w:sz w:val="22"/>
          <w:szCs w:val="22"/>
        </w:rPr>
      </w:r>
      <w:r>
        <w:rPr>
          <w:rFonts w:eastAsia="Times New Roman"/>
          <w:i/>
          <w:sz w:val="22"/>
          <w:szCs w:val="22"/>
        </w:rPr>
      </w:r>
    </w:p>
    <w:p>
      <w:pPr>
        <w:contextualSpacing/>
        <w:ind w:firstLine="540"/>
        <w:jc w:val="both"/>
        <w:spacing w:line="240" w:lineRule="atLeast"/>
        <w:rPr>
          <w:rFonts w:eastAsia="Times New Roman"/>
          <w:b/>
          <w:i/>
          <w:sz w:val="22"/>
          <w:szCs w:val="22"/>
        </w:rPr>
      </w:pPr>
      <w:r>
        <w:rPr>
          <w:rFonts w:eastAsia="Times New Roman"/>
          <w:b/>
          <w:i/>
          <w:sz w:val="22"/>
          <w:szCs w:val="22"/>
        </w:rPr>
        <w:t xml:space="preserve">4.10. </w:t>
      </w:r>
      <w:r>
        <w:rPr>
          <w:rFonts w:eastAsia="Times New Roman"/>
          <w:b/>
          <w:i/>
          <w:sz w:val="22"/>
          <w:szCs w:val="22"/>
        </w:rPr>
        <w:t xml:space="preserve">Заказчик обязан:</w:t>
      </w:r>
      <w:r>
        <w:rPr>
          <w:rFonts w:eastAsia="Times New Roman"/>
          <w:b/>
          <w:i/>
          <w:sz w:val="22"/>
          <w:szCs w:val="22"/>
        </w:rPr>
      </w:r>
      <w:r>
        <w:rPr>
          <w:rFonts w:eastAsia="Times New Roman"/>
          <w:b/>
          <w:i/>
          <w:sz w:val="22"/>
          <w:szCs w:val="22"/>
        </w:rPr>
      </w:r>
    </w:p>
    <w:p>
      <w:pPr>
        <w:contextualSpacing/>
        <w:ind w:firstLine="540"/>
        <w:jc w:val="both"/>
        <w:spacing w:line="240" w:lineRule="atLeast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4.10</w:t>
      </w:r>
      <w:r>
        <w:rPr>
          <w:rFonts w:eastAsia="Times New Roman"/>
          <w:sz w:val="22"/>
          <w:szCs w:val="22"/>
        </w:rPr>
        <w:t xml:space="preserve">.1. обеспечить своевременную приемку и оплату оказанных услуг надлежащего качества в порядке и сроки, предусмотренные Контрактом</w:t>
      </w:r>
      <w:r>
        <w:rPr>
          <w:rFonts w:eastAsia="Times New Roman"/>
          <w:sz w:val="22"/>
          <w:szCs w:val="22"/>
          <w:vertAlign w:val="superscript"/>
        </w:rPr>
        <w:footnoteReference w:id="14"/>
      </w:r>
      <w:r>
        <w:rPr>
          <w:rFonts w:eastAsia="Times New Roman"/>
          <w:sz w:val="22"/>
          <w:szCs w:val="22"/>
        </w:rPr>
        <w:t xml:space="preserve">; 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firstLine="540"/>
        <w:jc w:val="both"/>
        <w:spacing w:line="240" w:lineRule="atLeast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4.10</w:t>
      </w:r>
      <w:r>
        <w:rPr>
          <w:rFonts w:eastAsia="Times New Roman"/>
          <w:sz w:val="22"/>
          <w:szCs w:val="22"/>
        </w:rPr>
        <w:t xml:space="preserve">.2. </w:t>
      </w:r>
      <w:r>
        <w:rPr>
          <w:rFonts w:ascii="Times New Roman" w:hAnsi="Times New Roman" w:cs="Times New Roman"/>
          <w:color w:val="1e4f79" w:themeColor="accent1" w:themeShade="80"/>
        </w:rPr>
        <w:t xml:space="preserve">принять решение об одностороннем отказе от</w:t>
      </w:r>
      <w:r>
        <w:rPr>
          <w:rFonts w:ascii="Times New Roman" w:hAnsi="Times New Roman" w:cs="Times New Roman"/>
          <w:color w:val="1e4f79" w:themeColor="accent1" w:themeShade="80"/>
        </w:rPr>
        <w:t xml:space="preserve"> исполнения контракта в случаях, предусмотренных частью 15 статьи 95 </w:t>
      </w:r>
      <w:r>
        <w:rPr>
          <w:rFonts w:ascii="Times New Roman" w:hAnsi="Times New Roman" w:cs="Times New Roman"/>
          <w:color w:val="1e4f79" w:themeColor="accent1" w:themeShade="80"/>
        </w:rPr>
        <w:t xml:space="preserve">Федерального зако</w:t>
      </w:r>
      <w:r>
        <w:rPr>
          <w:rFonts w:ascii="Times New Roman" w:hAnsi="Times New Roman" w:cs="Times New Roman"/>
          <w:color w:val="1e4f79" w:themeColor="accent1" w:themeShade="80"/>
        </w:rPr>
        <w:t xml:space="preserve">на № </w:t>
      </w:r>
      <w:r>
        <w:rPr>
          <w:rFonts w:ascii="Times New Roman" w:hAnsi="Times New Roman" w:cs="Times New Roman"/>
          <w:color w:val="1e4f79" w:themeColor="accent1" w:themeShade="80"/>
        </w:rPr>
        <w:t xml:space="preserve">44-ФЗ</w:t>
      </w:r>
      <w:r>
        <w:rPr>
          <w:rFonts w:eastAsia="Times New Roman"/>
          <w:sz w:val="22"/>
          <w:szCs w:val="22"/>
        </w:rPr>
        <w:t xml:space="preserve">;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firstLine="540"/>
        <w:jc w:val="both"/>
        <w:spacing w:line="240" w:lineRule="atLeast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4.10</w:t>
      </w:r>
      <w:r>
        <w:rPr>
          <w:rFonts w:eastAsia="Times New Roman"/>
          <w:sz w:val="22"/>
          <w:szCs w:val="22"/>
        </w:rPr>
        <w:t xml:space="preserve">.3. В случае принятия заказчиком решения об одностороннем отказе от исполнения контракта, заказчик с использованием </w:t>
      </w:r>
      <w:r>
        <w:rPr>
          <w:rFonts w:eastAsia="Times New Roman"/>
          <w:sz w:val="22"/>
          <w:szCs w:val="22"/>
        </w:rPr>
        <w:t xml:space="preserve">единой информационной системы формирует решение об одностороннем отказе 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в единой информационной системе. 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firstLine="540"/>
        <w:jc w:val="both"/>
        <w:spacing w:line="240" w:lineRule="atLeast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4.10</w:t>
      </w:r>
      <w:r>
        <w:rPr>
          <w:rFonts w:eastAsia="Times New Roman"/>
          <w:sz w:val="22"/>
          <w:szCs w:val="22"/>
        </w:rPr>
        <w:t xml:space="preserve">.4. требовать уплаты неустоек (штрафов, пеней) в соответствии с разделом </w:t>
      </w:r>
      <w:r>
        <w:rPr>
          <w:rFonts w:eastAsia="Times New Roman"/>
          <w:sz w:val="22"/>
          <w:szCs w:val="22"/>
        </w:rPr>
        <w:t xml:space="preserve">6</w:t>
      </w:r>
      <w:r>
        <w:rPr>
          <w:rFonts w:eastAsia="Times New Roman"/>
          <w:sz w:val="22"/>
          <w:szCs w:val="22"/>
        </w:rPr>
        <w:t xml:space="preserve"> Контракта;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firstLine="540"/>
        <w:jc w:val="both"/>
        <w:spacing w:line="240" w:lineRule="atLeast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4.10</w:t>
      </w:r>
      <w:r>
        <w:rPr>
          <w:rFonts w:eastAsia="Times New Roman"/>
          <w:sz w:val="22"/>
          <w:szCs w:val="22"/>
        </w:rPr>
        <w:t xml:space="preserve">.5. провести экспертизу оказанных услуг для проверки соответствия условиям Контракта в соответствии с Федеральным </w:t>
      </w:r>
      <w:hyperlink r:id="rId24" w:tooltip="consultantplus://offline/ref=782E9CC4CCC6932545801925E3B536176E50B53C1FD70BD7655CABC93DB89C27024180C10398FB96372E7F1F5737VEP" w:history="1">
        <w:r>
          <w:rPr>
            <w:rStyle w:val="1437"/>
            <w:rFonts w:eastAsia="Times New Roman"/>
            <w:color w:val="auto"/>
            <w:sz w:val="22"/>
            <w:szCs w:val="22"/>
            <w:u w:val="none"/>
          </w:rPr>
          <w:t xml:space="preserve">законом</w:t>
        </w:r>
      </w:hyperlink>
      <w:r>
        <w:rPr>
          <w:rFonts w:eastAsia="Times New Roman"/>
          <w:sz w:val="22"/>
          <w:szCs w:val="22"/>
        </w:rPr>
        <w:t xml:space="preserve"> от 5 апреля 2013 г.  № 44-ФЗ «О контрактной системе в сфере закупок товаров, работ, услуг для обеспечения государственных и муниципальных нужд».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firstLine="540"/>
        <w:jc w:val="both"/>
        <w:spacing w:line="240" w:lineRule="atLeast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ind w:firstLine="567"/>
        <w:jc w:val="both"/>
        <w:rPr>
          <w:b/>
          <w:sz w:val="22"/>
          <w:szCs w:val="22"/>
        </w:rPr>
      </w:pPr>
      <w:r>
        <w:rPr>
          <w:rFonts w:eastAsia="Times New Roman"/>
          <w:b/>
          <w:bCs/>
          <w:i/>
          <w:sz w:val="22"/>
          <w:szCs w:val="22"/>
        </w:rPr>
        <w:t xml:space="preserve">4.11</w:t>
      </w:r>
      <w:r>
        <w:rPr>
          <w:rFonts w:eastAsia="Times New Roman"/>
          <w:b/>
          <w:bCs/>
          <w:i/>
          <w:sz w:val="22"/>
          <w:szCs w:val="22"/>
        </w:rPr>
        <w:t xml:space="preserve">.</w:t>
      </w:r>
      <w:r>
        <w:rPr>
          <w:rFonts w:eastAsia="Times New Roman"/>
          <w:i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 xml:space="preserve">Заказчик вправе: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contextualSpacing/>
        <w:ind w:firstLine="567"/>
        <w:jc w:val="both"/>
        <w:spacing w:line="240" w:lineRule="atLeast"/>
        <w:rPr>
          <w:b/>
          <w:sz w:val="22"/>
          <w:szCs w:val="22"/>
        </w:rPr>
      </w:pPr>
      <w:r>
        <w:rPr>
          <w:sz w:val="22"/>
          <w:szCs w:val="22"/>
        </w:rPr>
        <w:t xml:space="preserve">4.11</w:t>
      </w:r>
      <w:r>
        <w:rPr>
          <w:sz w:val="22"/>
          <w:szCs w:val="22"/>
        </w:rPr>
        <w:t xml:space="preserve">.1.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требовать от Исполнителя надлежащего исполнения обязательств в соответствии с настоящим контрактом, а также требовать своевременного </w:t>
      </w:r>
      <w:r>
        <w:rPr>
          <w:sz w:val="22"/>
          <w:szCs w:val="22"/>
        </w:rPr>
        <w:t xml:space="preserve">устранения недостатков</w:t>
      </w:r>
      <w:r>
        <w:rPr>
          <w:sz w:val="22"/>
          <w:szCs w:val="22"/>
        </w:rPr>
        <w:t xml:space="preserve">;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contextualSpacing/>
        <w:ind w:firstLine="567"/>
        <w:jc w:val="both"/>
        <w:spacing w:line="240" w:lineRule="atLeast"/>
        <w:rPr>
          <w:sz w:val="22"/>
          <w:szCs w:val="22"/>
        </w:rPr>
      </w:pPr>
      <w:r>
        <w:rPr>
          <w:sz w:val="22"/>
          <w:szCs w:val="22"/>
        </w:rPr>
        <w:t xml:space="preserve">4.11</w:t>
      </w:r>
      <w:r>
        <w:rPr>
          <w:sz w:val="22"/>
          <w:szCs w:val="22"/>
        </w:rPr>
        <w:t xml:space="preserve">.2. проверять ход и качество исполнения обязательств, и получать от Исполнителя информацию об исполнении настоящего контракта;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firstLine="567"/>
        <w:jc w:val="both"/>
        <w:spacing w:line="240" w:lineRule="atLeast"/>
        <w:rPr>
          <w:sz w:val="22"/>
          <w:szCs w:val="22"/>
        </w:rPr>
      </w:pPr>
      <w:r>
        <w:rPr>
          <w:sz w:val="22"/>
          <w:szCs w:val="22"/>
        </w:rPr>
        <w:t xml:space="preserve">4.11</w:t>
      </w:r>
      <w:r>
        <w:rPr>
          <w:sz w:val="22"/>
          <w:szCs w:val="22"/>
        </w:rPr>
        <w:t xml:space="preserve">.3. давать Исполнителю правомерные, осуществимые и конкретные указания, касающиеся выполнения условий контракта;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firstLine="567"/>
        <w:jc w:val="both"/>
        <w:spacing w:line="240" w:lineRule="atLeast"/>
        <w:rPr>
          <w:sz w:val="22"/>
          <w:szCs w:val="22"/>
        </w:rPr>
      </w:pPr>
      <w:r>
        <w:rPr>
          <w:sz w:val="22"/>
          <w:szCs w:val="22"/>
        </w:rPr>
        <w:t xml:space="preserve">4.11</w:t>
      </w:r>
      <w:r>
        <w:rPr>
          <w:sz w:val="22"/>
          <w:szCs w:val="22"/>
        </w:rPr>
        <w:t xml:space="preserve">.4. требовать от Исполнителя представления надлежаще оформленной отчетной документации и материалов, подтверждающих исполнение его обязательств по настоящему контракту;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firstLine="567"/>
        <w:jc w:val="both"/>
        <w:spacing w:line="240" w:lineRule="atLeast"/>
        <w:rPr>
          <w:sz w:val="22"/>
          <w:szCs w:val="22"/>
        </w:rPr>
      </w:pPr>
      <w:r>
        <w:rPr>
          <w:sz w:val="22"/>
          <w:szCs w:val="22"/>
        </w:rPr>
        <w:t xml:space="preserve">4.11</w:t>
      </w:r>
      <w:r>
        <w:rPr>
          <w:sz w:val="22"/>
          <w:szCs w:val="22"/>
        </w:rPr>
        <w:t xml:space="preserve">.5. запрашивать необходимую информацию по вопросам, связанным с выполнением обязательств по контракту;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firstLine="567"/>
        <w:jc w:val="both"/>
        <w:spacing w:line="240" w:lineRule="atLeast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4.11</w:t>
      </w:r>
      <w:r>
        <w:rPr>
          <w:rFonts w:eastAsia="Times New Roman"/>
          <w:sz w:val="22"/>
          <w:szCs w:val="22"/>
        </w:rPr>
        <w:t xml:space="preserve">.6. требовать возмещения убытков в соответствии с </w:t>
      </w:r>
      <w:hyperlink w:tooltip="#P1550" w:anchor="P1550" w:history="1">
        <w:r>
          <w:rPr>
            <w:rFonts w:eastAsia="Times New Roman"/>
            <w:sz w:val="22"/>
            <w:szCs w:val="22"/>
          </w:rPr>
          <w:t xml:space="preserve">разделом</w:t>
        </w:r>
      </w:hyperlink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 xml:space="preserve">6</w:t>
      </w:r>
      <w:r>
        <w:rPr>
          <w:rFonts w:eastAsia="Times New Roman"/>
          <w:sz w:val="22"/>
          <w:szCs w:val="22"/>
        </w:rPr>
        <w:t xml:space="preserve"> Контракта, причиненных по вине Исполнителя;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firstLine="567"/>
        <w:jc w:val="both"/>
        <w:spacing w:line="240" w:lineRule="atLeast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4.11</w:t>
      </w:r>
      <w:r>
        <w:rPr>
          <w:rFonts w:eastAsia="Times New Roman"/>
          <w:sz w:val="22"/>
          <w:szCs w:val="22"/>
        </w:rPr>
        <w:t xml:space="preserve">.7. отказаться от приемки и оплаты</w:t>
      </w:r>
      <w:r>
        <w:rPr>
          <w:rFonts w:eastAsia="Times New Roman"/>
          <w:sz w:val="22"/>
          <w:szCs w:val="22"/>
          <w:vertAlign w:val="superscript"/>
        </w:rPr>
        <w:footnoteReference w:id="15"/>
      </w:r>
      <w:r>
        <w:rPr>
          <w:rFonts w:eastAsia="Times New Roman"/>
          <w:sz w:val="22"/>
          <w:szCs w:val="22"/>
        </w:rPr>
        <w:t xml:space="preserve"> услуг, не соответствующих условиям Контракта;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firstLine="567"/>
        <w:jc w:val="both"/>
        <w:spacing w:line="240" w:lineRule="atLeast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4.11</w:t>
      </w:r>
      <w:r>
        <w:rPr>
          <w:rFonts w:eastAsia="Times New Roman"/>
          <w:sz w:val="22"/>
          <w:szCs w:val="22"/>
        </w:rPr>
        <w:t xml:space="preserve">.8. принять решение об одностороннем отказе от исполнения Контракта в соответствии с гражданским законодательством; 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firstLine="567"/>
        <w:jc w:val="both"/>
        <w:spacing w:line="240" w:lineRule="atLeast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4.11</w:t>
      </w:r>
      <w:r>
        <w:rPr>
          <w:rFonts w:eastAsia="Times New Roman"/>
          <w:sz w:val="22"/>
          <w:szCs w:val="22"/>
        </w:rPr>
        <w:t xml:space="preserve">.9. до принятия решения об одностороннем отказе от исполнения Контракта провести экспертизу оказанных услуг с привлечением экспертов, экспертных организаций. 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ind w:firstLine="708"/>
        <w:jc w:val="both"/>
        <w:spacing w:line="240" w:lineRule="atLeast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</w:t>
      </w:r>
      <w:r>
        <w:rPr>
          <w:rFonts w:ascii="Times New Roman" w:hAnsi="Times New Roman" w:cs="Times New Roman"/>
          <w:sz w:val="22"/>
          <w:szCs w:val="22"/>
        </w:rPr>
        <w:t xml:space="preserve">12.1. Во всем, что не предусмотрено Контрактом, Стороны руководствуются законодательством Российской Федерации.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</w:pPr>
      <w:r>
        <w:rPr>
          <w:rFonts w:ascii="Times New Roman" w:hAnsi="Times New Roman" w:cs="Times New Roman"/>
          <w:sz w:val="22"/>
          <w:szCs w:val="22"/>
        </w:rPr>
        <w:t xml:space="preserve">4.</w:t>
      </w:r>
      <w:r>
        <w:rPr>
          <w:rFonts w:ascii="Times New Roman" w:hAnsi="Times New Roman" w:cs="Times New Roman"/>
          <w:sz w:val="22"/>
          <w:szCs w:val="22"/>
        </w:rPr>
        <w:t xml:space="preserve">12.2. В случае изменения у какой-либо из Сторон местонахождения, названия, а также в случае реорганизации она обязана в течение десяти дней письменно известить об этом другую Сторону.</w:t>
      </w:r>
      <w:r/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4.12.3. Стороны имеют право требовать друг от друга своевременного и надлежащего исполнения обязательств по контракту. 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4.1</w:t>
      </w:r>
      <w:r>
        <w:rPr>
          <w:rFonts w:ascii="Times New Roman" w:hAnsi="Times New Roman" w:cs="Times New Roman"/>
          <w:sz w:val="22"/>
          <w:szCs w:val="22"/>
        </w:rPr>
        <w:t xml:space="preserve">2.</w:t>
      </w:r>
      <w:r>
        <w:rPr>
          <w:rFonts w:ascii="Times New Roman" w:hAnsi="Times New Roman" w:cs="Times New Roman"/>
          <w:sz w:val="22"/>
          <w:szCs w:val="22"/>
        </w:rPr>
        <w:t xml:space="preserve">4</w:t>
      </w:r>
      <w:r>
        <w:rPr>
          <w:rFonts w:ascii="Times New Roman" w:hAnsi="Times New Roman" w:cs="Times New Roman"/>
          <w:sz w:val="22"/>
          <w:szCs w:val="22"/>
        </w:rPr>
        <w:t xml:space="preserve">. Все предложения, замечания, согласования, перечень недостатков и доработок, а также сроки их устранения, которые могут возникнуть в ходе исполнения обязательств в рамках настоящего контракта оформляются сторонами в письменном виде.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</w:t>
      </w:r>
      <w:r>
        <w:rPr>
          <w:rFonts w:ascii="Times New Roman" w:hAnsi="Times New Roman" w:cs="Times New Roman"/>
          <w:sz w:val="22"/>
          <w:szCs w:val="22"/>
        </w:rPr>
        <w:t xml:space="preserve">12.</w:t>
      </w:r>
      <w:r>
        <w:rPr>
          <w:rFonts w:ascii="Times New Roman" w:hAnsi="Times New Roman" w:cs="Times New Roman"/>
          <w:sz w:val="22"/>
          <w:szCs w:val="22"/>
        </w:rPr>
        <w:t xml:space="preserve">5</w:t>
      </w:r>
      <w:r>
        <w:rPr>
          <w:rFonts w:ascii="Times New Roman" w:hAnsi="Times New Roman" w:cs="Times New Roman"/>
          <w:sz w:val="22"/>
          <w:szCs w:val="22"/>
        </w:rPr>
        <w:t xml:space="preserve">. Внесение изменений и дополнений, не противоречащих законодательству Российской Федерации, в условия Контракта осуществляется путем заключения Сторонами в письменной форме дополнительных соглашений к Контракту, которые являются его неотъемлемой частью.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</w:t>
      </w:r>
      <w:r>
        <w:rPr>
          <w:rFonts w:ascii="Times New Roman" w:hAnsi="Times New Roman" w:cs="Times New Roman"/>
          <w:sz w:val="22"/>
          <w:szCs w:val="22"/>
        </w:rPr>
        <w:t xml:space="preserve">12.</w:t>
      </w:r>
      <w:r>
        <w:rPr>
          <w:rFonts w:ascii="Times New Roman" w:hAnsi="Times New Roman" w:cs="Times New Roman"/>
          <w:sz w:val="22"/>
          <w:szCs w:val="22"/>
        </w:rPr>
        <w:t xml:space="preserve">6</w:t>
      </w:r>
      <w:r>
        <w:rPr>
          <w:rFonts w:ascii="Times New Roman" w:hAnsi="Times New Roman" w:cs="Times New Roman"/>
          <w:sz w:val="22"/>
          <w:szCs w:val="22"/>
        </w:rPr>
        <w:t xml:space="preserve">. Изменение условий Контракта при его исполнении не допускается, за исключением случаев, предусмотренных </w:t>
      </w:r>
      <w:hyperlink r:id="rId25" w:tooltip="consultantplus://offline/ref=782E9CC4CCC6932545801925E3B536176E50B53C1FD70BD7655CABC93DB89C271041D8CD019EE696393B294E112BD805805FEF4CF4B5672237V6P" w:history="1">
        <w:r>
          <w:rPr>
            <w:rFonts w:ascii="Times New Roman" w:hAnsi="Times New Roman" w:cs="Times New Roman"/>
            <w:sz w:val="22"/>
            <w:szCs w:val="22"/>
          </w:rPr>
          <w:t xml:space="preserve">статьей 95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Федеральн</w:t>
      </w:r>
      <w:r>
        <w:rPr>
          <w:rFonts w:ascii="Times New Roman" w:hAnsi="Times New Roman" w:cs="Times New Roman"/>
          <w:sz w:val="22"/>
          <w:szCs w:val="22"/>
        </w:rPr>
        <w:t xml:space="preserve">ого закона от 5 апреля 2013 г. № 44-ФЗ «</w:t>
      </w:r>
      <w:r>
        <w:rPr>
          <w:rFonts w:ascii="Times New Roman" w:hAnsi="Times New Roman" w:cs="Times New Roman"/>
          <w:sz w:val="22"/>
          <w:szCs w:val="22"/>
        </w:rPr>
        <w:t xml:space="preserve">О контрактной системе в сфере закупок товаров, работ, услуг для обеспечения госуд</w:t>
      </w:r>
      <w:r>
        <w:rPr>
          <w:rFonts w:ascii="Times New Roman" w:hAnsi="Times New Roman" w:cs="Times New Roman"/>
          <w:sz w:val="22"/>
          <w:szCs w:val="22"/>
        </w:rPr>
        <w:t xml:space="preserve">арственных и муниципальных нужд»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</w:t>
      </w:r>
      <w:r>
        <w:rPr>
          <w:rFonts w:ascii="Times New Roman" w:hAnsi="Times New Roman" w:cs="Times New Roman"/>
          <w:sz w:val="22"/>
          <w:szCs w:val="22"/>
        </w:rPr>
        <w:t xml:space="preserve">12.</w:t>
      </w:r>
      <w:r>
        <w:rPr>
          <w:rFonts w:ascii="Times New Roman" w:hAnsi="Times New Roman" w:cs="Times New Roman"/>
          <w:sz w:val="22"/>
          <w:szCs w:val="22"/>
        </w:rPr>
        <w:t xml:space="preserve">7</w:t>
      </w:r>
      <w:r>
        <w:rPr>
          <w:rFonts w:ascii="Times New Roman" w:hAnsi="Times New Roman" w:cs="Times New Roman"/>
          <w:sz w:val="22"/>
          <w:szCs w:val="22"/>
        </w:rPr>
        <w:t xml:space="preserve">. При исполнении Контракта не допускается перемена </w:t>
      </w:r>
      <w:r>
        <w:rPr>
          <w:rFonts w:ascii="Times New Roman" w:hAnsi="Times New Roman" w:cs="Times New Roman"/>
          <w:sz w:val="22"/>
          <w:szCs w:val="22"/>
        </w:rPr>
        <w:t xml:space="preserve">Исполнителя</w:t>
      </w:r>
      <w:r>
        <w:rPr>
          <w:rFonts w:ascii="Times New Roman" w:hAnsi="Times New Roman" w:cs="Times New Roman"/>
          <w:sz w:val="22"/>
          <w:szCs w:val="22"/>
        </w:rPr>
        <w:t xml:space="preserve">, за исключением случая, если новый </w:t>
      </w:r>
      <w:r>
        <w:rPr>
          <w:rFonts w:ascii="Times New Roman" w:hAnsi="Times New Roman" w:cs="Times New Roman"/>
          <w:sz w:val="22"/>
          <w:szCs w:val="22"/>
        </w:rPr>
        <w:t xml:space="preserve">Исполнитель</w:t>
      </w:r>
      <w:r>
        <w:rPr>
          <w:rFonts w:ascii="Times New Roman" w:hAnsi="Times New Roman" w:cs="Times New Roman"/>
          <w:sz w:val="22"/>
          <w:szCs w:val="22"/>
        </w:rPr>
        <w:t xml:space="preserve"> является правопреемником </w:t>
      </w:r>
      <w:r>
        <w:rPr>
          <w:rFonts w:ascii="Times New Roman" w:hAnsi="Times New Roman" w:cs="Times New Roman"/>
          <w:sz w:val="22"/>
          <w:szCs w:val="22"/>
        </w:rPr>
        <w:t xml:space="preserve">Исполнителя</w:t>
      </w:r>
      <w:r>
        <w:rPr>
          <w:rFonts w:ascii="Times New Roman" w:hAnsi="Times New Roman" w:cs="Times New Roman"/>
          <w:sz w:val="22"/>
          <w:szCs w:val="22"/>
        </w:rPr>
        <w:t xml:space="preserve"> вследствие реорганизации юридического лица в форме преобразования, слияния или присоединения.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Передача прав и обязанностей по Контракту правопреемнику </w:t>
      </w:r>
      <w:r>
        <w:rPr>
          <w:rFonts w:ascii="Times New Roman" w:hAnsi="Times New Roman" w:cs="Times New Roman"/>
          <w:sz w:val="22"/>
          <w:szCs w:val="22"/>
        </w:rPr>
        <w:t xml:space="preserve">Исполнителя</w:t>
      </w:r>
      <w:r>
        <w:rPr>
          <w:rFonts w:ascii="Times New Roman" w:hAnsi="Times New Roman" w:cs="Times New Roman"/>
          <w:sz w:val="22"/>
          <w:szCs w:val="22"/>
        </w:rPr>
        <w:t xml:space="preserve"> осуществляется путем заключения соответствующего дополнительного соглашения к Контракту.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  <w:highlight w:val="none"/>
        </w:rPr>
      </w:pPr>
      <w:r>
        <w:rPr>
          <w:rFonts w:ascii="Times New Roman" w:hAnsi="Times New Roman" w:cs="Times New Roman"/>
          <w:sz w:val="22"/>
          <w:szCs w:val="22"/>
        </w:rPr>
        <w:t xml:space="preserve">4.</w:t>
      </w:r>
      <w:r>
        <w:rPr>
          <w:rFonts w:ascii="Times New Roman" w:hAnsi="Times New Roman" w:cs="Times New Roman"/>
          <w:sz w:val="22"/>
          <w:szCs w:val="22"/>
        </w:rPr>
        <w:t xml:space="preserve">12.</w:t>
      </w:r>
      <w:r>
        <w:rPr>
          <w:rFonts w:ascii="Times New Roman" w:hAnsi="Times New Roman" w:cs="Times New Roman"/>
          <w:sz w:val="22"/>
          <w:szCs w:val="22"/>
        </w:rPr>
        <w:t xml:space="preserve">8</w:t>
      </w:r>
      <w:r>
        <w:rPr>
          <w:rFonts w:ascii="Times New Roman" w:hAnsi="Times New Roman" w:cs="Times New Roman"/>
          <w:sz w:val="22"/>
          <w:szCs w:val="22"/>
        </w:rPr>
        <w:t xml:space="preserve">. Стороны обязуются обеспечить конфиденциальность сведений, относящихся к предмету Контракта, и ставших им известными в ходе исполнения Контракта.</w:t>
      </w:r>
      <w:r>
        <w:rPr>
          <w:rFonts w:ascii="Times New Roman" w:hAnsi="Times New Roman" w:cs="Times New Roman"/>
          <w:sz w:val="22"/>
          <w:szCs w:val="22"/>
          <w:highlight w:val="none"/>
        </w:rPr>
      </w:r>
      <w:r>
        <w:rPr>
          <w:rFonts w:ascii="Times New Roman" w:hAnsi="Times New Roman" w:cs="Times New Roman"/>
          <w:sz w:val="22"/>
          <w:szCs w:val="22"/>
          <w:highlight w:val="none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none"/>
        </w:rPr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Если в процессе оказания услуг работники Исполнителя будут иметь доступ к конфиденциальной информации Заказчика, то эти работники должны до начала оказания услуг подписать обязательство о неразглашении информации конфиденциального характера и прекращении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 обработки персональных данных.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</w:t>
      </w:r>
      <w:r>
        <w:rPr>
          <w:rFonts w:ascii="Times New Roman" w:hAnsi="Times New Roman" w:cs="Times New Roman"/>
          <w:sz w:val="22"/>
          <w:szCs w:val="22"/>
        </w:rPr>
        <w:t xml:space="preserve">12.</w:t>
      </w:r>
      <w:r>
        <w:rPr>
          <w:rFonts w:ascii="Times New Roman" w:hAnsi="Times New Roman" w:cs="Times New Roman"/>
          <w:sz w:val="22"/>
          <w:szCs w:val="22"/>
        </w:rPr>
        <w:t xml:space="preserve">9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 xml:space="preserve">Стороны договорились, что электронная переписка, </w:t>
      </w:r>
      <w:r>
        <w:rPr>
          <w:rFonts w:ascii="Times New Roman" w:hAnsi="Times New Roman"/>
          <w:sz w:val="22"/>
          <w:szCs w:val="22"/>
        </w:rPr>
        <w:t xml:space="preserve">осуществляемая Сторонами в рамках выполнения настоящего контракта посредством электронных почтовых ящиков, адреса которых указаны в реквизитах настоящего контракта, имеет юридическую силу и является письменным доказательством в случае возникновения споров.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contextualSpacing/>
        <w:ind w:firstLine="540"/>
        <w:jc w:val="center"/>
        <w:spacing w:before="220"/>
        <w:rPr>
          <w:rFonts w:eastAsia="Times New Roman"/>
          <w:sz w:val="22"/>
          <w:szCs w:val="22"/>
        </w:rPr>
      </w:pPr>
      <w:r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Times New Roman"/>
          <w:b/>
          <w:bCs/>
          <w:color w:val="000000"/>
          <w:sz w:val="22"/>
          <w:szCs w:val="22"/>
        </w:rPr>
        <w:t xml:space="preserve">5. Финансирование контракта</w:t>
      </w:r>
      <w:r>
        <w:rPr>
          <w:rFonts w:eastAsia="Times New Roman"/>
          <w:sz w:val="22"/>
          <w:szCs w:val="22"/>
        </w:rPr>
      </w:r>
      <w:r>
        <w:rPr>
          <w:rFonts w:eastAsia="Times New Roman"/>
          <w:sz w:val="22"/>
          <w:szCs w:val="22"/>
        </w:rPr>
      </w:r>
    </w:p>
    <w:p>
      <w:pPr>
        <w:contextualSpacing/>
        <w:jc w:val="center"/>
        <w:spacing w:before="100" w:beforeAutospacing="1" w:after="100" w:afterAutospacing="1"/>
        <w:tabs>
          <w:tab w:val="left" w:pos="3030" w:leader="none"/>
        </w:tabs>
        <w:rPr>
          <w:rFonts w:eastAsia="Times New Roman"/>
          <w:b/>
          <w:bCs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z w:val="22"/>
          <w:szCs w:val="22"/>
        </w:rPr>
        <w:t xml:space="preserve">5.1. Источники финансирования</w:t>
      </w:r>
      <w:r>
        <w:rPr>
          <w:rFonts w:eastAsia="Times New Roman"/>
          <w:b/>
          <w:bCs/>
          <w:color w:val="000000"/>
          <w:sz w:val="22"/>
          <w:szCs w:val="22"/>
        </w:rPr>
      </w:r>
      <w:r>
        <w:rPr>
          <w:rFonts w:eastAsia="Times New Roman"/>
          <w:b/>
          <w:bCs/>
          <w:color w:val="000000"/>
          <w:sz w:val="22"/>
          <w:szCs w:val="22"/>
        </w:rPr>
      </w:r>
    </w:p>
    <w:tbl>
      <w:tblPr>
        <w:tblW w:w="14451" w:type="dxa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7080"/>
        <w:gridCol w:w="7371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080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Наименование бюджета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371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Б</w:t>
            </w:r>
            <w:r>
              <w:rPr>
                <w:rFonts w:eastAsia="Times New Roman"/>
                <w:color w:val="000000"/>
                <w:sz w:val="18"/>
                <w:szCs w:val="18"/>
              </w:rPr>
              <w:t xml:space="preserve">юджет Территориального фонда обязательного медицинского страхования Ставропольского края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080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Вид бюджета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371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Бюджет территориального государственного внебюджетного фонда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080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Код территории муниципального образования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371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bCs/>
                <w:color w:val="333333"/>
                <w:sz w:val="18"/>
                <w:szCs w:val="18"/>
                <w:shd w:val="clear" w:color="auto" w:fill="ffffff"/>
              </w:rPr>
              <w:t xml:space="preserve">07701000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080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a6a6a6" w:themeColor="background1" w:themeShade="A6"/>
                <w:sz w:val="18"/>
                <w:szCs w:val="18"/>
              </w:rPr>
              <w:t xml:space="preserve">Закупка за счет собственных средств организации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371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</w:tbl>
    <w:p>
      <w:pPr>
        <w:contextualSpacing/>
        <w:jc w:val="center"/>
        <w:spacing w:before="450" w:after="100" w:afterAutospacing="1"/>
        <w:rPr>
          <w:rFonts w:eastAsia="Times New Roman"/>
          <w:b/>
          <w:bCs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z w:val="22"/>
          <w:szCs w:val="22"/>
          <w:highlight w:val="none"/>
        </w:rPr>
      </w:r>
      <w:r>
        <w:rPr>
          <w:rFonts w:eastAsia="Times New Roman"/>
          <w:b/>
          <w:bCs/>
          <w:color w:val="000000"/>
          <w:sz w:val="22"/>
          <w:szCs w:val="22"/>
        </w:rPr>
      </w:r>
      <w:r>
        <w:rPr>
          <w:rFonts w:eastAsia="Times New Roman"/>
          <w:b/>
          <w:bCs/>
          <w:color w:val="000000"/>
          <w:sz w:val="22"/>
          <w:szCs w:val="22"/>
        </w:rPr>
      </w:r>
    </w:p>
    <w:p>
      <w:pPr>
        <w:contextualSpacing/>
        <w:jc w:val="center"/>
        <w:spacing w:before="450" w:after="100" w:afterAutospacing="1"/>
        <w:rPr>
          <w:rFonts w:eastAsia="Times New Roman"/>
          <w:b/>
          <w:bCs/>
          <w:color w:val="000000"/>
          <w:sz w:val="22"/>
          <w:szCs w:val="22"/>
          <w:highlight w:val="none"/>
        </w:rPr>
      </w:pPr>
      <w:r>
        <w:rPr>
          <w:rFonts w:eastAsia="Times New Roman"/>
          <w:b/>
          <w:bCs/>
          <w:color w:val="000000"/>
          <w:sz w:val="22"/>
          <w:szCs w:val="22"/>
        </w:rPr>
        <w:t xml:space="preserve">5.2. Цена контракта</w:t>
      </w:r>
      <w:r>
        <w:rPr>
          <w:rFonts w:eastAsia="Times New Roman"/>
          <w:b/>
          <w:bCs/>
          <w:color w:val="000000"/>
          <w:sz w:val="22"/>
          <w:szCs w:val="22"/>
          <w:highlight w:val="none"/>
        </w:rPr>
      </w:r>
      <w:r>
        <w:rPr>
          <w:rFonts w:eastAsia="Times New Roman"/>
          <w:b/>
          <w:bCs/>
          <w:color w:val="000000"/>
          <w:sz w:val="22"/>
          <w:szCs w:val="22"/>
          <w:highlight w:val="none"/>
        </w:rPr>
      </w:r>
    </w:p>
    <w:tbl>
      <w:tblPr>
        <w:tblStyle w:val="145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086"/>
        <w:gridCol w:w="7370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086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Способ указания цены контракта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370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Цена контракта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086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Цена контракта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370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-----------------------------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086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Цена за право заключения контракта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370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086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Валюта контракта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370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РОССИЙСКИЙ РУБЛЬ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086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Формула цены контракта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370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086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Предусмотрена выплата аванса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370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Нет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086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Размер аванса (%)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370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08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Размер аванса в валюте контракта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370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</w:r>
          </w:p>
        </w:tc>
      </w:tr>
    </w:tbl>
    <w:p>
      <w:pPr>
        <w:contextualSpacing/>
        <w:jc w:val="both"/>
        <w:spacing w:before="450" w:after="100" w:afterAutospacing="1"/>
        <w:rPr>
          <w:bCs/>
          <w:i/>
          <w:sz w:val="18"/>
          <w:szCs w:val="18"/>
        </w:rPr>
      </w:pPr>
      <w:r>
        <w:rPr>
          <w:sz w:val="22"/>
        </w:rPr>
        <w:t xml:space="preserve">       5.2</w:t>
      </w:r>
      <w:r>
        <w:rPr>
          <w:sz w:val="22"/>
        </w:rPr>
        <w:t xml:space="preserve">.</w:t>
      </w:r>
      <w:r>
        <w:rPr>
          <w:sz w:val="22"/>
        </w:rPr>
        <w:t xml:space="preserve">1.</w:t>
      </w:r>
      <w:r>
        <w:rPr>
          <w:sz w:val="22"/>
        </w:rPr>
        <w:t xml:space="preserve">  Цена Контракта </w:t>
      </w:r>
      <w:r>
        <w:rPr>
          <w:rFonts w:eastAsia="Calibri"/>
          <w:sz w:val="22"/>
        </w:rPr>
        <w:t xml:space="preserve">(Предложение о цене за право заключения Контракта</w:t>
      </w:r>
      <w:r>
        <w:rPr>
          <w:rStyle w:val="1440"/>
          <w:rFonts w:eastAsia="Calibri"/>
          <w:sz w:val="22"/>
        </w:rPr>
        <w:footnoteReference w:id="16"/>
      </w:r>
      <w:r>
        <w:rPr>
          <w:rFonts w:eastAsia="Calibri"/>
          <w:sz w:val="22"/>
        </w:rPr>
        <w:t xml:space="preserve">) </w:t>
      </w:r>
      <w:r>
        <w:rPr>
          <w:sz w:val="22"/>
        </w:rPr>
        <w:t xml:space="preserve">составляет ________ (________) рублей __ копеек, в том числе НДС________ (________) рублей __ копеек</w:t>
      </w:r>
      <w:r>
        <w:rPr>
          <w:rStyle w:val="1440"/>
          <w:sz w:val="22"/>
        </w:rPr>
        <w:footnoteReference w:id="17"/>
      </w:r>
      <w:r>
        <w:rPr>
          <w:i/>
          <w:sz w:val="22"/>
        </w:rPr>
        <w:t xml:space="preserve">                                                                                               </w:t>
      </w:r>
      <w:r>
        <w:rPr>
          <w:i/>
          <w:sz w:val="18"/>
          <w:szCs w:val="18"/>
        </w:rPr>
        <w:t xml:space="preserve">(цифрами и </w:t>
      </w:r>
      <w:r>
        <w:rPr>
          <w:i/>
          <w:sz w:val="18"/>
          <w:szCs w:val="18"/>
        </w:rPr>
        <w:t xml:space="preserve">прописью)</w:t>
      </w:r>
      <w:r>
        <w:rPr>
          <w:i/>
          <w:sz w:val="22"/>
        </w:rPr>
        <w:t xml:space="preserve">   </w:t>
      </w:r>
      <w:r>
        <w:rPr>
          <w:i/>
          <w:sz w:val="22"/>
        </w:rPr>
        <w:t xml:space="preserve">                 </w:t>
      </w:r>
      <w:r>
        <w:rPr>
          <w:i/>
          <w:sz w:val="22"/>
        </w:rPr>
        <w:t xml:space="preserve">                                                                                                                            </w:t>
      </w:r>
      <w:r>
        <w:rPr>
          <w:bCs/>
          <w:i/>
          <w:sz w:val="18"/>
          <w:szCs w:val="18"/>
        </w:rPr>
      </w:r>
      <w:r>
        <w:rPr>
          <w:bCs/>
          <w:i/>
          <w:sz w:val="18"/>
          <w:szCs w:val="18"/>
        </w:rPr>
      </w:r>
    </w:p>
    <w:p>
      <w:pPr>
        <w:contextualSpacing/>
        <w:jc w:val="both"/>
        <w:spacing w:before="450" w:after="100" w:afterAutospacing="1"/>
        <w:rPr>
          <w:rFonts w:eastAsia="Times New Roman"/>
          <w:b/>
          <w:bCs/>
          <w:color w:val="000000"/>
          <w:sz w:val="22"/>
          <w:szCs w:val="22"/>
          <w:highlight w:val="none"/>
        </w:rPr>
      </w:pPr>
      <w:r>
        <w:rPr>
          <w:i/>
          <w:sz w:val="18"/>
          <w:szCs w:val="18"/>
        </w:rPr>
        <w:t xml:space="preserve">           (цифрами и прописью)</w:t>
      </w:r>
      <w:r>
        <w:rPr>
          <w:rFonts w:eastAsia="Times New Roman"/>
          <w:b/>
          <w:bCs/>
          <w:color w:val="000000"/>
          <w:sz w:val="22"/>
          <w:szCs w:val="22"/>
          <w:highlight w:val="none"/>
        </w:rPr>
      </w:r>
      <w:r>
        <w:rPr>
          <w:rFonts w:eastAsia="Times New Roman"/>
          <w:b/>
          <w:bCs/>
          <w:color w:val="000000"/>
          <w:sz w:val="22"/>
          <w:szCs w:val="22"/>
          <w:highlight w:val="none"/>
        </w:rPr>
      </w:r>
    </w:p>
    <w:p>
      <w:pPr>
        <w:pStyle w:val="1442"/>
        <w:contextualSpacing/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/ (НДС не</w:t>
      </w:r>
      <w:r>
        <w:rPr>
          <w:rFonts w:ascii="Times New Roman" w:hAnsi="Times New Roman" w:cs="Times New Roman"/>
          <w:i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облагается)</w:t>
      </w:r>
      <w:r>
        <w:rPr>
          <w:rStyle w:val="1440"/>
          <w:rFonts w:cs="Times New Roman"/>
          <w:sz w:val="22"/>
          <w:szCs w:val="22"/>
        </w:rPr>
        <w:footnoteReference w:id="18"/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i/>
          <w:sz w:val="22"/>
          <w:szCs w:val="22"/>
        </w:rPr>
      </w:r>
      <w:r>
        <w:rPr>
          <w:rFonts w:ascii="Times New Roman" w:hAnsi="Times New Roman" w:cs="Times New Roman"/>
          <w:i/>
          <w:sz w:val="22"/>
          <w:szCs w:val="22"/>
        </w:rPr>
      </w:r>
    </w:p>
    <w:p>
      <w:pPr>
        <w:pStyle w:val="1441"/>
        <w:contextualSpacing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5.2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  <w:t xml:space="preserve">2.</w:t>
      </w:r>
      <w:r>
        <w:rPr>
          <w:rFonts w:ascii="Times New Roman" w:hAnsi="Times New Roman" w:cs="Times New Roman"/>
          <w:sz w:val="22"/>
          <w:szCs w:val="22"/>
        </w:rPr>
        <w:t xml:space="preserve"> Сумма, подлежащая уплате Заказчиком Поставщику, уменьшается на размер налогов, сборов и иных обязательных платежей в бюджеты бюджетной системы Р</w:t>
      </w:r>
      <w:r>
        <w:rPr>
          <w:rFonts w:ascii="Times New Roman" w:hAnsi="Times New Roman" w:cs="Times New Roman"/>
          <w:sz w:val="22"/>
          <w:szCs w:val="22"/>
        </w:rPr>
        <w:t xml:space="preserve">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5.2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  <w:t xml:space="preserve">3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Цена контракта в</w:t>
      </w:r>
      <w:r>
        <w:rPr>
          <w:rFonts w:ascii="Times New Roman" w:hAnsi="Times New Roman" w:cs="Times New Roman"/>
          <w:sz w:val="22"/>
          <w:szCs w:val="22"/>
        </w:rPr>
        <w:t xml:space="preserve">ключает в себя все расходы Исполнителя, связанные с оказанием услуг, а также все налоги, сборы и другие обязательные платежи, выплаченные и/или подлежащие выплате за счет Исполнителя, и иные расходы, которые Исполнитель понесет в ходе исполнения контракта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5.2.4. Цена Контракта является твердой и определяется на весь срок исполнения Контракта, за исключением случаев, установленных </w:t>
      </w:r>
      <w:r>
        <w:rPr>
          <w:rFonts w:ascii="Times New Roman" w:hAnsi="Times New Roman" w:cs="Times New Roman"/>
          <w:sz w:val="22"/>
          <w:szCs w:val="22"/>
        </w:rPr>
        <w:t xml:space="preserve">Федеральным </w:t>
      </w:r>
      <w:hyperlink r:id="rId26" w:tooltip="consultantplus://offline/ref=782E9CC4CCC6932545801925E3B536176E50B53C1FD70BD7655CABC93DB89C27024180C10398FB96372E7F1F5737VEP" w:history="1">
        <w:r>
          <w:rPr>
            <w:rStyle w:val="1437"/>
            <w:rFonts w:ascii="Times New Roman" w:hAnsi="Times New Roman" w:cs="Times New Roman"/>
            <w:color w:val="auto"/>
            <w:sz w:val="22"/>
            <w:szCs w:val="22"/>
            <w:u w:val="none"/>
          </w:rPr>
          <w:t xml:space="preserve">законом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от 5 апреля 2013 г. № 44-ФЗ «О </w:t>
      </w:r>
      <w:r>
        <w:rPr>
          <w:rFonts w:ascii="Times New Roman" w:hAnsi="Times New Roman" w:cs="Times New Roman"/>
          <w:sz w:val="22"/>
          <w:szCs w:val="22"/>
        </w:rPr>
        <w:t xml:space="preserve">контрактной системе в сфере закупок товаров, работ, услуг для обеспечения государственных и муниципальных нужд» и Контрактом.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5.2.5. Цена Контракта может быть снижена по соглашению Сторон без изменения, предусмотренного Контрактом количества и качества поставляемого Товара и иных условий Контракта.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5.2.6. </w:t>
      </w:r>
      <w:r>
        <w:rPr>
          <w:rFonts w:ascii="Times New Roman" w:hAnsi="Times New Roman" w:cs="Times New Roman"/>
          <w:sz w:val="22"/>
          <w:szCs w:val="22"/>
        </w:rPr>
        <w:t xml:space="preserve">Источник финансирования Контракта - Средства бюджета Территориального фонда обязательного медицинского страхова</w:t>
      </w:r>
      <w:r>
        <w:rPr>
          <w:rFonts w:ascii="Times New Roman" w:hAnsi="Times New Roman" w:cs="Times New Roman"/>
          <w:sz w:val="22"/>
          <w:szCs w:val="22"/>
        </w:rPr>
        <w:t xml:space="preserve">ния Ставропольского края на 2026</w:t>
      </w:r>
      <w:r>
        <w:rPr>
          <w:rFonts w:ascii="Times New Roman" w:hAnsi="Times New Roman" w:cs="Times New Roman"/>
          <w:sz w:val="22"/>
          <w:szCs w:val="22"/>
        </w:rPr>
        <w:t xml:space="preserve"> год.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center"/>
        <w:rPr>
          <w:rFonts w:ascii="Times New Roman" w:hAnsi="Times New Roman" w:cs="Times New Roman"/>
          <w:b/>
          <w:bCs/>
          <w:sz w:val="22"/>
          <w:szCs w:val="22"/>
          <w14:ligatures w14:val="none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5.3. Информация о казначейском, банковском сопровождении</w:t>
      </w:r>
      <w:r>
        <w:rPr>
          <w:rFonts w:ascii="Times New Roman" w:hAnsi="Times New Roman" w:cs="Times New Roman"/>
          <w:b/>
          <w:bCs/>
          <w:sz w:val="22"/>
          <w:szCs w:val="22"/>
          <w14:ligatures w14:val="none"/>
        </w:rPr>
      </w:r>
      <w:r>
        <w:rPr>
          <w:rFonts w:ascii="Times New Roman" w:hAnsi="Times New Roman" w:cs="Times New Roman"/>
          <w:b/>
          <w:bCs/>
          <w:sz w:val="22"/>
          <w:szCs w:val="22"/>
          <w14:ligatures w14:val="none"/>
        </w:rPr>
      </w:r>
    </w:p>
    <w:p>
      <w:pPr>
        <w:pStyle w:val="1441"/>
        <w:contextualSpacing/>
        <w:ind w:firstLine="540"/>
        <w:jc w:val="both"/>
        <w:rPr>
          <w:rFonts w:ascii="Times New Roman" w:hAnsi="Times New Roman" w:cs="Times New Roman"/>
          <w:sz w:val="22"/>
          <w:szCs w:val="22"/>
          <w14:ligatures w14:val="none"/>
        </w:rPr>
      </w:pPr>
      <w:r>
        <w:rPr>
          <w:rFonts w:ascii="Times New Roman" w:hAnsi="Times New Roman" w:cs="Times New Roman"/>
          <w:sz w:val="22"/>
          <w:szCs w:val="22"/>
        </w:rPr>
        <w:t xml:space="preserve">Казначейское или банковское сопровождение контракта не требуется.</w:t>
      </w:r>
      <w:r>
        <w:rPr>
          <w:rFonts w:ascii="Times New Roman" w:hAnsi="Times New Roman" w:cs="Times New Roman"/>
          <w:sz w:val="22"/>
          <w:szCs w:val="22"/>
          <w14:ligatures w14:val="none"/>
        </w:rPr>
      </w:r>
      <w:r>
        <w:rPr>
          <w:rFonts w:ascii="Times New Roman" w:hAnsi="Times New Roman" w:cs="Times New Roman"/>
          <w:sz w:val="22"/>
          <w:szCs w:val="22"/>
          <w14:ligatures w14:val="none"/>
        </w:rPr>
      </w:r>
    </w:p>
    <w:p>
      <w:pPr>
        <w:pStyle w:val="1441"/>
        <w:contextualSpacing/>
        <w:ind w:firstLine="540"/>
        <w:jc w:val="both"/>
        <w:rPr>
          <w:rFonts w:ascii="Times New Roman" w:hAnsi="Times New Roman" w:cs="Times New Roman"/>
          <w:sz w:val="22"/>
          <w:szCs w:val="22"/>
          <w:highlight w:val="none"/>
          <w14:ligatures w14:val="none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</w:t>
      </w:r>
      <w:r>
        <w:rPr>
          <w:rFonts w:ascii="Times New Roman" w:hAnsi="Times New Roman" w:cs="Times New Roman"/>
          <w:sz w:val="22"/>
          <w:szCs w:val="22"/>
          <w:highlight w:val="none"/>
          <w14:ligatures w14:val="none"/>
        </w:rPr>
      </w:r>
      <w:r>
        <w:rPr>
          <w:rFonts w:ascii="Times New Roman" w:hAnsi="Times New Roman" w:cs="Times New Roman"/>
          <w:sz w:val="22"/>
          <w:szCs w:val="22"/>
          <w:highlight w:val="none"/>
          <w14:ligatures w14:val="none"/>
        </w:rPr>
      </w:r>
    </w:p>
    <w:p>
      <w:pPr>
        <w:pStyle w:val="1441"/>
        <w:contextualSpacing/>
        <w:ind w:firstLine="540"/>
        <w:jc w:val="both"/>
        <w:rPr>
          <w:rFonts w:ascii="Times New Roman" w:hAnsi="Times New Roman" w:cs="Times New Roman"/>
          <w:sz w:val="22"/>
          <w:szCs w:val="22"/>
          <w14:ligatures w14:val="none"/>
        </w:rPr>
      </w:pPr>
      <w:r>
        <w:rPr>
          <w:rFonts w:ascii="Times New Roman" w:hAnsi="Times New Roman" w:cs="Times New Roman"/>
          <w:sz w:val="22"/>
          <w:szCs w:val="22"/>
          <w:highlight w:val="none"/>
          <w14:ligatures w14:val="none"/>
        </w:rPr>
      </w:r>
      <w:r>
        <w:rPr>
          <w:rFonts w:ascii="Times New Roman" w:hAnsi="Times New Roman" w:cs="Times New Roman"/>
          <w:sz w:val="22"/>
          <w:szCs w:val="22"/>
          <w14:ligatures w14:val="none"/>
        </w:rPr>
      </w:r>
      <w:r>
        <w:rPr>
          <w:rFonts w:ascii="Times New Roman" w:hAnsi="Times New Roman" w:cs="Times New Roman"/>
          <w:sz w:val="22"/>
          <w:szCs w:val="22"/>
          <w14:ligatures w14:val="none"/>
        </w:rPr>
      </w:r>
    </w:p>
    <w:p>
      <w:pPr>
        <w:pStyle w:val="1441"/>
        <w:contextualSpacing/>
        <w:ind w:firstLine="540"/>
        <w:jc w:val="center"/>
        <w:rPr>
          <w:rFonts w:ascii="Times New Roman" w:hAnsi="Times New Roman" w:cs="Times New Roman"/>
          <w:b/>
          <w:bCs/>
          <w:sz w:val="22"/>
          <w:szCs w:val="22"/>
          <w14:ligatures w14:val="none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5.4. График платежей</w:t>
      </w:r>
      <w:r>
        <w:rPr>
          <w:rFonts w:ascii="Times New Roman" w:hAnsi="Times New Roman" w:cs="Times New Roman"/>
          <w:b/>
          <w:bCs/>
          <w:sz w:val="22"/>
          <w:szCs w:val="22"/>
          <w14:ligatures w14:val="none"/>
        </w:rPr>
      </w:r>
      <w:r>
        <w:rPr>
          <w:rFonts w:ascii="Times New Roman" w:hAnsi="Times New Roman" w:cs="Times New Roman"/>
          <w:b/>
          <w:bCs/>
          <w:sz w:val="22"/>
          <w:szCs w:val="22"/>
          <w14:ligatures w14:val="none"/>
        </w:rPr>
      </w:r>
    </w:p>
    <w:p>
      <w:pPr>
        <w:contextualSpacing/>
        <w:rPr>
          <w:rFonts w:eastAsia="Times New Roman"/>
        </w:rPr>
      </w:pPr>
      <w:r>
        <w:rPr>
          <w:rFonts w:eastAsia="Times New Roman"/>
          <w:color w:val="000000"/>
          <w:sz w:val="20"/>
          <w:szCs w:val="20"/>
        </w:rPr>
        <w:t xml:space="preserve">Финансирование за счет бюджетных средств</w:t>
      </w:r>
      <w:r>
        <w:rPr>
          <w:rFonts w:eastAsia="Times New Roman"/>
        </w:rPr>
      </w:r>
      <w:r>
        <w:rPr>
          <w:rFonts w:eastAsia="Times New Roman"/>
        </w:rPr>
      </w:r>
    </w:p>
    <w:tbl>
      <w:tblPr>
        <w:tblW w:w="14593" w:type="dxa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3536"/>
        <w:gridCol w:w="5602"/>
        <w:gridCol w:w="3694"/>
        <w:gridCol w:w="1761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536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30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Код бюджетной классификации Российской Федерации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5602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30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Код объекта капитального строительства/недвижимого имущества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69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30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Сумма контракта (в валюте контракта)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761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30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Аванс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36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spacing w:after="30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contextualSpacing/>
              <w:spacing w:after="30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69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300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</w:rPr>
              <w:t xml:space="preserve">на </w:t>
            </w:r>
            <w:r>
              <w:rPr>
                <w:rFonts w:eastAsia="Times New Roman"/>
                <w:b/>
                <w:color w:val="000000"/>
                <w:sz w:val="18"/>
                <w:szCs w:val="18"/>
              </w:rPr>
              <w:t xml:space="preserve">2026 </w:t>
            </w:r>
            <w:r>
              <w:rPr>
                <w:rFonts w:eastAsia="Times New Roman"/>
                <w:b/>
                <w:color w:val="000000"/>
                <w:sz w:val="18"/>
                <w:szCs w:val="18"/>
              </w:rPr>
              <w:t xml:space="preserve">год</w:t>
            </w:r>
            <w:r>
              <w:rPr>
                <w:rFonts w:eastAsia="Times New Roman"/>
                <w:b/>
                <w:color w:val="000000"/>
                <w:sz w:val="18"/>
                <w:szCs w:val="18"/>
              </w:rPr>
            </w:r>
            <w:r>
              <w:rPr>
                <w:rFonts w:eastAsia="Times New Roman"/>
                <w:b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61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spacing w:after="30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53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30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1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560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30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2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69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30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3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76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30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4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53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30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39501130140950930244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560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30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69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30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-----------------------------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76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30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Нет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120" w:type="dxa"/>
              <w:bottom w:w="75" w:type="dxa"/>
            </w:tcMar>
            <w:tcW w:w="9138" w:type="dxa"/>
            <w:vAlign w:val="center"/>
            <w:textDirection w:val="lrTb"/>
            <w:noWrap w:val="false"/>
          </w:tcPr>
          <w:p>
            <w:pPr>
              <w:contextualSpacing/>
              <w:jc w:val="right"/>
              <w:spacing w:after="30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Итого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69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30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-----------------------------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76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30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</w:tbl>
    <w:p>
      <w:pPr>
        <w:pStyle w:val="1441"/>
        <w:contextualSpacing/>
        <w:ind w:firstLine="540"/>
        <w:jc w:val="center"/>
        <w:spacing w:before="220"/>
        <w:rPr>
          <w:rFonts w:ascii="Times New Roman" w:hAnsi="Times New Roman" w:cs="Times New Roman"/>
          <w:b/>
          <w:bCs/>
          <w:sz w:val="22"/>
          <w:szCs w:val="22"/>
          <w14:ligatures w14:val="non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</w:r>
      <w:r>
        <w:rPr>
          <w:rFonts w:ascii="Times New Roman" w:hAnsi="Times New Roman" w:cs="Times New Roman"/>
          <w:b/>
          <w:bCs/>
          <w:sz w:val="22"/>
          <w:szCs w:val="22"/>
          <w14:ligatures w14:val="none"/>
        </w:rPr>
      </w:r>
      <w:r>
        <w:rPr>
          <w:rFonts w:ascii="Times New Roman" w:hAnsi="Times New Roman" w:cs="Times New Roman"/>
          <w:b/>
          <w:bCs/>
          <w:sz w:val="22"/>
          <w:szCs w:val="22"/>
          <w14:ligatures w14:val="none"/>
        </w:rPr>
      </w:r>
    </w:p>
    <w:p>
      <w:pPr>
        <w:pStyle w:val="1441"/>
        <w:contextualSpacing/>
        <w:ind w:firstLine="540"/>
        <w:jc w:val="center"/>
        <w:spacing w:before="220"/>
        <w:rPr>
          <w:rFonts w:ascii="Times New Roman" w:hAnsi="Times New Roman" w:cs="Times New Roman"/>
          <w:b/>
          <w:bCs/>
          <w:sz w:val="22"/>
          <w:szCs w:val="22"/>
          <w:highlight w:val="none"/>
          <w14:ligatures w14:val="non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  <w14:ligatures w14:val="none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  <w14:ligatures w14:val="none"/>
        </w:rPr>
      </w:r>
    </w:p>
    <w:p>
      <w:pPr>
        <w:pStyle w:val="1441"/>
        <w:contextualSpacing/>
        <w:ind w:firstLine="540"/>
        <w:jc w:val="center"/>
        <w:spacing w:before="220"/>
        <w:rPr>
          <w:rFonts w:ascii="Times New Roman" w:hAnsi="Times New Roman" w:cs="Times New Roman"/>
          <w:b/>
          <w:bCs/>
          <w:sz w:val="22"/>
          <w:szCs w:val="22"/>
          <w:highlight w:val="none"/>
          <w14:ligatures w14:val="none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5.5. Платежные реквизиты заказчика</w:t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  <w14:ligatures w14:val="none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  <w14:ligatures w14:val="none"/>
        </w:rPr>
      </w:r>
    </w:p>
    <w:tbl>
      <w:tblPr>
        <w:tblW w:w="14593" w:type="dxa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3536"/>
        <w:gridCol w:w="2268"/>
        <w:gridCol w:w="2126"/>
        <w:gridCol w:w="1985"/>
        <w:gridCol w:w="2835"/>
        <w:gridCol w:w="1843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536" w:type="dxa"/>
            <w:vAlign w:val="center"/>
            <w:textDirection w:val="lrTb"/>
            <w:noWrap w:val="false"/>
          </w:tcPr>
          <w:p>
            <w:pPr>
              <w:pStyle w:val="1441"/>
              <w:contextualSpacing/>
              <w:ind w:firstLine="540"/>
              <w:jc w:val="center"/>
              <w:spacing w:before="220"/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организации, ИНН, КПП</w:t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268" w:type="dxa"/>
            <w:vAlign w:val="center"/>
            <w:textDirection w:val="lrTb"/>
            <w:noWrap w:val="false"/>
          </w:tcPr>
          <w:p>
            <w:pPr>
              <w:pStyle w:val="1441"/>
              <w:contextualSpacing/>
              <w:ind w:firstLine="540"/>
              <w:jc w:val="both"/>
              <w:spacing w:before="220"/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Тип счета</w:t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1441"/>
              <w:contextualSpacing/>
              <w:ind w:firstLine="0"/>
              <w:jc w:val="both"/>
              <w:spacing w:before="220"/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Номер лицевого счета</w:t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985" w:type="dxa"/>
            <w:vAlign w:val="center"/>
            <w:textDirection w:val="lrTb"/>
            <w:noWrap w:val="false"/>
          </w:tcPr>
          <w:p>
            <w:pPr>
              <w:pStyle w:val="1441"/>
              <w:contextualSpacing/>
              <w:ind w:firstLine="0"/>
              <w:jc w:val="both"/>
              <w:spacing w:before="220"/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Номер банковского (казначейского) счета</w:t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835" w:type="dxa"/>
            <w:vAlign w:val="center"/>
            <w:textDirection w:val="lrTb"/>
            <w:noWrap w:val="false"/>
          </w:tcPr>
          <w:p>
            <w:pPr>
              <w:pStyle w:val="1441"/>
              <w:contextualSpacing/>
              <w:ind w:firstLine="540"/>
              <w:jc w:val="both"/>
              <w:spacing w:before="220"/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Реквизиты банка, ТОФК</w:t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Style w:val="1441"/>
              <w:contextualSpacing/>
              <w:ind w:firstLine="0"/>
              <w:jc w:val="both"/>
              <w:spacing w:before="220"/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контрагента для п/п</w:t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536" w:type="dxa"/>
            <w:vAlign w:val="center"/>
            <w:textDirection w:val="lrTb"/>
            <w:noWrap w:val="false"/>
          </w:tcPr>
          <w:p>
            <w:pPr>
              <w:pStyle w:val="1441"/>
              <w:contextualSpacing/>
              <w:ind w:firstLine="540"/>
              <w:jc w:val="both"/>
              <w:spacing w:before="220"/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268" w:type="dxa"/>
            <w:vAlign w:val="center"/>
            <w:textDirection w:val="lrTb"/>
            <w:noWrap w:val="false"/>
          </w:tcPr>
          <w:p>
            <w:pPr>
              <w:pStyle w:val="1441"/>
              <w:contextualSpacing/>
              <w:ind w:firstLine="540"/>
              <w:jc w:val="both"/>
              <w:spacing w:before="220"/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1441"/>
              <w:contextualSpacing/>
              <w:ind w:firstLine="540"/>
              <w:jc w:val="both"/>
              <w:spacing w:before="220"/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</w:t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985" w:type="dxa"/>
            <w:vAlign w:val="center"/>
            <w:textDirection w:val="lrTb"/>
            <w:noWrap w:val="false"/>
          </w:tcPr>
          <w:p>
            <w:pPr>
              <w:pStyle w:val="1441"/>
              <w:contextualSpacing/>
              <w:ind w:firstLine="540"/>
              <w:jc w:val="both"/>
              <w:spacing w:before="220"/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</w:t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835" w:type="dxa"/>
            <w:vAlign w:val="center"/>
            <w:textDirection w:val="lrTb"/>
            <w:noWrap w:val="false"/>
          </w:tcPr>
          <w:p>
            <w:pPr>
              <w:pStyle w:val="1441"/>
              <w:contextualSpacing/>
              <w:ind w:firstLine="540"/>
              <w:jc w:val="both"/>
              <w:spacing w:before="220"/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</w:t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Style w:val="1441"/>
              <w:contextualSpacing/>
              <w:ind w:firstLine="540"/>
              <w:jc w:val="both"/>
              <w:spacing w:before="220"/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</w:t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536" w:type="dxa"/>
            <w:vAlign w:val="center"/>
            <w:textDirection w:val="lrTb"/>
            <w:noWrap w:val="false"/>
          </w:tcPr>
          <w:p>
            <w:pPr>
              <w:pStyle w:val="1441"/>
              <w:contextualSpacing/>
              <w:ind w:firstLine="0"/>
              <w:jc w:val="both"/>
              <w:spacing w:before="220"/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ТЕРРИТОРИАЛЬНЫЙ ФОНД ОБЯЗАТЕЛЬНОГО МЕДИЦИНСКОГО СТРАХОВАНИЯ СТАВРОПОЛЬСКОГО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КРАЯ </w:t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</w:p>
          <w:p>
            <w:pPr>
              <w:pStyle w:val="1441"/>
              <w:contextualSpacing/>
              <w:ind w:firstLine="0"/>
              <w:jc w:val="both"/>
              <w:spacing w:before="220"/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ИНН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2634033112 </w:t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</w:p>
          <w:p>
            <w:pPr>
              <w:pStyle w:val="1441"/>
              <w:contextualSpacing/>
              <w:ind w:firstLine="0"/>
              <w:jc w:val="both"/>
              <w:spacing w:before="220"/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263401001</w:t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268" w:type="dxa"/>
            <w:vAlign w:val="center"/>
            <w:textDirection w:val="lrTb"/>
            <w:noWrap w:val="false"/>
          </w:tcPr>
          <w:p>
            <w:pPr>
              <w:pStyle w:val="1441"/>
              <w:contextualSpacing/>
              <w:ind w:firstLine="0"/>
              <w:jc w:val="both"/>
              <w:spacing w:before="220"/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Лицевой счет в ФК</w:t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1441"/>
              <w:contextualSpacing/>
              <w:ind w:firstLine="540"/>
              <w:jc w:val="both"/>
              <w:spacing w:before="220"/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03215025910</w:t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985" w:type="dxa"/>
            <w:vAlign w:val="center"/>
            <w:textDirection w:val="lrTb"/>
            <w:noWrap w:val="false"/>
          </w:tcPr>
          <w:p>
            <w:pPr>
              <w:pStyle w:val="1441"/>
              <w:contextualSpacing/>
              <w:ind w:firstLine="540"/>
              <w:jc w:val="center"/>
              <w:spacing w:before="220"/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03271643070000092100</w:t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835" w:type="dxa"/>
            <w:vAlign w:val="center"/>
            <w:textDirection w:val="lrTb"/>
            <w:noWrap w:val="false"/>
          </w:tcPr>
          <w:p>
            <w:pPr>
              <w:pStyle w:val="1441"/>
              <w:contextualSpacing/>
              <w:ind w:firstLine="0"/>
              <w:jc w:val="both"/>
              <w:spacing w:before="220"/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ОКЦ №2 Южного ГУ Банка России//УФК по Ставропольскому краю г. Ставрополь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БИК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010702101 </w:t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</w:p>
          <w:p>
            <w:pPr>
              <w:pStyle w:val="1441"/>
              <w:contextualSpacing/>
              <w:ind w:firstLine="0"/>
              <w:jc w:val="both"/>
              <w:spacing w:before="220"/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к/с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40102810345370000013</w:t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textDirection w:val="lrTb"/>
            <w:noWrap w:val="false"/>
          </w:tcPr>
          <w:p>
            <w:pPr>
              <w:pStyle w:val="1441"/>
              <w:contextualSpacing/>
              <w:ind w:firstLine="0"/>
              <w:jc w:val="both"/>
              <w:spacing w:before="220"/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  <w:outlineLvl w:val="4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УФК по Ставропольскому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краю (ТФОМС СК л/сч</w:t>
            </w:r>
            <w:bookmarkStart w:id="0" w:name="undefine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03215025910</w:t>
            </w:r>
            <w:bookmarkEnd w:id="0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</w:t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</w:p>
          <w:p>
            <w:pPr>
              <w:pStyle w:val="1441"/>
              <w:contextualSpacing/>
              <w:ind w:firstLine="540"/>
              <w:jc w:val="both"/>
              <w:spacing w:before="220"/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14:ligatures w14:val="none"/>
              </w:rPr>
            </w:r>
          </w:p>
        </w:tc>
      </w:tr>
    </w:tbl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  <w14:ligatures w14:val="none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  <w14:ligatures w14:val="none"/>
        </w:rPr>
      </w:r>
      <w:r>
        <w:rPr>
          <w:rFonts w:ascii="Times New Roman" w:hAnsi="Times New Roman" w:cs="Times New Roman"/>
          <w:sz w:val="22"/>
          <w:szCs w:val="22"/>
          <w14:ligatures w14:val="none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  <w14:ligatures w14:val="none"/>
        </w:rPr>
      </w:pPr>
      <w:r>
        <w:rPr>
          <w:rFonts w:ascii="Times New Roman" w:hAnsi="Times New Roman" w:cs="Times New Roman"/>
          <w:sz w:val="22"/>
          <w:szCs w:val="22"/>
        </w:rPr>
        <w:t xml:space="preserve">5.3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  <w:t xml:space="preserve">1.</w:t>
      </w:r>
      <w:r>
        <w:rPr>
          <w:rFonts w:ascii="Times New Roman" w:hAnsi="Times New Roman" w:cs="Times New Roman"/>
          <w:sz w:val="22"/>
          <w:szCs w:val="22"/>
        </w:rPr>
        <w:t xml:space="preserve"> Расчеты между Заказчиком и Поставщиком производятся не позднее чем в течение </w:t>
      </w:r>
      <w:r>
        <w:rPr>
          <w:rFonts w:ascii="Times New Roman" w:hAnsi="Times New Roman" w:cs="Times New Roman"/>
          <w:sz w:val="22"/>
          <w:szCs w:val="22"/>
        </w:rPr>
        <w:t xml:space="preserve">7 </w:t>
      </w:r>
      <w:r>
        <w:rPr>
          <w:rFonts w:ascii="Times New Roman" w:hAnsi="Times New Roman" w:cs="Times New Roman"/>
          <w:sz w:val="22"/>
          <w:szCs w:val="22"/>
        </w:rPr>
        <w:t xml:space="preserve">(</w:t>
      </w:r>
      <w:r>
        <w:rPr>
          <w:rFonts w:ascii="Times New Roman" w:hAnsi="Times New Roman" w:cs="Times New Roman"/>
          <w:sz w:val="22"/>
          <w:szCs w:val="22"/>
        </w:rPr>
        <w:t xml:space="preserve">семи</w:t>
      </w:r>
      <w:r>
        <w:rPr>
          <w:rFonts w:ascii="Times New Roman" w:hAnsi="Times New Roman" w:cs="Times New Roman"/>
          <w:sz w:val="22"/>
          <w:szCs w:val="22"/>
        </w:rPr>
        <w:t xml:space="preserve">) рабочих дней с даты подписания Заказчиком </w:t>
      </w:r>
      <w:r>
        <w:rPr>
          <w:rFonts w:ascii="Times New Roman" w:hAnsi="Times New Roman" w:cs="Times New Roman"/>
          <w:sz w:val="22"/>
          <w:szCs w:val="22"/>
        </w:rPr>
        <w:t xml:space="preserve">документа о приемке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  <w14:ligatures w14:val="none"/>
        </w:rPr>
      </w:r>
      <w:r>
        <w:rPr>
          <w:rFonts w:ascii="Times New Roman" w:hAnsi="Times New Roman" w:cs="Times New Roman"/>
          <w:sz w:val="22"/>
          <w:szCs w:val="22"/>
          <w14:ligatures w14:val="none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  <w:highlight w:val="none"/>
          <w14:ligatures w14:val="none"/>
        </w:rPr>
      </w:pPr>
      <w:r>
        <w:rPr>
          <w:rFonts w:ascii="Times New Roman" w:hAnsi="Times New Roman" w:cs="Times New Roman"/>
          <w:sz w:val="22"/>
          <w:szCs w:val="22"/>
        </w:rPr>
        <w:t xml:space="preserve">5.3.2</w:t>
      </w:r>
      <w:r>
        <w:rPr>
          <w:rFonts w:ascii="Times New Roman" w:hAnsi="Times New Roman" w:cs="Times New Roman"/>
          <w:sz w:val="22"/>
          <w:szCs w:val="22"/>
        </w:rPr>
        <w:t xml:space="preserve">. Оплата по </w:t>
      </w:r>
      <w:r>
        <w:rPr>
          <w:rFonts w:ascii="Times New Roman" w:hAnsi="Times New Roman" w:cs="Times New Roman"/>
          <w:sz w:val="22"/>
          <w:szCs w:val="22"/>
        </w:rPr>
        <w:t xml:space="preserve">Контракту осуществляется по безналичному расчету платежными поручениями путем перечисления Заказчиком денежных средств на расчетный счет Поставщика, указанный в Контракте. В случае изменения расчетного счета Поставщик обязан в трехдневный срок с момента из</w:t>
      </w:r>
      <w:r>
        <w:rPr>
          <w:rFonts w:ascii="Times New Roman" w:hAnsi="Times New Roman" w:cs="Times New Roman"/>
          <w:sz w:val="22"/>
          <w:szCs w:val="22"/>
        </w:rPr>
        <w:t xml:space="preserve">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Контракте счет Поставщика, несет Поставщик.</w:t>
      </w:r>
      <w:r>
        <w:rPr>
          <w:rFonts w:ascii="Times New Roman" w:hAnsi="Times New Roman" w:cs="Times New Roman"/>
          <w:sz w:val="22"/>
          <w:szCs w:val="22"/>
          <w:highlight w:val="none"/>
          <w14:ligatures w14:val="none"/>
        </w:rPr>
      </w:r>
      <w:r>
        <w:rPr>
          <w:rFonts w:ascii="Times New Roman" w:hAnsi="Times New Roman" w:cs="Times New Roman"/>
          <w:sz w:val="22"/>
          <w:szCs w:val="22"/>
          <w:highlight w:val="none"/>
          <w14:ligatures w14:val="none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  <w14:ligatures w14:val="none"/>
        </w:rPr>
      </w:pPr>
      <w:r>
        <w:rPr>
          <w:rFonts w:ascii="Times New Roman" w:hAnsi="Times New Roman" w:cs="Times New Roman"/>
          <w:sz w:val="22"/>
          <w:szCs w:val="22"/>
          <w:highlight w:val="none"/>
        </w:rPr>
      </w:r>
      <w:r>
        <w:rPr>
          <w:rFonts w:ascii="Times New Roman" w:hAnsi="Times New Roman" w:cs="Times New Roman"/>
          <w:sz w:val="22"/>
          <w:szCs w:val="22"/>
          <w14:ligatures w14:val="none"/>
        </w:rPr>
      </w:r>
      <w:r>
        <w:rPr>
          <w:rFonts w:ascii="Times New Roman" w:hAnsi="Times New Roman" w:cs="Times New Roman"/>
          <w:sz w:val="22"/>
          <w:szCs w:val="22"/>
          <w14:ligatures w14:val="none"/>
        </w:rPr>
      </w:r>
    </w:p>
    <w:p>
      <w:pPr>
        <w:pStyle w:val="1441"/>
        <w:contextualSpacing/>
        <w:ind w:firstLine="540"/>
        <w:jc w:val="center"/>
        <w:spacing w:before="220"/>
        <w:rPr>
          <w:rFonts w:ascii="Times New Roman" w:hAnsi="Times New Roman" w:cs="Times New Roman"/>
          <w:b/>
          <w:bCs/>
          <w:color w:val="808080" w:themeColor="background1" w:themeShade="80"/>
          <w:sz w:val="22"/>
          <w:szCs w:val="22"/>
          <w14:ligatures w14:val="none"/>
        </w:rPr>
      </w:pPr>
      <w:r>
        <w:rPr>
          <w:rFonts w:ascii="Times New Roman" w:hAnsi="Times New Roman" w:cs="Times New Roman"/>
          <w:b/>
          <w:bCs/>
          <w:color w:val="808080" w:themeColor="background1" w:themeShade="80"/>
          <w:sz w:val="22"/>
          <w:szCs w:val="22"/>
        </w:rPr>
        <w:t xml:space="preserve">5.5.1 Реквизиты счета заказчика для перечисления обеспечения </w:t>
      </w:r>
      <w:r>
        <w:rPr>
          <w:rFonts w:ascii="Times New Roman" w:hAnsi="Times New Roman" w:cs="Times New Roman"/>
          <w:b/>
          <w:bCs/>
          <w:color w:val="808080" w:themeColor="background1" w:themeShade="80"/>
          <w:sz w:val="22"/>
          <w:szCs w:val="22"/>
          <w14:ligatures w14:val="none"/>
        </w:rPr>
      </w:r>
      <w:r>
        <w:rPr>
          <w:rFonts w:ascii="Times New Roman" w:hAnsi="Times New Roman" w:cs="Times New Roman"/>
          <w:b/>
          <w:bCs/>
          <w:color w:val="808080" w:themeColor="background1" w:themeShade="80"/>
          <w:sz w:val="22"/>
          <w:szCs w:val="22"/>
          <w14:ligatures w14:val="none"/>
        </w:rPr>
      </w:r>
    </w:p>
    <w:tbl>
      <w:tblPr>
        <w:tblW w:w="14593" w:type="dxa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3536"/>
        <w:gridCol w:w="2268"/>
        <w:gridCol w:w="2126"/>
        <w:gridCol w:w="1985"/>
        <w:gridCol w:w="2835"/>
        <w:gridCol w:w="1843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53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  <w:t xml:space="preserve">Наименование организации, ИНН, КПП</w:t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2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  <w:t xml:space="preserve">Тип счета</w:t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  <w:t xml:space="preserve">Номер лицевого счета</w:t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98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  <w:t xml:space="preserve">Номер банковского (казначейского) счета</w:t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83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  <w:t xml:space="preserve">Реквизиты банка, ТОФК</w:t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  <w:t xml:space="preserve">Наименование контрагента для п/п</w:t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53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2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98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83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53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  <w:t xml:space="preserve">ТЕРРИТОРИАЛЬНЫЙ ФОНД ОБЯЗАТЕЛЬНОГО МЕДИЦИНСКОГО СТРАХОВАНИЯ СТАВРОПОЛЬСКОГО КРАЯ </w:t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</w:p>
          <w:p>
            <w:pPr>
              <w:contextualSpacing/>
              <w:jc w:val="both"/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  <w:t xml:space="preserve">ИНН 2634033112 </w:t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</w:p>
          <w:p>
            <w:pPr>
              <w:contextualSpacing/>
              <w:jc w:val="both"/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  <w:t xml:space="preserve">КПП 263401001</w:t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2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  <w:t xml:space="preserve">Лицевой счет в ФК</w:t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  <w:t xml:space="preserve">05215025910</w:t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98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  <w:t xml:space="preserve">03272643070000092100</w:t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835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  <w:t xml:space="preserve">ОКЦ №2 Южного ГУ Банка России//УФК по Ставропольскому краю г. Ставрополь</w:t>
            </w: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  <w:br/>
            </w: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  <w:br/>
              <w:t xml:space="preserve">БИК 010702101 </w:t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</w:p>
          <w:p>
            <w:pPr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background1" w:themeShade="8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  <w:t xml:space="preserve">к/с 40102810345370000013</w:t>
            </w:r>
            <w:r>
              <w:rPr>
                <w:rFonts w:ascii="Times New Roman" w:hAnsi="Times New Roman" w:eastAsia="Times New Roman" w:cs="Times New Roman"/>
                <w:color w:val="000000" w:themeColor="background1" w:themeShade="80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background1" w:themeShade="80"/>
                <w:sz w:val="18"/>
                <w:szCs w:val="18"/>
                <w:highlight w:val="none"/>
              </w:rPr>
            </w:r>
          </w:p>
          <w:p>
            <w:pPr>
              <w:jc w:val="both"/>
              <w:spacing w:after="0" w:line="240" w:lineRule="auto"/>
              <w:shd w:val="clear" w:color="auto" w:fill="ffffff" w:themeFill="background1"/>
              <w:widowControl w:val="off"/>
              <w:tabs>
                <w:tab w:val="left" w:pos="4395" w:leader="none"/>
              </w:tabs>
              <w:rPr>
                <w:rFonts w:ascii="Times New Roman" w:hAnsi="Times New Roman" w:cs="Times New Roman"/>
                <w:bCs/>
                <w:i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color w:val="80808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i/>
                <w:color w:val="808080" w:themeColor="background1" w:themeShade="80"/>
                <w:sz w:val="18"/>
                <w:szCs w:val="18"/>
              </w:rPr>
            </w:r>
          </w:p>
          <w:p>
            <w:pPr>
              <w:jc w:val="both"/>
              <w:spacing w:after="0" w:line="240" w:lineRule="auto"/>
              <w:shd w:val="clear" w:color="auto" w:fill="ffffff" w:themeFill="background1"/>
              <w:widowControl w:val="off"/>
              <w:tabs>
                <w:tab w:val="left" w:pos="4395" w:leader="none"/>
              </w:tabs>
              <w:rPr>
                <w:rFonts w:ascii="Times New Roman" w:hAnsi="Times New Roman" w:cs="Times New Roman"/>
                <w:bCs/>
                <w:i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18"/>
                <w:szCs w:val="18"/>
              </w:rPr>
              <w:t xml:space="preserve">Назначение платежа: </w:t>
            </w:r>
            <w:r>
              <w:rPr>
                <w:rFonts w:ascii="Times New Roman" w:hAnsi="Times New Roman" w:cs="Times New Roman"/>
                <w:bCs/>
                <w:i/>
                <w:color w:val="80808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i/>
                <w:color w:val="808080" w:themeColor="background1" w:themeShade="80"/>
                <w:sz w:val="18"/>
                <w:szCs w:val="18"/>
              </w:rPr>
            </w:r>
          </w:p>
          <w:p>
            <w:pPr>
              <w:jc w:val="both"/>
              <w:spacing w:after="0" w:line="240" w:lineRule="auto"/>
              <w:shd w:val="clear" w:color="auto" w:fill="ffffff" w:themeFill="background1"/>
              <w:widowControl w:val="off"/>
              <w:tabs>
                <w:tab w:val="left" w:pos="4395" w:leader="none"/>
              </w:tabs>
              <w:rPr>
                <w:rFonts w:ascii="Times New Roman" w:hAnsi="Times New Roman" w:cs="Times New Roman"/>
                <w:bCs/>
                <w:i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18"/>
                <w:szCs w:val="18"/>
                <w:highlight w:val="white"/>
                <w:shd w:val="clear" w:color="auto" w:fill="fafafa"/>
              </w:rPr>
              <w:t xml:space="preserve">26 12634033112263401001 0022 001 6201 244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18"/>
                <w:szCs w:val="18"/>
                <w:highlight w:val="white"/>
              </w:rPr>
              <w:t xml:space="preserve">/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18"/>
                <w:szCs w:val="18"/>
                <w:highlight w:val="white"/>
              </w:rPr>
              <w:t xml:space="preserve">/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18"/>
                <w:szCs w:val="18"/>
                <w:highlight w:val="white"/>
              </w:rPr>
              <w:t xml:space="preserve">«О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18"/>
                <w:szCs w:val="18"/>
                <w:highlight w:val="white"/>
              </w:rPr>
              <w:t xml:space="preserve">бесп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18"/>
                <w:szCs w:val="18"/>
                <w:highlight w:val="white"/>
              </w:rPr>
              <w:t xml:space="preserve">ечение испол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18"/>
                <w:szCs w:val="18"/>
              </w:rPr>
              <w:t xml:space="preserve">нения контракта, заключенного по результатам электронного аукциона № ___.</w:t>
            </w:r>
            <w:r>
              <w:rPr>
                <w:rFonts w:ascii="Times New Roman" w:hAnsi="Times New Roman" w:cs="Times New Roman"/>
                <w:bCs/>
                <w:i/>
                <w:color w:val="80808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i/>
                <w:color w:val="808080" w:themeColor="background1" w:themeShade="8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Style w:val="1441"/>
              <w:contextualSpacing/>
              <w:ind w:firstLine="0"/>
              <w:jc w:val="both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  <w:t xml:space="preserve">УФК по Ставропольскому краю (ТФОМС СК 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r>
          </w:p>
          <w:p>
            <w:pPr>
              <w:pStyle w:val="1441"/>
              <w:contextualSpacing/>
              <w:ind w:firstLine="0"/>
              <w:jc w:val="both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  <w:t xml:space="preserve">л /</w:t>
            </w: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  <w:t xml:space="preserve">сч</w:t>
            </w: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  <w:t xml:space="preserve">. 05215025910)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r>
          </w:p>
          <w:p>
            <w:pPr>
              <w:contextualSpacing/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80808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 w:themeColor="background1" w:themeShade="80"/>
                <w:sz w:val="18"/>
                <w:szCs w:val="18"/>
              </w:rPr>
            </w:r>
          </w:p>
        </w:tc>
      </w:tr>
    </w:tbl>
    <w:p>
      <w:pPr>
        <w:contextualSpacing/>
        <w:jc w:val="center"/>
        <w:spacing w:before="450" w:after="100" w:afterAutospacing="1"/>
        <w:rPr>
          <w:rFonts w:eastAsia="Times New Roman"/>
          <w:b/>
          <w:bCs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z w:val="22"/>
          <w:szCs w:val="22"/>
          <w:highlight w:val="none"/>
        </w:rPr>
      </w:r>
      <w:r>
        <w:rPr>
          <w:rFonts w:eastAsia="Times New Roman"/>
          <w:b/>
          <w:bCs/>
          <w:color w:val="000000"/>
          <w:sz w:val="22"/>
          <w:szCs w:val="22"/>
        </w:rPr>
      </w:r>
      <w:r>
        <w:rPr>
          <w:rFonts w:eastAsia="Times New Roman"/>
          <w:b/>
          <w:bCs/>
          <w:color w:val="000000"/>
          <w:sz w:val="22"/>
          <w:szCs w:val="22"/>
        </w:rPr>
      </w:r>
    </w:p>
    <w:p>
      <w:pPr>
        <w:contextualSpacing/>
        <w:jc w:val="center"/>
        <w:spacing w:before="450" w:after="100" w:afterAutospacing="1"/>
        <w:rPr>
          <w:rFonts w:eastAsia="Times New Roman"/>
          <w:b/>
          <w:bCs/>
          <w:color w:val="000000"/>
          <w:sz w:val="22"/>
          <w:szCs w:val="22"/>
          <w:highlight w:val="none"/>
        </w:rPr>
      </w:pPr>
      <w:r>
        <w:rPr>
          <w:rFonts w:eastAsia="Times New Roman"/>
          <w:b/>
          <w:bCs/>
          <w:color w:val="000000"/>
          <w:sz w:val="22"/>
          <w:szCs w:val="22"/>
        </w:rPr>
        <w:t xml:space="preserve">5.6. Реквизиты для осуществления оплаты</w:t>
      </w:r>
      <w:r>
        <w:rPr>
          <w:rFonts w:eastAsia="Times New Roman"/>
          <w:b/>
          <w:bCs/>
          <w:color w:val="000000"/>
          <w:sz w:val="22"/>
          <w:szCs w:val="22"/>
          <w:highlight w:val="none"/>
        </w:rPr>
      </w:r>
      <w:r>
        <w:rPr>
          <w:rFonts w:eastAsia="Times New Roman"/>
          <w:b/>
          <w:bCs/>
          <w:color w:val="000000"/>
          <w:sz w:val="22"/>
          <w:szCs w:val="22"/>
          <w:highlight w:val="none"/>
        </w:rPr>
      </w:r>
    </w:p>
    <w:tbl>
      <w:tblPr>
        <w:tblW w:w="14593" w:type="dxa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3578"/>
        <w:gridCol w:w="2226"/>
        <w:gridCol w:w="2094"/>
        <w:gridCol w:w="1985"/>
        <w:gridCol w:w="2725"/>
        <w:gridCol w:w="1985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5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Наименование организации / ФИО, ИНН, КПП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22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Тип счета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09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Номер лицевого счета/код поступления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98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Номер банковского (казначейского) счета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72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Реквизиты банка, ТОФК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98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Наименование контрагента для п/п, ОКТМО, КБК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5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1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22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2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09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3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98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4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72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5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98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6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578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ИНН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  <w:p>
            <w:pPr>
              <w:contextualSpacing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КПП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22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Расчетный счет в банке</w:t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09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98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725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985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</w:tbl>
    <w:p>
      <w:pPr>
        <w:pStyle w:val="1441"/>
        <w:contextualSpacing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/>
      <w:bookmarkStart w:id="0" w:name="undefined"/>
      <w:r/>
      <w:bookmarkStart w:id="0" w:name="undefined"/>
      <w:r/>
      <w:bookmarkEnd w:id="0"/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jc w:val="center"/>
        <w:rPr>
          <w:rFonts w:ascii="Times New Roman" w:hAnsi="Times New Roman" w:cs="Times New Roman"/>
          <w:b/>
          <w:sz w:val="22"/>
          <w:szCs w:val="22"/>
        </w:rPr>
        <w:outlineLvl w:val="1"/>
      </w:pPr>
      <w:r/>
      <w:bookmarkStart w:id="0" w:name="undefined"/>
      <w:r/>
      <w:bookmarkEnd w:id="0"/>
      <w:r>
        <w:rPr>
          <w:rFonts w:ascii="Times New Roman" w:hAnsi="Times New Roman" w:cs="Times New Roman"/>
          <w:b/>
          <w:sz w:val="22"/>
          <w:szCs w:val="22"/>
        </w:rPr>
        <w:t xml:space="preserve">6</w:t>
      </w:r>
      <w:r>
        <w:rPr>
          <w:rFonts w:ascii="Times New Roman" w:hAnsi="Times New Roman" w:cs="Times New Roman"/>
          <w:b/>
          <w:sz w:val="22"/>
          <w:szCs w:val="22"/>
        </w:rPr>
        <w:t xml:space="preserve">. Ответственность Сторон 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1441"/>
        <w:contextualSpacing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6.1.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6.2. В случае полного (частичного) неисполнения условий Контракта одной из Сторон эта Сторона обязана возместить другой Стороне причиненные убытки в части, непокрытой неустойкой.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/>
      <w:bookmarkStart w:id="0" w:name="undefined"/>
      <w:r/>
      <w:bookmarkEnd w:id="0"/>
      <w:r>
        <w:rPr>
          <w:rFonts w:ascii="Times New Roman" w:hAnsi="Times New Roman" w:cs="Times New Roman"/>
          <w:sz w:val="22"/>
          <w:szCs w:val="22"/>
        </w:rPr>
        <w:t xml:space="preserve">6.3. В случае просрочки исполнения Поставщиком обязательств (в том числе гарантийного обязательства), предусмотренных Контрактом, Поставщик уплачивает Заказчику пени. Пеня начисляется за каждый день просрочки исполнения Поставщиком об</w:t>
      </w:r>
      <w:r>
        <w:rPr>
          <w:rFonts w:ascii="Times New Roman" w:hAnsi="Times New Roman" w:cs="Times New Roman"/>
          <w:sz w:val="22"/>
          <w:szCs w:val="22"/>
        </w:rPr>
        <w:t xml:space="preserve">язательства, предусмотренного Контрактом, начиная со дня, следующего после дня истечения установленного Контрактом срока исполнения обязательства. Размер пени составляет одна трехсотая действующей на дату уплаты пени ключевой ставки Центрального банка Росс</w:t>
      </w:r>
      <w:r>
        <w:rPr>
          <w:rFonts w:ascii="Times New Roman" w:hAnsi="Times New Roman" w:cs="Times New Roman"/>
          <w:sz w:val="22"/>
          <w:szCs w:val="22"/>
        </w:rPr>
        <w:t xml:space="preserve">ийской Федерации от цены Контракта (отдельного этапа исполнения Контракта), уменьшенной на сумму, пропорциональную объему обязательств, предусмотренных Контрактом (соответствующим отдельным этапом исполнения Контракта) и фактически исполненных Поставщиком.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/>
      <w:bookmarkStart w:id="0" w:name="undefined"/>
      <w:r/>
      <w:bookmarkEnd w:id="0"/>
      <w:r>
        <w:rPr>
          <w:rFonts w:ascii="Times New Roman" w:hAnsi="Times New Roman" w:cs="Times New Roman"/>
          <w:sz w:val="22"/>
          <w:szCs w:val="22"/>
        </w:rPr>
        <w:t xml:space="preserve">6.4. За каждый факт неисполнения или ненадлежащего исполнения Поставщиком</w:t>
      </w:r>
      <w:r>
        <w:rPr>
          <w:rFonts w:ascii="Times New Roman" w:hAnsi="Times New Roman" w:cs="Times New Roman"/>
          <w:sz w:val="22"/>
          <w:szCs w:val="22"/>
        </w:rPr>
        <w:t xml:space="preserve"> обязательств, предусмотренных Контрактом, за исключением просрочки исполнения Поставщиком обязательств (в том числе гарантийного обязательства), предусмотренных Контрактом, Поставщик уплачивает Заказчику штраф. Размер штрафа определяется в соответствии с </w:t>
      </w:r>
      <w:hyperlink r:id="rId27" w:tooltip="consultantplus://offline/ref=F49B9FDF69C8B497B9CF4052B40D36989FF54D5B70F534AF804500CF9B077EFCD230774B06225DF225EB52DCBBB0A9D38E4202KDtFM" w:history="1">
        <w:r>
          <w:rPr>
            <w:rFonts w:ascii="Times New Roman" w:hAnsi="Times New Roman" w:cs="Times New Roman"/>
            <w:sz w:val="22"/>
            <w:szCs w:val="22"/>
          </w:rPr>
          <w:t xml:space="preserve">Правилами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</w:t>
      </w:r>
      <w:r>
        <w:rPr>
          <w:rFonts w:ascii="Times New Roman" w:hAnsi="Times New Roman" w:cs="Times New Roman"/>
          <w:sz w:val="22"/>
          <w:szCs w:val="22"/>
        </w:rPr>
        <w:t xml:space="preserve">предусмотренных контрактом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 августа 2017 г. № 1042 (Собрание законодательства Россий</w:t>
      </w:r>
      <w:r>
        <w:rPr>
          <w:rFonts w:ascii="Times New Roman" w:hAnsi="Times New Roman" w:cs="Times New Roman"/>
          <w:sz w:val="22"/>
          <w:szCs w:val="22"/>
        </w:rPr>
        <w:t xml:space="preserve">ской Федерации, 2017, № 36, ст. </w:t>
      </w:r>
      <w:r>
        <w:rPr>
          <w:rFonts w:ascii="Times New Roman" w:hAnsi="Times New Roman" w:cs="Times New Roman"/>
          <w:sz w:val="22"/>
          <w:szCs w:val="22"/>
        </w:rPr>
        <w:t xml:space="preserve">5458; 2019, № 32, ст. 4721) (далее - Правила), и составляет </w:t>
      </w:r>
      <w:r>
        <w:rPr>
          <w:rFonts w:ascii="Times New Roman" w:hAnsi="Times New Roman" w:cs="Times New Roman"/>
          <w:i/>
          <w:sz w:val="22"/>
        </w:rPr>
        <w:t xml:space="preserve">___</w:t>
      </w:r>
      <w:r>
        <w:rPr>
          <w:rFonts w:ascii="Times New Roman" w:hAnsi="Times New Roman" w:cs="Times New Roman"/>
          <w:i/>
          <w:sz w:val="22"/>
        </w:rPr>
        <w:t xml:space="preserve">________ (</w:t>
      </w:r>
      <w:r>
        <w:rPr>
          <w:rFonts w:ascii="Times New Roman" w:hAnsi="Times New Roman" w:cs="Times New Roman"/>
          <w:i/>
          <w:sz w:val="22"/>
        </w:rPr>
        <w:t xml:space="preserve">______</w:t>
      </w:r>
      <w:r>
        <w:rPr>
          <w:rFonts w:ascii="Times New Roman" w:hAnsi="Times New Roman" w:cs="Times New Roman"/>
          <w:i/>
          <w:sz w:val="22"/>
        </w:rPr>
        <w:t xml:space="preserve">________) рублей __ копеек</w:t>
      </w:r>
      <w:r>
        <w:rPr>
          <w:rStyle w:val="1440"/>
          <w:rFonts w:cs="Times New Roman"/>
          <w:sz w:val="22"/>
          <w:szCs w:val="22"/>
        </w:rPr>
        <w:t xml:space="preserve"> </w:t>
      </w:r>
      <w:r>
        <w:rPr>
          <w:rStyle w:val="1440"/>
          <w:rFonts w:cs="Times New Roman"/>
          <w:sz w:val="22"/>
          <w:szCs w:val="22"/>
        </w:rPr>
        <w:footnoteReference w:id="19"/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26"/>
        <w:numPr>
          <w:ilvl w:val="0"/>
          <w:numId w:val="0"/>
        </w:numPr>
        <w:contextualSpacing/>
        <w:jc w:val="both"/>
        <w:keepNext w:val="0"/>
        <w:rPr>
          <w:i/>
          <w:sz w:val="18"/>
          <w:szCs w:val="18"/>
        </w:rPr>
      </w:pPr>
      <w:r/>
      <w:bookmarkStart w:id="0" w:name="undefined"/>
      <w:r/>
      <w:bookmarkEnd w:id="0"/>
      <w:r>
        <w:rPr>
          <w:i/>
          <w:sz w:val="18"/>
          <w:szCs w:val="18"/>
        </w:rPr>
        <w:t xml:space="preserve">         </w:t>
      </w:r>
      <w:r>
        <w:rPr>
          <w:i/>
          <w:sz w:val="18"/>
          <w:szCs w:val="18"/>
        </w:rPr>
        <w:t xml:space="preserve">(цифрами и прописью)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  <w:p>
      <w:pPr>
        <w:pStyle w:val="1441"/>
        <w:contextualSpacing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6.5.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Поставщик уплачивает Заказчику штраф. Размер штрафа определяется в соответствии с </w:t>
      </w:r>
      <w:hyperlink r:id="rId28" w:tooltip="consultantplus://offline/ref=782E9CC4CCC6932545801925E3B536176E57B6381BDA0BD7655CABC93DB89C271041D8CF0ACBB4D2653D7F184B7ED2198541ED34VBP" w:history="1">
        <w:r>
          <w:rPr>
            <w:rFonts w:ascii="Times New Roman" w:hAnsi="Times New Roman" w:cs="Times New Roman"/>
            <w:sz w:val="22"/>
            <w:szCs w:val="22"/>
          </w:rPr>
          <w:t xml:space="preserve">Правилами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и составляет </w:t>
      </w:r>
      <w:r>
        <w:rPr>
          <w:rFonts w:ascii="Times New Roman" w:hAnsi="Times New Roman" w:cs="Times New Roman"/>
          <w:i/>
          <w:sz w:val="22"/>
        </w:rPr>
        <w:t xml:space="preserve">___</w:t>
      </w:r>
      <w:r>
        <w:rPr>
          <w:rFonts w:ascii="Times New Roman" w:hAnsi="Times New Roman" w:cs="Times New Roman"/>
          <w:i/>
          <w:sz w:val="22"/>
        </w:rPr>
        <w:t xml:space="preserve">________ (</w:t>
      </w:r>
      <w:r>
        <w:rPr>
          <w:rFonts w:ascii="Times New Roman" w:hAnsi="Times New Roman" w:cs="Times New Roman"/>
          <w:i/>
          <w:sz w:val="22"/>
        </w:rPr>
        <w:t xml:space="preserve">______</w:t>
      </w:r>
      <w:r>
        <w:rPr>
          <w:rFonts w:ascii="Times New Roman" w:hAnsi="Times New Roman" w:cs="Times New Roman"/>
          <w:i/>
          <w:sz w:val="22"/>
        </w:rPr>
        <w:t xml:space="preserve">________) рублей __ копеек</w:t>
      </w:r>
      <w:r>
        <w:rPr>
          <w:rStyle w:val="1440"/>
          <w:rFonts w:cs="Times New Roman"/>
          <w:sz w:val="22"/>
          <w:szCs w:val="22"/>
        </w:rPr>
        <w:t xml:space="preserve"> </w:t>
      </w:r>
      <w:r>
        <w:rPr>
          <w:rStyle w:val="1440"/>
          <w:rFonts w:cs="Times New Roman"/>
          <w:i/>
          <w:sz w:val="22"/>
          <w:szCs w:val="22"/>
        </w:rPr>
        <w:footnoteReference w:id="20"/>
      </w:r>
      <w:r>
        <w:rPr>
          <w:rFonts w:ascii="Times New Roman" w:hAnsi="Times New Roman" w:cs="Times New Roman"/>
          <w:i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/>
      <w:bookmarkStart w:id="0" w:name="undefined"/>
      <w:r/>
      <w:bookmarkEnd w:id="0"/>
      <w:r>
        <w:rPr>
          <w:rFonts w:ascii="Times New Roman" w:hAnsi="Times New Roman" w:cs="Times New Roman"/>
          <w:sz w:val="22"/>
          <w:szCs w:val="22"/>
        </w:rPr>
        <w:t xml:space="preserve">6.6. В случае просрочки исполнения Заказчиком обязательств, предусмотренных Контрактом, Поставщик вправе потребовать уплату пени в размере одной трехсотой действующей на дату уплаты пеней ключевой ставки Центрального бан</w:t>
      </w:r>
      <w:r>
        <w:rPr>
          <w:rFonts w:ascii="Times New Roman" w:hAnsi="Times New Roman" w:cs="Times New Roman"/>
          <w:sz w:val="22"/>
          <w:szCs w:val="22"/>
        </w:rPr>
        <w:t xml:space="preserve">ка Российской Федерации от не уплаченной в срок суммы.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rPr>
          <w:rFonts w:ascii="Times New Roman" w:hAnsi="Times New Roman" w:cs="Times New Roman"/>
          <w:i/>
          <w:sz w:val="22"/>
          <w:szCs w:val="22"/>
        </w:rPr>
      </w:pPr>
      <w:r/>
      <w:bookmarkStart w:id="0" w:name="undefined"/>
      <w:r/>
      <w:bookmarkEnd w:id="0"/>
      <w:r>
        <w:rPr>
          <w:rFonts w:ascii="Times New Roman" w:hAnsi="Times New Roman" w:cs="Times New Roman"/>
          <w:sz w:val="22"/>
          <w:szCs w:val="22"/>
        </w:rPr>
        <w:t xml:space="preserve">6.7.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Поставщик вправе потребовать уплату штрафа. Размер штрафа определяется в соответствии с </w:t>
      </w:r>
      <w:hyperlink r:id="rId29" w:tooltip="consultantplus://offline/ref=782E9CC4CCC6932545801925E3B536176E57B6381BDA0BD7655CABC93DB89C271041D8CF0ACBB4D2653D7F184B7ED2198541ED34VBP" w:history="1">
        <w:r>
          <w:rPr>
            <w:rFonts w:ascii="Times New Roman" w:hAnsi="Times New Roman" w:cs="Times New Roman"/>
            <w:sz w:val="22"/>
            <w:szCs w:val="22"/>
          </w:rPr>
          <w:t xml:space="preserve">Правилами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</w:rPr>
        <w:t xml:space="preserve">составляет</w:t>
      </w:r>
      <w:r>
        <w:rPr>
          <w:rFonts w:ascii="Times New Roman" w:hAnsi="Times New Roman" w:cs="Times New Roman"/>
          <w:i/>
          <w:sz w:val="22"/>
        </w:rPr>
        <w:t xml:space="preserve">___________ (______________) рублей __ копеек</w:t>
      </w:r>
      <w:r>
        <w:rPr>
          <w:rStyle w:val="1440"/>
          <w:rFonts w:cs="Times New Roman"/>
          <w:sz w:val="22"/>
          <w:szCs w:val="22"/>
        </w:rPr>
        <w:t xml:space="preserve"> </w:t>
      </w:r>
      <w:r>
        <w:rPr>
          <w:rStyle w:val="1440"/>
          <w:rFonts w:cs="Times New Roman"/>
          <w:i/>
          <w:sz w:val="22"/>
          <w:szCs w:val="22"/>
        </w:rPr>
        <w:footnoteReference w:id="21"/>
      </w:r>
      <w:r>
        <w:rPr>
          <w:rFonts w:ascii="Times New Roman" w:hAnsi="Times New Roman" w:cs="Times New Roman"/>
          <w:i/>
          <w:sz w:val="22"/>
          <w:szCs w:val="22"/>
        </w:rPr>
        <w:t xml:space="preserve">.</w:t>
      </w:r>
      <w:r>
        <w:rPr>
          <w:rFonts w:ascii="Times New Roman" w:hAnsi="Times New Roman" w:cs="Times New Roman"/>
          <w:i/>
          <w:sz w:val="22"/>
          <w:szCs w:val="22"/>
        </w:rPr>
      </w:r>
      <w:r>
        <w:rPr>
          <w:rFonts w:ascii="Times New Roman" w:hAnsi="Times New Roman" w:cs="Times New Roman"/>
          <w:i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6.8. За каждый день просрочки исполнения Поставщиком обязательства по предоставлению нового обеспечение исполнения Контракта, предусмотренного </w:t>
      </w:r>
      <w:r>
        <w:rPr>
          <w:rFonts w:ascii="Times New Roman" w:hAnsi="Times New Roman" w:cs="Times New Roman"/>
          <w:sz w:val="22"/>
          <w:szCs w:val="22"/>
        </w:rPr>
        <w:t xml:space="preserve">разделом </w:t>
      </w:r>
      <w:hyperlink w:tooltip="#P1581" w:anchor="P1581" w:history="1">
        <w:r>
          <w:rPr>
            <w:rFonts w:ascii="Times New Roman" w:hAnsi="Times New Roman" w:cs="Times New Roman"/>
            <w:sz w:val="22"/>
            <w:szCs w:val="22"/>
          </w:rPr>
          <w:t xml:space="preserve">4.5.1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Контракта, начисляется пеня в размере, определенном в порядке, установленном в соответствии с </w:t>
      </w:r>
      <w:hyperlink w:tooltip="#P1554" w:anchor="P1554" w:history="1">
        <w:r>
          <w:rPr>
            <w:rFonts w:ascii="Times New Roman" w:hAnsi="Times New Roman" w:cs="Times New Roman"/>
            <w:sz w:val="22"/>
            <w:szCs w:val="22"/>
          </w:rPr>
          <w:t xml:space="preserve">пунктом 6.3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Контракта.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6.9. Применение неустойки (штрафа, пени) не освобождает Стороны от исполнения обязательств по Контракту.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6.10. Общая сумма начисленных штрафов за неисполнение или ненадлежащее исполнение Поставщиком обязательств, предусмотренных Контрактом, не может превышать цену Контракта.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6.11.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6.12. В случае расторжения Контракта в связи с односторонним отказом </w:t>
      </w:r>
      <w:r>
        <w:rPr>
          <w:rFonts w:ascii="Times New Roman" w:hAnsi="Times New Roman" w:cs="Times New Roman"/>
          <w:sz w:val="22"/>
          <w:szCs w:val="22"/>
        </w:rPr>
        <w:t xml:space="preserve">Стороны от исполнения Контракта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/>
      <w:bookmarkStart w:id="0" w:name="undefined"/>
      <w:r/>
      <w:bookmarkEnd w:id="0"/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</w:rPr>
        <w:outlineLvl w:val="1"/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7.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Обстоятельства непреодолимой силы</w:t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1441"/>
        <w:contextualSpacing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</w:t>
      </w:r>
      <w:r>
        <w:rPr>
          <w:rFonts w:ascii="Times New Roman" w:hAnsi="Times New Roman" w:cs="Times New Roman"/>
          <w:sz w:val="22"/>
          <w:szCs w:val="22"/>
        </w:rPr>
        <w:t xml:space="preserve">.1. Стороны не несут ответственность за полное или частичное неисполнение предусмотренных Контрактом обязательств, если такое неисполнение связано с обстоятельствами непреодолимой силы.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</w:t>
      </w:r>
      <w:r>
        <w:rPr>
          <w:rFonts w:ascii="Times New Roman" w:hAnsi="Times New Roman" w:cs="Times New Roman"/>
          <w:sz w:val="22"/>
          <w:szCs w:val="22"/>
        </w:rPr>
        <w:t xml:space="preserve">.2. В случае если надлежащее исполнение Стороной предусмотренных Контрактом обязательств оказалось </w:t>
      </w:r>
      <w:r>
        <w:rPr>
          <w:rFonts w:ascii="Times New Roman" w:hAnsi="Times New Roman" w:cs="Times New Roman"/>
          <w:sz w:val="22"/>
          <w:szCs w:val="22"/>
        </w:rPr>
        <w:t xml:space="preserve">невозможным вследствие обстоятельств непреодолимой силы, такая Сторона не позднее 1 (одного) рабочего дня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</w:t>
      </w:r>
      <w:r>
        <w:rPr>
          <w:rFonts w:ascii="Times New Roman" w:hAnsi="Times New Roman" w:cs="Times New Roman"/>
          <w:sz w:val="22"/>
          <w:szCs w:val="22"/>
        </w:rPr>
        <w:t xml:space="preserve">.3. В случае возникновения обстоятельств непреодолимой силы Стороны вправе расторгнуть Контракт, и в этом случае ни одна из Сторон не вправе требовать возмещения убытков.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</w:t>
      </w:r>
      <w:r>
        <w:rPr>
          <w:rFonts w:ascii="Times New Roman" w:hAnsi="Times New Roman" w:cs="Times New Roman"/>
          <w:sz w:val="22"/>
          <w:szCs w:val="22"/>
        </w:rPr>
        <w:t xml:space="preserve">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</w:rPr>
        <w:outlineLvl w:val="1"/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8.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Рассмотрение и разрешение споров</w:t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1441"/>
        <w:contextualSpacing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8</w:t>
      </w:r>
      <w:r>
        <w:rPr>
          <w:rFonts w:ascii="Times New Roman" w:hAnsi="Times New Roman" w:cs="Times New Roman"/>
          <w:sz w:val="22"/>
          <w:szCs w:val="22"/>
        </w:rPr>
        <w:t xml:space="preserve">.1.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8</w:t>
      </w:r>
      <w:r>
        <w:rPr>
          <w:rFonts w:ascii="Times New Roman" w:hAnsi="Times New Roman" w:cs="Times New Roman"/>
          <w:sz w:val="22"/>
          <w:szCs w:val="22"/>
        </w:rPr>
        <w:t xml:space="preserve">.2. Претензия оформляется в письменной форме. В претензии перечисляются доп</w:t>
      </w:r>
      <w:r>
        <w:rPr>
          <w:rFonts w:ascii="Times New Roman" w:hAnsi="Times New Roman" w:cs="Times New Roman"/>
          <w:sz w:val="22"/>
          <w:szCs w:val="22"/>
        </w:rPr>
        <w:t xml:space="preserve">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8</w:t>
      </w:r>
      <w:r>
        <w:rPr>
          <w:rFonts w:ascii="Times New Roman" w:hAnsi="Times New Roman" w:cs="Times New Roman"/>
          <w:sz w:val="22"/>
          <w:szCs w:val="22"/>
        </w:rPr>
        <w:t xml:space="preserve">.3. Срок рассмотрения претензии не может превышать 7 (семь) дней. Переписка Сторон может осуществляться в виде писем или телеграмм, а в случаях направления телекса, факса, иного электронного сообщения - с последующим предоставлением оригинала документа.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8</w:t>
      </w:r>
      <w:r>
        <w:rPr>
          <w:rFonts w:ascii="Times New Roman" w:hAnsi="Times New Roman" w:cs="Times New Roman"/>
          <w:sz w:val="22"/>
          <w:szCs w:val="22"/>
        </w:rPr>
        <w:t xml:space="preserve">.4. При </w:t>
      </w:r>
      <w:r>
        <w:rPr>
          <w:rFonts w:ascii="Times New Roman" w:hAnsi="Times New Roman" w:cs="Times New Roman"/>
          <w:sz w:val="22"/>
          <w:szCs w:val="22"/>
        </w:rPr>
        <w:t xml:space="preserve">неурегулировании</w:t>
      </w:r>
      <w:r>
        <w:rPr>
          <w:rFonts w:ascii="Times New Roman" w:hAnsi="Times New Roman" w:cs="Times New Roman"/>
          <w:sz w:val="22"/>
          <w:szCs w:val="22"/>
        </w:rPr>
        <w:t xml:space="preserve"> Сторонами спора в досудебном порядке, спор разрешается в судебном порядке в Арбитражном суде Ставропольского края.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</w:rPr>
        <w:outlineLvl w:val="1"/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9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. Срок действия и порядок расторжения Контракта</w:t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1441"/>
        <w:contextualSpacing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</w:t>
      </w:r>
      <w:r>
        <w:rPr>
          <w:rFonts w:ascii="Times New Roman" w:hAnsi="Times New Roman" w:cs="Times New Roman"/>
          <w:sz w:val="22"/>
          <w:szCs w:val="22"/>
        </w:rPr>
        <w:t xml:space="preserve">.1. Контракт вступает в силу с момента его подписания об</w:t>
      </w:r>
      <w:r>
        <w:rPr>
          <w:rFonts w:ascii="Times New Roman" w:hAnsi="Times New Roman" w:cs="Times New Roman"/>
          <w:sz w:val="22"/>
          <w:szCs w:val="22"/>
        </w:rPr>
        <w:t xml:space="preserve">еими Сторонами и дейст</w:t>
      </w:r>
      <w:r>
        <w:rPr>
          <w:rFonts w:ascii="Times New Roman" w:hAnsi="Times New Roman" w:cs="Times New Roman"/>
          <w:sz w:val="22"/>
          <w:szCs w:val="22"/>
        </w:rPr>
        <w:t xml:space="preserve">вует по 30 апреля </w:t>
      </w:r>
      <w:r>
        <w:rPr>
          <w:rFonts w:ascii="Times New Roman" w:hAnsi="Times New Roman" w:cs="Times New Roman"/>
          <w:sz w:val="22"/>
          <w:szCs w:val="22"/>
        </w:rPr>
        <w:t xml:space="preserve">2027</w:t>
      </w:r>
      <w:r>
        <w:rPr>
          <w:rFonts w:ascii="Times New Roman" w:hAnsi="Times New Roman" w:cs="Times New Roman"/>
          <w:sz w:val="22"/>
          <w:szCs w:val="22"/>
        </w:rPr>
        <w:t xml:space="preserve"> г. Окончание срока действия Контракта не влечет прекращения неисполненных обязательст</w:t>
      </w:r>
      <w:r>
        <w:rPr>
          <w:rFonts w:ascii="Times New Roman" w:hAnsi="Times New Roman" w:cs="Times New Roman"/>
          <w:sz w:val="22"/>
          <w:szCs w:val="22"/>
        </w:rPr>
        <w:t xml:space="preserve">в Сторон по Контракту, в том числе гарантийных обязательств </w:t>
      </w:r>
      <w:r>
        <w:rPr>
          <w:rFonts w:ascii="Times New Roman" w:hAnsi="Times New Roman" w:cs="Times New Roman"/>
          <w:sz w:val="22"/>
          <w:szCs w:val="22"/>
        </w:rPr>
        <w:t xml:space="preserve">Поставщика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</w:t>
      </w:r>
      <w:r>
        <w:rPr>
          <w:rFonts w:ascii="Times New Roman" w:hAnsi="Times New Roman" w:cs="Times New Roman"/>
          <w:sz w:val="22"/>
          <w:szCs w:val="22"/>
        </w:rPr>
        <w:t xml:space="preserve">.2. Расторжение Контракта допускается по соглашению Сторон,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порядке, предусмотренном </w:t>
      </w:r>
      <w:hyperlink r:id="rId30" w:tooltip="consultantplus://offline/ref=782E9CC4CCC6932545801925E3B536176E50B53C1FD70BD7655CABC93DB89C271041D8CD019EE29F343B294E112BD805805FEF4CF4B5672237V6P" w:history="1">
        <w:r>
          <w:rPr>
            <w:rFonts w:ascii="Times New Roman" w:hAnsi="Times New Roman" w:cs="Times New Roman"/>
            <w:sz w:val="22"/>
            <w:szCs w:val="22"/>
          </w:rPr>
          <w:t xml:space="preserve">частями 9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- </w:t>
      </w:r>
      <w:hyperlink r:id="rId31" w:tooltip="consultantplus://offline/ref=782E9CC4CCC6932545801925E3B536176E50B53C1FD70BD7655CABC93DB89C271041D8CD019EE692303B294E112BD805805FEF4CF4B5672237V6P" w:history="1">
        <w:r>
          <w:rPr>
            <w:rFonts w:ascii="Times New Roman" w:hAnsi="Times New Roman" w:cs="Times New Roman"/>
            <w:sz w:val="22"/>
            <w:szCs w:val="22"/>
          </w:rPr>
          <w:t xml:space="preserve">23 статьи 95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contextualSpacing/>
        <w:ind w:firstLine="720"/>
        <w:jc w:val="center"/>
        <w:rPr>
          <w:b/>
          <w:bCs/>
          <w:sz w:val="22"/>
          <w:szCs w:val="22"/>
        </w:rPr>
        <w:outlineLvl w:val="1"/>
      </w:pPr>
      <w:r>
        <w:rPr>
          <w:rFonts w:eastAsia="Times New Roman"/>
          <w:b/>
          <w:bCs/>
          <w:sz w:val="22"/>
          <w:szCs w:val="22"/>
        </w:rPr>
        <w:t xml:space="preserve">10</w:t>
      </w:r>
      <w:r>
        <w:rPr>
          <w:rFonts w:eastAsia="Times New Roman"/>
          <w:b/>
          <w:bCs/>
          <w:sz w:val="22"/>
          <w:szCs w:val="22"/>
        </w:rPr>
        <w:t xml:space="preserve">. </w:t>
      </w:r>
      <w:r>
        <w:rPr>
          <w:b/>
          <w:bCs/>
          <w:sz w:val="22"/>
          <w:szCs w:val="22"/>
        </w:rPr>
        <w:t xml:space="preserve">Перечень приложений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1441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10</w:t>
      </w:r>
      <w:r>
        <w:rPr>
          <w:rFonts w:ascii="Times New Roman" w:hAnsi="Times New Roman" w:cs="Times New Roman"/>
          <w:sz w:val="22"/>
          <w:szCs w:val="22"/>
        </w:rPr>
        <w:t xml:space="preserve">.1. Неотъемлемой час</w:t>
      </w:r>
      <w:r>
        <w:rPr>
          <w:rFonts w:ascii="Times New Roman" w:hAnsi="Times New Roman" w:cs="Times New Roman"/>
          <w:sz w:val="22"/>
          <w:szCs w:val="22"/>
        </w:rPr>
        <w:t xml:space="preserve">тью Контракта является следующ</w:t>
      </w:r>
      <w:r>
        <w:rPr>
          <w:rFonts w:ascii="Times New Roman" w:hAnsi="Times New Roman" w:cs="Times New Roman"/>
          <w:sz w:val="22"/>
          <w:szCs w:val="22"/>
        </w:rPr>
        <w:t xml:space="preserve">е</w:t>
      </w:r>
      <w:r>
        <w:rPr>
          <w:rFonts w:ascii="Times New Roman" w:hAnsi="Times New Roman" w:cs="Times New Roman"/>
          <w:sz w:val="22"/>
          <w:szCs w:val="22"/>
        </w:rPr>
        <w:t xml:space="preserve">е приложени</w:t>
      </w:r>
      <w:r>
        <w:rPr>
          <w:rFonts w:ascii="Times New Roman" w:hAnsi="Times New Roman" w:cs="Times New Roman"/>
          <w:sz w:val="22"/>
          <w:szCs w:val="22"/>
        </w:rPr>
        <w:t xml:space="preserve">е</w:t>
      </w:r>
      <w:r>
        <w:rPr>
          <w:rFonts w:ascii="Times New Roman" w:hAnsi="Times New Roman" w:cs="Times New Roman"/>
          <w:sz w:val="22"/>
          <w:szCs w:val="22"/>
        </w:rPr>
        <w:t xml:space="preserve">: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Техническо</w:t>
      </w:r>
      <w:r>
        <w:rPr>
          <w:rFonts w:ascii="Times New Roman" w:hAnsi="Times New Roman" w:cs="Times New Roman"/>
          <w:sz w:val="22"/>
          <w:szCs w:val="22"/>
        </w:rPr>
        <w:t xml:space="preserve">е задание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720"/>
        <w:jc w:val="center"/>
        <w:rPr>
          <w:b/>
          <w:bCs/>
          <w:sz w:val="22"/>
          <w:szCs w:val="22"/>
        </w:rPr>
        <w:outlineLvl w:val="1"/>
      </w:pPr>
      <w:r>
        <w:rPr>
          <w:b/>
          <w:bCs/>
          <w:sz w:val="22"/>
          <w:szCs w:val="22"/>
        </w:rPr>
        <w:t xml:space="preserve">11.</w:t>
      </w:r>
      <w:r>
        <w:rPr>
          <w:b/>
          <w:bCs/>
          <w:sz w:val="22"/>
          <w:szCs w:val="22"/>
        </w:rPr>
        <w:t xml:space="preserve">Антикоррупционная оговорка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11</w:t>
      </w:r>
      <w:r>
        <w:rPr>
          <w:rFonts w:ascii="Times New Roman" w:hAnsi="Times New Roman" w:cs="Times New Roman"/>
          <w:sz w:val="22"/>
          <w:szCs w:val="22"/>
        </w:rPr>
        <w:t xml:space="preserve">.1. При исполнении своих обязательств по настоящему Контракту Стороны, их аффилированные лица, работники или посредники: 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а) не выплачивают, не </w:t>
      </w:r>
      <w:r>
        <w:rPr>
          <w:rFonts w:ascii="Times New Roman" w:hAnsi="Times New Roman" w:cs="Times New Roman"/>
          <w:sz w:val="22"/>
          <w:szCs w:val="22"/>
        </w:rPr>
        <w:t xml:space="preserve">предлагают выплатить и не разрешают выплату каких-либо денежных средств или ценностей прямо, или косвенно любым лицам, для оказания влияния на действия или решения этих лиц с целью получить какие-либо неправомерные преимущества или иные неправомерные цели;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б) не осуществляют действия, квалифицируемые применимым для целей настоящего Контракта законодательством как дача/получение взятки, коммерческий подкуп, а также действия, нарушающие требования действующего законодательства о противодействии коррупции.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11</w:t>
      </w:r>
      <w:r>
        <w:rPr>
          <w:rFonts w:ascii="Times New Roman" w:hAnsi="Times New Roman" w:cs="Times New Roman"/>
          <w:sz w:val="22"/>
          <w:szCs w:val="22"/>
        </w:rPr>
        <w:t xml:space="preserve">.2. Настоящим Стороны подтверждают об отсутствии между ними конфликта интересов, предусмотренного Федеральным законом № 44-ФЗ и/или Федеральным законом от 25.12.2008 № 273-ФЗ «О противодействии коррупции».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11</w:t>
      </w:r>
      <w:r>
        <w:rPr>
          <w:rFonts w:ascii="Times New Roman" w:hAnsi="Times New Roman" w:cs="Times New Roman"/>
          <w:sz w:val="22"/>
          <w:szCs w:val="22"/>
        </w:rPr>
        <w:t xml:space="preserve">.3. В случае возникновения у Стороны подозрений, что произошло или может произойти нарушение каких-либо пол</w:t>
      </w:r>
      <w:r>
        <w:rPr>
          <w:rFonts w:ascii="Times New Roman" w:hAnsi="Times New Roman" w:cs="Times New Roman"/>
          <w:sz w:val="22"/>
          <w:szCs w:val="22"/>
        </w:rPr>
        <w:t xml:space="preserve">ожений настоящего раздела, возник конфликт интересов и/или существует риск его возникновения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</w:t>
      </w:r>
      <w:r>
        <w:rPr>
          <w:rFonts w:ascii="Times New Roman" w:hAnsi="Times New Roman" w:cs="Times New Roman"/>
          <w:sz w:val="22"/>
          <w:szCs w:val="22"/>
        </w:rPr>
        <w:t xml:space="preserve">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выражающееся, в действиях  квалифиц</w:t>
      </w:r>
      <w:r>
        <w:rPr>
          <w:rFonts w:ascii="Times New Roman" w:hAnsi="Times New Roman" w:cs="Times New Roman"/>
          <w:sz w:val="22"/>
          <w:szCs w:val="22"/>
        </w:rPr>
        <w:t xml:space="preserve">ируемых применимым законодательством как дача или получение взятки, коммерческий подкуп, а также в действиях, нарушающих требования действующего законодательства о противодействии коррупции. После письменного уведомления соответствующая Сторона имеет право</w:t>
      </w:r>
      <w:r>
        <w:rPr>
          <w:rFonts w:ascii="Times New Roman" w:hAnsi="Times New Roman" w:cs="Times New Roman"/>
          <w:sz w:val="22"/>
          <w:szCs w:val="22"/>
        </w:rPr>
        <w:t xml:space="preserve"> приостановить исполнение обязательств по настоящему Контракту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441"/>
        <w:contextualSpacing/>
        <w:ind w:firstLine="540"/>
        <w:jc w:val="both"/>
        <w:spacing w:before="220"/>
        <w:rPr>
          <w:rFonts w:ascii="Times New Roman" w:hAnsi="Times New Roman" w:cs="Times New Roman"/>
          <w:sz w:val="22"/>
          <w:szCs w:val="22"/>
          <w:highlight w:val="none"/>
        </w:rPr>
      </w:pPr>
      <w:r>
        <w:rPr>
          <w:rFonts w:ascii="Times New Roman" w:hAnsi="Times New Roman" w:cs="Times New Roman"/>
          <w:sz w:val="22"/>
          <w:szCs w:val="22"/>
        </w:rPr>
        <w:t xml:space="preserve">11</w:t>
      </w:r>
      <w:r>
        <w:rPr>
          <w:rFonts w:ascii="Times New Roman" w:hAnsi="Times New Roman" w:cs="Times New Roman"/>
          <w:sz w:val="22"/>
          <w:szCs w:val="22"/>
        </w:rPr>
        <w:t xml:space="preserve">.4. В случае нарушения одной Стороной обязательств воздерживаться от з</w:t>
      </w:r>
      <w:r>
        <w:rPr>
          <w:rFonts w:ascii="Times New Roman" w:hAnsi="Times New Roman" w:cs="Times New Roman"/>
          <w:sz w:val="22"/>
          <w:szCs w:val="22"/>
        </w:rPr>
        <w:t xml:space="preserve">апрещенных в данном разделе действий и/или неполучения другой Стороной в установленный настоящим Контрактом срок подтверждения, что нарушения не произошло или не произойдет, другая Сторона имеет право расторгнуть настоящий Контракт в одностороннем порядке.</w:t>
      </w:r>
      <w:r>
        <w:rPr>
          <w:rFonts w:ascii="Times New Roman" w:hAnsi="Times New Roman" w:cs="Times New Roman"/>
          <w:sz w:val="22"/>
          <w:szCs w:val="22"/>
          <w:highlight w:val="none"/>
        </w:rPr>
      </w:r>
      <w:r>
        <w:rPr>
          <w:rFonts w:ascii="Times New Roman" w:hAnsi="Times New Roman" w:cs="Times New Roman"/>
          <w:sz w:val="22"/>
          <w:szCs w:val="22"/>
          <w:highlight w:val="none"/>
        </w:rPr>
      </w:r>
    </w:p>
    <w:p>
      <w:pPr>
        <w:pStyle w:val="1441"/>
        <w:contextualSpacing/>
        <w:jc w:val="right"/>
        <w:rPr>
          <w:rFonts w:ascii="Times New Roman" w:hAnsi="Times New Roman" w:cs="Times New Roman"/>
          <w:b/>
          <w:bCs/>
          <w:sz w:val="22"/>
          <w:szCs w:val="22"/>
        </w:rPr>
        <w:outlineLvl w:val="1"/>
      </w:pP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1441"/>
        <w:contextualSpacing/>
        <w:jc w:val="right"/>
        <w:rPr>
          <w:rFonts w:ascii="Times New Roman" w:hAnsi="Times New Roman" w:cs="Times New Roman"/>
          <w:b/>
          <w:bCs/>
          <w:sz w:val="22"/>
          <w:szCs w:val="22"/>
        </w:rPr>
        <w:outlineLvl w:val="1"/>
      </w:pP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1441"/>
        <w:contextualSpacing/>
        <w:jc w:val="right"/>
        <w:rPr>
          <w:rFonts w:ascii="Times New Roman" w:hAnsi="Times New Roman" w:cs="Times New Roman"/>
          <w:b/>
          <w:bCs/>
          <w:sz w:val="22"/>
          <w:szCs w:val="22"/>
        </w:rPr>
        <w:outlineLvl w:val="1"/>
      </w:pP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1441"/>
        <w:contextualSpacing/>
        <w:jc w:val="right"/>
        <w:rPr>
          <w:rFonts w:ascii="Times New Roman" w:hAnsi="Times New Roman" w:cs="Times New Roman"/>
          <w:b/>
          <w:bCs/>
          <w:sz w:val="22"/>
          <w:szCs w:val="22"/>
        </w:rPr>
        <w:outlineLvl w:val="1"/>
      </w:pP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1441"/>
        <w:contextualSpacing/>
        <w:jc w:val="right"/>
        <w:rPr>
          <w:rFonts w:ascii="Times New Roman" w:hAnsi="Times New Roman" w:cs="Times New Roman"/>
          <w:b/>
          <w:bCs/>
          <w:sz w:val="22"/>
          <w:szCs w:val="22"/>
        </w:rPr>
        <w:outlineLvl w:val="1"/>
      </w:pP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1441"/>
        <w:contextualSpacing/>
        <w:jc w:val="right"/>
        <w:rPr>
          <w:rFonts w:ascii="Times New Roman" w:hAnsi="Times New Roman" w:cs="Times New Roman"/>
          <w:b/>
          <w:bCs/>
          <w:sz w:val="22"/>
          <w:szCs w:val="22"/>
        </w:rPr>
        <w:outlineLvl w:val="1"/>
      </w:pP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1441"/>
        <w:contextualSpacing/>
        <w:jc w:val="right"/>
        <w:rPr>
          <w:rFonts w:ascii="Times New Roman" w:hAnsi="Times New Roman" w:cs="Times New Roman"/>
          <w:b/>
          <w:bCs/>
          <w:sz w:val="22"/>
          <w:szCs w:val="22"/>
        </w:rPr>
        <w:outlineLvl w:val="1"/>
      </w:pP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1441"/>
        <w:contextualSpacing/>
        <w:jc w:val="right"/>
        <w:rPr>
          <w:rFonts w:ascii="Times New Roman" w:hAnsi="Times New Roman" w:cs="Times New Roman"/>
          <w:b/>
          <w:bCs/>
          <w:sz w:val="22"/>
          <w:szCs w:val="22"/>
        </w:rPr>
        <w:outlineLvl w:val="1"/>
      </w:pP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1441"/>
        <w:contextualSpacing/>
        <w:jc w:val="right"/>
        <w:rPr>
          <w:rFonts w:ascii="Times New Roman" w:hAnsi="Times New Roman" w:cs="Times New Roman"/>
          <w:b/>
          <w:bCs/>
          <w:sz w:val="22"/>
          <w:szCs w:val="22"/>
        </w:rPr>
        <w:outlineLvl w:val="1"/>
      </w:pP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1441"/>
        <w:contextualSpacing/>
        <w:jc w:val="right"/>
        <w:rPr>
          <w:rFonts w:ascii="Times New Roman" w:hAnsi="Times New Roman" w:cs="Times New Roman"/>
          <w:b/>
          <w:bCs/>
          <w:sz w:val="22"/>
          <w:szCs w:val="22"/>
        </w:rPr>
        <w:outlineLvl w:val="1"/>
      </w:pP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1441"/>
        <w:contextualSpacing/>
        <w:jc w:val="right"/>
        <w:rPr>
          <w:rFonts w:ascii="Times New Roman" w:hAnsi="Times New Roman" w:cs="Times New Roman"/>
          <w:b/>
          <w:bCs/>
          <w:sz w:val="22"/>
          <w:szCs w:val="22"/>
        </w:rPr>
        <w:outlineLvl w:val="1"/>
      </w:pP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1441"/>
        <w:contextualSpacing/>
        <w:jc w:val="right"/>
        <w:rPr>
          <w:rFonts w:ascii="Times New Roman" w:hAnsi="Times New Roman" w:cs="Times New Roman"/>
          <w:b/>
          <w:bCs/>
          <w:sz w:val="22"/>
          <w:szCs w:val="22"/>
        </w:rPr>
        <w:outlineLvl w:val="1"/>
      </w:pP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1441"/>
        <w:contextualSpacing/>
        <w:jc w:val="right"/>
        <w:rPr>
          <w:rFonts w:ascii="Times New Roman" w:hAnsi="Times New Roman" w:cs="Times New Roman"/>
          <w:b/>
          <w:bCs/>
          <w:sz w:val="22"/>
          <w:szCs w:val="22"/>
        </w:rPr>
        <w:outlineLvl w:val="1"/>
      </w:pP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1441"/>
        <w:contextualSpacing/>
        <w:jc w:val="right"/>
        <w:rPr>
          <w:rFonts w:ascii="Times New Roman" w:hAnsi="Times New Roman" w:cs="Times New Roman"/>
          <w:b/>
          <w:bCs/>
          <w:sz w:val="22"/>
          <w:szCs w:val="22"/>
        </w:rPr>
        <w:outlineLvl w:val="1"/>
      </w:pP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1441"/>
        <w:contextualSpacing/>
        <w:jc w:val="right"/>
        <w:rPr>
          <w:rFonts w:ascii="Times New Roman" w:hAnsi="Times New Roman" w:cs="Times New Roman"/>
          <w:b/>
          <w:bCs/>
          <w:sz w:val="22"/>
          <w:szCs w:val="22"/>
        </w:rPr>
        <w:outlineLvl w:val="1"/>
      </w:pP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1441"/>
        <w:contextualSpacing/>
        <w:ind w:firstLine="0"/>
        <w:jc w:val="left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sz w:val="22"/>
          <w:szCs w:val="22"/>
          <w:highlight w:val="none"/>
        </w:rPr>
        <w:outlineLvl w:val="1"/>
      </w:pPr>
      <w:r>
        <w:rPr>
          <w:rFonts w:ascii="Times New Roman" w:hAnsi="Times New Roman" w:cs="Times New Roman"/>
          <w:b/>
          <w:sz w:val="22"/>
          <w:szCs w:val="22"/>
          <w:highlight w:val="none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</w:r>
    </w:p>
    <w:p>
      <w:pPr>
        <w:pStyle w:val="1441"/>
        <w:contextualSpacing/>
        <w:ind w:firstLine="0"/>
        <w:jc w:val="right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sz w:val="22"/>
          <w:szCs w:val="22"/>
          <w:highlight w:val="none"/>
        </w:rPr>
        <w:outlineLvl w:val="1"/>
      </w:pPr>
      <w:r>
        <w:rPr>
          <w:rFonts w:ascii="Times New Roman" w:hAnsi="Times New Roman" w:cs="Times New Roman"/>
          <w:b/>
          <w:sz w:val="22"/>
          <w:szCs w:val="22"/>
          <w:highlight w:val="none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</w:r>
    </w:p>
    <w:p>
      <w:pPr>
        <w:pStyle w:val="1441"/>
        <w:contextualSpacing/>
        <w:ind w:firstLine="0"/>
        <w:jc w:val="right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sz w:val="22"/>
          <w:szCs w:val="22"/>
          <w:highlight w:val="none"/>
        </w:rPr>
        <w:outlineLvl w:val="1"/>
      </w:pPr>
      <w:r>
        <w:rPr>
          <w:rFonts w:ascii="Times New Roman" w:hAnsi="Times New Roman" w:cs="Times New Roman"/>
          <w:b/>
          <w:sz w:val="22"/>
          <w:szCs w:val="22"/>
          <w:highlight w:val="white"/>
        </w:rPr>
        <w:t xml:space="preserve">Приложение № 1</w:t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</w:r>
    </w:p>
    <w:p>
      <w:pPr>
        <w:pStyle w:val="1441"/>
        <w:contextualSpacing/>
        <w:jc w:val="right"/>
        <w:shd w:val="clear" w:color="ffffff" w:themeColor="background1" w:fill="ffffff" w:themeFill="background1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к государственному контракту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pStyle w:val="1441"/>
        <w:contextualSpacing/>
        <w:jc w:val="left"/>
        <w:shd w:val="clear" w:color="ffffff" w:themeColor="background1" w:fill="ffffff" w:themeFill="background1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  <w:highlight w:val="white"/>
        </w:rPr>
        <w:t xml:space="preserve">  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                           </w:t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jc w:val="center"/>
        <w:shd w:val="clear" w:color="ffffff" w:themeColor="background1" w:fill="ffffff" w:themeFill="background1"/>
        <w:tabs>
          <w:tab w:val="left" w:pos="6855" w:leader="none"/>
        </w:tabs>
        <w:rPr>
          <w:b/>
          <w:sz w:val="22"/>
          <w:szCs w:val="22"/>
          <w:highlight w:val="white"/>
        </w:rPr>
      </w:pPr>
      <w:r>
        <w:rPr>
          <w:b/>
          <w:sz w:val="22"/>
          <w:szCs w:val="22"/>
          <w:highlight w:val="white"/>
        </w:rPr>
        <w:t xml:space="preserve">Техническое задание</w:t>
      </w:r>
      <w:r>
        <w:rPr>
          <w:b/>
          <w:sz w:val="22"/>
          <w:szCs w:val="22"/>
          <w:highlight w:val="white"/>
        </w:rPr>
      </w:r>
      <w:r>
        <w:rPr>
          <w:b/>
          <w:sz w:val="22"/>
          <w:szCs w:val="22"/>
          <w:highlight w:val="white"/>
        </w:rPr>
      </w:r>
    </w:p>
    <w:p>
      <w:pPr>
        <w:jc w:val="center"/>
        <w:shd w:val="clear" w:color="auto" w:fill="ffffff" w:themeFill="background1"/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none"/>
          <w:shd w:val="clear" w:color="auto" w:fill="fafafa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2"/>
          <w:szCs w:val="22"/>
        </w:rPr>
        <w:t xml:space="preserve">на о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t xml:space="preserve">казание услуг по доработке программного комплекса «Мониторинг, аналитика, планирование обязательного медицинского страхования»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none"/>
          <w:shd w:val="clear" w:color="auto" w:fill="fafafa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none"/>
          <w:shd w:val="clear" w:color="auto" w:fill="fafafa"/>
        </w:rPr>
      </w:r>
    </w:p>
    <w:p>
      <w:pPr>
        <w:jc w:val="center"/>
        <w:shd w:val="clear" w:color="auto" w:fill="ffffff" w:themeFill="background1"/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t xml:space="preserve">для нужд ТФОМС СК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</w:r>
    </w:p>
    <w:p>
      <w:pPr>
        <w:jc w:val="center"/>
        <w:rPr>
          <w:bCs/>
          <w:i/>
          <w:color w:val="ff0000"/>
          <w:sz w:val="22"/>
          <w:szCs w:val="22"/>
          <w:highlight w:val="none"/>
          <w:shd w:val="clear" w:color="auto" w:fill="ffffff"/>
        </w:rPr>
      </w:pPr>
      <w:r>
        <w:rPr>
          <w:i/>
          <w:color w:val="ff0000"/>
          <w:sz w:val="22"/>
          <w:szCs w:val="22"/>
        </w:rPr>
        <w:t xml:space="preserve">(прилагается к контакту отдельным документом)</w:t>
      </w:r>
      <w:r>
        <w:rPr>
          <w:bCs/>
          <w:i/>
          <w:color w:val="ff0000"/>
          <w:sz w:val="22"/>
          <w:szCs w:val="22"/>
          <w:highlight w:val="none"/>
          <w:shd w:val="clear" w:color="auto" w:fill="ffffff"/>
        </w:rPr>
      </w:r>
      <w:r>
        <w:rPr>
          <w:bCs/>
          <w:i/>
          <w:color w:val="ff0000"/>
          <w:sz w:val="22"/>
          <w:szCs w:val="22"/>
          <w:highlight w:val="none"/>
          <w:shd w:val="clear" w:color="auto" w:fill="ffffff"/>
        </w:rPr>
      </w:r>
    </w:p>
    <w:p>
      <w:pPr>
        <w:jc w:val="center"/>
        <w:rPr>
          <w:bCs/>
          <w:i/>
          <w:sz w:val="20"/>
          <w:szCs w:val="20"/>
          <w:highlight w:val="none"/>
        </w:rPr>
      </w:pPr>
      <w:r>
        <w:rPr>
          <w:bCs/>
          <w:i/>
          <w:sz w:val="20"/>
          <w:szCs w:val="20"/>
          <w:highlight w:val="none"/>
        </w:rPr>
      </w:r>
      <w:r>
        <w:rPr>
          <w:bCs/>
          <w:i/>
          <w:sz w:val="20"/>
          <w:szCs w:val="20"/>
          <w:highlight w:val="none"/>
        </w:rPr>
      </w:r>
      <w:r>
        <w:rPr>
          <w:bCs/>
          <w:i/>
          <w:sz w:val="20"/>
          <w:szCs w:val="20"/>
          <w:highlight w:val="none"/>
        </w:rPr>
      </w:r>
    </w:p>
    <w:tbl>
      <w:tblPr>
        <w:tblW w:w="1459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827"/>
        <w:gridCol w:w="10771"/>
      </w:tblGrid>
      <w:tr>
        <w:tblPrEx/>
        <w:trPr>
          <w:trHeight w:val="87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82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sz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 w:val="0"/>
                <w:sz w:val="20"/>
              </w:rPr>
              <w:t xml:space="preserve"> ТРУ,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sz w:val="20"/>
              </w:rPr>
              <w:t xml:space="preserve">ОКПД2, КТРУ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771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b w:val="0"/>
                <w:sz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b/>
                <w:highlight w:val="white"/>
              </w:rPr>
            </w:pPr>
            <w:r>
              <w:rPr>
                <w:rFonts w:ascii="Times New Roman" w:hAnsi="Times New Roman" w:cs="Times New Roman"/>
                <w:b w:val="0"/>
                <w:sz w:val="20"/>
                <w:highlight w:val="white"/>
              </w:rPr>
              <w:t xml:space="preserve">Наименование характеристики услуги</w:t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</w:p>
        </w:tc>
      </w:tr>
      <w:tr>
        <w:tblPrEx/>
        <w:trPr>
          <w:trHeight w:val="4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Доработка программного комплекса «Мониторинг, аналитика планирование обязательного медицинского страхования» и его </w:t>
            </w:r>
            <w:r>
              <w:rPr>
                <w:rFonts w:ascii="Times New Roman" w:hAnsi="Times New Roman" w:cs="Times New Roman"/>
                <w:shd w:val="clear" w:color="auto" w:fill="ffffff"/>
              </w:rPr>
            </w:r>
            <w:r>
              <w:rPr>
                <w:rFonts w:ascii="Times New Roman" w:hAnsi="Times New Roman" w:cs="Times New Roman"/>
                <w:shd w:val="clear" w:color="auto" w:fill="ffffff"/>
              </w:rPr>
            </w:r>
          </w:p>
          <w:p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переводу с СУБД </w:t>
            </w: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Microsoft</w:t>
            </w: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 SQL </w:t>
            </w: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Server</w:t>
            </w: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 на </w:t>
            </w: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Postgres</w:t>
            </w: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Pro</w:t>
            </w: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 и с операционной системы </w:t>
            </w: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Windows</w:t>
            </w: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 на операционную систему Альт</w:t>
            </w:r>
            <w:r>
              <w:rPr>
                <w:rFonts w:ascii="Times New Roman" w:hAnsi="Times New Roman" w:cs="Times New Roman"/>
                <w:shd w:val="clear" w:color="auto" w:fill="ffffff"/>
              </w:rPr>
            </w:r>
            <w:r>
              <w:rPr>
                <w:rFonts w:ascii="Times New Roman" w:hAnsi="Times New Roman" w:cs="Times New Roman"/>
                <w:shd w:val="clear" w:color="auto" w:fill="ffffff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771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highlight w:val="white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0"/>
                <w:highlight w:val="white"/>
                <w:shd w:val="clear" w:color="auto" w:fill="ffff00"/>
              </w:rPr>
              <w:t xml:space="preserve">доработк</w:t>
            </w:r>
            <w:r>
              <w:rPr>
                <w:rFonts w:ascii="Times New Roman" w:hAnsi="Times New Roman" w:cs="Times New Roman"/>
                <w:sz w:val="20"/>
                <w:highlight w:val="white"/>
                <w:shd w:val="clear" w:color="auto" w:fill="ffff0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highlight w:val="white"/>
                <w:shd w:val="clear" w:color="auto" w:fill="ffff00"/>
              </w:rPr>
              <w:t xml:space="preserve"> раздела «Анализ выполнения объемов и финансового обеспечения МП» подсистемы «Докумен</w:t>
            </w:r>
            <w:r>
              <w:rPr>
                <w:rFonts w:ascii="Times New Roman" w:hAnsi="Times New Roman" w:cs="Times New Roman"/>
                <w:sz w:val="20"/>
                <w:highlight w:val="white"/>
                <w:shd w:val="clear" w:color="ffffff" w:themeColor="background1" w:fill="ffffff" w:themeFill="background1"/>
              </w:rPr>
              <w:t xml:space="preserve">ты </w:t>
            </w:r>
            <w:r>
              <w:rPr>
                <w:rFonts w:ascii="Times New Roman" w:hAnsi="Times New Roman" w:cs="Times New Roman"/>
                <w:sz w:val="20"/>
                <w:highlight w:val="white"/>
                <w:shd w:val="clear" w:color="auto" w:fill="ffff00"/>
              </w:rPr>
              <w:t xml:space="preserve">комиссии»</w:t>
            </w:r>
            <w:r>
              <w:rPr>
                <w:rFonts w:ascii="Times New Roman" w:hAnsi="Times New Roman" w:cs="Times New Roman"/>
                <w:highlight w:val="white"/>
                <w:shd w:val="clear" w:color="auto" w:fill="ffff00"/>
              </w:rPr>
            </w:r>
            <w:r>
              <w:rPr>
                <w:rFonts w:ascii="Times New Roman" w:hAnsi="Times New Roman" w:cs="Times New Roman"/>
                <w:highlight w:val="white"/>
                <w:shd w:val="clear" w:color="auto" w:fill="ffff00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771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доработк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 раздела «Отчеты» подсистемы «Документы комиссии»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7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850" w:leader="none"/>
                <w:tab w:val="left" w:pos="4395" w:leader="none"/>
              </w:tabs>
              <w:rPr>
                <w:shd w:val="clear" w:color="auto" w:fill="ffffff"/>
              </w:rPr>
            </w:pPr>
            <w:r>
              <w:rPr>
                <w:sz w:val="20"/>
                <w:shd w:val="clear" w:color="auto" w:fill="ffffff"/>
              </w:rPr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771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перевод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 ПК «МАПОМС» с СУБД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Microsoft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 SQL 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Server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на 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Postgres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Pro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 и с операционной системы 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Windows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 на операционную систему Альт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50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850" w:leader="none"/>
                <w:tab w:val="left" w:pos="4395" w:leader="none"/>
              </w:tabs>
              <w:rPr>
                <w:shd w:val="clear" w:color="auto" w:fill="ffffff"/>
              </w:rPr>
            </w:pPr>
            <w:r>
              <w:rPr>
                <w:sz w:val="20"/>
                <w:shd w:val="clear" w:color="auto" w:fill="ffffff"/>
              </w:rPr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771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обучение персонала категорий «Пользователь» и «Системный администратор» работе с ПК, вводимыми в эксплуатацию после 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доработки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- категории «Пользователь» не более 20 человек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highlight w:val="white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0"/>
                <w:highlight w:val="white"/>
                <w:shd w:val="clear" w:color="auto" w:fill="ffff0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highlight w:val="white"/>
                <w:shd w:val="clear" w:color="auto" w:fill="ffff0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highlight w:val="white"/>
                <w:shd w:val="clear" w:color="auto" w:fill="ffff00"/>
              </w:rPr>
              <w:t xml:space="preserve">категории «Системный администратор» не более 6 человек</w:t>
            </w:r>
            <w:r>
              <w:rPr>
                <w:rFonts w:ascii="Times New Roman" w:hAnsi="Times New Roman" w:cs="Times New Roman"/>
                <w:highlight w:val="white"/>
                <w:shd w:val="clear" w:color="auto" w:fill="ffff00"/>
              </w:rPr>
            </w:r>
            <w:r>
              <w:rPr>
                <w:rFonts w:ascii="Times New Roman" w:hAnsi="Times New Roman" w:cs="Times New Roman"/>
                <w:highlight w:val="white"/>
                <w:shd w:val="clear" w:color="auto" w:fill="ffff00"/>
              </w:rPr>
            </w:r>
          </w:p>
        </w:tc>
      </w:tr>
      <w:tr>
        <w:tblPrEx/>
        <w:trPr>
          <w:trHeight w:val="4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850" w:leader="none"/>
                <w:tab w:val="left" w:pos="4395" w:leader="none"/>
              </w:tabs>
              <w:rPr>
                <w:shd w:val="clear" w:color="auto" w:fill="ffffff"/>
              </w:rPr>
            </w:pPr>
            <w:r>
              <w:rPr>
                <w:sz w:val="20"/>
                <w:shd w:val="clear" w:color="auto" w:fill="ffffff"/>
              </w:rPr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771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разработка методики внедрения (поэтапного внедрения) 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доработанной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 версии ПК при условии одновременной эксплуатации текущей версии ПК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70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850" w:leader="none"/>
                <w:tab w:val="left" w:pos="4395" w:leader="none"/>
              </w:tabs>
              <w:rPr>
                <w:shd w:val="clear" w:color="auto" w:fill="ffffff"/>
              </w:rPr>
            </w:pPr>
            <w:r>
              <w:rPr>
                <w:sz w:val="20"/>
                <w:shd w:val="clear" w:color="auto" w:fill="ffffff"/>
              </w:rPr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771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разработка плана внедрения 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доработанной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 версии ПК, с учётом необходимости наполнения историческими данными и поэтапного подключения к ресурсам 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доработанного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 ПК иных программных средств, взаимодействие с которыми предусмотрено ТЗ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2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850" w:leader="none"/>
                <w:tab w:val="left" w:pos="4395" w:leader="none"/>
              </w:tabs>
              <w:rPr>
                <w:shd w:val="clear" w:color="auto" w:fill="ffffff"/>
              </w:rPr>
            </w:pPr>
            <w:r>
              <w:rPr>
                <w:sz w:val="20"/>
                <w:shd w:val="clear" w:color="auto" w:fill="ffffff"/>
              </w:rPr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771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установка и настройка 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доработанной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 версии ПК на ресурсах Заказчика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3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850" w:leader="none"/>
                <w:tab w:val="left" w:pos="4395" w:leader="none"/>
              </w:tabs>
              <w:rPr>
                <w:shd w:val="clear" w:color="auto" w:fill="ffffff"/>
              </w:rPr>
            </w:pPr>
            <w:r>
              <w:rPr>
                <w:sz w:val="20"/>
                <w:shd w:val="clear" w:color="auto" w:fill="ffffff"/>
              </w:rPr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771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обеспечение первоначального наполнения базы данных 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доработанного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 ПК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4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850" w:leader="none"/>
                <w:tab w:val="left" w:pos="4395" w:leader="none"/>
              </w:tabs>
              <w:rPr>
                <w:shd w:val="clear" w:color="auto" w:fill="ffffff"/>
              </w:rPr>
            </w:pPr>
            <w:r>
              <w:rPr>
                <w:sz w:val="20"/>
                <w:shd w:val="clear" w:color="auto" w:fill="ffffff"/>
              </w:rPr>
            </w:r>
            <w:r>
              <w:rPr>
                <w:shd w:val="clear" w:color="auto" w:fill="ffffff"/>
              </w:rPr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0771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настройка взаимодействия и обеспечение получения актуальных данных из иных программных комплексов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</w:tbl>
    <w:p>
      <w:pPr>
        <w:jc w:val="center"/>
        <w:rPr>
          <w:bCs/>
          <w:i/>
          <w:sz w:val="20"/>
          <w:szCs w:val="20"/>
          <w:highlight w:val="none"/>
        </w:rPr>
      </w:pPr>
      <w:r>
        <w:rPr>
          <w:bCs/>
          <w:i/>
          <w:sz w:val="22"/>
          <w:szCs w:val="22"/>
          <w:highlight w:val="none"/>
          <w:shd w:val="clear" w:color="auto" w:fill="ffffff"/>
        </w:rPr>
      </w:r>
      <w:r>
        <w:rPr>
          <w:bCs/>
          <w:i/>
          <w:sz w:val="20"/>
          <w:szCs w:val="20"/>
          <w:highlight w:val="none"/>
        </w:rPr>
      </w:r>
      <w:r>
        <w:rPr>
          <w:bCs/>
          <w:i/>
          <w:sz w:val="20"/>
          <w:szCs w:val="20"/>
          <w:highlight w:val="none"/>
        </w:rPr>
      </w:r>
    </w:p>
    <w:sectPr>
      <w:headerReference w:type="default" r:id="rId9"/>
      <w:footerReference w:type="default" r:id="rId10"/>
      <w:footnotePr/>
      <w:endnotePr/>
      <w:type w:val="nextPage"/>
      <w:pgSz w:w="16838" w:h="11906" w:orient="landscape"/>
      <w:pgMar w:top="851" w:right="1134" w:bottom="99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Tahoma">
    <w:panose1 w:val="020B0604030504040204"/>
  </w:font>
  <w:font w:name="Tempora LGC Uni">
    <w:panose1 w:val="02000603000000000000"/>
  </w:font>
  <w:font w:name="Segoe UI">
    <w:panose1 w:val="020B0502040504020204"/>
  </w:font>
  <w:font w:name="Lohit Devanagari">
    <w:panose1 w:val="02000603000000000000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5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1438"/>
        <w:jc w:val="both"/>
        <w:rPr>
          <w:i/>
          <w:sz w:val="18"/>
          <w:szCs w:val="18"/>
        </w:rPr>
      </w:pPr>
      <w:r>
        <w:rPr>
          <w:rStyle w:val="1440"/>
          <w:i/>
          <w:sz w:val="18"/>
          <w:szCs w:val="18"/>
        </w:rPr>
        <w:footnoteRef/>
      </w:r>
      <w:r>
        <w:rPr>
          <w:i/>
          <w:sz w:val="18"/>
          <w:szCs w:val="18"/>
        </w:rPr>
        <w:t xml:space="preserve"> Указывается фамилия, имя и отчество, а также должность должностного лица заказчика, уполномоченного на подписание государственного контракта.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</w:footnote>
  <w:footnote w:id="3">
    <w:p>
      <w:pPr>
        <w:pStyle w:val="1438"/>
        <w:jc w:val="both"/>
        <w:rPr>
          <w:i/>
          <w:sz w:val="18"/>
          <w:szCs w:val="18"/>
        </w:rPr>
      </w:pPr>
      <w:r>
        <w:rPr>
          <w:rStyle w:val="1440"/>
          <w:i/>
          <w:sz w:val="18"/>
          <w:szCs w:val="18"/>
        </w:rPr>
        <w:footnoteRef/>
      </w:r>
      <w:r>
        <w:rPr>
          <w:i/>
          <w:sz w:val="18"/>
          <w:szCs w:val="18"/>
        </w:rPr>
        <w:t xml:space="preserve"> Указывается документ (акт) со всеми реквизитами, на основании которого действует должностное лицо заказчика, уполномоченное на подписание государственного контракта.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</w:footnote>
  <w:footnote w:id="4">
    <w:p>
      <w:pPr>
        <w:pStyle w:val="1438"/>
        <w:jc w:val="both"/>
        <w:rPr>
          <w:i/>
          <w:sz w:val="18"/>
          <w:szCs w:val="18"/>
        </w:rPr>
      </w:pPr>
      <w:r>
        <w:rPr>
          <w:rStyle w:val="1440"/>
          <w:i/>
          <w:sz w:val="18"/>
          <w:szCs w:val="18"/>
        </w:rPr>
        <w:footnoteRef/>
      </w:r>
      <w:r>
        <w:rPr>
          <w:i/>
          <w:sz w:val="18"/>
          <w:szCs w:val="18"/>
        </w:rPr>
        <w:t xml:space="preserve"> Указывается полное наименование организации-поставщика (с указанием ее организационно-правовой формы) или фамилия, имя и отчество (при наличии) поставщика - физического лица, в том числе зарегистрированного в качестве индивидуального предпринимателя.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</w:footnote>
  <w:footnote w:id="5">
    <w:p>
      <w:pPr>
        <w:pStyle w:val="1438"/>
        <w:jc w:val="both"/>
        <w:rPr>
          <w:i/>
          <w:sz w:val="18"/>
          <w:szCs w:val="18"/>
        </w:rPr>
      </w:pPr>
      <w:r>
        <w:rPr>
          <w:rStyle w:val="1440"/>
          <w:i/>
          <w:sz w:val="18"/>
          <w:szCs w:val="18"/>
        </w:rPr>
        <w:footnoteRef/>
      </w:r>
      <w:r>
        <w:rPr>
          <w:i/>
          <w:sz w:val="18"/>
          <w:szCs w:val="18"/>
        </w:rPr>
        <w:t xml:space="preserve"> Указывается фамилия, имя и отчество (при наличии), а также должность (при наличии) представителя поставщика, уполномоченного на подписание государственного контракта.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</w:footnote>
  <w:footnote w:id="6">
    <w:p>
      <w:pPr>
        <w:pStyle w:val="1438"/>
        <w:jc w:val="both"/>
        <w:rPr>
          <w:i/>
          <w:sz w:val="18"/>
          <w:szCs w:val="18"/>
        </w:rPr>
      </w:pPr>
      <w:r>
        <w:rPr>
          <w:rStyle w:val="1440"/>
          <w:i/>
          <w:sz w:val="18"/>
          <w:szCs w:val="18"/>
        </w:rPr>
        <w:footnoteRef/>
      </w:r>
      <w:r>
        <w:rPr>
          <w:i/>
          <w:sz w:val="18"/>
          <w:szCs w:val="18"/>
        </w:rPr>
        <w:t xml:space="preserve"> Указывается документ (акт) со всеми реквизитами, на основании которого действует представитель поставщика, уполномоченный на подписание государственного контракта.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</w:footnote>
  <w:footnote w:id="7">
    <w:p>
      <w:pPr>
        <w:pStyle w:val="1438"/>
        <w:jc w:val="both"/>
        <w:rPr>
          <w:i/>
          <w:sz w:val="18"/>
          <w:szCs w:val="18"/>
        </w:rPr>
      </w:pPr>
      <w:r>
        <w:rPr>
          <w:i/>
          <w:sz w:val="18"/>
          <w:szCs w:val="18"/>
          <w:vertAlign w:val="superscript"/>
        </w:rPr>
        <w:footnoteRef/>
      </w:r>
      <w:r>
        <w:rPr>
          <w:i/>
          <w:sz w:val="18"/>
          <w:szCs w:val="18"/>
          <w:vertAlign w:val="superscript"/>
        </w:rPr>
        <w:t xml:space="preserve"> </w:t>
      </w:r>
      <w:r>
        <w:rPr>
          <w:i/>
          <w:sz w:val="18"/>
          <w:szCs w:val="18"/>
        </w:rPr>
        <w:t xml:space="preserve">В случае если Контракт заключается по результатам электронного аукциона, который проводился на право заключения контракта в соответствии с </w:t>
      </w:r>
      <w:r>
        <w:rPr>
          <w:i/>
          <w:sz w:val="18"/>
          <w:szCs w:val="18"/>
        </w:rPr>
        <w:t xml:space="preserve">пунктом 9 части 3 статьи </w:t>
      </w:r>
      <w:hyperlink r:id="rId1" w:tooltip="consultantplus://offline/ref=2A829C8BE7B542039EBA3520D098DE0E835F864D5DF62D0D225C734443374B3CD8DAD7AB8471DF258DADE354A1962BC0B30F00C394AAA4A475P3L" w:history="1">
        <w:r>
          <w:rPr>
            <w:i/>
            <w:sz w:val="18"/>
            <w:szCs w:val="18"/>
          </w:rPr>
          <w:t xml:space="preserve">49</w:t>
        </w:r>
      </w:hyperlink>
      <w:r>
        <w:rPr>
          <w:i/>
          <w:sz w:val="18"/>
          <w:szCs w:val="18"/>
        </w:rP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нужд", слова "и оплатить" в текст Контракта не включаются.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</w:footnote>
  <w:footnote w:id="8">
    <w:p>
      <w:pPr>
        <w:pStyle w:val="1438"/>
        <w:contextualSpacing/>
        <w:ind w:firstLine="0"/>
        <w:jc w:val="both"/>
        <w:rPr>
          <w:i/>
          <w:sz w:val="18"/>
          <w:szCs w:val="18"/>
          <w:lang w:eastAsia="ru-RU"/>
        </w:rPr>
      </w:pPr>
      <w:r>
        <w:rPr>
          <w:b/>
          <w:i/>
          <w:vertAlign w:val="superscript"/>
          <w:lang w:eastAsia="ru-RU"/>
        </w:rPr>
        <w:t xml:space="preserve">            </w:t>
      </w:r>
      <w:r>
        <w:rPr>
          <w:b/>
          <w:bCs/>
          <w:i/>
          <w:vertAlign w:val="superscript"/>
          <w:lang w:eastAsia="ru-RU"/>
        </w:rPr>
        <w:t xml:space="preserve"> </w:t>
        <w:footnoteRef/>
      </w:r>
      <w:r>
        <w:rPr>
          <w:b/>
          <w:i/>
          <w:vertAlign w:val="superscript"/>
          <w:lang w:eastAsia="ru-RU"/>
        </w:rPr>
        <w:t xml:space="preserve"> </w:t>
      </w:r>
      <w:r>
        <w:rPr>
          <w:i/>
          <w:sz w:val="18"/>
          <w:szCs w:val="18"/>
          <w:lang w:eastAsia="ru-RU"/>
        </w:rPr>
        <w:t xml:space="preserve">10 % </w:t>
      </w:r>
      <w:r>
        <w:rPr>
          <w:i/>
          <w:sz w:val="18"/>
          <w:szCs w:val="18"/>
          <w:lang w:eastAsia="ru-RU"/>
        </w:rPr>
        <w:t xml:space="preserve">про</w:t>
      </w:r>
      <w:r>
        <w:rPr>
          <w:i/>
          <w:sz w:val="18"/>
          <w:szCs w:val="18"/>
          <w:lang w:eastAsia="ru-RU"/>
        </w:rPr>
        <w:t xml:space="preserve">центов</w:t>
      </w:r>
      <w:r>
        <w:rPr>
          <w:i/>
          <w:sz w:val="18"/>
          <w:szCs w:val="18"/>
          <w:lang w:eastAsia="ru-RU"/>
        </w:rPr>
        <w:t xml:space="preserve"> цены контракта</w:t>
      </w:r>
      <w:r>
        <w:rPr>
          <w:i/>
          <w:sz w:val="18"/>
          <w:szCs w:val="18"/>
          <w:lang w:eastAsia="ru-RU"/>
        </w:rPr>
        <w:t xml:space="preserve">.</w:t>
      </w:r>
      <w:r>
        <w:rPr>
          <w:i/>
          <w:sz w:val="18"/>
          <w:szCs w:val="18"/>
          <w:lang w:eastAsia="ru-RU"/>
        </w:rPr>
        <w:t xml:space="preserve"> </w:t>
      </w:r>
      <w:r>
        <w:rPr>
          <w:i/>
          <w:sz w:val="18"/>
          <w:szCs w:val="18"/>
          <w:lang w:eastAsia="ru-RU"/>
        </w:rPr>
      </w:r>
      <w:r>
        <w:rPr>
          <w:i/>
          <w:sz w:val="18"/>
          <w:szCs w:val="18"/>
          <w:lang w:eastAsia="ru-RU"/>
        </w:rPr>
      </w:r>
    </w:p>
  </w:footnote>
  <w:footnote w:id="9">
    <w:p>
      <w:pPr>
        <w:jc w:val="both"/>
        <w:widowControl/>
        <w:rPr>
          <w:rFonts w:eastAsiaTheme="minorHAnsi"/>
          <w:i/>
          <w:iCs/>
          <w:sz w:val="18"/>
          <w:szCs w:val="18"/>
          <w:lang w:eastAsia="en-US"/>
        </w:rPr>
      </w:pPr>
      <w:r>
        <w:rPr>
          <w:sz w:val="18"/>
          <w:szCs w:val="18"/>
        </w:rPr>
        <w:t xml:space="preserve">           </w:t>
      </w:r>
      <w:r>
        <w:rPr>
          <w:sz w:val="18"/>
          <w:szCs w:val="18"/>
        </w:rPr>
        <w:t xml:space="preserve"> </w:t>
      </w:r>
      <w:r>
        <w:rPr>
          <w:rStyle w:val="1440"/>
          <w:b/>
          <w:i/>
          <w:sz w:val="20"/>
          <w:szCs w:val="20"/>
        </w:rPr>
        <w:footnoteRef/>
      </w:r>
      <w:r>
        <w:rPr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В случае, если участником закупки, с которым </w:t>
      </w:r>
      <w:r>
        <w:rPr>
          <w:i/>
          <w:sz w:val="18"/>
          <w:szCs w:val="18"/>
        </w:rPr>
        <w:t xml:space="preserve">заключается Контракт, предложена цена контракта, которая на двадцать пять и более процентов ниже начальной (максимальной) цены контракта, Контракт заключается только после предоставления таким участником обеспечения исполнения контракта с учетом положений </w:t>
      </w:r>
      <w:hyperlink r:id="rId2" w:tooltip="consultantplus://offline/ref=9E8B2215E856F5C40DA1F9A1C10AC82EF5825FE276D025190EA63CC629CE1E06B358B02682D2AE0774E79F60B1580F426AC211019A012221u1d7J" w:history="1">
        <w:r>
          <w:rPr>
            <w:i/>
            <w:sz w:val="18"/>
            <w:szCs w:val="18"/>
          </w:rPr>
          <w:t xml:space="preserve">статьи 37</w:t>
        </w:r>
      </w:hyperlink>
      <w:r>
        <w:rPr>
          <w:i/>
          <w:sz w:val="18"/>
          <w:szCs w:val="18"/>
        </w:rPr>
        <w:t xml:space="preserve"> Федерального закона от 5 апреля 20</w:t>
      </w:r>
      <w:r>
        <w:rPr>
          <w:i/>
          <w:sz w:val="18"/>
          <w:szCs w:val="18"/>
        </w:rPr>
        <w:t xml:space="preserve">13 г. N 44-ФЗ "О контрактной системе в сфере закупок товаров, работ, услуг для обеспечения государственных и муниципальных нужд" в размере, превышающем в полтора раза размер обеспечения исполнения контракта, указанный в извещении об осуществлении закупки, </w:t>
      </w:r>
      <w:r>
        <w:rPr>
          <w:i/>
          <w:color w:val="1f4e79" w:themeColor="accent1" w:themeShade="80"/>
          <w:sz w:val="18"/>
          <w:szCs w:val="18"/>
        </w:rPr>
        <w:t xml:space="preserve">но не менее чем десять процентов от цены заключаемого контракта (если контракт заключается по результатам определения поставщика (подрядчика, исполнителя) в соответствии с </w:t>
      </w:r>
      <w:hyperlink r:id="rId3" w:tooltip="consultantplus://offline/ref=8F686E1EA2C6934BFE950F783F94FAB1592F3DE3D713B2ABAEBC30AFFF6F42F3449EDBD5EB4FD9C50688E281921068696D66172D95F0v8H4N" w:history="1">
        <w:r>
          <w:rPr>
            <w:i/>
            <w:color w:val="1f4e79" w:themeColor="accent1" w:themeShade="80"/>
            <w:sz w:val="18"/>
            <w:szCs w:val="18"/>
          </w:rPr>
          <w:t xml:space="preserve">пунктом 1 части 1 статьи 30</w:t>
        </w:r>
      </w:hyperlink>
      <w:r>
        <w:rPr>
          <w:i/>
          <w:color w:val="1f4e79" w:themeColor="accent1" w:themeShade="80"/>
          <w:sz w:val="18"/>
          <w:szCs w:val="18"/>
        </w:rPr>
        <w:t xml:space="preserve"> Федерального закона </w:t>
      </w:r>
      <w:r>
        <w:rPr>
          <w:rFonts w:eastAsia="Arial"/>
          <w:i/>
          <w:color w:val="1f4e79" w:themeColor="accent1" w:themeShade="80"/>
          <w:spacing w:val="-2"/>
          <w:sz w:val="18"/>
          <w:szCs w:val="18"/>
          <w:lang w:eastAsia="ar-SA"/>
        </w:rPr>
        <w:t xml:space="preserve">№ 44-ФЗ,</w:t>
      </w:r>
      <w:r>
        <w:rPr>
          <w:rFonts w:eastAsiaTheme="minorHAnsi"/>
          <w:color w:val="1f4e79" w:themeColor="accent1" w:themeShade="80"/>
          <w:sz w:val="18"/>
          <w:szCs w:val="18"/>
          <w:lang w:eastAsia="en-US"/>
        </w:rPr>
        <w:t xml:space="preserve"> </w:t>
      </w:r>
      <w:r>
        <w:rPr>
          <w:rFonts w:eastAsiaTheme="minorHAnsi"/>
          <w:i/>
          <w:sz w:val="18"/>
          <w:szCs w:val="18"/>
          <w:lang w:eastAsia="en-US"/>
        </w:rPr>
        <w:t xml:space="preserve">или информации, подтверждающей добросовестность такого участника в соответствии с </w:t>
      </w:r>
      <w:hyperlink r:id="rId4" w:tooltip="consultantplus://offline/ref=DC7B8EBB214CA91E528348CE44BC4CA1DB339B4011481E92C4BB7DE0E1D2DAB29ADC7CF35E6159764E5B1EBAF5B31BCCDACAAC7BF4B51610j2uFI" w:history="1">
        <w:r>
          <w:rPr>
            <w:rFonts w:eastAsiaTheme="minorHAnsi"/>
            <w:i/>
            <w:sz w:val="18"/>
            <w:szCs w:val="18"/>
            <w:lang w:eastAsia="en-US"/>
          </w:rPr>
          <w:t xml:space="preserve">частью 3</w:t>
        </w:r>
      </w:hyperlink>
      <w:r>
        <w:rPr>
          <w:rFonts w:eastAsiaTheme="minorHAnsi"/>
          <w:i/>
          <w:sz w:val="18"/>
          <w:szCs w:val="18"/>
          <w:lang w:eastAsia="en-US"/>
        </w:rPr>
        <w:t xml:space="preserve"> статьи 37</w:t>
      </w:r>
      <w:r>
        <w:rPr>
          <w:i/>
          <w:sz w:val="18"/>
          <w:szCs w:val="18"/>
        </w:rPr>
        <w:t xml:space="preserve"> Федерального закона </w:t>
      </w:r>
      <w:r>
        <w:rPr>
          <w:rFonts w:eastAsia="Arial"/>
          <w:i/>
          <w:spacing w:val="-2"/>
          <w:sz w:val="18"/>
          <w:szCs w:val="18"/>
          <w:lang w:eastAsia="ar-SA"/>
        </w:rPr>
        <w:t xml:space="preserve">№ 44-ФЗ </w:t>
      </w:r>
      <w:r>
        <w:rPr>
          <w:rFonts w:eastAsiaTheme="minorHAnsi"/>
          <w:i/>
          <w:iCs/>
          <w:sz w:val="18"/>
          <w:szCs w:val="18"/>
          <w:lang w:eastAsia="en-US"/>
        </w:rPr>
        <w:t xml:space="preserve">(при этом цена одного из таких контрактов должна составлять не менее чем двадцать процентов начальной (максимальной) цены контракта, указанной в извещении об осуществлении закупки</w:t>
      </w:r>
      <w:r>
        <w:rPr>
          <w:rFonts w:eastAsiaTheme="minorHAnsi"/>
          <w:i/>
          <w:sz w:val="18"/>
          <w:szCs w:val="18"/>
          <w:lang w:eastAsia="en-US"/>
        </w:rPr>
        <w:t xml:space="preserve">, с одновременным предоставлением таким участником обеспечения исполнения контракта в размере обеспечения исполнения контракта, указанном в извещении об осуществлении закупки.</w:t>
      </w:r>
      <w:r>
        <w:rPr>
          <w:rFonts w:eastAsiaTheme="minorHAnsi"/>
          <w:i/>
          <w:iCs/>
          <w:sz w:val="18"/>
          <w:szCs w:val="18"/>
          <w:lang w:eastAsia="en-US"/>
        </w:rPr>
      </w:r>
      <w:r>
        <w:rPr>
          <w:rFonts w:eastAsiaTheme="minorHAnsi"/>
          <w:i/>
          <w:iCs/>
          <w:sz w:val="18"/>
          <w:szCs w:val="18"/>
          <w:lang w:eastAsia="en-US"/>
        </w:rPr>
      </w:r>
    </w:p>
  </w:footnote>
  <w:footnote w:id="10">
    <w:p>
      <w:pPr>
        <w:jc w:val="both"/>
        <w:widowControl/>
        <w:rPr>
          <w:rFonts w:eastAsiaTheme="minorHAnsi"/>
          <w:i/>
          <w:sz w:val="18"/>
          <w:szCs w:val="18"/>
          <w:lang w:eastAsia="en-US"/>
        </w:rPr>
      </w:pPr>
      <w:r>
        <w:t xml:space="preserve">       </w:t>
      </w:r>
      <w:r>
        <w:rPr>
          <w:rStyle w:val="1440"/>
          <w:b/>
          <w:i/>
          <w:sz w:val="20"/>
          <w:szCs w:val="20"/>
        </w:rPr>
        <w:footnoteRef/>
      </w:r>
      <w:r>
        <w:t xml:space="preserve"> </w:t>
      </w:r>
      <w:r>
        <w:rPr>
          <w:rFonts w:eastAsiaTheme="minorHAnsi"/>
          <w:i/>
          <w:sz w:val="18"/>
          <w:szCs w:val="18"/>
          <w:lang w:eastAsia="en-US"/>
        </w:rPr>
        <w:t xml:space="preserve">Участник закупки, с которым заключается контракт по результатам определения поставщика (подрядчика, исполнителя) в соответствии с </w:t>
      </w:r>
      <w:hyperlink r:id="rId5" w:tooltip="consultantplus://offline/ref=5F710D84E0CB0E7357D5DE5F114EEBE52F976D925C8C75FA6354261547C41ECF07079846456DD143B642CD80A74EC8EB04BE96EB24A4110AgCBCJ" w:history="1">
        <w:r>
          <w:rPr>
            <w:rFonts w:eastAsiaTheme="minorHAnsi"/>
            <w:i/>
            <w:sz w:val="18"/>
            <w:szCs w:val="18"/>
            <w:lang w:eastAsia="en-US"/>
          </w:rPr>
          <w:t xml:space="preserve">пунктом 1 части 1 статьи 30</w:t>
        </w:r>
      </w:hyperlink>
      <w:r>
        <w:rPr>
          <w:i/>
          <w:sz w:val="18"/>
          <w:szCs w:val="18"/>
        </w:rPr>
        <w:t xml:space="preserve"> Федерального закона </w:t>
      </w:r>
      <w:r>
        <w:rPr>
          <w:rFonts w:eastAsia="Arial"/>
          <w:i/>
          <w:spacing w:val="-2"/>
          <w:sz w:val="18"/>
          <w:szCs w:val="18"/>
          <w:lang w:eastAsia="ar-SA"/>
        </w:rPr>
        <w:t xml:space="preserve">№ 44-ФЗ</w:t>
      </w:r>
      <w:r>
        <w:rPr>
          <w:rFonts w:eastAsiaTheme="minorHAnsi"/>
          <w:i/>
          <w:sz w:val="18"/>
          <w:szCs w:val="18"/>
          <w:lang w:eastAsia="en-US"/>
        </w:rPr>
        <w:t xml:space="preserve">, освобождается от предоставления обеспечения исполнения контракта, в том числе с учетом положений </w:t>
      </w:r>
      <w:hyperlink r:id="rId6" w:tooltip="consultantplus://offline/ref=5F710D84E0CB0E7357D5DE5F114EEBE52F976D925C8C75FA6354261547C41ECF07079846456CDD45B942CD80A74EC8EB04BE96EB24A4110AgCBCJ" w:history="1">
        <w:r>
          <w:rPr>
            <w:rFonts w:eastAsiaTheme="minorHAnsi"/>
            <w:i/>
            <w:sz w:val="18"/>
            <w:szCs w:val="18"/>
            <w:lang w:eastAsia="en-US"/>
          </w:rPr>
          <w:t xml:space="preserve">статьи 37</w:t>
        </w:r>
      </w:hyperlink>
      <w:r>
        <w:rPr>
          <w:rFonts w:eastAsiaTheme="minorHAnsi"/>
          <w:i/>
          <w:sz w:val="18"/>
          <w:szCs w:val="18"/>
          <w:lang w:eastAsia="en-US"/>
        </w:rPr>
        <w:t xml:space="preserve"> </w:t>
      </w:r>
      <w:r>
        <w:rPr>
          <w:i/>
          <w:sz w:val="18"/>
          <w:szCs w:val="18"/>
        </w:rPr>
        <w:t xml:space="preserve">Федерального закона </w:t>
      </w:r>
      <w:r>
        <w:rPr>
          <w:rFonts w:eastAsia="Arial"/>
          <w:i/>
          <w:spacing w:val="-2"/>
          <w:sz w:val="18"/>
          <w:szCs w:val="18"/>
          <w:lang w:eastAsia="ar-SA"/>
        </w:rPr>
        <w:t xml:space="preserve">№ 44-ФЗ</w:t>
      </w:r>
      <w:r>
        <w:rPr>
          <w:rFonts w:eastAsiaTheme="minorHAnsi"/>
          <w:i/>
          <w:sz w:val="18"/>
          <w:szCs w:val="18"/>
          <w:lang w:eastAsia="en-US"/>
        </w:rPr>
        <w:t xml:space="preserve">, от обеспечения гарантийных обязательств в случае предоставления таким участником закупки информации, содержащейся в реестре конт</w:t>
      </w:r>
      <w:r>
        <w:rPr>
          <w:rFonts w:eastAsiaTheme="minorHAnsi"/>
          <w:i/>
          <w:sz w:val="18"/>
          <w:szCs w:val="18"/>
          <w:lang w:eastAsia="en-US"/>
        </w:rPr>
        <w:t xml:space="preserve">рактов, заключенных заказчиками, и подтверждающей исполнение таким участником (без учета правопреемства) в течение трех лет до даты подачи заявки на участие в закупке трех контрактов, исполненных без применения к такому участнику неустоек (штрафов, пеней).</w:t>
      </w:r>
      <w:r>
        <w:rPr>
          <w:rFonts w:eastAsiaTheme="minorHAnsi"/>
          <w:i/>
          <w:sz w:val="18"/>
          <w:szCs w:val="18"/>
          <w:lang w:eastAsia="en-US"/>
        </w:rPr>
      </w:r>
      <w:r>
        <w:rPr>
          <w:rFonts w:eastAsiaTheme="minorHAnsi"/>
          <w:i/>
          <w:sz w:val="18"/>
          <w:szCs w:val="18"/>
          <w:lang w:eastAsia="en-US"/>
        </w:rPr>
      </w:r>
    </w:p>
    <w:p>
      <w:pPr>
        <w:jc w:val="both"/>
        <w:widowControl/>
        <w:rPr>
          <w:rFonts w:eastAsiaTheme="minorHAnsi"/>
          <w:i/>
          <w:sz w:val="18"/>
          <w:szCs w:val="18"/>
          <w:lang w:eastAsia="en-US"/>
        </w:rPr>
      </w:pPr>
      <w:r>
        <w:rPr>
          <w:rFonts w:eastAsiaTheme="minorHAnsi"/>
          <w:i/>
          <w:sz w:val="18"/>
          <w:szCs w:val="18"/>
          <w:lang w:eastAsia="en-US"/>
        </w:rPr>
        <w:t xml:space="preserve">При этом сумма цен таких контрактов должна составлять не менее начальной (максимальной) цены контракта, указанной в извещении об осуществлении закупки</w:t>
      </w:r>
      <w:r>
        <w:rPr>
          <w:rFonts w:eastAsiaTheme="minorHAnsi"/>
          <w:i/>
          <w:sz w:val="18"/>
          <w:szCs w:val="18"/>
          <w:lang w:eastAsia="en-US"/>
        </w:rPr>
        <w:t xml:space="preserve">.</w:t>
      </w:r>
      <w:r>
        <w:rPr>
          <w:rFonts w:eastAsiaTheme="minorHAnsi"/>
          <w:i/>
          <w:sz w:val="18"/>
          <w:szCs w:val="18"/>
          <w:lang w:eastAsia="en-US"/>
        </w:rPr>
      </w:r>
      <w:r>
        <w:rPr>
          <w:rFonts w:eastAsiaTheme="minorHAnsi"/>
          <w:i/>
          <w:sz w:val="18"/>
          <w:szCs w:val="18"/>
          <w:lang w:eastAsia="en-US"/>
        </w:rPr>
      </w:r>
    </w:p>
    <w:p>
      <w:pPr>
        <w:jc w:val="both"/>
        <w:widowControl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</w:r>
      <w:r>
        <w:rPr>
          <w:rFonts w:eastAsiaTheme="minorHAnsi"/>
          <w:sz w:val="20"/>
          <w:szCs w:val="20"/>
          <w:lang w:eastAsia="en-US"/>
        </w:rPr>
      </w:r>
      <w:r>
        <w:rPr>
          <w:rFonts w:eastAsiaTheme="minorHAnsi"/>
          <w:sz w:val="20"/>
          <w:szCs w:val="20"/>
          <w:lang w:eastAsia="en-US"/>
        </w:rPr>
      </w:r>
    </w:p>
    <w:p>
      <w:pPr>
        <w:pStyle w:val="1438"/>
        <w:rPr>
          <w:b/>
          <w:i/>
        </w:rPr>
      </w:pPr>
      <w:r>
        <w:t xml:space="preserve"> </w:t>
      </w:r>
      <w:r>
        <w:rPr>
          <w:b/>
          <w:i/>
        </w:rPr>
      </w:r>
      <w:r>
        <w:rPr>
          <w:b/>
          <w:i/>
        </w:rPr>
      </w:r>
    </w:p>
  </w:footnote>
  <w:footnote w:id="11">
    <w:p>
      <w:pPr>
        <w:pStyle w:val="1438"/>
        <w:jc w:val="both"/>
        <w:rPr>
          <w:i/>
          <w:sz w:val="18"/>
          <w:szCs w:val="18"/>
        </w:rPr>
      </w:pPr>
      <w:r>
        <w:rPr>
          <w:rStyle w:val="1440"/>
        </w:rPr>
        <w:footnoteRef/>
      </w:r>
      <w:r>
        <w:t xml:space="preserve"> </w:t>
      </w:r>
      <w:r>
        <w:rPr>
          <w:i/>
          <w:sz w:val="18"/>
          <w:szCs w:val="18"/>
        </w:rPr>
        <w:t xml:space="preserve">Заполняется при подготовке проекта контракта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</w:footnote>
  <w:footnote w:id="12">
    <w:p>
      <w:pPr>
        <w:pStyle w:val="1438"/>
        <w:jc w:val="both"/>
        <w:rPr>
          <w:sz w:val="18"/>
          <w:szCs w:val="18"/>
        </w:rPr>
      </w:pPr>
      <w:r>
        <w:rPr>
          <w:rStyle w:val="1440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Данный подпункт не включается в текст Контракта в случае, если Контракт заключается по результатам электронного аукциона, который проводился на право заключения контракта в соответствии с </w:t>
      </w:r>
      <w:r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пунктом 9 части 3 статьи </w:t>
      </w:r>
      <w:hyperlink r:id="rId7" w:tooltip="consultantplus://offline/ref=2A829C8BE7B542039EBA3520D098DE0E835F864D5DF62D0D225C734443374B3CD8DAD7AB8471DF258DADE354A1962BC0B30F00C394AAA4A475P3L" w:history="1">
        <w:r>
          <w:rPr>
            <w:i/>
            <w:sz w:val="18"/>
            <w:szCs w:val="18"/>
          </w:rPr>
          <w:t xml:space="preserve">49</w:t>
        </w:r>
      </w:hyperlink>
      <w:r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нужд".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13">
    <w:p>
      <w:pPr>
        <w:pStyle w:val="1438"/>
        <w:contextualSpacing/>
        <w:jc w:val="both"/>
        <w:rPr>
          <w:bCs/>
          <w:i/>
          <w:sz w:val="18"/>
          <w:szCs w:val="1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i/>
          <w:iCs/>
          <w:sz w:val="18"/>
          <w:szCs w:val="18"/>
        </w:rPr>
        <w:footnoteRef/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 xml:space="preserve">Е</w:t>
      </w:r>
      <w:r>
        <w:rPr>
          <w:i/>
          <w:iCs/>
          <w:sz w:val="18"/>
          <w:szCs w:val="18"/>
        </w:rPr>
        <w:t xml:space="preserve">сли постановлением Правительства  Российской Федерации № 1875 установлен предусмотренный </w:t>
      </w:r>
      <w:hyperlink r:id="rId8" w:tooltip="https://login.consultant.ru/link/?req=doc&amp;base=LAW&amp;n=494990&amp;dst=12374&amp;field=134&amp;date=02.10.2025" w:history="1">
        <w:r>
          <w:rPr>
            <w:i/>
            <w:iCs/>
            <w:sz w:val="18"/>
            <w:szCs w:val="18"/>
          </w:rPr>
          <w:t xml:space="preserve">подпунктом «а» пункта 1 части 2</w:t>
        </w:r>
      </w:hyperlink>
      <w:r>
        <w:rPr>
          <w:i/>
          <w:iCs/>
          <w:sz w:val="18"/>
          <w:szCs w:val="18"/>
        </w:rPr>
        <w:t xml:space="preserve">  статьи 14 Федерального закона № 44-ФЗ запрет закупок товара ,</w:t>
      </w:r>
      <w:r>
        <w:rPr>
          <w:i/>
          <w:iCs/>
          <w:sz w:val="18"/>
          <w:szCs w:val="18"/>
        </w:rPr>
        <w:t xml:space="preserve">при исполнении контракта замена такого товара на происходящий из иностранного государства товар, в отношении которого установлен данный запрет, не допускается.</w:t>
      </w:r>
      <w:r>
        <w:rPr>
          <w:bCs/>
          <w:i/>
          <w:sz w:val="18"/>
          <w:szCs w:val="18"/>
          <w14:ligatures w14:val="none"/>
        </w:rPr>
      </w:r>
      <w:r>
        <w:rPr>
          <w:bCs/>
          <w:i/>
          <w:sz w:val="18"/>
          <w:szCs w:val="18"/>
          <w14:ligatures w14:val="none"/>
        </w:rPr>
      </w:r>
    </w:p>
  </w:footnote>
  <w:footnote w:id="14">
    <w:p>
      <w:pPr>
        <w:pStyle w:val="1438"/>
        <w:contextualSpacing/>
        <w:jc w:val="both"/>
        <w:rPr>
          <w:i/>
          <w:sz w:val="18"/>
          <w:szCs w:val="18"/>
        </w:rPr>
      </w:pPr>
      <w:r>
        <w:rPr>
          <w:rStyle w:val="1440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В случае если Контракт заключается по результатам электронного аукциона, который проводился на право заключения контракта в 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  <w:p>
      <w:pPr>
        <w:pStyle w:val="1438"/>
        <w:contextualSpacing/>
        <w:jc w:val="both"/>
        <w:rPr>
          <w:sz w:val="18"/>
          <w:szCs w:val="18"/>
        </w:rPr>
      </w:pPr>
      <w:r>
        <w:rPr>
          <w:i/>
          <w:sz w:val="18"/>
          <w:szCs w:val="18"/>
        </w:rPr>
        <w:t xml:space="preserve">соответствии с </w:t>
      </w:r>
      <w:r>
        <w:rPr>
          <w:i/>
          <w:sz w:val="18"/>
          <w:szCs w:val="18"/>
        </w:rPr>
        <w:t xml:space="preserve">пунктом 9 части 3 статьи </w:t>
      </w:r>
      <w:hyperlink r:id="rId9" w:tooltip="consultantplus://offline/ref=2A829C8BE7B542039EBA3520D098DE0E835F864D5DF62D0D225C734443374B3CD8DAD7AB8471DF258DADE354A1962BC0B30F00C394AAA4A475P3L" w:history="1">
        <w:r>
          <w:rPr>
            <w:i/>
            <w:sz w:val="18"/>
            <w:szCs w:val="18"/>
          </w:rPr>
          <w:t xml:space="preserve">49</w:t>
        </w:r>
      </w:hyperlink>
      <w:r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слова "и оплату" в проект Контракта не включаются.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15">
    <w:p>
      <w:pPr>
        <w:jc w:val="both"/>
        <w:rPr>
          <w:i/>
          <w:sz w:val="18"/>
          <w:szCs w:val="18"/>
        </w:rPr>
      </w:pPr>
      <w:r>
        <w:rPr>
          <w:rStyle w:val="1440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В случае если Контракт заключается по результатам электронного аукциона, который проводился на право заключения контракта в соответствии с </w:t>
      </w:r>
      <w:r>
        <w:rPr>
          <w:i/>
          <w:sz w:val="18"/>
          <w:szCs w:val="18"/>
        </w:rPr>
        <w:t xml:space="preserve">пунктом 9 части 3 статьи </w:t>
      </w:r>
      <w:hyperlink r:id="rId10" w:tooltip="consultantplus://offline/ref=2A829C8BE7B542039EBA3520D098DE0E835F864D5DF62D0D225C734443374B3CD8DAD7AB8471DF258DADE354A1962BC0B30F00C394AAA4A475P3L" w:history="1">
        <w:r>
          <w:rPr>
            <w:i/>
            <w:sz w:val="18"/>
            <w:szCs w:val="18"/>
          </w:rPr>
          <w:t xml:space="preserve">49</w:t>
        </w:r>
      </w:hyperlink>
      <w:r>
        <w:rPr>
          <w:i/>
          <w:sz w:val="18"/>
          <w:szCs w:val="18"/>
        </w:rP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1652; 2019, N </w:t>
      </w:r>
      <w:r>
        <w:rPr>
          <w:i/>
          <w:sz w:val="18"/>
          <w:szCs w:val="18"/>
        </w:rPr>
        <w:t xml:space="preserve">18, ст. 2195), слова "и оплаты</w:t>
      </w:r>
      <w:r>
        <w:rPr>
          <w:i/>
          <w:sz w:val="18"/>
          <w:szCs w:val="18"/>
        </w:rPr>
        <w:t xml:space="preserve">" в текст Контракта не включаются.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  <w:p>
      <w:pPr>
        <w:pStyle w:val="1438"/>
      </w:pPr>
      <w:r/>
      <w:r/>
    </w:p>
  </w:footnote>
  <w:footnote w:id="16">
    <w:p>
      <w:pPr>
        <w:pStyle w:val="1438"/>
        <w:jc w:val="both"/>
        <w:rPr>
          <w:i/>
          <w:sz w:val="18"/>
          <w:szCs w:val="18"/>
        </w:rPr>
      </w:pPr>
      <w:r>
        <w:rPr>
          <w:i/>
          <w:sz w:val="18"/>
          <w:szCs w:val="18"/>
          <w:vertAlign w:val="superscript"/>
        </w:rPr>
        <w:footnoteRef/>
      </w:r>
      <w:r>
        <w:rPr>
          <w:i/>
          <w:sz w:val="18"/>
          <w:szCs w:val="18"/>
          <w:vertAlign w:val="superscript"/>
        </w:rPr>
        <w:t xml:space="preserve"> </w:t>
      </w:r>
      <w:r>
        <w:rPr>
          <w:i/>
          <w:sz w:val="18"/>
          <w:szCs w:val="18"/>
        </w:rPr>
        <w:t xml:space="preserve">Выбирается в случае, если Контракт заключается по результатам электронного аукциона, который проводился на право заключения контракта в соответствии с </w:t>
      </w:r>
      <w:r>
        <w:rPr>
          <w:i/>
          <w:sz w:val="18"/>
          <w:szCs w:val="18"/>
        </w:rPr>
        <w:t xml:space="preserve">пунктом 9 части 3 статьи </w:t>
      </w:r>
      <w:hyperlink r:id="rId11" w:tooltip="consultantplus://offline/ref=2A829C8BE7B542039EBA3520D098DE0E835F864D5DF62D0D225C734443374B3CD8DAD7AB8471DF258DADE354A1962BC0B30F00C394AAA4A475P3L" w:history="1">
        <w:r>
          <w:rPr>
            <w:i/>
            <w:sz w:val="18"/>
            <w:szCs w:val="18"/>
          </w:rPr>
          <w:t xml:space="preserve">49</w:t>
        </w:r>
      </w:hyperlink>
      <w:r>
        <w:rPr>
          <w:i/>
          <w:sz w:val="18"/>
          <w:szCs w:val="18"/>
        </w:rPr>
        <w:t xml:space="preserve"> 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нужд". В указанном случае </w:t>
      </w:r>
      <w:hyperlink r:id="rId12" w:tooltip="consultantplus://offline/ref=E36912C953C3674492EDFDF288883D77036C0DABBD773BBD12B7DD9F10C8F539A4042A6ABD46DAF02FC6968158F5911FEFD57B92CABEE6uBT3L" w:history="1">
        <w:r>
          <w:rPr>
            <w:i/>
            <w:sz w:val="18"/>
            <w:szCs w:val="18"/>
          </w:rPr>
          <w:t xml:space="preserve">пункты 2.2</w:t>
        </w:r>
      </w:hyperlink>
      <w:r>
        <w:rPr>
          <w:i/>
          <w:sz w:val="18"/>
          <w:szCs w:val="18"/>
        </w:rPr>
        <w:t xml:space="preserve"> - </w:t>
      </w:r>
      <w:hyperlink r:id="rId13" w:tooltip="consultantplus://offline/ref=E36912C953C3674492EDFDF288883D77036C0DABBD773BBD12B7DD9F10C8F539A4042A6ABD46D8F22FC6968158F5911FEFD57B92CABEE6uBT3L" w:history="1">
        <w:r>
          <w:rPr>
            <w:i/>
            <w:sz w:val="18"/>
            <w:szCs w:val="18"/>
          </w:rPr>
          <w:t xml:space="preserve">2.8</w:t>
        </w:r>
      </w:hyperlink>
      <w:r>
        <w:rPr>
          <w:i/>
          <w:sz w:val="18"/>
          <w:szCs w:val="18"/>
        </w:rPr>
        <w:t xml:space="preserve"> в текст Контракта не включаются.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</w:footnote>
  <w:footnote w:id="17">
    <w:p>
      <w:pPr>
        <w:pStyle w:val="1438"/>
        <w:jc w:val="both"/>
        <w:rPr>
          <w:i/>
          <w:sz w:val="18"/>
          <w:szCs w:val="18"/>
        </w:rPr>
      </w:pPr>
      <w:r>
        <w:rPr>
          <w:i/>
          <w:sz w:val="18"/>
          <w:szCs w:val="18"/>
          <w:vertAlign w:val="superscript"/>
        </w:rPr>
        <w:footnoteRef/>
      </w:r>
      <w:r>
        <w:rPr>
          <w:i/>
          <w:sz w:val="18"/>
          <w:szCs w:val="18"/>
        </w:rPr>
        <w:t xml:space="preserve"> Указывается в случае, если Контракт заключается с лицами, являющимися в соответствии с Налоговым кодексом Российской Федерации плательщиками НДС.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</w:footnote>
  <w:footnote w:id="18">
    <w:p>
      <w:pPr>
        <w:pStyle w:val="1438"/>
        <w:jc w:val="both"/>
        <w:rPr>
          <w:i/>
          <w:sz w:val="18"/>
          <w:szCs w:val="18"/>
        </w:rPr>
      </w:pPr>
      <w:r>
        <w:rPr>
          <w:i/>
          <w:sz w:val="18"/>
          <w:szCs w:val="18"/>
          <w:vertAlign w:val="superscript"/>
        </w:rPr>
        <w:footnoteRef/>
      </w:r>
      <w:r>
        <w:rPr>
          <w:i/>
          <w:sz w:val="18"/>
          <w:szCs w:val="18"/>
        </w:rPr>
        <w:t xml:space="preserve"> Указывается в случае, если Контракт заключается с лицами, не являющимися в соответствии с Налоговым кодексом Российской Федерации плательщиками НДС.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  <w:p>
      <w:pPr>
        <w:pStyle w:val="1438"/>
        <w:rPr>
          <w:i/>
          <w:sz w:val="18"/>
          <w:szCs w:val="18"/>
        </w:rPr>
      </w:pPr>
      <w:r>
        <w:rPr>
          <w:i/>
          <w:sz w:val="18"/>
          <w:szCs w:val="18"/>
        </w:rPr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</w:footnote>
  <w:footnote w:id="19">
    <w:p>
      <w:pPr>
        <w:pStyle w:val="1438"/>
        <w:jc w:val="both"/>
        <w:rPr>
          <w:i/>
          <w:sz w:val="18"/>
          <w:szCs w:val="18"/>
        </w:rPr>
      </w:pPr>
      <w:r>
        <w:rPr>
          <w:rStyle w:val="1440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Заполняется при подготовке проекта контракта и определяется в соответствии с Правилами,</w:t>
      </w:r>
      <w:r>
        <w:rPr>
          <w:i/>
          <w:sz w:val="18"/>
          <w:szCs w:val="18"/>
        </w:rPr>
        <w:t xml:space="preserve"> утвержденными постановлением Правительства РФ </w:t>
      </w:r>
      <w:r>
        <w:rPr>
          <w:i/>
          <w:sz w:val="18"/>
          <w:szCs w:val="18"/>
        </w:rPr>
        <w:t xml:space="preserve">N</w:t>
      </w:r>
      <w:r>
        <w:rPr>
          <w:i/>
          <w:sz w:val="18"/>
          <w:szCs w:val="18"/>
        </w:rPr>
        <w:t xml:space="preserve"> 1042 от 30.08.2017 г (далее - Правила)</w:t>
      </w:r>
      <w:r>
        <w:rPr>
          <w:i/>
          <w:sz w:val="18"/>
          <w:szCs w:val="18"/>
        </w:rPr>
        <w:t xml:space="preserve">: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  <w:p>
      <w:pPr>
        <w:pStyle w:val="1438"/>
        <w:ind w:firstLine="567"/>
        <w:jc w:val="both"/>
        <w:rPr>
          <w:i/>
          <w:sz w:val="18"/>
          <w:szCs w:val="18"/>
          <w:lang w:eastAsia="ru-RU"/>
        </w:rPr>
      </w:pPr>
      <w:r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  <w:lang w:eastAsia="ru-RU"/>
        </w:rPr>
        <w:t xml:space="preserve">В случае, предусмотренном пунктом 4 Правил, если Контракт заключается по результатам определения Поставщика в соответствии с пунктом 1 части 1 статьи 30 Федерального закона от 5 апреля 20</w:t>
      </w:r>
      <w:r>
        <w:rPr>
          <w:i/>
          <w:sz w:val="18"/>
          <w:szCs w:val="18"/>
          <w:lang w:eastAsia="ru-RU"/>
        </w:rPr>
        <w:t xml:space="preserve">13 г. N 44-ФЗ "О контрактной системе в сфере закупок товаров, работ, услуг для обеспечения государственных и муниципальных нужд" размер штрафа устанавливается в размере 1 процента цены Контракта (этапа), но не более 5 тыс. рублей и не менее 1 тыс.  рублей.</w:t>
      </w:r>
      <w:r>
        <w:rPr>
          <w:i/>
          <w:sz w:val="18"/>
          <w:szCs w:val="18"/>
          <w:lang w:eastAsia="ru-RU"/>
        </w:rPr>
      </w:r>
      <w:r>
        <w:rPr>
          <w:i/>
          <w:sz w:val="18"/>
          <w:szCs w:val="18"/>
          <w:lang w:eastAsia="ru-RU"/>
        </w:rPr>
      </w:r>
    </w:p>
    <w:p>
      <w:pPr>
        <w:pStyle w:val="1438"/>
        <w:ind w:firstLine="567"/>
        <w:rPr>
          <w:i/>
          <w:iCs/>
          <w:color w:val="000000" w:themeColor="text1"/>
          <w:sz w:val="18"/>
          <w:szCs w:val="18"/>
        </w:rPr>
      </w:pPr>
      <w:r>
        <w:rPr>
          <w:i/>
          <w:color w:val="000000" w:themeColor="text1"/>
          <w:sz w:val="18"/>
          <w:szCs w:val="18"/>
          <w:lang w:eastAsia="ru-RU"/>
        </w:rPr>
        <w:t xml:space="preserve">В случае, предусмотренном пунктом 3 Правил, размер штрафа устанавливается в </w:t>
      </w:r>
      <w:r>
        <w:rPr>
          <w:i/>
          <w:iCs/>
          <w:color w:val="000000" w:themeColor="text1"/>
          <w:sz w:val="18"/>
          <w:szCs w:val="18"/>
        </w:rPr>
        <w:t xml:space="preserve">следующем порядке:</w:t>
      </w:r>
      <w:r>
        <w:rPr>
          <w:i/>
          <w:iCs/>
          <w:color w:val="000000" w:themeColor="text1"/>
          <w:sz w:val="18"/>
          <w:szCs w:val="18"/>
        </w:rPr>
      </w:r>
      <w:r>
        <w:rPr>
          <w:i/>
          <w:iCs/>
          <w:color w:val="000000" w:themeColor="text1"/>
          <w:sz w:val="18"/>
          <w:szCs w:val="18"/>
        </w:rPr>
      </w:r>
    </w:p>
    <w:p>
      <w:pPr>
        <w:pStyle w:val="1438"/>
        <w:ind w:firstLine="567"/>
        <w:rPr>
          <w:i/>
          <w:iCs/>
          <w:color w:val="000000" w:themeColor="text1"/>
          <w:sz w:val="18"/>
          <w:szCs w:val="18"/>
        </w:rPr>
      </w:pPr>
      <w:r>
        <w:rPr>
          <w:i/>
          <w:iCs/>
          <w:color w:val="000000" w:themeColor="text1"/>
          <w:sz w:val="18"/>
          <w:szCs w:val="18"/>
        </w:rPr>
        <w:t xml:space="preserve">а) 10 процентов цены контракта (этапа) в случае, если цена контракта (этапа) не превышает 3 млн. рублей;</w:t>
      </w:r>
      <w:r>
        <w:rPr>
          <w:i/>
          <w:iCs/>
          <w:color w:val="000000" w:themeColor="text1"/>
          <w:sz w:val="18"/>
          <w:szCs w:val="18"/>
        </w:rPr>
      </w:r>
      <w:r>
        <w:rPr>
          <w:i/>
          <w:iCs/>
          <w:color w:val="000000" w:themeColor="text1"/>
          <w:sz w:val="18"/>
          <w:szCs w:val="18"/>
        </w:rPr>
      </w:r>
    </w:p>
    <w:p>
      <w:pPr>
        <w:pStyle w:val="1438"/>
        <w:ind w:firstLine="567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б) 5 процентов цены контракта (этапа) в случае, если цена контракта (этапа) составляет от 3 млн. рублей до 50 млн. рублей (включительно);</w:t>
      </w:r>
      <w:r>
        <w:rPr>
          <w:i/>
          <w:iCs/>
          <w:sz w:val="18"/>
          <w:szCs w:val="18"/>
        </w:rPr>
      </w:r>
      <w:r>
        <w:rPr>
          <w:i/>
          <w:iCs/>
          <w:sz w:val="18"/>
          <w:szCs w:val="18"/>
        </w:rPr>
      </w:r>
    </w:p>
    <w:p>
      <w:pPr>
        <w:pStyle w:val="1438"/>
        <w:ind w:firstLine="567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в) 1 процент цены контракта (этапа) в случае, если цена контракта (этапа) составляет от 50 млн. рублей до 100 млн. рублей (включительно);</w:t>
      </w:r>
      <w:r>
        <w:rPr>
          <w:i/>
          <w:iCs/>
          <w:sz w:val="18"/>
          <w:szCs w:val="18"/>
        </w:rPr>
      </w:r>
      <w:r>
        <w:rPr>
          <w:i/>
          <w:iCs/>
          <w:sz w:val="18"/>
          <w:szCs w:val="18"/>
        </w:rPr>
      </w:r>
    </w:p>
    <w:p>
      <w:pPr>
        <w:pStyle w:val="1438"/>
        <w:ind w:firstLine="567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г) 0,5 процента цены контракта (этапа) в случае, если цена контракта (этапа) составляет от 100 млн. рублей до 500 млн. рублей (включительно);</w:t>
      </w:r>
      <w:r>
        <w:rPr>
          <w:i/>
          <w:iCs/>
          <w:sz w:val="18"/>
          <w:szCs w:val="18"/>
        </w:rPr>
      </w:r>
      <w:r>
        <w:rPr>
          <w:i/>
          <w:iCs/>
          <w:sz w:val="18"/>
          <w:szCs w:val="18"/>
        </w:rPr>
      </w:r>
    </w:p>
    <w:p>
      <w:pPr>
        <w:pStyle w:val="1438"/>
        <w:ind w:firstLine="567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д) 0,4 процента цены контракта (этапа) в случае, если цена контракта (этапа) составляет от 500 млн. рублей до 1 млрд. рублей (включительно);</w:t>
      </w:r>
      <w:r>
        <w:rPr>
          <w:i/>
          <w:iCs/>
          <w:sz w:val="18"/>
          <w:szCs w:val="18"/>
        </w:rPr>
      </w:r>
      <w:r>
        <w:rPr>
          <w:i/>
          <w:iCs/>
          <w:sz w:val="18"/>
          <w:szCs w:val="18"/>
        </w:rPr>
      </w:r>
    </w:p>
    <w:p>
      <w:pPr>
        <w:pStyle w:val="1438"/>
        <w:ind w:firstLine="567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е) 0,3 процента цены контракта (этапа) в случае, если цена контракта (этапа) составляет от 1 млрд. рублей до 2 млрд. рублей (включительно);</w:t>
      </w:r>
      <w:r>
        <w:rPr>
          <w:i/>
          <w:iCs/>
          <w:sz w:val="18"/>
          <w:szCs w:val="18"/>
        </w:rPr>
      </w:r>
      <w:r>
        <w:rPr>
          <w:i/>
          <w:iCs/>
          <w:sz w:val="18"/>
          <w:szCs w:val="18"/>
        </w:rPr>
      </w:r>
    </w:p>
    <w:p>
      <w:pPr>
        <w:pStyle w:val="1438"/>
        <w:ind w:firstLine="567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ж) 0,25 процента цены контракта (этапа) в случае, если цена контракта (этапа) составляет от 2 млрд. рублей до 5 млрд. рублей (включительно);</w:t>
      </w:r>
      <w:r>
        <w:rPr>
          <w:i/>
          <w:iCs/>
          <w:sz w:val="18"/>
          <w:szCs w:val="18"/>
        </w:rPr>
      </w:r>
      <w:r>
        <w:rPr>
          <w:i/>
          <w:iCs/>
          <w:sz w:val="18"/>
          <w:szCs w:val="18"/>
        </w:rPr>
      </w:r>
    </w:p>
    <w:p>
      <w:pPr>
        <w:pStyle w:val="1438"/>
        <w:ind w:firstLine="567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з) 0,2 процента цены контракта (этапа) в случае, если цена контракта (этапа) составляет от 5 млрд. рублей до 10 млрд. рублей (включительно);</w:t>
      </w:r>
      <w:r>
        <w:rPr>
          <w:i/>
          <w:iCs/>
          <w:sz w:val="18"/>
          <w:szCs w:val="18"/>
        </w:rPr>
      </w:r>
      <w:r>
        <w:rPr>
          <w:i/>
          <w:iCs/>
          <w:sz w:val="18"/>
          <w:szCs w:val="18"/>
        </w:rPr>
      </w:r>
    </w:p>
    <w:p>
      <w:pPr>
        <w:pStyle w:val="1438"/>
        <w:ind w:firstLine="567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и) 0,1 процента цены контракта (этапа) в случае, если цена контракта (этапа) превышает 10 млрд. рублей.</w:t>
      </w:r>
      <w:r>
        <w:rPr>
          <w:i/>
          <w:iCs/>
          <w:sz w:val="18"/>
          <w:szCs w:val="18"/>
        </w:rPr>
      </w:r>
      <w:r>
        <w:rPr>
          <w:i/>
          <w:iCs/>
          <w:sz w:val="18"/>
          <w:szCs w:val="18"/>
        </w:rPr>
      </w:r>
    </w:p>
    <w:p>
      <w:pPr>
        <w:pStyle w:val="1438"/>
        <w:ind w:firstLine="567"/>
        <w:jc w:val="both"/>
        <w:rPr>
          <w:i/>
          <w:sz w:val="18"/>
          <w:szCs w:val="18"/>
          <w:lang w:eastAsia="ru-RU"/>
        </w:rPr>
      </w:pPr>
      <w:r>
        <w:rPr>
          <w:i/>
          <w:sz w:val="18"/>
          <w:szCs w:val="18"/>
          <w:lang w:eastAsia="ru-RU"/>
        </w:rPr>
        <w:t xml:space="preserve">В </w:t>
      </w:r>
      <w:r>
        <w:rPr>
          <w:i/>
          <w:sz w:val="18"/>
          <w:szCs w:val="18"/>
          <w:lang w:eastAsia="ru-RU"/>
        </w:rPr>
        <w:t xml:space="preserve">случае, если Контракт заключается с победителем закупки (или с иным участником закупки в случаях, установленных Федеральным законом от 5 апреля 2013 г. </w:t>
      </w:r>
      <w:r>
        <w:rPr>
          <w:i/>
          <w:sz w:val="18"/>
          <w:szCs w:val="18"/>
        </w:rPr>
        <w:t xml:space="preserve">N</w:t>
      </w:r>
      <w:r>
        <w:rPr>
          <w:i/>
          <w:sz w:val="18"/>
          <w:szCs w:val="18"/>
          <w:lang w:eastAsia="ru-RU"/>
        </w:rPr>
        <w:t xml:space="preserve"> 44-ФЗ "О контрактной системе в сфере закуп</w:t>
      </w:r>
      <w:r>
        <w:rPr>
          <w:i/>
          <w:sz w:val="18"/>
          <w:szCs w:val="18"/>
          <w:lang w:eastAsia="ru-RU"/>
        </w:rPr>
        <w:t xml:space="preserve">ок товаров, работ, услуг для обеспечения государственных и муниципальных нужд"), предложившим наиболее высокую цену за право заключения государственного (муниципального) контракта (контракта) размер штрафа устанавливается в соответствии с пунктом 5 Правил:</w:t>
      </w:r>
      <w:r>
        <w:rPr>
          <w:i/>
          <w:sz w:val="18"/>
          <w:szCs w:val="18"/>
          <w:lang w:eastAsia="ru-RU"/>
        </w:rPr>
      </w:r>
      <w:r>
        <w:rPr>
          <w:i/>
          <w:sz w:val="18"/>
          <w:szCs w:val="18"/>
          <w:lang w:eastAsia="ru-RU"/>
        </w:rPr>
      </w:r>
    </w:p>
    <w:p>
      <w:pPr>
        <w:pStyle w:val="1438"/>
        <w:ind w:firstLine="567"/>
        <w:jc w:val="both"/>
        <w:rPr>
          <w:i/>
          <w:sz w:val="18"/>
          <w:szCs w:val="18"/>
          <w:lang w:eastAsia="ru-RU"/>
        </w:rPr>
      </w:pPr>
      <w:r>
        <w:rPr>
          <w:i/>
          <w:sz w:val="18"/>
          <w:szCs w:val="18"/>
          <w:lang w:eastAsia="ru-RU"/>
        </w:rPr>
        <w:t xml:space="preserve">а) в случае если цена Контракта не превышает начальную (максимальную) цену государственного (муниципального) контракта (контракта):</w:t>
      </w:r>
      <w:r>
        <w:rPr>
          <w:i/>
          <w:sz w:val="18"/>
          <w:szCs w:val="18"/>
          <w:lang w:eastAsia="ru-RU"/>
        </w:rPr>
      </w:r>
      <w:r>
        <w:rPr>
          <w:i/>
          <w:sz w:val="18"/>
          <w:szCs w:val="18"/>
          <w:lang w:eastAsia="ru-RU"/>
        </w:rPr>
      </w:r>
    </w:p>
    <w:p>
      <w:pPr>
        <w:pStyle w:val="1438"/>
        <w:ind w:firstLine="567"/>
        <w:jc w:val="both"/>
        <w:rPr>
          <w:i/>
          <w:sz w:val="18"/>
          <w:szCs w:val="18"/>
          <w:lang w:eastAsia="ru-RU"/>
        </w:rPr>
      </w:pPr>
      <w:r>
        <w:rPr>
          <w:i/>
          <w:sz w:val="18"/>
          <w:szCs w:val="18"/>
          <w:lang w:eastAsia="ru-RU"/>
        </w:rPr>
        <w:t xml:space="preserve">10 процентов начальной (максимальной) цены государственного (муниципального) контракта (контракта), если цена Контракта не превышает 3 млн. рублей;</w:t>
      </w:r>
      <w:r>
        <w:rPr>
          <w:i/>
          <w:sz w:val="18"/>
          <w:szCs w:val="18"/>
          <w:lang w:eastAsia="ru-RU"/>
        </w:rPr>
      </w:r>
      <w:r>
        <w:rPr>
          <w:i/>
          <w:sz w:val="18"/>
          <w:szCs w:val="18"/>
          <w:lang w:eastAsia="ru-RU"/>
        </w:rPr>
      </w:r>
    </w:p>
    <w:p>
      <w:pPr>
        <w:pStyle w:val="1438"/>
        <w:ind w:firstLine="567"/>
        <w:jc w:val="both"/>
        <w:rPr>
          <w:i/>
          <w:sz w:val="18"/>
          <w:szCs w:val="18"/>
          <w:lang w:eastAsia="ru-RU"/>
        </w:rPr>
      </w:pPr>
      <w:r>
        <w:rPr>
          <w:i/>
          <w:sz w:val="18"/>
          <w:szCs w:val="18"/>
          <w:lang w:eastAsia="ru-RU"/>
        </w:rPr>
        <w:t xml:space="preserve">5 процентов начальной (максимальной) цены государственного (муниципального) контракта (контракта), если цена Контракта составляет от 3 млн. рублей до 50 млн. рублей (включительно);</w:t>
      </w:r>
      <w:r>
        <w:rPr>
          <w:i/>
          <w:sz w:val="18"/>
          <w:szCs w:val="18"/>
          <w:lang w:eastAsia="ru-RU"/>
        </w:rPr>
      </w:r>
      <w:r>
        <w:rPr>
          <w:i/>
          <w:sz w:val="18"/>
          <w:szCs w:val="18"/>
          <w:lang w:eastAsia="ru-RU"/>
        </w:rPr>
      </w:r>
    </w:p>
    <w:p>
      <w:pPr>
        <w:pStyle w:val="1438"/>
        <w:ind w:firstLine="567"/>
        <w:jc w:val="both"/>
        <w:rPr>
          <w:i/>
          <w:sz w:val="18"/>
          <w:szCs w:val="18"/>
          <w:lang w:eastAsia="ru-RU"/>
        </w:rPr>
      </w:pPr>
      <w:r>
        <w:rPr>
          <w:i/>
          <w:sz w:val="18"/>
          <w:szCs w:val="18"/>
          <w:lang w:eastAsia="ru-RU"/>
        </w:rPr>
        <w:t xml:space="preserve">1 процент начальной (максимальной) цены государственного (муниципального) контракта (контракта), если цена Контракта составляет от 50 млн. рублей до 100 млн. рублей (включительно).</w:t>
      </w:r>
      <w:r>
        <w:rPr>
          <w:i/>
          <w:sz w:val="18"/>
          <w:szCs w:val="18"/>
          <w:lang w:eastAsia="ru-RU"/>
        </w:rPr>
      </w:r>
      <w:r>
        <w:rPr>
          <w:i/>
          <w:sz w:val="18"/>
          <w:szCs w:val="18"/>
          <w:lang w:eastAsia="ru-RU"/>
        </w:rPr>
      </w:r>
    </w:p>
    <w:p>
      <w:pPr>
        <w:pStyle w:val="1438"/>
        <w:ind w:firstLine="567"/>
        <w:jc w:val="both"/>
        <w:rPr>
          <w:i/>
          <w:sz w:val="18"/>
          <w:szCs w:val="18"/>
          <w:lang w:eastAsia="ru-RU"/>
        </w:rPr>
      </w:pPr>
      <w:r>
        <w:rPr>
          <w:i/>
          <w:sz w:val="18"/>
          <w:szCs w:val="18"/>
          <w:lang w:eastAsia="ru-RU"/>
        </w:rPr>
        <w:t xml:space="preserve">б) в случае если цена Контракта превышает начальную (максимальную) цену государственного (муниципального) контракта (контракта):</w:t>
      </w:r>
      <w:r>
        <w:rPr>
          <w:i/>
          <w:sz w:val="18"/>
          <w:szCs w:val="18"/>
          <w:lang w:eastAsia="ru-RU"/>
        </w:rPr>
      </w:r>
      <w:r>
        <w:rPr>
          <w:i/>
          <w:sz w:val="18"/>
          <w:szCs w:val="18"/>
          <w:lang w:eastAsia="ru-RU"/>
        </w:rPr>
      </w:r>
    </w:p>
    <w:p>
      <w:pPr>
        <w:pStyle w:val="1438"/>
        <w:ind w:firstLine="567"/>
        <w:jc w:val="both"/>
        <w:rPr>
          <w:i/>
          <w:sz w:val="18"/>
          <w:szCs w:val="18"/>
          <w:lang w:eastAsia="ru-RU"/>
        </w:rPr>
      </w:pPr>
      <w:r>
        <w:rPr>
          <w:i/>
          <w:sz w:val="18"/>
          <w:szCs w:val="18"/>
          <w:lang w:eastAsia="ru-RU"/>
        </w:rPr>
        <w:t xml:space="preserve">10 процентов цены Контракта, если цена Контракта не превышает 3 млн. рублей;</w:t>
      </w:r>
      <w:r>
        <w:rPr>
          <w:i/>
          <w:sz w:val="18"/>
          <w:szCs w:val="18"/>
          <w:lang w:eastAsia="ru-RU"/>
        </w:rPr>
      </w:r>
      <w:r>
        <w:rPr>
          <w:i/>
          <w:sz w:val="18"/>
          <w:szCs w:val="18"/>
          <w:lang w:eastAsia="ru-RU"/>
        </w:rPr>
      </w:r>
    </w:p>
    <w:p>
      <w:pPr>
        <w:pStyle w:val="1438"/>
        <w:ind w:firstLine="567"/>
        <w:jc w:val="both"/>
        <w:rPr>
          <w:i/>
          <w:sz w:val="18"/>
          <w:szCs w:val="18"/>
          <w:lang w:eastAsia="ru-RU"/>
        </w:rPr>
      </w:pPr>
      <w:r>
        <w:rPr>
          <w:i/>
          <w:sz w:val="18"/>
          <w:szCs w:val="18"/>
          <w:lang w:eastAsia="ru-RU"/>
        </w:rPr>
        <w:t xml:space="preserve">5 процентов цены Контракта, если цена Контракта составляет от 3 млн. рублей до 50 млн. рублей (включительно);</w:t>
      </w:r>
      <w:r>
        <w:rPr>
          <w:i/>
          <w:sz w:val="18"/>
          <w:szCs w:val="18"/>
          <w:lang w:eastAsia="ru-RU"/>
        </w:rPr>
      </w:r>
      <w:r>
        <w:rPr>
          <w:i/>
          <w:sz w:val="18"/>
          <w:szCs w:val="18"/>
          <w:lang w:eastAsia="ru-RU"/>
        </w:rPr>
      </w:r>
    </w:p>
    <w:p>
      <w:pPr>
        <w:pStyle w:val="1438"/>
        <w:ind w:firstLine="567"/>
        <w:jc w:val="both"/>
        <w:rPr>
          <w:i/>
          <w:sz w:val="18"/>
          <w:szCs w:val="18"/>
          <w:lang w:eastAsia="ru-RU"/>
        </w:rPr>
      </w:pPr>
      <w:r>
        <w:rPr>
          <w:i/>
          <w:sz w:val="18"/>
          <w:szCs w:val="18"/>
          <w:lang w:eastAsia="ru-RU"/>
        </w:rPr>
        <w:t xml:space="preserve">1 процент цены Контракта, если цена Контракта составляет от 50 млн. рублей до 100 млн. рублей (включительно).</w:t>
      </w:r>
      <w:r>
        <w:rPr>
          <w:i/>
          <w:sz w:val="18"/>
          <w:szCs w:val="18"/>
          <w:lang w:eastAsia="ru-RU"/>
        </w:rPr>
      </w:r>
      <w:r>
        <w:rPr>
          <w:i/>
          <w:sz w:val="18"/>
          <w:szCs w:val="18"/>
          <w:lang w:eastAsia="ru-RU"/>
        </w:rPr>
      </w:r>
    </w:p>
  </w:footnote>
  <w:footnote w:id="20">
    <w:p>
      <w:pPr>
        <w:pStyle w:val="1438"/>
        <w:ind w:firstLine="567"/>
        <w:rPr>
          <w:i/>
          <w:sz w:val="18"/>
          <w:szCs w:val="18"/>
        </w:rPr>
      </w:pPr>
      <w:r>
        <w:rPr>
          <w:rStyle w:val="1440"/>
          <w:b/>
          <w:i/>
        </w:rPr>
        <w:footnoteRef/>
      </w:r>
      <w:r>
        <w:t xml:space="preserve"> </w:t>
      </w:r>
      <w:r>
        <w:rPr>
          <w:i/>
          <w:sz w:val="18"/>
          <w:szCs w:val="18"/>
        </w:rPr>
        <w:t xml:space="preserve">Заполняется при заключении контракта в соответствии с п. 6 Правил в зависимости от цены контракта: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  <w:p>
      <w:pPr>
        <w:pStyle w:val="1438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а) 1 000 рублей, если цена контракта не превышает 3 млн. рублей;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  <w:p>
      <w:pPr>
        <w:pStyle w:val="1438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б) 5 000 рублей, если цена контракта составляет от 3 млн. рублей до 50 млн. рублей (включительно);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  <w:p>
      <w:pPr>
        <w:pStyle w:val="1438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в) 10 000 рублей, если цена контракта составляет от 50 млн. рублей до 100 млн. рублей (включительно);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  <w:p>
      <w:pPr>
        <w:pStyle w:val="1438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г) 100 000 рублей, если цена контракта превышает 100 млн. рублей.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</w:footnote>
  <w:footnote w:id="21">
    <w:p>
      <w:pPr>
        <w:pStyle w:val="1438"/>
        <w:ind w:firstLine="567"/>
        <w:rPr>
          <w:i/>
          <w:sz w:val="18"/>
          <w:szCs w:val="18"/>
        </w:rPr>
      </w:pPr>
      <w:r>
        <w:rPr>
          <w:rStyle w:val="1440"/>
          <w:b/>
          <w:i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Заполняется при заключении контракта в соответствии с п. 9 Правил в зависимости от цены контракта: 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  <w:p>
      <w:pPr>
        <w:pStyle w:val="1438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а) 1 000 рублей, если цена контракта не превышает 3 млн. рублей (включительно);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  <w:p>
      <w:pPr>
        <w:pStyle w:val="1438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б) 5 000 рублей, если цена контракта составляет от 3 млн. рублей до 50 млн. рублей (включительно);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  <w:p>
      <w:pPr>
        <w:pStyle w:val="1438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в) 10 000 рублей, если цена контракта составляет от 50 млн. рублей до 100 млн. рублей (включительно);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  <w:p>
      <w:pPr>
        <w:pStyle w:val="1438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г) 100 000 рублей, если цена контракта превышает 100 млн. рублей.</w:t>
      </w:r>
      <w:r>
        <w:rPr>
          <w:i/>
          <w:sz w:val="18"/>
          <w:szCs w:val="18"/>
        </w:rPr>
      </w:r>
      <w:r>
        <w:rPr>
          <w:i/>
          <w:sz w:val="18"/>
          <w:szCs w:val="18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451"/>
      <w:jc w:val="center"/>
    </w:pPr>
    <w:fldSimple w:instr="PAGE \* MERGEFORMAT">
      <w:r>
        <w:t xml:space="preserve">1</w:t>
      </w:r>
    </w:fldSimple>
    <w:r/>
    <w:r/>
  </w:p>
  <w:p>
    <w:pPr>
      <w:pStyle w:val="145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-288" w:firstLine="288"/>
        <w:tabs>
          <w:tab w:val="num" w:pos="-288" w:leader="none"/>
        </w:tabs>
      </w:pPr>
      <w:rPr>
        <w:rFonts w:hint="default" w:ascii="Times New Roman" w:hAnsi="Times New Roman"/>
        <w:b w:val="0"/>
        <w:i w:val="0"/>
        <w:sz w:val="23"/>
        <w:szCs w:val="23"/>
      </w:rPr>
    </w:lvl>
    <w:lvl w:ilvl="1">
      <w:start w:val="1"/>
      <w:numFmt w:val="lowerLetter"/>
      <w:isLgl w:val="false"/>
      <w:suff w:val="tab"/>
      <w:lvlText w:val="%2."/>
      <w:lvlJc w:val="left"/>
      <w:pPr>
        <w:ind w:left="115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7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9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1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3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5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7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92" w:hanging="180"/>
      </w:pPr>
    </w:lvl>
  </w:abstractNum>
  <w:abstractNum w:abstractNumId="6">
    <w:multiLevelType w:val="hybridMultilevel"/>
    <w:lvl w:ilvl="0">
      <w:start w:val="1"/>
      <w:numFmt w:val="upperRoman"/>
      <w:pStyle w:val="1426"/>
      <w:isLgl w:val="false"/>
      <w:suff w:val="tab"/>
      <w:lvlText w:val="Статья %1."/>
      <w:lvlJc w:val="left"/>
      <w:pPr>
        <w:ind w:left="284" w:firstLine="0"/>
        <w:tabs>
          <w:tab w:val="num" w:pos="1724" w:leader="none"/>
        </w:tabs>
      </w:pPr>
    </w:lvl>
    <w:lvl w:ilvl="1">
      <w:start w:val="1"/>
      <w:numFmt w:val="decimalZero"/>
      <w:pStyle w:val="1427"/>
      <w:isLgl/>
      <w:suff w:val="tab"/>
      <w:lvlText w:val="Раздел %1.%2"/>
      <w:lvlJc w:val="left"/>
      <w:pPr>
        <w:ind w:left="284" w:firstLine="0"/>
        <w:tabs>
          <w:tab w:val="num" w:pos="1364" w:leader="none"/>
        </w:tabs>
      </w:pPr>
    </w:lvl>
    <w:lvl w:ilvl="2">
      <w:start w:val="1"/>
      <w:numFmt w:val="lowerLetter"/>
      <w:isLgl w:val="false"/>
      <w:suff w:val="tab"/>
      <w:lvlText w:val="(%3)"/>
      <w:lvlJc w:val="left"/>
      <w:pPr>
        <w:ind w:left="1004" w:hanging="432"/>
        <w:tabs>
          <w:tab w:val="num" w:pos="1004" w:leader="none"/>
        </w:tabs>
      </w:pPr>
    </w:lvl>
    <w:lvl w:ilvl="3">
      <w:start w:val="1"/>
      <w:numFmt w:val="lowerRoman"/>
      <w:pStyle w:val="1428"/>
      <w:isLgl w:val="false"/>
      <w:suff w:val="tab"/>
      <w:lvlText w:val="(%4)"/>
      <w:lvlJc w:val="right"/>
      <w:pPr>
        <w:ind w:left="1148" w:hanging="144"/>
        <w:tabs>
          <w:tab w:val="num" w:pos="1148" w:leader="none"/>
        </w:tabs>
      </w:pPr>
    </w:lvl>
    <w:lvl w:ilvl="4">
      <w:start w:val="1"/>
      <w:numFmt w:val="decimal"/>
      <w:isLgl w:val="false"/>
      <w:suff w:val="tab"/>
      <w:lvlText w:val="%5)"/>
      <w:lvlJc w:val="left"/>
      <w:pPr>
        <w:ind w:left="1292" w:hanging="432"/>
        <w:tabs>
          <w:tab w:val="num" w:pos="1292" w:leader="none"/>
        </w:tabs>
      </w:pPr>
    </w:lvl>
    <w:lvl w:ilvl="5">
      <w:start w:val="1"/>
      <w:numFmt w:val="lowerLetter"/>
      <w:isLgl w:val="false"/>
      <w:suff w:val="tab"/>
      <w:lvlText w:val="%6)"/>
      <w:lvlJc w:val="left"/>
      <w:pPr>
        <w:ind w:left="1436" w:hanging="432"/>
        <w:tabs>
          <w:tab w:val="num" w:pos="1436" w:leader="none"/>
        </w:tabs>
      </w:pPr>
    </w:lvl>
    <w:lvl w:ilvl="6">
      <w:start w:val="1"/>
      <w:numFmt w:val="lowerRoman"/>
      <w:isLgl w:val="false"/>
      <w:suff w:val="tab"/>
      <w:lvlText w:val="%7)"/>
      <w:lvlJc w:val="right"/>
      <w:pPr>
        <w:ind w:left="1580" w:hanging="288"/>
        <w:tabs>
          <w:tab w:val="num" w:pos="1580" w:leader="none"/>
        </w:tabs>
      </w:pPr>
    </w:lvl>
    <w:lvl w:ilvl="7">
      <w:start w:val="1"/>
      <w:numFmt w:val="lowerLetter"/>
      <w:pStyle w:val="1429"/>
      <w:isLgl w:val="false"/>
      <w:suff w:val="tab"/>
      <w:lvlText w:val="%8."/>
      <w:lvlJc w:val="left"/>
      <w:pPr>
        <w:ind w:left="1724" w:hanging="432"/>
        <w:tabs>
          <w:tab w:val="num" w:pos="172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1868" w:hanging="144"/>
        <w:tabs>
          <w:tab w:val="num" w:pos="1868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933" w:hanging="720"/>
      </w:pPr>
      <w:rPr>
        <w:rFonts w:hint="default"/>
      </w:rPr>
    </w:lvl>
    <w:lvl w:ilvl="2">
      <w:start w:val="4"/>
      <w:numFmt w:val="decimal"/>
      <w:isLgl w:val="false"/>
      <w:suff w:val="tab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07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864" w:hanging="2160"/>
      </w:pPr>
      <w:rPr>
        <w:rFonts w:hint="default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709" w:hanging="72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4832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6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6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2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78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78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49" w:hanging="2160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8"/>
  </w:num>
  <w:num w:numId="5">
    <w:abstractNumId w:val="5"/>
  </w:num>
  <w:num w:numId="6">
    <w:abstractNumId w:val="0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4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60">
    <w:name w:val="Heading 1 Char"/>
    <w:basedOn w:val="1430"/>
    <w:link w:val="1426"/>
    <w:uiPriority w:val="9"/>
    <w:rPr>
      <w:rFonts w:ascii="Arial" w:hAnsi="Arial" w:eastAsia="Arial" w:cs="Arial"/>
      <w:sz w:val="40"/>
      <w:szCs w:val="40"/>
    </w:rPr>
  </w:style>
  <w:style w:type="character" w:styleId="1261">
    <w:name w:val="Heading 2 Char"/>
    <w:basedOn w:val="1430"/>
    <w:link w:val="1427"/>
    <w:uiPriority w:val="9"/>
    <w:rPr>
      <w:rFonts w:ascii="Arial" w:hAnsi="Arial" w:eastAsia="Arial" w:cs="Arial"/>
      <w:sz w:val="34"/>
    </w:rPr>
  </w:style>
  <w:style w:type="paragraph" w:styleId="1262">
    <w:name w:val="Heading 3"/>
    <w:basedOn w:val="1425"/>
    <w:next w:val="1425"/>
    <w:link w:val="126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263">
    <w:name w:val="Heading 3 Char"/>
    <w:basedOn w:val="1430"/>
    <w:link w:val="1262"/>
    <w:uiPriority w:val="9"/>
    <w:rPr>
      <w:rFonts w:ascii="Arial" w:hAnsi="Arial" w:eastAsia="Arial" w:cs="Arial"/>
      <w:sz w:val="30"/>
      <w:szCs w:val="30"/>
    </w:rPr>
  </w:style>
  <w:style w:type="character" w:styleId="1264">
    <w:name w:val="Heading 4 Char"/>
    <w:basedOn w:val="1430"/>
    <w:link w:val="1428"/>
    <w:uiPriority w:val="9"/>
    <w:rPr>
      <w:rFonts w:ascii="Arial" w:hAnsi="Arial" w:eastAsia="Arial" w:cs="Arial"/>
      <w:b/>
      <w:bCs/>
      <w:sz w:val="26"/>
      <w:szCs w:val="26"/>
    </w:rPr>
  </w:style>
  <w:style w:type="paragraph" w:styleId="1265">
    <w:name w:val="Heading 5"/>
    <w:basedOn w:val="1425"/>
    <w:next w:val="1425"/>
    <w:link w:val="126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1266">
    <w:name w:val="Heading 5 Char"/>
    <w:basedOn w:val="1430"/>
    <w:link w:val="1265"/>
    <w:uiPriority w:val="9"/>
    <w:rPr>
      <w:rFonts w:ascii="Arial" w:hAnsi="Arial" w:eastAsia="Arial" w:cs="Arial"/>
      <w:b/>
      <w:bCs/>
      <w:sz w:val="24"/>
      <w:szCs w:val="24"/>
    </w:rPr>
  </w:style>
  <w:style w:type="paragraph" w:styleId="1267">
    <w:name w:val="Heading 6"/>
    <w:basedOn w:val="1425"/>
    <w:next w:val="1425"/>
    <w:link w:val="126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1268">
    <w:name w:val="Heading 6 Char"/>
    <w:basedOn w:val="1430"/>
    <w:link w:val="1267"/>
    <w:uiPriority w:val="9"/>
    <w:rPr>
      <w:rFonts w:ascii="Arial" w:hAnsi="Arial" w:eastAsia="Arial" w:cs="Arial"/>
      <w:b/>
      <w:bCs/>
      <w:sz w:val="22"/>
      <w:szCs w:val="22"/>
    </w:rPr>
  </w:style>
  <w:style w:type="paragraph" w:styleId="1269">
    <w:name w:val="Heading 7"/>
    <w:basedOn w:val="1425"/>
    <w:next w:val="1425"/>
    <w:link w:val="127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1270">
    <w:name w:val="Heading 7 Char"/>
    <w:basedOn w:val="1430"/>
    <w:link w:val="126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271">
    <w:name w:val="Heading 8 Char"/>
    <w:basedOn w:val="1430"/>
    <w:link w:val="1429"/>
    <w:uiPriority w:val="9"/>
    <w:rPr>
      <w:rFonts w:ascii="Arial" w:hAnsi="Arial" w:eastAsia="Arial" w:cs="Arial"/>
      <w:i/>
      <w:iCs/>
      <w:sz w:val="22"/>
      <w:szCs w:val="22"/>
    </w:rPr>
  </w:style>
  <w:style w:type="paragraph" w:styleId="1272">
    <w:name w:val="Heading 9"/>
    <w:basedOn w:val="1425"/>
    <w:next w:val="1425"/>
    <w:link w:val="12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273">
    <w:name w:val="Heading 9 Char"/>
    <w:basedOn w:val="1430"/>
    <w:link w:val="1272"/>
    <w:uiPriority w:val="9"/>
    <w:rPr>
      <w:rFonts w:ascii="Arial" w:hAnsi="Arial" w:eastAsia="Arial" w:cs="Arial"/>
      <w:i/>
      <w:iCs/>
      <w:sz w:val="21"/>
      <w:szCs w:val="21"/>
    </w:rPr>
  </w:style>
  <w:style w:type="paragraph" w:styleId="1274">
    <w:name w:val="Title"/>
    <w:basedOn w:val="1425"/>
    <w:next w:val="1425"/>
    <w:link w:val="12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275">
    <w:name w:val="Title Char"/>
    <w:basedOn w:val="1430"/>
    <w:link w:val="1274"/>
    <w:uiPriority w:val="10"/>
    <w:rPr>
      <w:sz w:val="48"/>
      <w:szCs w:val="48"/>
    </w:rPr>
  </w:style>
  <w:style w:type="paragraph" w:styleId="1276">
    <w:name w:val="Subtitle"/>
    <w:basedOn w:val="1425"/>
    <w:next w:val="1425"/>
    <w:link w:val="1277"/>
    <w:uiPriority w:val="11"/>
    <w:qFormat/>
    <w:pPr>
      <w:spacing w:before="200" w:after="200"/>
    </w:pPr>
    <w:rPr>
      <w:sz w:val="24"/>
      <w:szCs w:val="24"/>
    </w:rPr>
  </w:style>
  <w:style w:type="character" w:styleId="1277">
    <w:name w:val="Subtitle Char"/>
    <w:basedOn w:val="1430"/>
    <w:link w:val="1276"/>
    <w:uiPriority w:val="11"/>
    <w:rPr>
      <w:sz w:val="24"/>
      <w:szCs w:val="24"/>
    </w:rPr>
  </w:style>
  <w:style w:type="paragraph" w:styleId="1278">
    <w:name w:val="Quote"/>
    <w:basedOn w:val="1425"/>
    <w:next w:val="1425"/>
    <w:link w:val="1279"/>
    <w:uiPriority w:val="29"/>
    <w:qFormat/>
    <w:pPr>
      <w:ind w:left="720" w:right="720"/>
    </w:pPr>
    <w:rPr>
      <w:i/>
    </w:rPr>
  </w:style>
  <w:style w:type="character" w:styleId="1279">
    <w:name w:val="Quote Char"/>
    <w:link w:val="1278"/>
    <w:uiPriority w:val="29"/>
    <w:rPr>
      <w:i/>
    </w:rPr>
  </w:style>
  <w:style w:type="paragraph" w:styleId="1280">
    <w:name w:val="Intense Quote"/>
    <w:basedOn w:val="1425"/>
    <w:next w:val="1425"/>
    <w:link w:val="12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281">
    <w:name w:val="Intense Quote Char"/>
    <w:link w:val="1280"/>
    <w:uiPriority w:val="30"/>
    <w:rPr>
      <w:i/>
    </w:rPr>
  </w:style>
  <w:style w:type="character" w:styleId="1282">
    <w:name w:val="Header Char"/>
    <w:basedOn w:val="1430"/>
    <w:link w:val="1451"/>
    <w:uiPriority w:val="99"/>
  </w:style>
  <w:style w:type="character" w:styleId="1283">
    <w:name w:val="Footer Char"/>
    <w:basedOn w:val="1430"/>
    <w:link w:val="1453"/>
    <w:uiPriority w:val="99"/>
  </w:style>
  <w:style w:type="paragraph" w:styleId="1284">
    <w:name w:val="Caption"/>
    <w:basedOn w:val="1425"/>
    <w:next w:val="1425"/>
    <w:link w:val="12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1285">
    <w:name w:val="Caption Char"/>
    <w:basedOn w:val="1284"/>
    <w:link w:val="1453"/>
    <w:uiPriority w:val="99"/>
  </w:style>
  <w:style w:type="table" w:styleId="1286">
    <w:name w:val="Table Grid Light"/>
    <w:basedOn w:val="14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287">
    <w:name w:val="Plain Table 1"/>
    <w:basedOn w:val="14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288">
    <w:name w:val="Plain Table 2"/>
    <w:basedOn w:val="14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289">
    <w:name w:val="Plain Table 3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290">
    <w:name w:val="Plain Table 4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1">
    <w:name w:val="Plain Table 5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292">
    <w:name w:val="Grid Table 1 Light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3">
    <w:name w:val="Grid Table 1 Light - Accent 1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4">
    <w:name w:val="Grid Table 1 Light - Accent 2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5">
    <w:name w:val="Grid Table 1 Light - Accent 3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6">
    <w:name w:val="Grid Table 1 Light - Accent 4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7">
    <w:name w:val="Grid Table 1 Light - Accent 5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8">
    <w:name w:val="Grid Table 1 Light - Accent 6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9">
    <w:name w:val="Grid Table 2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00">
    <w:name w:val="Grid Table 2 - Accent 1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01">
    <w:name w:val="Grid Table 2 - Accent 2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02">
    <w:name w:val="Grid Table 2 - Accent 3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03">
    <w:name w:val="Grid Table 2 - Accent 4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04">
    <w:name w:val="Grid Table 2 - Accent 5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05">
    <w:name w:val="Grid Table 2 - Accent 6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06">
    <w:name w:val="Grid Table 3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07">
    <w:name w:val="Grid Table 3 - Accent 1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08">
    <w:name w:val="Grid Table 3 - Accent 2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09">
    <w:name w:val="Grid Table 3 - Accent 3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10">
    <w:name w:val="Grid Table 3 - Accent 4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11">
    <w:name w:val="Grid Table 3 - Accent 5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12">
    <w:name w:val="Grid Table 3 - Accent 6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13">
    <w:name w:val="Grid Table 4"/>
    <w:basedOn w:val="14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314">
    <w:name w:val="Grid Table 4 - Accent 1"/>
    <w:basedOn w:val="14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315">
    <w:name w:val="Grid Table 4 - Accent 2"/>
    <w:basedOn w:val="14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316">
    <w:name w:val="Grid Table 4 - Accent 3"/>
    <w:basedOn w:val="14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317">
    <w:name w:val="Grid Table 4 - Accent 4"/>
    <w:basedOn w:val="14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318">
    <w:name w:val="Grid Table 4 - Accent 5"/>
    <w:basedOn w:val="14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319">
    <w:name w:val="Grid Table 4 - Accent 6"/>
    <w:basedOn w:val="14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320">
    <w:name w:val="Grid Table 5 Dark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321">
    <w:name w:val="Grid Table 5 Dark- Accent 1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1322">
    <w:name w:val="Grid Table 5 Dark - Accent 2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1323">
    <w:name w:val="Grid Table 5 Dark - Accent 3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1324">
    <w:name w:val="Grid Table 5 Dark- Accent 4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1325">
    <w:name w:val="Grid Table 5 Dark - Accent 5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1326">
    <w:name w:val="Grid Table 5 Dark - Accent 6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1327">
    <w:name w:val="Grid Table 6 Colorful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1328">
    <w:name w:val="Grid Table 6 Colorful - Accent 1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1329">
    <w:name w:val="Grid Table 6 Colorful - Accent 2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1330">
    <w:name w:val="Grid Table 6 Colorful - Accent 3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1331">
    <w:name w:val="Grid Table 6 Colorful - Accent 4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1332">
    <w:name w:val="Grid Table 6 Colorful - Accent 5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333">
    <w:name w:val="Grid Table 6 Colorful - Accent 6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334">
    <w:name w:val="Grid Table 7 Colorful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35">
    <w:name w:val="Grid Table 7 Colorful - Accent 1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36">
    <w:name w:val="Grid Table 7 Colorful - Accent 2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37">
    <w:name w:val="Grid Table 7 Colorful - Accent 3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38">
    <w:name w:val="Grid Table 7 Colorful - Accent 4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39">
    <w:name w:val="Grid Table 7 Colorful - Accent 5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0">
    <w:name w:val="Grid Table 7 Colorful - Accent 6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1">
    <w:name w:val="List Table 1 Light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2">
    <w:name w:val="List Table 1 Light - Accent 1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3">
    <w:name w:val="List Table 1 Light - Accent 2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4">
    <w:name w:val="List Table 1 Light - Accent 3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5">
    <w:name w:val="List Table 1 Light - Accent 4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6">
    <w:name w:val="List Table 1 Light - Accent 5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7">
    <w:name w:val="List Table 1 Light - Accent 6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8">
    <w:name w:val="List Table 2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349">
    <w:name w:val="List Table 2 - Accent 1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350">
    <w:name w:val="List Table 2 - Accent 2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351">
    <w:name w:val="List Table 2 - Accent 3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352">
    <w:name w:val="List Table 2 - Accent 4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353">
    <w:name w:val="List Table 2 - Accent 5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354">
    <w:name w:val="List Table 2 - Accent 6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355">
    <w:name w:val="List Table 3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56">
    <w:name w:val="List Table 3 - Accent 1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57">
    <w:name w:val="List Table 3 - Accent 2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58">
    <w:name w:val="List Table 3 - Accent 3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59">
    <w:name w:val="List Table 3 - Accent 4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60">
    <w:name w:val="List Table 3 - Accent 5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61">
    <w:name w:val="List Table 3 - Accent 6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62">
    <w:name w:val="List Table 4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63">
    <w:name w:val="List Table 4 - Accent 1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64">
    <w:name w:val="List Table 4 - Accent 2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65">
    <w:name w:val="List Table 4 - Accent 3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66">
    <w:name w:val="List Table 4 - Accent 4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67">
    <w:name w:val="List Table 4 - Accent 5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68">
    <w:name w:val="List Table 4 - Accent 6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69">
    <w:name w:val="List Table 5 Dark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0">
    <w:name w:val="List Table 5 Dark - Accent 1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1">
    <w:name w:val="List Table 5 Dark - Accent 2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2">
    <w:name w:val="List Table 5 Dark - Accent 3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3">
    <w:name w:val="List Table 5 Dark - Accent 4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4">
    <w:name w:val="List Table 5 Dark - Accent 5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5">
    <w:name w:val="List Table 5 Dark - Accent 6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6">
    <w:name w:val="List Table 6 Colorful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77">
    <w:name w:val="List Table 6 Colorful - Accent 1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78">
    <w:name w:val="List Table 6 Colorful - Accent 2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379">
    <w:name w:val="List Table 6 Colorful - Accent 3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380">
    <w:name w:val="List Table 6 Colorful - Accent 4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381">
    <w:name w:val="List Table 6 Colorful - Accent 5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382">
    <w:name w:val="List Table 6 Colorful - Accent 6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383">
    <w:name w:val="List Table 7 Colorful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384">
    <w:name w:val="List Table 7 Colorful - Accent 1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385">
    <w:name w:val="List Table 7 Colorful - Accent 2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386">
    <w:name w:val="List Table 7 Colorful - Accent 3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387">
    <w:name w:val="List Table 7 Colorful - Accent 4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388">
    <w:name w:val="List Table 7 Colorful - Accent 5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389">
    <w:name w:val="List Table 7 Colorful - Accent 6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390">
    <w:name w:val="Lined - Accent"/>
    <w:basedOn w:val="14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391">
    <w:name w:val="Lined - Accent 1"/>
    <w:basedOn w:val="14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392">
    <w:name w:val="Lined - Accent 2"/>
    <w:basedOn w:val="14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393">
    <w:name w:val="Lined - Accent 3"/>
    <w:basedOn w:val="14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394">
    <w:name w:val="Lined - Accent 4"/>
    <w:basedOn w:val="14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395">
    <w:name w:val="Lined - Accent 5"/>
    <w:basedOn w:val="14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396">
    <w:name w:val="Lined - Accent 6"/>
    <w:basedOn w:val="14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397">
    <w:name w:val="Bordered &amp; Lined - Accent"/>
    <w:basedOn w:val="14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398">
    <w:name w:val="Bordered &amp; Lined - Accent 1"/>
    <w:basedOn w:val="14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399">
    <w:name w:val="Bordered &amp; Lined - Accent 2"/>
    <w:basedOn w:val="14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400">
    <w:name w:val="Bordered &amp; Lined - Accent 3"/>
    <w:basedOn w:val="14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401">
    <w:name w:val="Bordered &amp; Lined - Accent 4"/>
    <w:basedOn w:val="14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402">
    <w:name w:val="Bordered &amp; Lined - Accent 5"/>
    <w:basedOn w:val="14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403">
    <w:name w:val="Bordered &amp; Lined - Accent 6"/>
    <w:basedOn w:val="14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404">
    <w:name w:val="Bordered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405">
    <w:name w:val="Bordered - Accent 1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406">
    <w:name w:val="Bordered - Accent 2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407">
    <w:name w:val="Bordered - Accent 3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408">
    <w:name w:val="Bordered - Accent 4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409">
    <w:name w:val="Bordered - Accent 5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410">
    <w:name w:val="Bordered - Accent 6"/>
    <w:basedOn w:val="14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411">
    <w:name w:val="Footnote Text Char"/>
    <w:link w:val="1438"/>
    <w:uiPriority w:val="99"/>
    <w:rPr>
      <w:sz w:val="18"/>
    </w:rPr>
  </w:style>
  <w:style w:type="paragraph" w:styleId="1412">
    <w:name w:val="endnote text"/>
    <w:basedOn w:val="1425"/>
    <w:link w:val="1413"/>
    <w:uiPriority w:val="99"/>
    <w:semiHidden/>
    <w:unhideWhenUsed/>
    <w:pPr>
      <w:spacing w:after="0" w:line="240" w:lineRule="auto"/>
    </w:pPr>
    <w:rPr>
      <w:sz w:val="20"/>
    </w:rPr>
  </w:style>
  <w:style w:type="character" w:styleId="1413">
    <w:name w:val="Endnote Text Char"/>
    <w:link w:val="1412"/>
    <w:uiPriority w:val="99"/>
    <w:rPr>
      <w:sz w:val="20"/>
    </w:rPr>
  </w:style>
  <w:style w:type="character" w:styleId="1414">
    <w:name w:val="endnote reference"/>
    <w:basedOn w:val="1430"/>
    <w:uiPriority w:val="99"/>
    <w:semiHidden/>
    <w:unhideWhenUsed/>
    <w:rPr>
      <w:vertAlign w:val="superscript"/>
    </w:rPr>
  </w:style>
  <w:style w:type="paragraph" w:styleId="1415">
    <w:name w:val="toc 2"/>
    <w:basedOn w:val="1425"/>
    <w:next w:val="1425"/>
    <w:uiPriority w:val="39"/>
    <w:unhideWhenUsed/>
    <w:pPr>
      <w:ind w:left="283" w:right="0" w:firstLine="0"/>
      <w:spacing w:after="57"/>
    </w:pPr>
  </w:style>
  <w:style w:type="paragraph" w:styleId="1416">
    <w:name w:val="toc 3"/>
    <w:basedOn w:val="1425"/>
    <w:next w:val="1425"/>
    <w:uiPriority w:val="39"/>
    <w:unhideWhenUsed/>
    <w:pPr>
      <w:ind w:left="567" w:right="0" w:firstLine="0"/>
      <w:spacing w:after="57"/>
    </w:pPr>
  </w:style>
  <w:style w:type="paragraph" w:styleId="1417">
    <w:name w:val="toc 4"/>
    <w:basedOn w:val="1425"/>
    <w:next w:val="1425"/>
    <w:uiPriority w:val="39"/>
    <w:unhideWhenUsed/>
    <w:pPr>
      <w:ind w:left="850" w:right="0" w:firstLine="0"/>
      <w:spacing w:after="57"/>
    </w:pPr>
  </w:style>
  <w:style w:type="paragraph" w:styleId="1418">
    <w:name w:val="toc 5"/>
    <w:basedOn w:val="1425"/>
    <w:next w:val="1425"/>
    <w:uiPriority w:val="39"/>
    <w:unhideWhenUsed/>
    <w:pPr>
      <w:ind w:left="1134" w:right="0" w:firstLine="0"/>
      <w:spacing w:after="57"/>
    </w:pPr>
  </w:style>
  <w:style w:type="paragraph" w:styleId="1419">
    <w:name w:val="toc 6"/>
    <w:basedOn w:val="1425"/>
    <w:next w:val="1425"/>
    <w:uiPriority w:val="39"/>
    <w:unhideWhenUsed/>
    <w:pPr>
      <w:ind w:left="1417" w:right="0" w:firstLine="0"/>
      <w:spacing w:after="57"/>
    </w:pPr>
  </w:style>
  <w:style w:type="paragraph" w:styleId="1420">
    <w:name w:val="toc 7"/>
    <w:basedOn w:val="1425"/>
    <w:next w:val="1425"/>
    <w:uiPriority w:val="39"/>
    <w:unhideWhenUsed/>
    <w:pPr>
      <w:ind w:left="1701" w:right="0" w:firstLine="0"/>
      <w:spacing w:after="57"/>
    </w:pPr>
  </w:style>
  <w:style w:type="paragraph" w:styleId="1421">
    <w:name w:val="toc 8"/>
    <w:basedOn w:val="1425"/>
    <w:next w:val="1425"/>
    <w:uiPriority w:val="39"/>
    <w:unhideWhenUsed/>
    <w:pPr>
      <w:ind w:left="1984" w:right="0" w:firstLine="0"/>
      <w:spacing w:after="57"/>
    </w:pPr>
  </w:style>
  <w:style w:type="paragraph" w:styleId="1422">
    <w:name w:val="toc 9"/>
    <w:basedOn w:val="1425"/>
    <w:next w:val="1425"/>
    <w:uiPriority w:val="39"/>
    <w:unhideWhenUsed/>
    <w:pPr>
      <w:ind w:left="2268" w:right="0" w:firstLine="0"/>
      <w:spacing w:after="57"/>
    </w:pPr>
  </w:style>
  <w:style w:type="paragraph" w:styleId="1423">
    <w:name w:val="TOC Heading"/>
    <w:uiPriority w:val="39"/>
    <w:unhideWhenUsed/>
  </w:style>
  <w:style w:type="paragraph" w:styleId="1424">
    <w:name w:val="table of figures"/>
    <w:basedOn w:val="1425"/>
    <w:next w:val="1425"/>
    <w:uiPriority w:val="99"/>
    <w:unhideWhenUsed/>
    <w:pPr>
      <w:spacing w:after="0" w:afterAutospacing="0"/>
    </w:pPr>
  </w:style>
  <w:style w:type="paragraph" w:styleId="1425" w:default="1">
    <w:name w:val="Normal"/>
    <w:qFormat/>
    <w:pPr>
      <w:spacing w:after="0" w:line="240" w:lineRule="auto"/>
      <w:widowControl w:val="off"/>
    </w:pPr>
    <w:rPr>
      <w:rFonts w:ascii="Times New Roman" w:hAnsi="Times New Roman" w:eastAsia="Arial Unicode MS" w:cs="Times New Roman"/>
      <w:sz w:val="24"/>
      <w:szCs w:val="24"/>
      <w:lang w:eastAsia="ru-RU"/>
    </w:rPr>
  </w:style>
  <w:style w:type="paragraph" w:styleId="1426">
    <w:name w:val="Heading 1"/>
    <w:basedOn w:val="1425"/>
    <w:next w:val="1425"/>
    <w:link w:val="1433"/>
    <w:uiPriority w:val="9"/>
    <w:qFormat/>
    <w:pPr>
      <w:numPr>
        <w:ilvl w:val="0"/>
        <w:numId w:val="1"/>
      </w:numPr>
      <w:keepNext/>
      <w:widowControl/>
      <w:outlineLvl w:val="0"/>
    </w:pPr>
    <w:rPr>
      <w:rFonts w:eastAsia="Times New Roman"/>
      <w:sz w:val="28"/>
      <w:szCs w:val="22"/>
    </w:rPr>
  </w:style>
  <w:style w:type="paragraph" w:styleId="1427">
    <w:name w:val="Heading 2"/>
    <w:basedOn w:val="1425"/>
    <w:next w:val="1425"/>
    <w:link w:val="1434"/>
    <w:qFormat/>
    <w:pPr>
      <w:numPr>
        <w:ilvl w:val="1"/>
        <w:numId w:val="1"/>
      </w:numPr>
      <w:jc w:val="center"/>
      <w:keepLines/>
      <w:keepNext/>
      <w:spacing w:line="320" w:lineRule="exact"/>
      <w:widowControl/>
      <w:outlineLvl w:val="1"/>
    </w:pPr>
    <w:rPr>
      <w:rFonts w:eastAsia="Times New Roman"/>
      <w:b/>
      <w:bCs/>
      <w:szCs w:val="20"/>
    </w:rPr>
  </w:style>
  <w:style w:type="paragraph" w:styleId="1428">
    <w:name w:val="Heading 4"/>
    <w:basedOn w:val="1425"/>
    <w:next w:val="1425"/>
    <w:link w:val="1435"/>
    <w:qFormat/>
    <w:pPr>
      <w:numPr>
        <w:ilvl w:val="3"/>
        <w:numId w:val="1"/>
      </w:numPr>
      <w:jc w:val="center"/>
      <w:keepNext/>
      <w:widowControl/>
      <w:outlineLvl w:val="3"/>
    </w:pPr>
    <w:rPr>
      <w:rFonts w:eastAsia="Times New Roman"/>
      <w:b/>
      <w:bCs/>
      <w:iCs/>
    </w:rPr>
  </w:style>
  <w:style w:type="paragraph" w:styleId="1429">
    <w:name w:val="Heading 8"/>
    <w:basedOn w:val="1425"/>
    <w:next w:val="1425"/>
    <w:link w:val="1436"/>
    <w:qFormat/>
    <w:pPr>
      <w:numPr>
        <w:ilvl w:val="7"/>
        <w:numId w:val="1"/>
      </w:numPr>
      <w:spacing w:before="240" w:after="60"/>
      <w:widowControl/>
      <w:outlineLvl w:val="7"/>
    </w:pPr>
    <w:rPr>
      <w:rFonts w:ascii="Calibri" w:hAnsi="Calibri" w:eastAsia="Times New Roman"/>
      <w:i/>
      <w:iCs/>
    </w:rPr>
  </w:style>
  <w:style w:type="character" w:styleId="1430" w:default="1">
    <w:name w:val="Default Paragraph Font"/>
    <w:uiPriority w:val="1"/>
    <w:semiHidden/>
    <w:unhideWhenUsed/>
  </w:style>
  <w:style w:type="table" w:styleId="14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432" w:default="1">
    <w:name w:val="No List"/>
    <w:uiPriority w:val="99"/>
    <w:semiHidden/>
    <w:unhideWhenUsed/>
  </w:style>
  <w:style w:type="character" w:styleId="1433" w:customStyle="1">
    <w:name w:val="Заголовок 1 Знак"/>
    <w:basedOn w:val="1430"/>
    <w:link w:val="1426"/>
    <w:uiPriority w:val="9"/>
    <w:rPr>
      <w:rFonts w:ascii="Times New Roman" w:hAnsi="Times New Roman" w:eastAsia="Times New Roman" w:cs="Times New Roman"/>
      <w:sz w:val="28"/>
      <w:lang w:eastAsia="ru-RU"/>
    </w:rPr>
  </w:style>
  <w:style w:type="character" w:styleId="1434" w:customStyle="1">
    <w:name w:val="Заголовок 2 Знак"/>
    <w:basedOn w:val="1430"/>
    <w:link w:val="1427"/>
    <w:rPr>
      <w:rFonts w:ascii="Times New Roman" w:hAnsi="Times New Roman" w:eastAsia="Times New Roman" w:cs="Times New Roman"/>
      <w:b/>
      <w:bCs/>
      <w:sz w:val="24"/>
      <w:szCs w:val="20"/>
      <w:lang w:eastAsia="ru-RU"/>
    </w:rPr>
  </w:style>
  <w:style w:type="character" w:styleId="1435" w:customStyle="1">
    <w:name w:val="Заголовок 4 Знак"/>
    <w:basedOn w:val="1430"/>
    <w:link w:val="1428"/>
    <w:rPr>
      <w:rFonts w:ascii="Times New Roman" w:hAnsi="Times New Roman" w:eastAsia="Times New Roman" w:cs="Times New Roman"/>
      <w:b/>
      <w:bCs/>
      <w:iCs/>
      <w:sz w:val="24"/>
      <w:szCs w:val="24"/>
      <w:lang w:eastAsia="ru-RU"/>
    </w:rPr>
  </w:style>
  <w:style w:type="character" w:styleId="1436" w:customStyle="1">
    <w:name w:val="Заголовок 8 Знак"/>
    <w:basedOn w:val="1430"/>
    <w:link w:val="1429"/>
    <w:rPr>
      <w:rFonts w:ascii="Calibri" w:hAnsi="Calibri" w:eastAsia="Times New Roman" w:cs="Times New Roman"/>
      <w:i/>
      <w:iCs/>
      <w:sz w:val="24"/>
      <w:szCs w:val="24"/>
      <w:lang w:eastAsia="ru-RU"/>
    </w:rPr>
  </w:style>
  <w:style w:type="character" w:styleId="1437">
    <w:name w:val="Hyperlink"/>
    <w:uiPriority w:val="99"/>
    <w:unhideWhenUsed/>
    <w:rPr>
      <w:color w:val="000080"/>
      <w:u w:val="single"/>
    </w:rPr>
  </w:style>
  <w:style w:type="paragraph" w:styleId="1438">
    <w:name w:val="footnote text"/>
    <w:basedOn w:val="1425"/>
    <w:link w:val="1439"/>
    <w:uiPriority w:val="99"/>
    <w:unhideWhenUsed/>
    <w:qFormat/>
    <w:rPr>
      <w:sz w:val="20"/>
      <w:szCs w:val="20"/>
      <w:lang w:eastAsia="en-US"/>
    </w:rPr>
  </w:style>
  <w:style w:type="character" w:styleId="1439" w:customStyle="1">
    <w:name w:val="Текст сноски Знак"/>
    <w:basedOn w:val="1430"/>
    <w:link w:val="1438"/>
    <w:uiPriority w:val="99"/>
    <w:rPr>
      <w:rFonts w:ascii="Times New Roman" w:hAnsi="Times New Roman" w:eastAsia="Arial Unicode MS" w:cs="Times New Roman"/>
      <w:sz w:val="20"/>
      <w:szCs w:val="20"/>
    </w:rPr>
  </w:style>
  <w:style w:type="character" w:styleId="1440">
    <w:name w:val="footnote reference"/>
    <w:uiPriority w:val="99"/>
    <w:rPr>
      <w:rFonts w:ascii="Times New Roman" w:hAnsi="Times New Roman"/>
      <w:vertAlign w:val="superscript"/>
    </w:rPr>
  </w:style>
  <w:style w:type="paragraph" w:styleId="1441" w:customStyle="1">
    <w:name w:val="ConsPlusNormal"/>
    <w:link w:val="1443"/>
    <w:qFormat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1442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1443" w:customStyle="1">
    <w:name w:val="ConsPlusNormal Знак"/>
    <w:link w:val="1441"/>
    <w:rPr>
      <w:rFonts w:ascii="Arial" w:hAnsi="Arial" w:eastAsia="Times New Roman" w:cs="Arial"/>
      <w:sz w:val="20"/>
      <w:szCs w:val="20"/>
      <w:lang w:eastAsia="ru-RU"/>
    </w:rPr>
  </w:style>
  <w:style w:type="character" w:styleId="1444">
    <w:name w:val="annotation reference"/>
    <w:basedOn w:val="1430"/>
    <w:uiPriority w:val="99"/>
    <w:semiHidden/>
    <w:unhideWhenUsed/>
    <w:rPr>
      <w:sz w:val="16"/>
      <w:szCs w:val="16"/>
    </w:rPr>
  </w:style>
  <w:style w:type="paragraph" w:styleId="1445">
    <w:name w:val="annotation text"/>
    <w:basedOn w:val="1425"/>
    <w:link w:val="1446"/>
    <w:uiPriority w:val="99"/>
    <w:semiHidden/>
    <w:unhideWhenUsed/>
    <w:rPr>
      <w:sz w:val="20"/>
      <w:szCs w:val="20"/>
    </w:rPr>
  </w:style>
  <w:style w:type="character" w:styleId="1446" w:customStyle="1">
    <w:name w:val="Текст примечания Знак"/>
    <w:basedOn w:val="1430"/>
    <w:link w:val="1445"/>
    <w:uiPriority w:val="99"/>
    <w:semiHidden/>
    <w:rPr>
      <w:rFonts w:ascii="Times New Roman" w:hAnsi="Times New Roman" w:eastAsia="Arial Unicode MS" w:cs="Times New Roman"/>
      <w:sz w:val="20"/>
      <w:szCs w:val="20"/>
      <w:lang w:eastAsia="ru-RU"/>
    </w:rPr>
  </w:style>
  <w:style w:type="paragraph" w:styleId="1447">
    <w:name w:val="annotation subject"/>
    <w:basedOn w:val="1445"/>
    <w:next w:val="1445"/>
    <w:link w:val="1448"/>
    <w:uiPriority w:val="99"/>
    <w:semiHidden/>
    <w:unhideWhenUsed/>
    <w:rPr>
      <w:b/>
      <w:bCs/>
    </w:rPr>
  </w:style>
  <w:style w:type="character" w:styleId="1448" w:customStyle="1">
    <w:name w:val="Тема примечания Знак"/>
    <w:basedOn w:val="1446"/>
    <w:link w:val="1447"/>
    <w:uiPriority w:val="99"/>
    <w:semiHidden/>
    <w:rPr>
      <w:rFonts w:ascii="Times New Roman" w:hAnsi="Times New Roman" w:eastAsia="Arial Unicode MS" w:cs="Times New Roman"/>
      <w:b/>
      <w:bCs/>
      <w:sz w:val="20"/>
      <w:szCs w:val="20"/>
      <w:lang w:eastAsia="ru-RU"/>
    </w:rPr>
  </w:style>
  <w:style w:type="paragraph" w:styleId="1449">
    <w:name w:val="Balloon Text"/>
    <w:basedOn w:val="1425"/>
    <w:link w:val="1450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1450" w:customStyle="1">
    <w:name w:val="Текст выноски Знак"/>
    <w:basedOn w:val="1430"/>
    <w:link w:val="1449"/>
    <w:uiPriority w:val="99"/>
    <w:semiHidden/>
    <w:rPr>
      <w:rFonts w:ascii="Segoe UI" w:hAnsi="Segoe UI" w:eastAsia="Arial Unicode MS" w:cs="Segoe UI"/>
      <w:sz w:val="18"/>
      <w:szCs w:val="18"/>
      <w:lang w:eastAsia="ru-RU"/>
    </w:rPr>
  </w:style>
  <w:style w:type="paragraph" w:styleId="1451">
    <w:name w:val="Header"/>
    <w:basedOn w:val="1425"/>
    <w:link w:val="145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452" w:customStyle="1">
    <w:name w:val="Верхний колонтитул Знак"/>
    <w:basedOn w:val="1430"/>
    <w:link w:val="1451"/>
    <w:uiPriority w:val="99"/>
    <w:rPr>
      <w:rFonts w:ascii="Times New Roman" w:hAnsi="Times New Roman" w:eastAsia="Arial Unicode MS" w:cs="Times New Roman"/>
      <w:sz w:val="24"/>
      <w:szCs w:val="24"/>
      <w:lang w:eastAsia="ru-RU"/>
    </w:rPr>
  </w:style>
  <w:style w:type="paragraph" w:styleId="1453">
    <w:name w:val="Footer"/>
    <w:basedOn w:val="1425"/>
    <w:link w:val="145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454" w:customStyle="1">
    <w:name w:val="Нижний колонтитул Знак"/>
    <w:basedOn w:val="1430"/>
    <w:link w:val="1453"/>
    <w:uiPriority w:val="99"/>
    <w:rPr>
      <w:rFonts w:ascii="Times New Roman" w:hAnsi="Times New Roman" w:eastAsia="Arial Unicode MS" w:cs="Times New Roman"/>
      <w:sz w:val="24"/>
      <w:szCs w:val="24"/>
      <w:lang w:eastAsia="ru-RU"/>
    </w:rPr>
  </w:style>
  <w:style w:type="character" w:styleId="1455" w:customStyle="1">
    <w:name w:val="Абзац списка Знак"/>
    <w:link w:val="1456"/>
    <w:uiPriority w:val="34"/>
    <w:rPr>
      <w:sz w:val="24"/>
      <w:szCs w:val="24"/>
    </w:rPr>
  </w:style>
  <w:style w:type="paragraph" w:styleId="1456">
    <w:name w:val="List Paragraph"/>
    <w:basedOn w:val="1425"/>
    <w:link w:val="1455"/>
    <w:uiPriority w:val="34"/>
    <w:qFormat/>
    <w:pPr>
      <w:ind w:left="720"/>
      <w:widowControl/>
    </w:pPr>
    <w:rPr>
      <w:rFonts w:asciiTheme="minorHAnsi" w:hAnsiTheme="minorHAnsi" w:eastAsiaTheme="minorHAnsi" w:cstheme="minorBidi"/>
      <w:lang w:eastAsia="en-US"/>
    </w:rPr>
  </w:style>
  <w:style w:type="paragraph" w:styleId="1457">
    <w:name w:val="toc 1"/>
    <w:basedOn w:val="1425"/>
    <w:next w:val="1425"/>
    <w:uiPriority w:val="39"/>
    <w:pPr>
      <w:spacing w:before="120"/>
      <w:widowControl/>
    </w:pPr>
    <w:rPr>
      <w:rFonts w:eastAsia="Times New Roman"/>
      <w:b/>
      <w:bCs/>
      <w:iCs/>
      <w:lang w:eastAsia="ar-SA"/>
    </w:rPr>
  </w:style>
  <w:style w:type="table" w:styleId="1458">
    <w:name w:val="Table Grid"/>
    <w:basedOn w:val="143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459" w:customStyle="1">
    <w:name w:val="Договор текст"/>
    <w:basedOn w:val="1425"/>
    <w:pPr>
      <w:ind w:firstLine="567"/>
      <w:jc w:val="both"/>
      <w:widowControl/>
    </w:pPr>
    <w:rPr>
      <w:rFonts w:eastAsia="Times New Roman"/>
      <w:szCs w:val="20"/>
    </w:rPr>
  </w:style>
  <w:style w:type="paragraph" w:styleId="1460">
    <w:name w:val="No Spacing"/>
    <w:uiPriority w:val="1"/>
    <w:qFormat/>
    <w:pPr>
      <w:spacing w:after="0" w:line="240" w:lineRule="auto"/>
      <w:widowControl w:val="off"/>
    </w:pPr>
    <w:rPr>
      <w:rFonts w:ascii="Times New Roman" w:hAnsi="Times New Roman" w:eastAsia="Arial Unicode MS" w:cs="Times New Roman"/>
      <w:sz w:val="24"/>
      <w:szCs w:val="24"/>
    </w:rPr>
  </w:style>
  <w:style w:type="paragraph" w:styleId="1461" w:customStyle="1">
    <w:name w:val="Содержимое таблицы"/>
    <w:basedOn w:val="1425"/>
    <w:qFormat/>
    <w:pPr>
      <w:suppressLineNumbers/>
    </w:pPr>
    <w:rPr>
      <w:rFonts w:ascii="Tempora LGC Uni" w:hAnsi="Tempora LGC Uni" w:eastAsia="Tahoma" w:cs="Lohit Devanagari"/>
      <w:lang w:eastAsia="zh-CN" w:bidi="hi-IN"/>
    </w:rPr>
  </w:style>
  <w:style w:type="paragraph" w:styleId="1462" w:customStyle="1">
    <w:name w:val="Основной текст 31"/>
    <w:basedOn w:val="1425"/>
    <w:pPr>
      <w:jc w:val="both"/>
      <w:spacing w:line="360" w:lineRule="auto"/>
      <w:widowControl/>
    </w:pPr>
    <w:rPr>
      <w:rFonts w:eastAsia="Times New Roman"/>
      <w:sz w:val="26"/>
      <w:szCs w:val="28"/>
      <w:lang w:eastAsia="ar-SA"/>
    </w:rPr>
  </w:style>
  <w:style w:type="paragraph" w:styleId="1463" w:customStyle="1">
    <w:name w:val="Normal (Web)"/>
    <w:basedOn w:val="1439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464" w:customStyle="1">
    <w:name w:val="OTR_Normal"/>
    <w:pPr>
      <w:contextualSpacing w:val="0"/>
      <w:ind w:left="0" w:right="0" w:firstLine="567"/>
      <w:jc w:val="both"/>
      <w:keepLines w:val="0"/>
      <w:keepNext w:val="0"/>
      <w:pageBreakBefore w:val="0"/>
      <w:spacing w:before="6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465" w:customStyle="1">
    <w:name w:val="Обычный без отступа1"/>
    <w:uiPriority w:val="99"/>
    <w:qFormat/>
    <w:pPr>
      <w:contextualSpacing w:val="0"/>
      <w:ind w:left="0" w:right="0" w:firstLine="0"/>
      <w:jc w:val="both"/>
      <w:keepLines w:val="0"/>
      <w:keepNext w:val="0"/>
      <w:pageBreakBefore w:val="0"/>
      <w:spacing w:before="4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1466" w:customStyle="1">
    <w:name w:val="hgkelc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consultantplus://offline/ref=782E9CC4CCC6932545801925E3B536176E50B53C1FD70BD7655CABC93DB89C27024180C10398FB96372E7F1F5737VEP" TargetMode="External"/><Relationship Id="rId13" Type="http://schemas.openxmlformats.org/officeDocument/2006/relationships/hyperlink" Target="consultantplus://offline/ref=DC7B8EBB214CA91E528348CE44BC4CA1DB339B4011481E92C4BB7DE0E1D2DAB29ADC7CF35E6159764E5B1EBAF5B31BCCDACAAC7BF4B51610j2uFI" TargetMode="External"/><Relationship Id="rId14" Type="http://schemas.openxmlformats.org/officeDocument/2006/relationships/hyperlink" Target="consultantplus://offline/ref=782E9CC4CCC6932545801925E3B536176E50B53C1FD70BD7655CABC93DB89C271041D8C90794B1C77465701D5260D5009943EF493EVAP" TargetMode="External"/><Relationship Id="rId15" Type="http://schemas.openxmlformats.org/officeDocument/2006/relationships/hyperlink" Target="consultantplus://offline/ref=068708861DB2017460363FE8F2F03A5D7701F0B89317251AD4152154FE252F392F6FC1806B7CF37C83F30FD998C10077C97B14DED30FB67DbBP4L" TargetMode="External"/><Relationship Id="rId16" Type="http://schemas.openxmlformats.org/officeDocument/2006/relationships/hyperlink" Target="consultantplus://offline/ref=03FC0996997AD7E3841CCC109FCDD5AD53BE96D596E35B1D511B7274D0139065360C9941F30CE76286EB2180D1C80C287E8B32A9550C8A02J2N" TargetMode="External"/><Relationship Id="rId17" Type="http://schemas.openxmlformats.org/officeDocument/2006/relationships/hyperlink" Target="consultantplus://offline/ref=782E9CC4CCC6932545801925E3B536176E50B53C1FD70BD7655CABC93DB89C271041D8CD019EE191343B294E112BD805805FEF4CF4B5672237V6P" TargetMode="External"/><Relationship Id="rId18" Type="http://schemas.openxmlformats.org/officeDocument/2006/relationships/hyperlink" Target="consultantplus://offline/ref=782E9CC4CCC6932545801925E3B536176E50B53C1FD70BD7655CABC93DB89C271041D8CD069EE39D6461394A587CD2198746F149EAB536V7P" TargetMode="External"/><Relationship Id="rId19" Type="http://schemas.openxmlformats.org/officeDocument/2006/relationships/hyperlink" Target="consultantplus://offline/ref=AD466E2BC961AA50F6CF2AD0B88804779645B7FE4292578B635A5D1C1BD491D0CB3ACCCFD133F0175D8B33DF53FE247708232B9B12FA5CC0d1Y5L" TargetMode="External"/><Relationship Id="rId20" Type="http://schemas.openxmlformats.org/officeDocument/2006/relationships/hyperlink" Target="consultantplus://offline/ref=AD466E2BC961AA50F6CF2AD0B88804779645B7FE4292578B635A5D1C1BD491D0CB3ACCCFD132FC11528B33DF53FE247708232B9B12FA5CC0d1Y5L" TargetMode="External"/><Relationship Id="rId21" Type="http://schemas.openxmlformats.org/officeDocument/2006/relationships/hyperlink" Target="https://login.consultant.ru/link/?req=doc&amp;base=LAW&amp;n=466154&amp;dst=12383&amp;field=134&amp;date=23.01.2025" TargetMode="External"/><Relationship Id="rId22" Type="http://schemas.openxmlformats.org/officeDocument/2006/relationships/hyperlink" Target="https://login.consultant.ru/link/?req=doc&amp;base=LAW&amp;n=466154&amp;dst=12386&amp;field=134&amp;date=23.01.2025" TargetMode="External"/><Relationship Id="rId23" Type="http://schemas.openxmlformats.org/officeDocument/2006/relationships/hyperlink" Target="https://login.consultant.ru/link/?req=doc&amp;base=LAW&amp;n=466154&amp;dst=12390&amp;field=134&amp;date=23.01.2025" TargetMode="External"/><Relationship Id="rId24" Type="http://schemas.openxmlformats.org/officeDocument/2006/relationships/hyperlink" Target="consultantplus://offline/ref=782E9CC4CCC6932545801925E3B536176E50B53C1FD70BD7655CABC93DB89C27024180C10398FB96372E7F1F5737VEP" TargetMode="External"/><Relationship Id="rId25" Type="http://schemas.openxmlformats.org/officeDocument/2006/relationships/hyperlink" Target="consultantplus://offline/ref=782E9CC4CCC6932545801925E3B536176E50B53C1FD70BD7655CABC93DB89C271041D8CD019EE696393B294E112BD805805FEF4CF4B5672237V6P" TargetMode="External"/><Relationship Id="rId26" Type="http://schemas.openxmlformats.org/officeDocument/2006/relationships/hyperlink" Target="consultantplus://offline/ref=782E9CC4CCC6932545801925E3B536176E50B53C1FD70BD7655CABC93DB89C27024180C10398FB96372E7F1F5737VEP" TargetMode="External"/><Relationship Id="rId27" Type="http://schemas.openxmlformats.org/officeDocument/2006/relationships/hyperlink" Target="consultantplus://offline/ref=F49B9FDF69C8B497B9CF4052B40D36989FF54D5B70F534AF804500CF9B077EFCD230774B06225DF225EB52DCBBB0A9D38E4202KDtFM" TargetMode="External"/><Relationship Id="rId28" Type="http://schemas.openxmlformats.org/officeDocument/2006/relationships/hyperlink" Target="consultantplus://offline/ref=782E9CC4CCC6932545801925E3B536176E57B6381BDA0BD7655CABC93DB89C271041D8CF0ACBB4D2653D7F184B7ED2198541ED34VBP" TargetMode="External"/><Relationship Id="rId29" Type="http://schemas.openxmlformats.org/officeDocument/2006/relationships/hyperlink" Target="consultantplus://offline/ref=782E9CC4CCC6932545801925E3B536176E57B6381BDA0BD7655CABC93DB89C271041D8CF0ACBB4D2653D7F184B7ED2198541ED34VBP" TargetMode="External"/><Relationship Id="rId30" Type="http://schemas.openxmlformats.org/officeDocument/2006/relationships/hyperlink" Target="consultantplus://offline/ref=782E9CC4CCC6932545801925E3B536176E50B53C1FD70BD7655CABC93DB89C271041D8CD019EE29F343B294E112BD805805FEF4CF4B5672237V6P" TargetMode="External"/><Relationship Id="rId31" Type="http://schemas.openxmlformats.org/officeDocument/2006/relationships/hyperlink" Target="consultantplus://offline/ref=782E9CC4CCC6932545801925E3B536176E50B53C1FD70BD7655CABC93DB89C271041D8CD019EE692303B294E112BD805805FEF4CF4B5672237V6P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consultantplus://offline/ref=2A829C8BE7B542039EBA3520D098DE0E835F864D5DF62D0D225C734443374B3CD8DAD7AB8471DF258DADE354A1962BC0B30F00C394AAA4A475P3L" TargetMode="External"/><Relationship Id="rId2" Type="http://schemas.openxmlformats.org/officeDocument/2006/relationships/hyperlink" Target="consultantplus://offline/ref=9E8B2215E856F5C40DA1F9A1C10AC82EF5825FE276D025190EA63CC629CE1E06B358B02682D2AE0774E79F60B1580F426AC211019A012221u1d7J" TargetMode="External"/><Relationship Id="rId3" Type="http://schemas.openxmlformats.org/officeDocument/2006/relationships/hyperlink" Target="consultantplus://offline/ref=8F686E1EA2C6934BFE950F783F94FAB1592F3DE3D713B2ABAEBC30AFFF6F42F3449EDBD5EB4FD9C50688E281921068696D66172D95F0v8H4N" TargetMode="External"/><Relationship Id="rId4" Type="http://schemas.openxmlformats.org/officeDocument/2006/relationships/hyperlink" Target="consultantplus://offline/ref=DC7B8EBB214CA91E528348CE44BC4CA1DB339B4011481E92C4BB7DE0E1D2DAB29ADC7CF35E6159764E5B1EBAF5B31BCCDACAAC7BF4B51610j2uFI" TargetMode="External"/><Relationship Id="rId5" Type="http://schemas.openxmlformats.org/officeDocument/2006/relationships/hyperlink" Target="consultantplus://offline/ref=5F710D84E0CB0E7357D5DE5F114EEBE52F976D925C8C75FA6354261547C41ECF07079846456DD143B642CD80A74EC8EB04BE96EB24A4110AgCBCJ" TargetMode="External"/><Relationship Id="rId6" Type="http://schemas.openxmlformats.org/officeDocument/2006/relationships/hyperlink" Target="consultantplus://offline/ref=5F710D84E0CB0E7357D5DE5F114EEBE52F976D925C8C75FA6354261547C41ECF07079846456CDD45B942CD80A74EC8EB04BE96EB24A4110AgCBCJ" TargetMode="External"/><Relationship Id="rId7" Type="http://schemas.openxmlformats.org/officeDocument/2006/relationships/hyperlink" Target="consultantplus://offline/ref=2A829C8BE7B542039EBA3520D098DE0E835F864D5DF62D0D225C734443374B3CD8DAD7AB8471DF258DADE354A1962BC0B30F00C394AAA4A475P3L" TargetMode="External"/><Relationship Id="rId8" Type="http://schemas.openxmlformats.org/officeDocument/2006/relationships/hyperlink" Target="https://login.consultant.ru/link/?req=doc&amp;base=LAW&amp;n=494990&amp;dst=12374&amp;field=134&amp;date=02.10.2025" TargetMode="External"/><Relationship Id="rId9" Type="http://schemas.openxmlformats.org/officeDocument/2006/relationships/hyperlink" Target="consultantplus://offline/ref=2A829C8BE7B542039EBA3520D098DE0E835F864D5DF62D0D225C734443374B3CD8DAD7AB8471DF258DADE354A1962BC0B30F00C394AAA4A475P3L" TargetMode="External"/><Relationship Id="rId10" Type="http://schemas.openxmlformats.org/officeDocument/2006/relationships/hyperlink" Target="consultantplus://offline/ref=2A829C8BE7B542039EBA3520D098DE0E835F864D5DF62D0D225C734443374B3CD8DAD7AB8471DF258DADE354A1962BC0B30F00C394AAA4A475P3L" TargetMode="External"/><Relationship Id="rId11" Type="http://schemas.openxmlformats.org/officeDocument/2006/relationships/hyperlink" Target="consultantplus://offline/ref=2A829C8BE7B542039EBA3520D098DE0E835F864D5DF62D0D225C734443374B3CD8DAD7AB8471DF258DADE354A1962BC0B30F00C394AAA4A475P3L" TargetMode="External"/><Relationship Id="rId12" Type="http://schemas.openxmlformats.org/officeDocument/2006/relationships/hyperlink" Target="consultantplus://offline/ref=E36912C953C3674492EDFDF288883D77036C0DABBD773BBD12B7DD9F10C8F539A4042A6ABD46DAF02FC6968158F5911FEFD57B92CABEE6uBT3L" TargetMode="External"/><Relationship Id="rId13" Type="http://schemas.openxmlformats.org/officeDocument/2006/relationships/hyperlink" Target="consultantplus://offline/ref=E36912C953C3674492EDFDF288883D77036C0DABBD773BBD12B7DD9F10C8F539A4042A6ABD46D8F22FC6968158F5911FEFD57B92CABEE6uBT3L" TargetMode="External"/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34674-50AA-4E91-8088-D2015C211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Давидян Алена Александровна</dc:creator>
  <cp:keywords/>
  <dc:description/>
  <cp:lastModifiedBy>davidyan</cp:lastModifiedBy>
  <cp:revision>115</cp:revision>
  <dcterms:created xsi:type="dcterms:W3CDTF">2023-01-19T11:36:00Z</dcterms:created>
  <dcterms:modified xsi:type="dcterms:W3CDTF">2026-10-16T09:42:43Z</dcterms:modified>
</cp:coreProperties>
</file>