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lang w:val="en-US"/>
        </w:rPr>
        <w:t xml:space="preserve">I</w:t>
      </w:r>
      <w:r>
        <w:rPr>
          <w:rFonts w:ascii="Times New Roman" w:hAnsi="Times New Roman" w:cs="Times New Roman"/>
          <w:b/>
        </w:rPr>
        <w:t xml:space="preserve">. ТРЕБОВАНИЯ К СОДЕРЖАНИЮ, СОСТАВУ ЗАЯВКИ НА УЧАСТИЕ В ЭЛЕКТРОННОМ АУКЦИОНЕ № </w:t>
      </w:r>
      <w:r>
        <w:rPr>
          <w:rFonts w:ascii="Times New Roman" w:hAnsi="Times New Roman" w:cs="Times New Roman"/>
          <w:b/>
        </w:rPr>
        <w:t xml:space="preserve">ЭА-101</w:t>
      </w:r>
      <w:r>
        <w:rPr>
          <w:rFonts w:ascii="Times New Roman" w:hAnsi="Times New Roman" w:cs="Times New Roman"/>
          <w:b/>
        </w:rPr>
        <w:t xml:space="preserve">-2026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hd w:val="clear" w:color="auto" w:fill="ffffff" w:themeFill="background1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afafa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  <w:t xml:space="preserve">на о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казание услуг по доработке программного комплекса «Мониторинг, аналитика, планирование обязательного медицинского страхования» и его переводу с СУБД Microsoft SQL Server на Postgres Pro и с операционной системы Windows на операционную систему Альт для нуж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д ТФОМС СК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afafa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afafa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afafa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afafa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afafa"/>
        </w:rPr>
      </w:r>
    </w:p>
    <w:p>
      <w:pPr>
        <w:contextualSpacing/>
        <w:ind w:firstLine="709"/>
        <w:jc w:val="both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 закупки вправе подать только одну заявку на участие в закупке в любое время с момента размещения в единой информационной системе изв</w:t>
      </w:r>
      <w:r>
        <w:rPr>
          <w:rFonts w:ascii="Times New Roman" w:hAnsi="Times New Roman" w:cs="Times New Roman"/>
        </w:rPr>
        <w:t xml:space="preserve">ещения об осуществлении закупки</w:t>
      </w:r>
      <w:r>
        <w:rPr>
          <w:rFonts w:ascii="Times New Roman" w:hAnsi="Times New Roman" w:cs="Times New Roman"/>
        </w:rPr>
        <w:t xml:space="preserve"> до окончания установленного </w:t>
      </w:r>
      <w:r>
        <w:rPr>
          <w:rFonts w:ascii="Times New Roman" w:hAnsi="Times New Roman" w:cs="Times New Roman"/>
        </w:rPr>
        <w:t xml:space="preserve">в извещении </w:t>
      </w:r>
      <w:r>
        <w:rPr>
          <w:rFonts w:ascii="Times New Roman" w:hAnsi="Times New Roman" w:cs="Times New Roman"/>
        </w:rPr>
        <w:t xml:space="preserve">срока подачи заявок на участие в закупке.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</w:t>
      </w:r>
      <w:r>
        <w:rPr>
          <w:rFonts w:ascii="Times New Roman" w:hAnsi="Times New Roman" w:cs="Times New Roman"/>
        </w:rPr>
        <w:t xml:space="preserve">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</w:t>
      </w:r>
      <w:r>
        <w:rPr>
          <w:rFonts w:ascii="Times New Roman" w:hAnsi="Times New Roman" w:cs="Times New Roman"/>
        </w:rPr>
        <w:t xml:space="preserve">я такой заявки в соответствии с</w:t>
      </w:r>
      <w:r>
        <w:rPr>
          <w:rFonts w:ascii="Times New Roman" w:hAnsi="Times New Roman" w:cs="Times New Roman"/>
        </w:rPr>
        <w:t xml:space="preserve"> Федеральным законом </w:t>
      </w:r>
      <w:r>
        <w:rPr>
          <w:rFonts w:ascii="Times New Roman" w:hAnsi="Times New Roman" w:cs="Times New Roman"/>
        </w:rPr>
        <w:t xml:space="preserve">№ 44-ФЗ </w:t>
      </w:r>
      <w:r>
        <w:rPr>
          <w:rFonts w:ascii="Times New Roman" w:hAnsi="Times New Roman" w:cs="Times New Roman"/>
        </w:rPr>
        <w:t xml:space="preserve">оператору электронной площ</w:t>
      </w:r>
      <w:r>
        <w:rPr>
          <w:rFonts w:ascii="Times New Roman" w:hAnsi="Times New Roman" w:cs="Times New Roman"/>
        </w:rPr>
        <w:t xml:space="preserve">адки.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40" w:lineRule="atLeast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 xml:space="preserve">Подача заявки на участие в закупке</w:t>
      </w:r>
      <w:r>
        <w:rPr>
          <w:rFonts w:ascii="Times New Roman" w:hAnsi="Times New Roman" w:cs="Times New Roman"/>
          <w:bCs/>
          <w:i/>
        </w:rPr>
        <w:t xml:space="preserve">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</w:p>
    <w:p>
      <w:pPr>
        <w:contextualSpacing/>
        <w:ind w:firstLine="709"/>
        <w:jc w:val="both"/>
        <w:spacing w:after="0" w:line="240" w:lineRule="atLeas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Заявка помимо обязательных информации и документов может содер</w:t>
      </w:r>
      <w:r>
        <w:rPr>
          <w:rFonts w:ascii="Times New Roman" w:hAnsi="Times New Roman" w:cs="Times New Roman"/>
        </w:rPr>
        <w:t xml:space="preserve">жать иные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tbl>
      <w:tblPr>
        <w:tblStyle w:val="925"/>
        <w:tblW w:w="0" w:type="auto"/>
        <w:tblLook w:val="04A0" w:firstRow="1" w:lastRow="0" w:firstColumn="1" w:lastColumn="0" w:noHBand="0" w:noVBand="1"/>
      </w:tblPr>
      <w:tblGrid>
        <w:gridCol w:w="656"/>
        <w:gridCol w:w="4363"/>
        <w:gridCol w:w="4901"/>
      </w:tblGrid>
      <w:tr>
        <w:tblPrEx/>
        <w:trPr/>
        <w:tc>
          <w:tcPr>
            <w:gridSpan w:val="3"/>
            <w:tcW w:w="99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Для участия в электронном аукционе заявка на участие должна содержать: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center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center"/>
              <w:tabs>
                <w:tab w:val="left" w:pos="116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пункта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Содержание пункта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07"/>
        </w:trPr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gridSpan w:val="2"/>
            <w:tcW w:w="92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Информация и документы об участнике закупки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Полное и сокращенное (при наличии) наименование юридического лица, в том числе иностранного юридического лица (если участником закупки является </w:t>
            </w:r>
            <w:r>
              <w:rPr>
                <w:rFonts w:ascii="Times New Roman" w:hAnsi="Times New Roman" w:cs="Times New Roman"/>
              </w:rPr>
              <w:t xml:space="preserve">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</w:t>
            </w:r>
            <w:r>
              <w:rPr>
                <w:rFonts w:ascii="Times New Roman" w:hAnsi="Times New Roman" w:cs="Times New Roman"/>
              </w:rPr>
              <w:t xml:space="preserve">ца (если от имени участника закупки выступает обособленное подразделение юридического лица), 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Информация и документы, </w:t>
            </w:r>
            <w:r>
              <w:rPr>
                <w:rFonts w:ascii="Times New Roman" w:hAnsi="Times New Roman" w:cs="Times New Roman"/>
              </w:rPr>
              <w:t xml:space="preserve">предусмотренные подпунктами</w:t>
            </w:r>
            <w:r>
              <w:rPr>
                <w:rFonts w:ascii="Times New Roman" w:hAnsi="Times New Roman" w:cs="Times New Roman"/>
              </w:rPr>
              <w:t xml:space="preserve"> 1.1 –</w:t>
            </w:r>
            <w:r>
              <w:rPr>
                <w:rFonts w:ascii="Times New Roman" w:hAnsi="Times New Roman" w:cs="Times New Roman"/>
              </w:rPr>
              <w:t xml:space="preserve"> 1.11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настоящего пункта</w:t>
            </w:r>
            <w:r>
              <w:rPr>
                <w:rFonts w:ascii="Times New Roman" w:hAnsi="Times New Roman" w:cs="Times New Roman"/>
              </w:rPr>
              <w:t xml:space="preserve">, не включаются участником закупки в заявку на участие в закупке. </w:t>
            </w:r>
            <w:r>
              <w:rPr>
                <w:rFonts w:ascii="Times New Roman" w:hAnsi="Times New Roman" w:cs="Times New Roman"/>
                <w:i/>
              </w:rPr>
              <w:t xml:space="preserve">Такие информация и документы в случаях, предусмотренных Федеральным законом</w:t>
            </w:r>
            <w:r>
              <w:rPr>
                <w:rFonts w:ascii="Times New Roman" w:hAnsi="Times New Roman" w:cs="Times New Roman"/>
                <w:i/>
              </w:rPr>
              <w:t xml:space="preserve"> № 44-ФЗ</w:t>
            </w:r>
            <w:r>
              <w:rPr>
                <w:rFonts w:ascii="Times New Roman" w:hAnsi="Times New Roman" w:cs="Times New Roman"/>
                <w:i/>
              </w:rPr>
              <w:t xml:space="preserve">, направляются (по состоянию на дату и время их направления) заказчику оператором электронной площадки, путем информационного взаимодействия с единой информационной системой</w:t>
            </w:r>
            <w:r>
              <w:rPr>
                <w:rFonts w:ascii="Times New Roman" w:hAnsi="Times New Roman" w:cs="Times New Roman"/>
                <w:i/>
              </w:rPr>
              <w:t xml:space="preserve">.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</w:t>
            </w:r>
            <w:r>
              <w:rPr>
                <w:rFonts w:ascii="Times New Roman" w:hAnsi="Times New Roman" w:cs="Times New Roman"/>
              </w:rPr>
              <w:t xml:space="preserve">амилия, имя, отче</w:t>
            </w:r>
            <w:r>
              <w:rPr>
                <w:rFonts w:ascii="Times New Roman" w:hAnsi="Times New Roman" w:cs="Times New Roman"/>
              </w:rPr>
              <w:t xml:space="preserve">ство (при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</w:t>
            </w:r>
            <w:r>
              <w:rPr>
                <w:rFonts w:ascii="Times New Roman" w:hAnsi="Times New Roman" w:cs="Times New Roman"/>
              </w:rPr>
              <w:t xml:space="preserve">представительства иностранного юридического лица, либо исполняющего функции единоличного исполнительного органа юридического лица.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Идентификационный номер налогоплательщика (при наличии) чл</w:t>
            </w:r>
            <w:r>
              <w:rPr>
                <w:rFonts w:ascii="Times New Roman" w:hAnsi="Times New Roman" w:cs="Times New Roman"/>
              </w:rPr>
              <w:t xml:space="preserve">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</w:t>
            </w:r>
            <w:r>
              <w:rPr>
                <w:rFonts w:ascii="Times New Roman" w:hAnsi="Times New Roman" w:cs="Times New Roman"/>
              </w:rPr>
              <w:t xml:space="preserve">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дрес юридического лица, в том числе иностранного юридичес</w:t>
            </w:r>
            <w:r>
              <w:rPr>
                <w:rFonts w:ascii="Times New Roman" w:hAnsi="Times New Roman" w:cs="Times New Roman"/>
              </w:rPr>
              <w:t xml:space="preserve">кого лица (если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</w:t>
            </w:r>
            <w:r>
              <w:rPr>
                <w:rFonts w:ascii="Times New Roman" w:hAnsi="Times New Roman" w:cs="Times New Roman"/>
              </w:rPr>
              <w:t xml:space="preserve"> 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</w:t>
            </w:r>
            <w:r>
              <w:rPr>
                <w:rFonts w:ascii="Times New Roman" w:hAnsi="Times New Roman" w:cs="Times New Roman"/>
              </w:rPr>
              <w:t xml:space="preserve">а, в том числе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</w:t>
            </w:r>
            <w:r>
              <w:rPr>
                <w:rFonts w:ascii="Times New Roman" w:hAnsi="Times New Roman" w:cs="Times New Roman"/>
              </w:rPr>
              <w:t xml:space="preserve">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</w:t>
            </w:r>
            <w:r>
              <w:rPr>
                <w:rFonts w:ascii="Times New Roman" w:hAnsi="Times New Roman" w:cs="Times New Roman"/>
              </w:rPr>
              <w:t xml:space="preserve">дентификационный номер налогоплательщика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</w:t>
            </w:r>
            <w:r>
              <w:rPr>
                <w:rFonts w:ascii="Times New Roman" w:hAnsi="Times New Roman" w:cs="Times New Roman"/>
              </w:rPr>
              <w:t xml:space="preserve">выступает аккредитованный филиал или представительство), физического лица, в том числе зарегистрированного в</w:t>
            </w:r>
            <w:r>
              <w:rPr>
                <w:rFonts w:ascii="Times New Roman" w:hAnsi="Times New Roman" w:cs="Times New Roman"/>
              </w:rPr>
              <w:t xml:space="preserve">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 законодательством с</w:t>
            </w:r>
            <w:r>
              <w:rPr>
                <w:rFonts w:ascii="Times New Roman" w:hAnsi="Times New Roman" w:cs="Times New Roman"/>
              </w:rPr>
              <w:t xml:space="preserve">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</w:t>
            </w:r>
            <w:r>
              <w:rPr>
                <w:rFonts w:ascii="Times New Roman" w:hAnsi="Times New Roman" w:cs="Times New Roman"/>
              </w:rPr>
              <w:t xml:space="preserve">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</w:t>
            </w:r>
            <w:r>
              <w:rPr>
                <w:rFonts w:ascii="Times New Roman" w:hAnsi="Times New Roman" w:cs="Times New Roman"/>
              </w:rPr>
              <w:t xml:space="preserve">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</w:t>
            </w:r>
            <w:r>
              <w:rPr>
                <w:rFonts w:ascii="Times New Roman" w:hAnsi="Times New Roman" w:cs="Times New Roman"/>
              </w:rPr>
              <w:t xml:space="preserve">адлежащим образом заверенный перевод</w:t>
            </w:r>
            <w:r>
              <w:rPr>
                <w:rFonts w:ascii="Times New Roman" w:hAnsi="Times New Roman" w:cs="Times New Roman"/>
              </w:rPr>
              <w:t xml:space="preserve">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</w:t>
            </w:r>
            <w:r>
              <w:rPr>
                <w:rFonts w:ascii="Times New Roman" w:hAnsi="Times New Roman" w:cs="Times New Roman"/>
              </w:rPr>
              <w:t xml:space="preserve">екларация о принадлежности участника закупки к учреждению или предприятию уголовно-исполнительной системы (если участник закупки является учреждением или предприятием уголовно-исполнительной системы).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</w:t>
            </w:r>
            <w:r>
              <w:rPr>
                <w:rFonts w:ascii="Times New Roman" w:hAnsi="Times New Roman" w:cs="Times New Roman"/>
              </w:rPr>
              <w:t xml:space="preserve">екларация о принадлежности участника закупки к организации инвалидов, предусмотренной </w:t>
            </w:r>
            <w:hyperlink r:id="rId15" w:tooltip="consultantplus://offline/ref=7781CE969C1FAB305043D4920EE117D3DCF318515D3F925648CCA8534403003F1FB6A24A498C9C4A251F79FD1BC5FC36FF914B880905I5PFJ" w:history="1">
              <w:r>
                <w:rPr>
                  <w:rFonts w:ascii="Times New Roman" w:hAnsi="Times New Roman" w:cs="Times New Roman"/>
                </w:rPr>
                <w:t xml:space="preserve">частью 2 статьи 29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№ 44-ФЗ</w:t>
            </w:r>
            <w:r>
              <w:rPr>
                <w:rFonts w:ascii="Times New Roman" w:hAnsi="Times New Roman" w:cs="Times New Roman"/>
              </w:rPr>
              <w:t xml:space="preserve"> (если участник закупки является такой организацией).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</w:t>
            </w:r>
            <w:r>
              <w:rPr>
                <w:rFonts w:ascii="Times New Roman" w:hAnsi="Times New Roman" w:cs="Times New Roman"/>
              </w:rPr>
              <w:t xml:space="preserve">екларация о принадлежности участника закупки к социально ориентированным некоммерческим организациям в случае установления преимущества, </w:t>
            </w:r>
            <w:r>
              <w:rPr>
                <w:rFonts w:ascii="Times New Roman" w:hAnsi="Times New Roman" w:cs="Times New Roman"/>
              </w:rPr>
              <w:t xml:space="preserve">предусмотренного </w:t>
            </w:r>
            <w:hyperlink r:id="rId16" w:tooltip="consultantplus://offline/ref=0EDDA37FBCC1BFCF66E201A7F19F5EA0A2ABD7D010ECD41A51DDC54624D8F2EC19B9CA3FD619199805B7CFCE1DE7DD746C8709B2876Ac2P6J" w:history="1">
              <w:r>
                <w:rPr>
                  <w:rFonts w:ascii="Times New Roman" w:hAnsi="Times New Roman" w:cs="Times New Roman"/>
                </w:rPr>
                <w:t xml:space="preserve">частью 3 статьи 30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№ 44-ФЗ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continue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</w:t>
            </w:r>
            <w:r>
              <w:rPr>
                <w:rFonts w:ascii="Times New Roman" w:hAnsi="Times New Roman" w:cs="Times New Roman"/>
              </w:rPr>
              <w:t xml:space="preserve">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i/>
              </w:rPr>
              <w:t xml:space="preserve">Предоставляется участником закупки в составе заявки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b w:val="0"/>
                <w:bCs/>
                <w:i/>
                <w:color w:val="2f5696" w:themeColor="accent5" w:themeShade="B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  <w:t xml:space="preserve">Информация и документы, которые подтверждают соответствие участника закупки требованиям, установленным </w:t>
            </w:r>
            <w:hyperlink r:id="rId17" w:tooltip="https://login.consultant.ru/link/?req=doc&amp;base=LAW&amp;n=495181&amp;dst=100336&amp;field=134&amp;date=22.01.2026" w:history="1">
              <w:r>
                <w:rPr>
                  <w:rStyle w:val="903"/>
                  <w:rFonts w:ascii="Times New Roman" w:hAnsi="Times New Roman" w:eastAsia="Times New Roman" w:cs="Times New Roman"/>
                  <w:b w:val="0"/>
                  <w:bCs w:val="0"/>
                  <w:i w:val="0"/>
                  <w:iCs w:val="0"/>
                  <w:color w:val="2f5696" w:themeColor="accent5" w:themeShade="BF"/>
                  <w:sz w:val="22"/>
                  <w:szCs w:val="22"/>
                  <w:u w:val="none"/>
                </w:rPr>
                <w:t xml:space="preserve">пунктом 1 части 1 статьи 31</w:t>
              </w:r>
            </w:hyperlink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  <w:t xml:space="preserve">№ 44-ФЗ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могут не включаться в заявку на участие в закупке в случае, если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ет»,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и в такую заявку включена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 предусмотренная пунктом «о»  пункта 1 части 1 статьи 43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№ 44-ФЗ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декларация о соответствии участника закупки требованиям, установленным </w:t>
            </w:r>
            <w:hyperlink r:id="rId18" w:tooltip="https://login.consultant.ru/link/?req=doc&amp;base=LAW&amp;n=495181&amp;dst=100336&amp;field=134&amp;date=22.01.2026" w:history="1">
              <w:r>
                <w:rPr>
                  <w:rStyle w:val="903"/>
                  <w:rFonts w:ascii="Times New Roman" w:hAnsi="Times New Roman" w:eastAsia="Times New Roman" w:cs="Times New Roman"/>
                  <w:b w:val="0"/>
                  <w:bCs w:val="0"/>
                  <w:i/>
                  <w:iCs/>
                  <w:color w:val="2f5696" w:themeColor="accent5" w:themeShade="BF"/>
                  <w:sz w:val="22"/>
                  <w:szCs w:val="22"/>
                  <w:u w:val="none"/>
                </w:rPr>
                <w:t xml:space="preserve">пунктом 1 части 1 статьи 31</w:t>
              </w:r>
            </w:hyperlink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2f5696" w:themeColor="accent5" w:themeShade="BF"/>
                <w:sz w:val="22"/>
                <w:szCs w:val="22"/>
              </w:rPr>
              <w:t xml:space="preserve">№ 44-ФЗ).</w:t>
            </w:r>
            <w:r>
              <w:rPr>
                <w:b w:val="0"/>
                <w:bCs/>
                <w:i/>
                <w:color w:val="2f5696" w:themeColor="accent5" w:themeShade="BF"/>
                <w:sz w:val="22"/>
                <w:szCs w:val="22"/>
              </w:rPr>
            </w:r>
            <w:r>
              <w:rPr>
                <w:b w:val="0"/>
                <w:bCs/>
                <w:i/>
                <w:color w:val="2f5696" w:themeColor="accent5" w:themeShade="BF"/>
                <w:sz w:val="22"/>
                <w:szCs w:val="22"/>
              </w:rPr>
            </w:r>
          </w:p>
        </w:tc>
        <w:tc>
          <w:tcPr>
            <w:tcW w:w="4901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W w:w="65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Документы и информация</w:t>
            </w:r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  подтверждающие соответствие участника закупки дополнительным требованиям, установленным в соответствии с </w:t>
            </w:r>
            <w:hyperlink r:id="rId19" w:tooltip="consultantplus://offline/ref=3CFCC3DC08F4FD4ACD5F61CC6A2260DB7F25FBDE8B1F05C99A556C788C013FA843B1994C8C65A760A134674B7C02FA9A82ACC165956CI9R0J" w:history="1">
              <w:r>
                <w:rPr>
                  <w:rFonts w:ascii="Times New Roman" w:hAnsi="Times New Roman" w:cs="Times New Roman"/>
                  <w:color w:val="2f5696" w:themeColor="accent5" w:themeShade="BF"/>
                  <w:sz w:val="22"/>
                  <w:szCs w:val="22"/>
                </w:rPr>
                <w:t xml:space="preserve">частями 2</w:t>
              </w:r>
            </w:hyperlink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 и </w:t>
            </w:r>
            <w:hyperlink r:id="rId20" w:tooltip="consultantplus://offline/ref=3CFCC3DC08F4FD4ACD5F61CC6A2260DB7F25FBDE8B1F05C99A556C788C013FA843B1994C8C65A660A134674B7C02FA9A82ACC165956CI9R0J" w:history="1">
              <w:r>
                <w:rPr>
                  <w:rFonts w:ascii="Times New Roman" w:hAnsi="Times New Roman" w:cs="Times New Roman"/>
                  <w:color w:val="2f5696" w:themeColor="accent5" w:themeShade="BF"/>
                  <w:sz w:val="22"/>
                  <w:szCs w:val="22"/>
                </w:rPr>
                <w:t xml:space="preserve">2.1</w:t>
              </w:r>
            </w:hyperlink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 (при наличии таких требований) статьи 31 Федерального закона </w:t>
            </w:r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№ 44-ФЗ</w:t>
            </w:r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, если иное не предусмотрено Федеральным законом </w:t>
            </w:r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</w:rPr>
              <w:t xml:space="preserve">№ 44-ФЗ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f5696" w:themeColor="accent5" w:themeShade="BF"/>
                <w:sz w:val="22"/>
                <w:szCs w:val="22"/>
              </w:rPr>
            </w:r>
          </w:p>
        </w:tc>
        <w:tc>
          <w:tcPr>
            <w:tcW w:w="4901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Не установлено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</w:p>
        </w:tc>
      </w:tr>
      <w:tr>
        <w:tblPrEx/>
        <w:trPr>
          <w:trHeight w:val="3178"/>
        </w:trPr>
        <w:tc>
          <w:tcPr>
            <w:tcW w:w="65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bCs/>
                <w:i/>
                <w:color w:val="2f5696" w:themeColor="accent5" w:themeShade="BF"/>
                <w:sz w:val="22"/>
                <w:szCs w:val="22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екларация о соответствии участника закупки требованиям, установленным </w:t>
            </w:r>
            <w:hyperlink r:id="rId21" w:tooltip="consultantplus://offline/ref=8BC9EB3A69C6E9C80AFFCEC6143E5712132127056F645A344B77AF35481EF3A4875F133265DBF91221A306D3F90343DE7A5B8B50E0FE005121RBJ" w:history="1">
              <w:r>
                <w:rPr>
                  <w:rFonts w:ascii="Times New Roman" w:hAnsi="Times New Roman" w:cs="Times New Roman"/>
                  <w:color w:val="auto"/>
                  <w:sz w:val="22"/>
                  <w:szCs w:val="22"/>
                </w:rPr>
                <w:t xml:space="preserve">пунктами 3</w:t>
              </w:r>
            </w:hyperlink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- </w:t>
            </w:r>
            <w:hyperlink r:id="rId22" w:tooltip="consultantplus://offline/ref=8BC9EB3A69C6E9C80AFFCEC6143E5712132127056F645A344B77AF35481EF3A4875F133265DBF91529A306D3F90343DE7A5B8B50E0FE005121RBJ" w:history="1">
              <w:r>
                <w:rPr>
                  <w:rFonts w:ascii="Times New Roman" w:hAnsi="Times New Roman" w:cs="Times New Roman"/>
                  <w:color w:val="auto"/>
                  <w:sz w:val="22"/>
                  <w:szCs w:val="22"/>
                </w:rPr>
                <w:t xml:space="preserve">5</w:t>
              </w:r>
            </w:hyperlink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hyperlink r:id="rId23" w:tooltip="consultantplus://offline/ref=8BC9EB3A69C6E9C80AFFCEC6143E5712132127056F645A344B77AF35481EF3A4875F13316CDDF14578EC078FBF5150DC7C5B8951FC2FREJ" w:history="1">
              <w:r>
                <w:rPr>
                  <w:rFonts w:ascii="Times New Roman" w:hAnsi="Times New Roman" w:cs="Times New Roman"/>
                  <w:color w:val="auto"/>
                  <w:sz w:val="22"/>
                  <w:szCs w:val="22"/>
                </w:rPr>
                <w:t xml:space="preserve">7</w:t>
              </w:r>
            </w:hyperlink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- </w:t>
            </w:r>
            <w:hyperlink r:id="rId24" w:tooltip="consultantplus://offline/ref=8BC9EB3A69C6E9C80AFFCEC6143E5712132127056F645A344B77AF35481EF3A4875F133764D2F14578EC078FBF5150DC7C5B8951FC2FREJ" w:history="1">
              <w:r>
                <w:rPr>
                  <w:rFonts w:ascii="Times New Roman" w:hAnsi="Times New Roman" w:cs="Times New Roman"/>
                  <w:color w:val="auto"/>
                  <w:sz w:val="22"/>
                  <w:szCs w:val="22"/>
                </w:rPr>
                <w:t xml:space="preserve">11 части 1 статьи 31</w:t>
              </w:r>
            </w:hyperlink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№ 44-ФЗ </w:t>
            </w:r>
            <w:r>
              <w:rPr>
                <w:rFonts w:ascii="Times New Roman" w:hAnsi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(е</w:t>
            </w:r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сли информация и документы, которые подтверждают соответствие участника закупки требованиям, установленным </w:t>
            </w:r>
            <w:hyperlink r:id="rId25" w:tooltip="https://login.consultant.ru/link/?req=doc&amp;base=LAW&amp;n=495181&amp;dst=100336&amp;field=134&amp;date=22.01.2026" w:history="1">
              <w:r>
                <w:rPr>
                  <w:rStyle w:val="903"/>
                  <w:rFonts w:ascii="Times New Roman" w:hAnsi="Times New Roman" w:eastAsia="Times New Roman" w:cs="Times New Roman"/>
                  <w:color w:val="2f5696" w:themeColor="accent5" w:themeShade="BF"/>
                  <w:sz w:val="22"/>
                  <w:szCs w:val="22"/>
                  <w:highlight w:val="white"/>
                  <w:u w:val="none"/>
                </w:rPr>
                <w:t xml:space="preserve">пунктом 1 части 1 статьи 31</w:t>
              </w:r>
            </w:hyperlink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 Федерального закона № 44-ФЗ,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</w:t>
            </w:r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ребованиям, установленным </w:t>
            </w:r>
            <w:hyperlink r:id="rId26" w:tooltip="https://login.consultant.ru/link/?req=doc&amp;base=LAW&amp;n=495181&amp;dst=100336&amp;field=134&amp;date=22.01.2026" w:history="1">
              <w:r>
                <w:rPr>
                  <w:rStyle w:val="903"/>
                  <w:rFonts w:ascii="Times New Roman" w:hAnsi="Times New Roman" w:eastAsia="Times New Roman" w:cs="Times New Roman"/>
                  <w:color w:val="2f5696" w:themeColor="accent5" w:themeShade="BF"/>
                  <w:sz w:val="22"/>
                  <w:szCs w:val="22"/>
                  <w:highlight w:val="white"/>
                  <w:u w:val="none"/>
                </w:rPr>
                <w:t xml:space="preserve">пунктом 1 части 1 статьи 31</w:t>
              </w:r>
            </w:hyperlink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Федерального закона № 44-ФЗ</w:t>
            </w:r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highlight w:val="white"/>
              </w:rPr>
              <w:t xml:space="preserve">с указанием адреса сайта или страницы сайта в информационно-телекоммуникационной сети «Интернет»</w:t>
            </w:r>
            <w:r>
              <w:rPr>
                <w:rFonts w:ascii="Times New Roman" w:hAnsi="Times New Roman" w:eastAsia="Times New Roman" w:cs="Times New Roman"/>
                <w:color w:val="2f5696" w:themeColor="accent5" w:themeShade="BF"/>
                <w:sz w:val="22"/>
                <w:szCs w:val="22"/>
                <w:highlight w:val="white"/>
              </w:rPr>
              <w:t xml:space="preserve">, на которых размещены такие информация и документы).</w:t>
            </w:r>
            <w:r>
              <w:rPr>
                <w:bCs/>
                <w:i/>
                <w:color w:val="2f5696" w:themeColor="accent5" w:themeShade="BF"/>
                <w:sz w:val="22"/>
                <w:szCs w:val="22"/>
                <w:highlight w:val="white"/>
              </w:rPr>
            </w:r>
            <w:r>
              <w:rPr>
                <w:bCs/>
                <w:i/>
                <w:color w:val="2f5696" w:themeColor="accent5" w:themeShade="BF"/>
                <w:sz w:val="22"/>
                <w:szCs w:val="22"/>
                <w:highlight w:val="white"/>
              </w:rPr>
            </w:r>
          </w:p>
        </w:tc>
        <w:tc>
          <w:tcPr>
            <w:tcW w:w="490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Предоставляется участником закупки в составе заявки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>
          <w:trHeight w:val="2268"/>
        </w:trPr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</w:t>
            </w:r>
            <w:r>
              <w:rPr>
                <w:rFonts w:ascii="Times New Roman" w:hAnsi="Times New Roman" w:cs="Times New Roman"/>
              </w:rPr>
              <w:t xml:space="preserve">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</w:t>
            </w:r>
            <w:r>
              <w:rPr>
                <w:rFonts w:ascii="Times New Roman" w:hAnsi="Times New Roman" w:cs="Times New Roman"/>
              </w:rPr>
              <w:t xml:space="preserve">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Предоставляется участником закупки в составе заявки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gridSpan w:val="2"/>
            <w:tcW w:w="92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Предложение участника закупки в отношении объекта закупки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2335"/>
        </w:trPr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Предоставляется с учетом положений </w:t>
            </w:r>
            <w:hyperlink r:id="rId27" w:tooltip="consultantplus://offline/ref=CCDD83D39FE5A5163BFA52EADEF9B1E8905E85F2D57632B92AA74736D4D05E771C605FE84F521B702C1538BF219BBB4A2F519F583268m3Z1J" w:history="1">
              <w:r>
                <w:rPr>
                  <w:rFonts w:ascii="Times New Roman" w:hAnsi="Times New Roman" w:cs="Times New Roman"/>
                </w:rPr>
                <w:t xml:space="preserve">части 2</w:t>
              </w:r>
            </w:hyperlink>
            <w:r>
              <w:rPr>
                <w:rFonts w:ascii="Times New Roman" w:hAnsi="Times New Roman" w:cs="Times New Roman"/>
              </w:rPr>
              <w:t xml:space="preserve"> статьи 43 Федерального закона № 44-ФЗ характеристики предлагаемого участником закупки товара, соответствующие показателям, установленным в описании объекта закупки в соответствии с </w:t>
            </w:r>
            <w:hyperlink r:id="rId28" w:tooltip="consultantplus://offline/ref=CCDD83D39FE5A5163BFA52EADEF9B1E8905E85F2D57632B92AA74736D4D05E771C605FE84E541E702C1538BF219BBB4A2F519F583268m3Z1J" w:history="1">
              <w:r>
                <w:rPr>
                  <w:rFonts w:ascii="Times New Roman" w:hAnsi="Times New Roman" w:cs="Times New Roman"/>
                </w:rPr>
                <w:t xml:space="preserve">частью 2 статьи 33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№ 44-ФЗ, товарный знак (при наличии у товара товарного знака).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 установлено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</w:t>
            </w:r>
            <w:hyperlink r:id="rId29" w:tooltip="consultantplus://offline/ref=8BB752F251079FFFB57B95326E32FDFC5E7EE94C460A320542BC466DED2430BED55D137C6FACF55F0C76316CC8D8246C53405704555A6BZ6J" w:history="1">
              <w:r>
                <w:rPr>
                  <w:rFonts w:ascii="Times New Roman" w:hAnsi="Times New Roman" w:cs="Times New Roman"/>
                </w:rPr>
                <w:t xml:space="preserve">части 2</w:t>
              </w:r>
            </w:hyperlink>
            <w:r>
              <w:rPr>
                <w:rFonts w:ascii="Times New Roman" w:hAnsi="Times New Roman" w:cs="Times New Roman"/>
              </w:rPr>
              <w:t xml:space="preserve"> статьи 43 Федерального закона № 44-ФЗ</w:t>
            </w:r>
            <w:r>
              <w:rPr>
                <w:rFonts w:ascii="Times New Roman" w:hAnsi="Times New Roman" w:cs="Times New Roman"/>
              </w:rPr>
              <w:t xml:space="preserve"> (в том числе поставляемого заказчику при выполнении закупаемых работ, оказании закупаемых услуг)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 установлено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</w:t>
            </w:r>
            <w:r>
              <w:rPr>
                <w:rFonts w:ascii="Times New Roman" w:hAnsi="Times New Roman" w:cs="Times New Roman"/>
              </w:rPr>
              <w:t xml:space="preserve">окументы, подтверждающие соответствие товара, работы или услуги требо</w:t>
            </w:r>
            <w:r>
              <w:rPr>
                <w:rFonts w:ascii="Times New Roman" w:hAnsi="Times New Roman" w:cs="Times New Roman"/>
              </w:rPr>
              <w:t xml:space="preserve">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</w:t>
            </w:r>
            <w:r>
              <w:rPr>
                <w:rFonts w:ascii="Times New Roman" w:hAnsi="Times New Roman" w:cs="Times New Roman"/>
              </w:rPr>
              <w:t xml:space="preserve">щением об осуществлении закупки</w:t>
            </w:r>
            <w:r>
              <w:rPr>
                <w:rFonts w:ascii="Times New Roman" w:hAnsi="Times New Roman" w:cs="Times New Roman"/>
              </w:rPr>
              <w:t xml:space="preserve">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blPrEx/>
        <w:trPr/>
        <w:tc>
          <w:tcPr>
            <w:tcW w:w="65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436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1e4f79" w:themeColor="accent1" w:themeShade="8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Информация и документы, определенные в соответствии с </w:t>
            </w:r>
            <w:hyperlink r:id="rId30" w:tooltip="https://login.consultant.ru/link/?req=doc&amp;base=LAW&amp;n=466154&amp;dst=12377&amp;field=134&amp;date=20.01.2025" w:history="1">
              <w:r>
                <w:rPr>
                  <w:rFonts w:ascii="Times New Roman" w:hAnsi="Times New Roman" w:cs="Times New Roman"/>
                  <w:color w:val="1e4f79" w:themeColor="accent1" w:themeShade="80"/>
                </w:rPr>
                <w:t xml:space="preserve">пунктом 2 части 2 статьи 14</w:t>
              </w:r>
            </w:hyperlink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№ 44-ФЗ</w:t>
            </w: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 (в случае, если в извещении об осуществлении закупки, документации о закупке (если Федеральным законом </w:t>
            </w: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№ 44-ФЗ</w:t>
            </w: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 предусмотрена документация о закупке) установлены предусмотренные указанной статьей запрет, ограничение, преиму</w:t>
            </w: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</w:t>
            </w:r>
            <w:r>
              <w:rPr>
                <w:rFonts w:ascii="Times New Roman" w:hAnsi="Times New Roman" w:cs="Times New Roman"/>
                <w:color w:val="1e4f79" w:themeColor="accent1" w:themeShade="80"/>
              </w:rPr>
              <w:t xml:space="preserve">няемых, оказываемых иностранными лицами</w:t>
            </w:r>
            <w:r>
              <w:rPr>
                <w:rFonts w:ascii="Times New Roman" w:hAnsi="Times New Roman" w:cs="Times New Roman"/>
                <w:color w:val="1e4f79" w:themeColor="accent1" w:themeShade="80"/>
                <w14:ligatures w14:val="none"/>
              </w:rPr>
            </w:r>
            <w:r>
              <w:rPr>
                <w:rFonts w:ascii="Times New Roman" w:hAnsi="Times New Roman" w:cs="Times New Roman"/>
                <w:color w:val="1e4f79" w:themeColor="accent1" w:themeShade="80"/>
                <w14:ligatures w14:val="none"/>
              </w:rPr>
            </w:r>
          </w:p>
        </w:tc>
        <w:tc>
          <w:tcPr>
            <w:tcW w:w="49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i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ind w:left="0" w:right="0" w:firstLine="540"/>
              <w:jc w:val="both"/>
              <w:spacing w:before="0" w:after="0" w:line="288" w:lineRule="atLeast"/>
              <w:rPr>
                <w:rFonts w:ascii="Times New Roman" w:hAnsi="Times New Roman" w:cs="Times New Roman"/>
                <w:bCs/>
                <w:i/>
                <w:iCs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bCs/>
                <w:i/>
                <w:iCs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14:ligatures w14:val="none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II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ИНСТРУКЦИЯ ПО ЗАПОЛНЕНИЮ ЗАЯВКИ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contextualSpacing/>
        <w:ind w:firstLine="539"/>
        <w:jc w:val="both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 </w:t>
      </w:r>
      <w:r>
        <w:rPr>
          <w:rFonts w:ascii="Times New Roman" w:hAnsi="Times New Roman" w:cs="Times New Roman"/>
        </w:rPr>
        <w:t xml:space="preserve">на участие в закупке, должны быть составлены на русском языке. Документы, входящие в состав заявки, составленные на иностранном языке, должны сопровождаться предоставлением надлежащим образом заверенного перевода соответствующих документов на русский язык.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539"/>
        <w:jc w:val="both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должна содержать только достоверные сведения.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 на участие в электронном аукционе, должны иметь четко читаемый текст.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40" w:lineRule="atLeast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Подача заявки на участие в закупке означает согласие участника закупки, подавшего такую заявку, на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  <w:r>
        <w:rPr>
          <w:rFonts w:ascii="Times New Roman" w:hAnsi="Times New Roman"/>
          <w:bCs/>
          <w:i/>
        </w:rPr>
      </w:r>
      <w:r>
        <w:rPr>
          <w:rFonts w:ascii="Times New Roman" w:hAnsi="Times New Roman"/>
          <w:bCs/>
          <w:i/>
        </w:rPr>
      </w:r>
    </w:p>
    <w:p>
      <w:pPr>
        <w:jc w:val="both"/>
        <w:widowControl w:val="off"/>
        <w:rPr>
          <w:rFonts w:ascii="Times New Roman" w:hAnsi="Times New Roman" w:cs="Times New Roman"/>
          <w:i/>
          <w:lang w:eastAsia="ar-SA"/>
        </w:rPr>
      </w:pPr>
      <w:r>
        <w:rPr>
          <w:rFonts w:ascii="Times New Roman" w:hAnsi="Times New Roman" w:cs="Times New Roman"/>
          <w:i/>
          <w:lang w:eastAsia="ar-SA"/>
        </w:rPr>
      </w:r>
      <w:r>
        <w:rPr>
          <w:rFonts w:ascii="Times New Roman" w:hAnsi="Times New Roman" w:cs="Times New Roman"/>
          <w:i/>
          <w:lang w:eastAsia="ar-SA"/>
        </w:rPr>
      </w:r>
      <w:r>
        <w:rPr>
          <w:rFonts w:ascii="Times New Roman" w:hAnsi="Times New Roman" w:cs="Times New Roman"/>
          <w:i/>
          <w:lang w:eastAsia="ar-SA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5" w:h="16838" w:orient="portrait"/>
      <w:pgMar w:top="1134" w:right="567" w:bottom="1134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  <w:jc w:val="center"/>
    </w:pPr>
    <w:r>
      <w:rPr>
        <w:highlight w:val="none"/>
      </w:rPr>
    </w:r>
    <w:r>
      <w:rPr>
        <w:highlight w:val="none"/>
      </w:rPr>
    </w:r>
    <w:r/>
  </w:p>
  <w:p>
    <w:pPr>
      <w:pStyle w:val="927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  <w:r>
      <w:rPr>
        <w:highlight w:val="none"/>
      </w:rPr>
    </w:r>
  </w:p>
  <w:p>
    <w:pPr>
      <w:pStyle w:val="927"/>
      <w:jc w:val="center"/>
      <w:rPr>
        <w:rFonts w:ascii="Times New Roman" w:hAnsi="Times New Roman" w:cs="Times New Roman"/>
        <w:highlight w:val="none"/>
      </w:rPr>
    </w:pPr>
    <w:fldSimple w:instr="PAGE \* MERGEFORMAT">
      <w:r>
        <w:rPr>
          <w:rFonts w:ascii="Times New Roman" w:hAnsi="Times New Roman" w:eastAsia="Times New Roman" w:cs="Times New Roman"/>
        </w:rPr>
        <w:t xml:space="preserve">1</w:t>
      </w:r>
    </w:fldSimple>
    <w:r>
      <w:rPr>
        <w:rFonts w:ascii="Times New Roman" w:hAnsi="Times New Roman" w:eastAsia="Times New Roman" w:cs="Times New Roman"/>
      </w:rPr>
    </w:r>
    <w:r>
      <w:rPr>
        <w:rFonts w:ascii="Times New Roman" w:hAnsi="Times New Roman" w:cs="Times New Roman"/>
        <w:highlight w:val="none"/>
      </w:rPr>
    </w:r>
    <w:r>
      <w:rPr>
        <w:rFonts w:ascii="Times New Roman" w:hAnsi="Times New Roman" w:cs="Times New Roman"/>
        <w:highlight w:val="none"/>
      </w:rPr>
    </w:r>
  </w:p>
  <w:p>
    <w:pPr>
      <w:pStyle w:val="92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7">
    <w:name w:val="Heading 1"/>
    <w:basedOn w:val="921"/>
    <w:next w:val="921"/>
    <w:link w:val="74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8">
    <w:name w:val="Heading 1 Char"/>
    <w:basedOn w:val="922"/>
    <w:link w:val="747"/>
    <w:uiPriority w:val="9"/>
    <w:rPr>
      <w:rFonts w:ascii="Arial" w:hAnsi="Arial" w:eastAsia="Arial" w:cs="Arial"/>
      <w:sz w:val="40"/>
      <w:szCs w:val="40"/>
    </w:rPr>
  </w:style>
  <w:style w:type="paragraph" w:styleId="749">
    <w:name w:val="Heading 2"/>
    <w:basedOn w:val="921"/>
    <w:next w:val="921"/>
    <w:link w:val="75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0">
    <w:name w:val="Heading 2 Char"/>
    <w:basedOn w:val="922"/>
    <w:link w:val="749"/>
    <w:uiPriority w:val="9"/>
    <w:rPr>
      <w:rFonts w:ascii="Arial" w:hAnsi="Arial" w:eastAsia="Arial" w:cs="Arial"/>
      <w:sz w:val="34"/>
    </w:rPr>
  </w:style>
  <w:style w:type="paragraph" w:styleId="751">
    <w:name w:val="Heading 3"/>
    <w:basedOn w:val="921"/>
    <w:next w:val="921"/>
    <w:link w:val="75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2">
    <w:name w:val="Heading 3 Char"/>
    <w:basedOn w:val="922"/>
    <w:link w:val="751"/>
    <w:uiPriority w:val="9"/>
    <w:rPr>
      <w:rFonts w:ascii="Arial" w:hAnsi="Arial" w:eastAsia="Arial" w:cs="Arial"/>
      <w:sz w:val="30"/>
      <w:szCs w:val="30"/>
    </w:rPr>
  </w:style>
  <w:style w:type="paragraph" w:styleId="753">
    <w:name w:val="Heading 4"/>
    <w:basedOn w:val="921"/>
    <w:next w:val="921"/>
    <w:link w:val="7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4">
    <w:name w:val="Heading 4 Char"/>
    <w:basedOn w:val="922"/>
    <w:link w:val="753"/>
    <w:uiPriority w:val="9"/>
    <w:rPr>
      <w:rFonts w:ascii="Arial" w:hAnsi="Arial" w:eastAsia="Arial" w:cs="Arial"/>
      <w:b/>
      <w:bCs/>
      <w:sz w:val="26"/>
      <w:szCs w:val="26"/>
    </w:rPr>
  </w:style>
  <w:style w:type="paragraph" w:styleId="755">
    <w:name w:val="Heading 5"/>
    <w:basedOn w:val="921"/>
    <w:next w:val="921"/>
    <w:link w:val="75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6">
    <w:name w:val="Heading 5 Char"/>
    <w:basedOn w:val="922"/>
    <w:link w:val="755"/>
    <w:uiPriority w:val="9"/>
    <w:rPr>
      <w:rFonts w:ascii="Arial" w:hAnsi="Arial" w:eastAsia="Arial" w:cs="Arial"/>
      <w:b/>
      <w:bCs/>
      <w:sz w:val="24"/>
      <w:szCs w:val="24"/>
    </w:rPr>
  </w:style>
  <w:style w:type="paragraph" w:styleId="757">
    <w:name w:val="Heading 6"/>
    <w:basedOn w:val="921"/>
    <w:next w:val="921"/>
    <w:link w:val="7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8">
    <w:name w:val="Heading 6 Char"/>
    <w:basedOn w:val="922"/>
    <w:link w:val="757"/>
    <w:uiPriority w:val="9"/>
    <w:rPr>
      <w:rFonts w:ascii="Arial" w:hAnsi="Arial" w:eastAsia="Arial" w:cs="Arial"/>
      <w:b/>
      <w:bCs/>
      <w:sz w:val="22"/>
      <w:szCs w:val="22"/>
    </w:rPr>
  </w:style>
  <w:style w:type="paragraph" w:styleId="759">
    <w:name w:val="Heading 7"/>
    <w:basedOn w:val="921"/>
    <w:next w:val="921"/>
    <w:link w:val="76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0">
    <w:name w:val="Heading 7 Char"/>
    <w:basedOn w:val="922"/>
    <w:link w:val="7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1">
    <w:name w:val="Heading 8"/>
    <w:basedOn w:val="921"/>
    <w:next w:val="921"/>
    <w:link w:val="76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2">
    <w:name w:val="Heading 8 Char"/>
    <w:basedOn w:val="922"/>
    <w:link w:val="761"/>
    <w:uiPriority w:val="9"/>
    <w:rPr>
      <w:rFonts w:ascii="Arial" w:hAnsi="Arial" w:eastAsia="Arial" w:cs="Arial"/>
      <w:i/>
      <w:iCs/>
      <w:sz w:val="22"/>
      <w:szCs w:val="22"/>
    </w:rPr>
  </w:style>
  <w:style w:type="paragraph" w:styleId="763">
    <w:name w:val="Heading 9"/>
    <w:basedOn w:val="921"/>
    <w:next w:val="921"/>
    <w:link w:val="76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4">
    <w:name w:val="Heading 9 Char"/>
    <w:basedOn w:val="922"/>
    <w:link w:val="763"/>
    <w:uiPriority w:val="9"/>
    <w:rPr>
      <w:rFonts w:ascii="Arial" w:hAnsi="Arial" w:eastAsia="Arial" w:cs="Arial"/>
      <w:i/>
      <w:iCs/>
      <w:sz w:val="21"/>
      <w:szCs w:val="21"/>
    </w:rPr>
  </w:style>
  <w:style w:type="paragraph" w:styleId="765">
    <w:name w:val="No Spacing"/>
    <w:uiPriority w:val="1"/>
    <w:qFormat/>
    <w:pPr>
      <w:spacing w:before="0" w:after="0" w:line="240" w:lineRule="auto"/>
    </w:pPr>
  </w:style>
  <w:style w:type="paragraph" w:styleId="766">
    <w:name w:val="Title"/>
    <w:basedOn w:val="921"/>
    <w:next w:val="921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basedOn w:val="922"/>
    <w:link w:val="766"/>
    <w:uiPriority w:val="10"/>
    <w:rPr>
      <w:sz w:val="48"/>
      <w:szCs w:val="48"/>
    </w:rPr>
  </w:style>
  <w:style w:type="paragraph" w:styleId="768">
    <w:name w:val="Subtitle"/>
    <w:basedOn w:val="921"/>
    <w:next w:val="921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basedOn w:val="922"/>
    <w:link w:val="768"/>
    <w:uiPriority w:val="11"/>
    <w:rPr>
      <w:sz w:val="24"/>
      <w:szCs w:val="24"/>
    </w:rPr>
  </w:style>
  <w:style w:type="paragraph" w:styleId="770">
    <w:name w:val="Quote"/>
    <w:basedOn w:val="921"/>
    <w:next w:val="921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1"/>
    <w:next w:val="921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character" w:styleId="774">
    <w:name w:val="Header Char"/>
    <w:basedOn w:val="922"/>
    <w:link w:val="927"/>
    <w:uiPriority w:val="99"/>
  </w:style>
  <w:style w:type="character" w:styleId="775">
    <w:name w:val="Footer Char"/>
    <w:basedOn w:val="922"/>
    <w:link w:val="929"/>
    <w:uiPriority w:val="99"/>
  </w:style>
  <w:style w:type="paragraph" w:styleId="776">
    <w:name w:val="Caption"/>
    <w:basedOn w:val="921"/>
    <w:next w:val="921"/>
    <w:link w:val="7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>
    <w:name w:val="Caption Char"/>
    <w:basedOn w:val="922"/>
    <w:link w:val="776"/>
    <w:uiPriority w:val="35"/>
    <w:rPr>
      <w:b/>
      <w:bCs/>
      <w:color w:val="4f81bd" w:themeColor="accent1"/>
      <w:sz w:val="18"/>
      <w:szCs w:val="18"/>
    </w:rPr>
  </w:style>
  <w:style w:type="table" w:styleId="778">
    <w:name w:val="Table Grid Light"/>
    <w:basedOn w:val="9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Plain Table 1"/>
    <w:basedOn w:val="9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9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>
    <w:name w:val="Grid Table 4 - Accent 1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7">
    <w:name w:val="Grid Table 4 - Accent 2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Grid Table 4 - Accent 3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9">
    <w:name w:val="Grid Table 4 - Accent 4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Grid Table 4 - Accent 5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1">
    <w:name w:val="Grid Table 4 - Accent 6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2">
    <w:name w:val="Grid Table 5 Dark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3">
    <w:name w:val="Grid Table 5 Dark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9">
    <w:name w:val="Grid Table 6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0">
    <w:name w:val="Grid Table 6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1">
    <w:name w:val="Grid Table 6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2">
    <w:name w:val="Grid Table 6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3">
    <w:name w:val="Grid Table 6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4">
    <w:name w:val="Grid Table 6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6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6">
    <w:name w:val="Grid Table 7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1">
    <w:name w:val="List Table 2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2">
    <w:name w:val="List Table 2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3">
    <w:name w:val="List Table 2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4">
    <w:name w:val="List Table 2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5">
    <w:name w:val="List Table 2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6">
    <w:name w:val="List Table 2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6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9">
    <w:name w:val="List Table 6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0">
    <w:name w:val="List Table 6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1">
    <w:name w:val="List Table 6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2">
    <w:name w:val="List Table 6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3">
    <w:name w:val="List Table 6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4">
    <w:name w:val="List Table 6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5">
    <w:name w:val="List Table 7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6">
    <w:name w:val="List Table 7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7">
    <w:name w:val="List Table 7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8">
    <w:name w:val="List Table 7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9">
    <w:name w:val="List Table 7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80">
    <w:name w:val="List Table 7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81">
    <w:name w:val="List Table 7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82">
    <w:name w:val="Lined - Accent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3">
    <w:name w:val="Lined - Accent 1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4">
    <w:name w:val="Lined - Accent 2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5">
    <w:name w:val="Lined - Accent 3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6">
    <w:name w:val="Lined - Accent 4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7">
    <w:name w:val="Lined - Accent 5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8">
    <w:name w:val="Lined - Accent 6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9">
    <w:name w:val="Bordered &amp; Lined - Accent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0">
    <w:name w:val="Bordered &amp; Lined - Accent 1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1">
    <w:name w:val="Bordered &amp; Lined - Accent 2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2">
    <w:name w:val="Bordered &amp; Lined - Accent 3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3">
    <w:name w:val="Bordered &amp; Lined - Accent 4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4">
    <w:name w:val="Bordered &amp; Lined - Accent 5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5">
    <w:name w:val="Bordered &amp; Lined - Accent 6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6">
    <w:name w:val="Bordered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7">
    <w:name w:val="Bordered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8">
    <w:name w:val="Bordered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9">
    <w:name w:val="Bordered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0">
    <w:name w:val="Bordered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1">
    <w:name w:val="Bordered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2">
    <w:name w:val="Bordered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3">
    <w:name w:val="Hyperlink"/>
    <w:uiPriority w:val="99"/>
    <w:unhideWhenUsed/>
    <w:rPr>
      <w:color w:val="0000ff" w:themeColor="hyperlink"/>
      <w:u w:val="single"/>
    </w:rPr>
  </w:style>
  <w:style w:type="paragraph" w:styleId="904">
    <w:name w:val="footnote text"/>
    <w:basedOn w:val="921"/>
    <w:link w:val="905"/>
    <w:uiPriority w:val="99"/>
    <w:semiHidden/>
    <w:unhideWhenUsed/>
    <w:pPr>
      <w:spacing w:after="40" w:line="240" w:lineRule="auto"/>
    </w:pPr>
    <w:rPr>
      <w:sz w:val="18"/>
    </w:rPr>
  </w:style>
  <w:style w:type="character" w:styleId="905">
    <w:name w:val="Footnote Text Char"/>
    <w:link w:val="904"/>
    <w:uiPriority w:val="99"/>
    <w:rPr>
      <w:sz w:val="18"/>
    </w:rPr>
  </w:style>
  <w:style w:type="character" w:styleId="906">
    <w:name w:val="footnote reference"/>
    <w:basedOn w:val="922"/>
    <w:uiPriority w:val="99"/>
    <w:unhideWhenUsed/>
    <w:rPr>
      <w:vertAlign w:val="superscript"/>
    </w:rPr>
  </w:style>
  <w:style w:type="paragraph" w:styleId="907">
    <w:name w:val="endnote text"/>
    <w:basedOn w:val="921"/>
    <w:link w:val="908"/>
    <w:uiPriority w:val="99"/>
    <w:semiHidden/>
    <w:unhideWhenUsed/>
    <w:pPr>
      <w:spacing w:after="0" w:line="240" w:lineRule="auto"/>
    </w:pPr>
    <w:rPr>
      <w:sz w:val="20"/>
    </w:rPr>
  </w:style>
  <w:style w:type="character" w:styleId="908">
    <w:name w:val="Endnote Text Char"/>
    <w:link w:val="907"/>
    <w:uiPriority w:val="99"/>
    <w:rPr>
      <w:sz w:val="20"/>
    </w:rPr>
  </w:style>
  <w:style w:type="character" w:styleId="909">
    <w:name w:val="endnote reference"/>
    <w:basedOn w:val="922"/>
    <w:uiPriority w:val="99"/>
    <w:semiHidden/>
    <w:unhideWhenUsed/>
    <w:rPr>
      <w:vertAlign w:val="superscript"/>
    </w:rPr>
  </w:style>
  <w:style w:type="paragraph" w:styleId="910">
    <w:name w:val="toc 1"/>
    <w:basedOn w:val="921"/>
    <w:next w:val="921"/>
    <w:uiPriority w:val="39"/>
    <w:unhideWhenUsed/>
    <w:pPr>
      <w:ind w:left="0" w:right="0" w:firstLine="0"/>
      <w:spacing w:after="57"/>
    </w:pPr>
  </w:style>
  <w:style w:type="paragraph" w:styleId="911">
    <w:name w:val="toc 2"/>
    <w:basedOn w:val="921"/>
    <w:next w:val="921"/>
    <w:uiPriority w:val="39"/>
    <w:unhideWhenUsed/>
    <w:pPr>
      <w:ind w:left="283" w:right="0" w:firstLine="0"/>
      <w:spacing w:after="57"/>
    </w:pPr>
  </w:style>
  <w:style w:type="paragraph" w:styleId="912">
    <w:name w:val="toc 3"/>
    <w:basedOn w:val="921"/>
    <w:next w:val="921"/>
    <w:uiPriority w:val="39"/>
    <w:unhideWhenUsed/>
    <w:pPr>
      <w:ind w:left="567" w:right="0" w:firstLine="0"/>
      <w:spacing w:after="57"/>
    </w:pPr>
  </w:style>
  <w:style w:type="paragraph" w:styleId="913">
    <w:name w:val="toc 4"/>
    <w:basedOn w:val="921"/>
    <w:next w:val="921"/>
    <w:uiPriority w:val="39"/>
    <w:unhideWhenUsed/>
    <w:pPr>
      <w:ind w:left="850" w:right="0" w:firstLine="0"/>
      <w:spacing w:after="57"/>
    </w:pPr>
  </w:style>
  <w:style w:type="paragraph" w:styleId="914">
    <w:name w:val="toc 5"/>
    <w:basedOn w:val="921"/>
    <w:next w:val="921"/>
    <w:uiPriority w:val="39"/>
    <w:unhideWhenUsed/>
    <w:pPr>
      <w:ind w:left="1134" w:right="0" w:firstLine="0"/>
      <w:spacing w:after="57"/>
    </w:pPr>
  </w:style>
  <w:style w:type="paragraph" w:styleId="915">
    <w:name w:val="toc 6"/>
    <w:basedOn w:val="921"/>
    <w:next w:val="921"/>
    <w:uiPriority w:val="39"/>
    <w:unhideWhenUsed/>
    <w:pPr>
      <w:ind w:left="1417" w:right="0" w:firstLine="0"/>
      <w:spacing w:after="57"/>
    </w:pPr>
  </w:style>
  <w:style w:type="paragraph" w:styleId="916">
    <w:name w:val="toc 7"/>
    <w:basedOn w:val="921"/>
    <w:next w:val="921"/>
    <w:uiPriority w:val="39"/>
    <w:unhideWhenUsed/>
    <w:pPr>
      <w:ind w:left="1701" w:right="0" w:firstLine="0"/>
      <w:spacing w:after="57"/>
    </w:pPr>
  </w:style>
  <w:style w:type="paragraph" w:styleId="917">
    <w:name w:val="toc 8"/>
    <w:basedOn w:val="921"/>
    <w:next w:val="921"/>
    <w:uiPriority w:val="39"/>
    <w:unhideWhenUsed/>
    <w:pPr>
      <w:ind w:left="1984" w:right="0" w:firstLine="0"/>
      <w:spacing w:after="57"/>
    </w:pPr>
  </w:style>
  <w:style w:type="paragraph" w:styleId="918">
    <w:name w:val="toc 9"/>
    <w:basedOn w:val="921"/>
    <w:next w:val="921"/>
    <w:uiPriority w:val="39"/>
    <w:unhideWhenUsed/>
    <w:pPr>
      <w:ind w:left="2268" w:right="0" w:firstLine="0"/>
      <w:spacing w:after="57"/>
    </w:pPr>
  </w:style>
  <w:style w:type="paragraph" w:styleId="919">
    <w:name w:val="TOC Heading"/>
    <w:uiPriority w:val="39"/>
    <w:unhideWhenUsed/>
  </w:style>
  <w:style w:type="paragraph" w:styleId="920">
    <w:name w:val="table of figures"/>
    <w:basedOn w:val="921"/>
    <w:next w:val="921"/>
    <w:uiPriority w:val="99"/>
    <w:unhideWhenUsed/>
    <w:pPr>
      <w:spacing w:after="0" w:afterAutospacing="0"/>
    </w:pPr>
  </w:style>
  <w:style w:type="paragraph" w:styleId="921" w:default="1">
    <w:name w:val="Normal"/>
    <w:qFormat/>
  </w:style>
  <w:style w:type="character" w:styleId="922" w:default="1">
    <w:name w:val="Default Paragraph Font"/>
    <w:uiPriority w:val="1"/>
    <w:semiHidden/>
    <w:unhideWhenUsed/>
  </w:style>
  <w:style w:type="table" w:styleId="9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4" w:default="1">
    <w:name w:val="No List"/>
    <w:uiPriority w:val="99"/>
    <w:semiHidden/>
    <w:unhideWhenUsed/>
  </w:style>
  <w:style w:type="table" w:styleId="925">
    <w:name w:val="Table Grid"/>
    <w:basedOn w:val="92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6">
    <w:name w:val="List Paragraph"/>
    <w:basedOn w:val="921"/>
    <w:uiPriority w:val="34"/>
    <w:qFormat/>
    <w:pPr>
      <w:contextualSpacing/>
      <w:ind w:left="720"/>
    </w:pPr>
  </w:style>
  <w:style w:type="paragraph" w:styleId="927">
    <w:name w:val="Header"/>
    <w:basedOn w:val="921"/>
    <w:link w:val="92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8" w:customStyle="1">
    <w:name w:val="Верхний колонтитул Знак"/>
    <w:basedOn w:val="922"/>
    <w:link w:val="927"/>
    <w:uiPriority w:val="99"/>
  </w:style>
  <w:style w:type="paragraph" w:styleId="929">
    <w:name w:val="Footer"/>
    <w:basedOn w:val="921"/>
    <w:link w:val="93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0" w:customStyle="1">
    <w:name w:val="Нижний колонтитул Знак"/>
    <w:basedOn w:val="922"/>
    <w:link w:val="929"/>
    <w:uiPriority w:val="99"/>
  </w:style>
  <w:style w:type="character" w:styleId="931">
    <w:name w:val="annotation reference"/>
    <w:basedOn w:val="922"/>
    <w:uiPriority w:val="99"/>
    <w:semiHidden/>
    <w:unhideWhenUsed/>
    <w:rPr>
      <w:sz w:val="16"/>
      <w:szCs w:val="16"/>
    </w:rPr>
  </w:style>
  <w:style w:type="paragraph" w:styleId="932">
    <w:name w:val="annotation text"/>
    <w:basedOn w:val="921"/>
    <w:link w:val="93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33" w:customStyle="1">
    <w:name w:val="Текст примечания Знак"/>
    <w:basedOn w:val="922"/>
    <w:link w:val="932"/>
    <w:uiPriority w:val="99"/>
    <w:semiHidden/>
    <w:rPr>
      <w:sz w:val="20"/>
      <w:szCs w:val="20"/>
    </w:rPr>
  </w:style>
  <w:style w:type="paragraph" w:styleId="934">
    <w:name w:val="annotation subject"/>
    <w:basedOn w:val="932"/>
    <w:next w:val="932"/>
    <w:link w:val="935"/>
    <w:uiPriority w:val="99"/>
    <w:semiHidden/>
    <w:unhideWhenUsed/>
    <w:rPr>
      <w:b/>
      <w:bCs/>
    </w:rPr>
  </w:style>
  <w:style w:type="character" w:styleId="935" w:customStyle="1">
    <w:name w:val="Тема примечания Знак"/>
    <w:basedOn w:val="933"/>
    <w:link w:val="934"/>
    <w:uiPriority w:val="99"/>
    <w:semiHidden/>
    <w:rPr>
      <w:b/>
      <w:bCs/>
      <w:sz w:val="20"/>
      <w:szCs w:val="20"/>
    </w:rPr>
  </w:style>
  <w:style w:type="paragraph" w:styleId="936">
    <w:name w:val="Balloon Text"/>
    <w:basedOn w:val="921"/>
    <w:link w:val="9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37" w:customStyle="1">
    <w:name w:val="Текст выноски Знак"/>
    <w:basedOn w:val="922"/>
    <w:link w:val="9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hyperlink" Target="consultantplus://offline/ref=7781CE969C1FAB305043D4920EE117D3DCF318515D3F925648CCA8534403003F1FB6A24A498C9C4A251F79FD1BC5FC36FF914B880905I5PFJ" TargetMode="External"/><Relationship Id="rId16" Type="http://schemas.openxmlformats.org/officeDocument/2006/relationships/hyperlink" Target="consultantplus://offline/ref=0EDDA37FBCC1BFCF66E201A7F19F5EA0A2ABD7D010ECD41A51DDC54624D8F2EC19B9CA3FD619199805B7CFCE1DE7DD746C8709B2876Ac2P6J" TargetMode="External"/><Relationship Id="rId17" Type="http://schemas.openxmlformats.org/officeDocument/2006/relationships/hyperlink" Target="https://login.consultant.ru/link/?req=doc&amp;base=LAW&amp;n=495181&amp;dst=100336&amp;field=134&amp;date=22.01.2026" TargetMode="External"/><Relationship Id="rId18" Type="http://schemas.openxmlformats.org/officeDocument/2006/relationships/hyperlink" Target="https://login.consultant.ru/link/?req=doc&amp;base=LAW&amp;n=495181&amp;dst=100336&amp;field=134&amp;date=22.01.2026" TargetMode="External"/><Relationship Id="rId19" Type="http://schemas.openxmlformats.org/officeDocument/2006/relationships/hyperlink" Target="consultantplus://offline/ref=3CFCC3DC08F4FD4ACD5F61CC6A2260DB7F25FBDE8B1F05C99A556C788C013FA843B1994C8C65A760A134674B7C02FA9A82ACC165956CI9R0J" TargetMode="External"/><Relationship Id="rId20" Type="http://schemas.openxmlformats.org/officeDocument/2006/relationships/hyperlink" Target="consultantplus://offline/ref=3CFCC3DC08F4FD4ACD5F61CC6A2260DB7F25FBDE8B1F05C99A556C788C013FA843B1994C8C65A660A134674B7C02FA9A82ACC165956CI9R0J" TargetMode="External"/><Relationship Id="rId21" Type="http://schemas.openxmlformats.org/officeDocument/2006/relationships/hyperlink" Target="consultantplus://offline/ref=8BC9EB3A69C6E9C80AFFCEC6143E5712132127056F645A344B77AF35481EF3A4875F133265DBF91221A306D3F90343DE7A5B8B50E0FE005121RBJ" TargetMode="External"/><Relationship Id="rId22" Type="http://schemas.openxmlformats.org/officeDocument/2006/relationships/hyperlink" Target="consultantplus://offline/ref=8BC9EB3A69C6E9C80AFFCEC6143E5712132127056F645A344B77AF35481EF3A4875F133265DBF91529A306D3F90343DE7A5B8B50E0FE005121RBJ" TargetMode="External"/><Relationship Id="rId23" Type="http://schemas.openxmlformats.org/officeDocument/2006/relationships/hyperlink" Target="consultantplus://offline/ref=8BC9EB3A69C6E9C80AFFCEC6143E5712132127056F645A344B77AF35481EF3A4875F13316CDDF14578EC078FBF5150DC7C5B8951FC2FREJ" TargetMode="External"/><Relationship Id="rId24" Type="http://schemas.openxmlformats.org/officeDocument/2006/relationships/hyperlink" Target="consultantplus://offline/ref=8BC9EB3A69C6E9C80AFFCEC6143E5712132127056F645A344B77AF35481EF3A4875F133764D2F14578EC078FBF5150DC7C5B8951FC2FREJ" TargetMode="External"/><Relationship Id="rId25" Type="http://schemas.openxmlformats.org/officeDocument/2006/relationships/hyperlink" Target="https://login.consultant.ru/link/?req=doc&amp;base=LAW&amp;n=495181&amp;dst=100336&amp;field=134&amp;date=22.01.2026" TargetMode="External"/><Relationship Id="rId26" Type="http://schemas.openxmlformats.org/officeDocument/2006/relationships/hyperlink" Target="https://login.consultant.ru/link/?req=doc&amp;base=LAW&amp;n=495181&amp;dst=100336&amp;field=134&amp;date=22.01.2026" TargetMode="External"/><Relationship Id="rId27" Type="http://schemas.openxmlformats.org/officeDocument/2006/relationships/hyperlink" Target="consultantplus://offline/ref=CCDD83D39FE5A5163BFA52EADEF9B1E8905E85F2D57632B92AA74736D4D05E771C605FE84F521B702C1538BF219BBB4A2F519F583268m3Z1J" TargetMode="External"/><Relationship Id="rId28" Type="http://schemas.openxmlformats.org/officeDocument/2006/relationships/hyperlink" Target="consultantplus://offline/ref=CCDD83D39FE5A5163BFA52EADEF9B1E8905E85F2D57632B92AA74736D4D05E771C605FE84E541E702C1538BF219BBB4A2F519F583268m3Z1J" TargetMode="External"/><Relationship Id="rId29" Type="http://schemas.openxmlformats.org/officeDocument/2006/relationships/hyperlink" Target="consultantplus://offline/ref=8BB752F251079FFFB57B95326E32FDFC5E7EE94C460A320542BC466DED2430BED55D137C6FACF55F0C76316CC8D8246C53405704555A6BZ6J" TargetMode="External"/><Relationship Id="rId30" Type="http://schemas.openxmlformats.org/officeDocument/2006/relationships/hyperlink" Target="https://login.consultant.ru/link/?req=doc&amp;base=LAW&amp;n=466154&amp;dst=12377&amp;field=134&amp;date=20.01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Давидян Алена Александровна</dc:creator>
  <cp:keywords/>
  <dc:description/>
  <cp:lastModifiedBy>davidyan</cp:lastModifiedBy>
  <cp:revision>135</cp:revision>
  <dcterms:created xsi:type="dcterms:W3CDTF">2022-01-27T06:49:00Z</dcterms:created>
  <dcterms:modified xsi:type="dcterms:W3CDTF">2026-10-14T14:18:15Z</dcterms:modified>
</cp:coreProperties>
</file>