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2000000">
      <w:pPr>
        <w:widowControl w:val="1"/>
        <w:spacing w:after="0" w:line="240" w:lineRule="auto"/>
        <w:ind/>
        <w:jc w:val="right"/>
        <w:rPr>
          <w:rFonts w:ascii="PT Astra Serif" w:hAnsi="PT Astra Serif"/>
          <w:b w:val="1"/>
          <w:sz w:val="24"/>
        </w:rPr>
      </w:pPr>
      <w:r>
        <w:rPr>
          <w:rFonts w:ascii="PT Astra Serif" w:hAnsi="PT Astra Serif"/>
          <w:b w:val="1"/>
          <w:sz w:val="24"/>
        </w:rPr>
        <w:t>Приложение  № 3 к извещению об осуществлении закупки</w:t>
      </w:r>
    </w:p>
    <w:p w14:paraId="03000000">
      <w:pPr>
        <w:widowControl w:val="1"/>
        <w:spacing w:line="240" w:lineRule="auto"/>
        <w:ind/>
        <w:jc w:val="right"/>
        <w:rPr>
          <w:rFonts w:ascii="PT Astra Serif" w:hAnsi="PT Astra Serif"/>
          <w:sz w:val="24"/>
        </w:rPr>
      </w:pPr>
      <w:r>
        <w:rPr>
          <w:rFonts w:ascii="PT Astra Serif" w:hAnsi="PT Astra Serif"/>
          <w:sz w:val="24"/>
        </w:rPr>
        <w:t>Идентификационный код закупки:</w:t>
      </w:r>
      <w:r>
        <w:rPr>
          <w:rFonts w:ascii="PT Astra Serif" w:hAnsi="PT Astra Serif"/>
          <w:sz w:val="24"/>
        </w:rPr>
        <w:t xml:space="preserve"> </w:t>
      </w:r>
      <w:r>
        <w:rPr>
          <w:rFonts w:ascii="PT Astra Serif&quot;" w:hAnsi="PT Astra Serif&quot;"/>
          <w:sz w:val="24"/>
        </w:rPr>
        <w:t>262645500506764550100100020170000244</w:t>
      </w:r>
      <w:bookmarkStart w:id="1" w:name="_GoBack"/>
      <w:bookmarkEnd w:id="1"/>
    </w:p>
    <w:p w14:paraId="04000000">
      <w:pPr>
        <w:widowControl w:val="1"/>
        <w:spacing w:after="0" w:line="240" w:lineRule="auto"/>
        <w:ind/>
        <w:jc w:val="right"/>
        <w:rPr>
          <w:rFonts w:ascii="PT Astra Serif" w:hAnsi="PT Astra Serif"/>
          <w:b w:val="1"/>
          <w:sz w:val="24"/>
        </w:rPr>
      </w:pPr>
      <w:r>
        <w:rPr>
          <w:rFonts w:ascii="PT Astra Serif" w:hAnsi="PT Astra Serif"/>
          <w:sz w:val="24"/>
        </w:rPr>
        <w:t xml:space="preserve"> </w:t>
      </w:r>
    </w:p>
    <w:p w14:paraId="05000000">
      <w:pPr>
        <w:widowControl w:val="1"/>
        <w:spacing w:line="240" w:lineRule="auto"/>
        <w:ind/>
        <w:jc w:val="center"/>
        <w:rPr>
          <w:rFonts w:ascii="PT Astra Serif" w:hAnsi="PT Astra Serif"/>
          <w:b w:val="1"/>
          <w:sz w:val="24"/>
        </w:rPr>
      </w:pPr>
      <w:r>
        <w:rPr>
          <w:rFonts w:ascii="PT Astra Serif" w:hAnsi="PT Astra Serif"/>
          <w:b w:val="1"/>
          <w:sz w:val="24"/>
        </w:rPr>
        <w:t>Требования</w:t>
      </w:r>
      <w:r>
        <w:rPr>
          <w:rFonts w:ascii="PT Astra Serif" w:hAnsi="PT Astra Serif"/>
          <w:b w:val="1"/>
          <w:sz w:val="24"/>
        </w:rPr>
        <w:t xml:space="preserve"> к содержанию, составу заявки на участие в закупке</w:t>
      </w:r>
      <w:r>
        <w:rPr>
          <w:rFonts w:ascii="PT Astra Serif" w:hAnsi="PT Astra Serif"/>
          <w:b w:val="1"/>
          <w:sz w:val="24"/>
        </w:rPr>
        <w:t xml:space="preserve"> и инструкция по ее заполнению</w:t>
      </w:r>
    </w:p>
    <w:p w14:paraId="06000000">
      <w:pPr>
        <w:widowControl w:val="1"/>
        <w:spacing w:after="0" w:line="240" w:lineRule="auto"/>
        <w:ind w:firstLine="709"/>
        <w:jc w:val="both"/>
        <w:rPr>
          <w:rFonts w:ascii="PT Astra Serif" w:hAnsi="PT Astra Serif"/>
          <w:sz w:val="24"/>
        </w:rPr>
      </w:pPr>
      <w:r>
        <w:rPr>
          <w:rFonts w:ascii="PT Astra Serif" w:hAnsi="PT Astra Serif"/>
          <w:sz w:val="24"/>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оператору электронной площадки.</w:t>
      </w:r>
    </w:p>
    <w:p w14:paraId="07000000">
      <w:pPr>
        <w:widowControl w:val="1"/>
        <w:spacing w:after="0" w:line="240" w:lineRule="auto"/>
        <w:ind w:firstLine="709"/>
        <w:jc w:val="both"/>
        <w:rPr>
          <w:rFonts w:ascii="PT Astra Serif" w:hAnsi="PT Astra Serif"/>
          <w:sz w:val="24"/>
        </w:rPr>
      </w:pPr>
      <w:r>
        <w:rPr>
          <w:rFonts w:ascii="PT Astra Serif" w:hAnsi="PT Astra Serif"/>
          <w:sz w:val="24"/>
        </w:rPr>
        <w:t xml:space="preserve">Участник закупки вправе подать только одну заявку на участие в закупке в любое время </w:t>
      </w:r>
      <w:r>
        <w:rPr>
          <w:rFonts w:ascii="PT Astra Serif" w:hAnsi="PT Astra Serif"/>
          <w:sz w:val="24"/>
        </w:rPr>
        <w:t xml:space="preserve">                      </w:t>
      </w:r>
      <w:r>
        <w:rPr>
          <w:rFonts w:ascii="PT Astra Serif" w:hAnsi="PT Astra Serif"/>
          <w:sz w:val="24"/>
        </w:rPr>
        <w:t>с момента размещения в единой информационной системе извещения об осуществлении закупки</w:t>
      </w:r>
      <w:r>
        <w:rPr>
          <w:rFonts w:ascii="PT Astra Serif" w:hAnsi="PT Astra Serif"/>
          <w:sz w:val="24"/>
        </w:rPr>
        <w:t xml:space="preserve"> </w:t>
      </w:r>
      <w:r>
        <w:rPr>
          <w:rFonts w:ascii="PT Astra Serif" w:hAnsi="PT Astra Serif"/>
          <w:sz w:val="24"/>
        </w:rPr>
        <w:t>до окончания срока подачи заявок на участие в закупке.</w:t>
      </w:r>
    </w:p>
    <w:p w14:paraId="08000000">
      <w:pPr>
        <w:widowControl w:val="1"/>
        <w:spacing w:after="0" w:line="240" w:lineRule="auto"/>
        <w:ind w:firstLine="709"/>
        <w:jc w:val="both"/>
        <w:rPr>
          <w:rFonts w:ascii="PT Astra Serif" w:hAnsi="PT Astra Serif"/>
          <w:sz w:val="24"/>
        </w:rPr>
      </w:pPr>
      <w:r>
        <w:rPr>
          <w:rFonts w:ascii="PT Astra Serif" w:hAnsi="PT Astra Serif"/>
          <w:sz w:val="24"/>
        </w:rPr>
        <w:t>Подача заявки на участие в закупке означает согласие участника закупки, подавшего такую заявку, на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09000000">
      <w:pPr>
        <w:widowControl w:val="1"/>
        <w:spacing w:after="0" w:line="240" w:lineRule="auto"/>
        <w:ind w:firstLine="709"/>
        <w:jc w:val="both"/>
        <w:rPr>
          <w:rFonts w:ascii="PT Astra Serif" w:hAnsi="PT Astra Serif"/>
          <w:sz w:val="24"/>
        </w:rPr>
      </w:pPr>
      <w:r>
        <w:rPr>
          <w:rFonts w:ascii="PT Astra Serif" w:hAnsi="PT Astra Serif"/>
          <w:sz w:val="24"/>
        </w:rPr>
        <w:t xml:space="preserve">Участник закупки, подавший заявку на участие в закупке, вправе в соответствии с частью 10 статьи 43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Pr>
          <w:rFonts w:ascii="PT Astra Serif" w:hAnsi="PT Astra Serif"/>
          <w:sz w:val="24"/>
        </w:rPr>
        <w:t>(далее</w:t>
      </w:r>
      <w:r>
        <w:rPr>
          <w:rFonts w:ascii="PT Astra Serif" w:hAnsi="PT Astra Serif"/>
          <w:sz w:val="24"/>
        </w:rPr>
        <w:t xml:space="preserve"> </w:t>
      </w:r>
      <w:r>
        <w:rPr>
          <w:rFonts w:ascii="PT Astra Serif" w:hAnsi="PT Astra Serif"/>
          <w:sz w:val="24"/>
        </w:rPr>
        <w:t>-</w:t>
      </w:r>
      <w:r>
        <w:rPr>
          <w:rFonts w:ascii="PT Astra Serif" w:hAnsi="PT Astra Serif"/>
          <w:sz w:val="24"/>
        </w:rPr>
        <w:t xml:space="preserve"> </w:t>
      </w:r>
      <w:r>
        <w:rPr>
          <w:rFonts w:ascii="PT Astra Serif" w:hAnsi="PT Astra Serif"/>
          <w:sz w:val="24"/>
        </w:rPr>
        <w:t xml:space="preserve">Федеральный закон) </w:t>
      </w:r>
      <w:r>
        <w:rPr>
          <w:rFonts w:ascii="PT Astra Serif" w:hAnsi="PT Astra Serif"/>
          <w:sz w:val="24"/>
        </w:rPr>
        <w:t>отозвать такую заявку:</w:t>
      </w:r>
    </w:p>
    <w:p w14:paraId="0A000000">
      <w:pPr>
        <w:widowControl w:val="1"/>
        <w:spacing w:after="0" w:line="240" w:lineRule="auto"/>
        <w:ind w:firstLine="709"/>
        <w:jc w:val="both"/>
        <w:rPr>
          <w:rFonts w:ascii="PT Astra Serif" w:hAnsi="PT Astra Serif"/>
          <w:sz w:val="24"/>
        </w:rPr>
      </w:pPr>
      <w:r>
        <w:rPr>
          <w:rFonts w:ascii="PT Astra Serif" w:hAnsi="PT Astra Serif"/>
          <w:sz w:val="24"/>
        </w:rPr>
        <w:t>а</w:t>
      </w:r>
      <w:r>
        <w:rPr>
          <w:rFonts w:ascii="PT Astra Serif" w:hAnsi="PT Astra Serif"/>
          <w:sz w:val="24"/>
        </w:rPr>
        <w:t>) до окончания срока подачи заявок на участие в закупке;</w:t>
      </w:r>
    </w:p>
    <w:p w14:paraId="0B000000">
      <w:pPr>
        <w:widowControl w:val="1"/>
        <w:spacing w:after="0" w:line="240" w:lineRule="auto"/>
        <w:ind w:firstLine="709"/>
        <w:jc w:val="both"/>
        <w:rPr>
          <w:rFonts w:ascii="PT Astra Serif" w:hAnsi="PT Astra Serif"/>
          <w:sz w:val="24"/>
        </w:rPr>
      </w:pPr>
      <w:r>
        <w:rPr>
          <w:rFonts w:ascii="PT Astra Serif" w:hAnsi="PT Astra Serif"/>
          <w:sz w:val="24"/>
        </w:rPr>
        <w:t>б</w:t>
      </w:r>
      <w:r>
        <w:rPr>
          <w:rFonts w:ascii="PT Astra Serif" w:hAnsi="PT Astra Serif"/>
          <w:sz w:val="24"/>
        </w:rPr>
        <w:t>) с момента размещения в соответствии с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Федеральным законом присвоены первые три порядковых номера.</w:t>
      </w:r>
    </w:p>
    <w:p w14:paraId="0C000000">
      <w:pPr>
        <w:widowControl w:val="1"/>
        <w:spacing w:after="0" w:line="240" w:lineRule="auto"/>
        <w:ind w:firstLine="709"/>
        <w:jc w:val="both"/>
        <w:rPr>
          <w:rFonts w:ascii="PT Astra Serif" w:hAnsi="PT Astra Serif"/>
          <w:sz w:val="24"/>
        </w:rPr>
      </w:pPr>
      <w:r>
        <w:rPr>
          <w:rFonts w:ascii="PT Astra Serif" w:hAnsi="PT Astra Serif"/>
          <w:sz w:val="24"/>
        </w:rPr>
        <w:t>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14:paraId="0D000000">
      <w:pPr>
        <w:widowControl w:val="1"/>
        <w:spacing w:after="0" w:line="240" w:lineRule="auto"/>
        <w:ind w:firstLine="709"/>
        <w:jc w:val="both"/>
        <w:rPr>
          <w:rFonts w:ascii="PT Astra Serif" w:hAnsi="PT Astra Serif"/>
          <w:sz w:val="24"/>
        </w:rPr>
      </w:pPr>
      <w:r>
        <w:rPr>
          <w:rFonts w:ascii="PT Astra Serif" w:hAnsi="PT Astra Serif"/>
          <w:sz w:val="24"/>
        </w:rPr>
        <w:t>а</w:t>
      </w:r>
      <w:r>
        <w:rPr>
          <w:rFonts w:ascii="PT Astra Serif" w:hAnsi="PT Astra Serif"/>
          <w:sz w:val="24"/>
        </w:rPr>
        <w:t>)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14:paraId="0E000000">
      <w:pPr>
        <w:widowControl w:val="1"/>
        <w:spacing w:after="0" w:line="240" w:lineRule="auto"/>
        <w:ind w:firstLine="709"/>
        <w:jc w:val="both"/>
        <w:rPr>
          <w:rFonts w:ascii="PT Astra Serif" w:hAnsi="PT Astra Serif"/>
          <w:sz w:val="24"/>
        </w:rPr>
      </w:pPr>
      <w:r>
        <w:rPr>
          <w:rFonts w:ascii="PT Astra Serif" w:hAnsi="PT Astra Serif"/>
          <w:sz w:val="24"/>
        </w:rPr>
        <w:t>б</w:t>
      </w:r>
      <w:r>
        <w:rPr>
          <w:rFonts w:ascii="PT Astra Serif" w:hAnsi="PT Astra Serif"/>
          <w:sz w:val="24"/>
        </w:rPr>
        <w:t xml:space="preserve">) в случае, предусмотренном пунктом 1 части 9 статьи 43 Федерального закона, заявка </w:t>
      </w:r>
      <w:r>
        <w:rPr>
          <w:rFonts w:ascii="PT Astra Serif" w:hAnsi="PT Astra Serif"/>
          <w:sz w:val="24"/>
        </w:rPr>
        <w:t xml:space="preserve">                       </w:t>
      </w:r>
      <w:r>
        <w:rPr>
          <w:rFonts w:ascii="PT Astra Serif" w:hAnsi="PT Astra Serif"/>
          <w:sz w:val="24"/>
        </w:rPr>
        <w:t xml:space="preserve">на участие в закупке считается отозванной с момента подписания в соответствии с пунктом 1 части </w:t>
      </w:r>
      <w:r>
        <w:rPr>
          <w:rFonts w:ascii="PT Astra Serif" w:hAnsi="PT Astra Serif"/>
          <w:sz w:val="24"/>
        </w:rPr>
        <w:t xml:space="preserve">10 статьи 43 Федерального закона </w:t>
      </w:r>
      <w:r>
        <w:rPr>
          <w:rFonts w:ascii="PT Astra Serif" w:hAnsi="PT Astra Serif"/>
          <w:sz w:val="24"/>
        </w:rPr>
        <w:t>отзыва заявки на участие в закупке;</w:t>
      </w:r>
    </w:p>
    <w:p w14:paraId="0F000000">
      <w:pPr>
        <w:widowControl w:val="1"/>
        <w:spacing w:after="0" w:line="240" w:lineRule="auto"/>
        <w:ind w:firstLine="709"/>
        <w:jc w:val="both"/>
        <w:rPr>
          <w:rFonts w:ascii="PT Astra Serif" w:hAnsi="PT Astra Serif"/>
          <w:sz w:val="24"/>
        </w:rPr>
      </w:pPr>
      <w:r>
        <w:rPr>
          <w:rFonts w:ascii="PT Astra Serif" w:hAnsi="PT Astra Serif"/>
          <w:sz w:val="24"/>
        </w:rPr>
        <w:t>в</w:t>
      </w:r>
      <w:r>
        <w:rPr>
          <w:rFonts w:ascii="PT Astra Serif" w:hAnsi="PT Astra Serif"/>
          <w:sz w:val="24"/>
        </w:rPr>
        <w:t>) в случае, предусмотренном пунктом 2 части 9 статьи</w:t>
      </w:r>
      <w:r>
        <w:rPr>
          <w:rFonts w:ascii="PT Astra Serif" w:hAnsi="PT Astra Serif"/>
          <w:sz w:val="24"/>
        </w:rPr>
        <w:t xml:space="preserve"> 43 Федерального закона</w:t>
      </w:r>
      <w:r>
        <w:rPr>
          <w:rFonts w:ascii="PT Astra Serif" w:hAnsi="PT Astra Serif"/>
          <w:sz w:val="24"/>
        </w:rPr>
        <w:t xml:space="preserve">, оператор электронной площадки, оператор специализированной электронной площадки не позднее одного часа с момента подписания в соответствии с пунктом 1 части </w:t>
      </w:r>
      <w:r>
        <w:rPr>
          <w:rFonts w:ascii="PT Astra Serif" w:hAnsi="PT Astra Serif"/>
          <w:sz w:val="24"/>
        </w:rPr>
        <w:t xml:space="preserve">10  статьи 43 Федерального закона </w:t>
      </w:r>
      <w:r>
        <w:rPr>
          <w:rFonts w:ascii="PT Astra Serif" w:hAnsi="PT Astra Serif"/>
          <w:sz w:val="24"/>
        </w:rPr>
        <w:t>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w:t>
      </w:r>
      <w:r>
        <w:rPr>
          <w:rFonts w:ascii="PT Astra Serif" w:hAnsi="PT Astra Serif"/>
          <w:sz w:val="24"/>
        </w:rPr>
        <w:t xml:space="preserve"> </w:t>
      </w:r>
      <w:r>
        <w:rPr>
          <w:rFonts w:ascii="PT Astra Serif" w:hAnsi="PT Astra Serif"/>
          <w:sz w:val="24"/>
        </w:rPr>
        <w:t>реестре</w:t>
      </w:r>
      <w:r>
        <w:rPr>
          <w:rFonts w:ascii="PT Astra Serif" w:hAnsi="PT Astra Serif"/>
          <w:sz w:val="24"/>
        </w:rPr>
        <w:t xml:space="preserve"> участников закупок в отношении участника закупки, сформировавшего отзыв заявки на участие в закупке, в единую информационную систему. </w:t>
      </w:r>
      <w:r>
        <w:rPr>
          <w:rFonts w:ascii="PT Astra Serif" w:hAnsi="PT Astra Serif"/>
          <w:sz w:val="24"/>
        </w:rPr>
        <w:t xml:space="preserve">С момента направления отзыва заявки на участие в закупке в соответствии с </w:t>
      </w:r>
      <w:r>
        <w:rPr>
          <w:rFonts w:ascii="PT Astra Serif" w:hAnsi="PT Astra Serif"/>
          <w:sz w:val="24"/>
        </w:rPr>
        <w:t xml:space="preserve">данным </w:t>
      </w:r>
      <w:r>
        <w:rPr>
          <w:rFonts w:ascii="PT Astra Serif" w:hAnsi="PT Astra Serif"/>
          <w:sz w:val="24"/>
        </w:rPr>
        <w:t>пунктом</w:t>
      </w:r>
      <w:r>
        <w:rPr>
          <w:rFonts w:ascii="PT Astra Serif" w:hAnsi="PT Astra Serif"/>
          <w:sz w:val="24"/>
        </w:rPr>
        <w:t xml:space="preserve"> заявка на участие в закупке считается отозванной.</w:t>
      </w:r>
    </w:p>
    <w:p w14:paraId="10000000">
      <w:pPr>
        <w:widowControl w:val="1"/>
        <w:spacing w:after="0" w:line="240" w:lineRule="auto"/>
        <w:ind w:firstLine="709"/>
        <w:jc w:val="both"/>
        <w:rPr>
          <w:rFonts w:ascii="PT Astra Serif" w:hAnsi="PT Astra Serif"/>
          <w:sz w:val="24"/>
        </w:rPr>
      </w:pPr>
      <w:r>
        <w:rPr>
          <w:rFonts w:ascii="PT Astra Serif" w:hAnsi="PT Astra Serif"/>
          <w:sz w:val="24"/>
        </w:rPr>
        <w:t>О</w:t>
      </w:r>
      <w:r>
        <w:rPr>
          <w:rFonts w:ascii="PT Astra Serif" w:hAnsi="PT Astra Serif"/>
          <w:sz w:val="24"/>
        </w:rPr>
        <w:t xml:space="preserve">ператор электронной площадки, оператор специализированной электронной площадки осуществляют возврат заявки подавшему ее участнику закупки в случаях, предусмотренных </w:t>
      </w:r>
      <w:r>
        <w:rPr>
          <w:rFonts w:ascii="PT Astra Serif" w:hAnsi="PT Astra Serif"/>
          <w:sz w:val="24"/>
        </w:rPr>
        <w:t>пунктом 5 части 6 статьи 43 Федерального закона.</w:t>
      </w:r>
    </w:p>
    <w:p w14:paraId="11000000">
      <w:pPr>
        <w:widowControl w:val="1"/>
        <w:spacing w:after="0" w:line="240" w:lineRule="auto"/>
        <w:ind w:firstLine="709"/>
        <w:jc w:val="both"/>
        <w:rPr>
          <w:rFonts w:ascii="PT Astra Serif" w:hAnsi="PT Astra Serif"/>
          <w:sz w:val="24"/>
        </w:rPr>
      </w:pPr>
      <w:r>
        <w:rPr>
          <w:rFonts w:ascii="PT Astra Serif" w:hAnsi="PT Astra Serif"/>
          <w:sz w:val="24"/>
        </w:rPr>
        <w:t>В случае если участник закупки является субъектом малого предпринимательства, он должен соответствовать требованиям, установленным стать</w:t>
      </w:r>
      <w:r>
        <w:rPr>
          <w:rFonts w:ascii="PT Astra Serif" w:hAnsi="PT Astra Serif"/>
          <w:sz w:val="24"/>
        </w:rPr>
        <w:t>е</w:t>
      </w:r>
      <w:r>
        <w:rPr>
          <w:rFonts w:ascii="PT Astra Serif" w:hAnsi="PT Astra Serif"/>
          <w:sz w:val="24"/>
        </w:rPr>
        <w:t>й 4 Федерального закона от 24.07.2007 № 209-ФЗ «О развитии малого и среднего предпринимательства в Российской Федерации».</w:t>
      </w:r>
    </w:p>
    <w:p w14:paraId="12000000">
      <w:pPr>
        <w:widowControl w:val="1"/>
        <w:spacing w:after="0" w:line="240" w:lineRule="auto"/>
        <w:ind w:firstLine="709"/>
        <w:jc w:val="both"/>
        <w:rPr>
          <w:rFonts w:ascii="PT Astra Serif" w:hAnsi="PT Astra Serif"/>
          <w:sz w:val="24"/>
        </w:rPr>
      </w:pPr>
      <w:r>
        <w:rPr>
          <w:rFonts w:ascii="PT Astra Serif" w:hAnsi="PT Astra Serif"/>
          <w:sz w:val="24"/>
        </w:rPr>
        <w:t>Преимуществ</w:t>
      </w:r>
      <w:r>
        <w:rPr>
          <w:rFonts w:ascii="PT Astra Serif" w:hAnsi="PT Astra Serif"/>
          <w:sz w:val="24"/>
        </w:rPr>
        <w:t>о</w:t>
      </w:r>
      <w:r>
        <w:rPr>
          <w:rFonts w:ascii="PT Astra Serif" w:hAnsi="PT Astra Serif"/>
          <w:sz w:val="24"/>
        </w:rPr>
        <w:t xml:space="preserve"> статьи 30 Федерального закона</w:t>
      </w:r>
      <w:r>
        <w:rPr>
          <w:rFonts w:ascii="PT Astra Serif" w:hAnsi="PT Astra Serif"/>
          <w:sz w:val="24"/>
        </w:rPr>
        <w:t xml:space="preserve">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w:t>
      </w:r>
      <w:r>
        <w:rPr>
          <w:rFonts w:ascii="PT Astra Serif" w:hAnsi="PT Astra Serif"/>
          <w:sz w:val="24"/>
        </w:rPr>
        <w:t>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 7-ФЗ «О некоммерческих организациях».</w:t>
      </w:r>
    </w:p>
    <w:p w14:paraId="13000000">
      <w:pPr>
        <w:widowControl w:val="1"/>
        <w:spacing w:after="0" w:line="240" w:lineRule="auto"/>
        <w:ind w:firstLine="709"/>
        <w:jc w:val="both"/>
        <w:rPr>
          <w:rFonts w:ascii="PT Astra Serif" w:hAnsi="PT Astra Serif"/>
          <w:sz w:val="24"/>
        </w:rPr>
      </w:pPr>
      <w:r>
        <w:rPr>
          <w:rFonts w:ascii="PT Astra Serif" w:hAnsi="PT Astra Serif"/>
          <w:sz w:val="24"/>
        </w:rPr>
        <w:t>При подаче заявки участник закупки должен учитывать, что  в соответствии с  Указом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установлен запрет федеральным органам государственной власти, органам государственной власти субъектов Российской Федерации, иным государственным органам, органам местного самоуправления, организациям и физическим лицам, находящимся под юрисдикцией</w:t>
      </w:r>
      <w:r>
        <w:rPr>
          <w:rFonts w:ascii="PT Astra Serif" w:hAnsi="PT Astra Serif"/>
          <w:sz w:val="24"/>
        </w:rPr>
        <w:t xml:space="preserve"> Российской Федерации:</w:t>
      </w:r>
    </w:p>
    <w:p w14:paraId="14000000">
      <w:pPr>
        <w:widowControl w:val="1"/>
        <w:spacing w:after="0" w:line="240" w:lineRule="auto"/>
        <w:ind w:firstLine="709"/>
        <w:jc w:val="both"/>
        <w:rPr>
          <w:rFonts w:ascii="PT Astra Serif" w:hAnsi="PT Astra Serif"/>
          <w:sz w:val="24"/>
        </w:rPr>
      </w:pPr>
      <w:r>
        <w:rPr>
          <w:rFonts w:ascii="PT Astra Serif" w:hAnsi="PT Astra Serif"/>
          <w:sz w:val="24"/>
        </w:rPr>
        <w:t>- совершать сделки (в том числе заключать внешнеторговые контракты) с юридическими лицами, физическими лицами и находящимися под их контролем организациями, в отношении которых применяются специальные экономические меры (далее - лица, находящиеся под санкциями);</w:t>
      </w:r>
    </w:p>
    <w:p w14:paraId="15000000">
      <w:pPr>
        <w:widowControl w:val="1"/>
        <w:spacing w:after="0" w:line="240" w:lineRule="auto"/>
        <w:ind w:firstLine="709"/>
        <w:jc w:val="both"/>
        <w:rPr>
          <w:rFonts w:ascii="PT Astra Serif" w:hAnsi="PT Astra Serif"/>
          <w:sz w:val="24"/>
        </w:rPr>
      </w:pPr>
      <w:r>
        <w:rPr>
          <w:rFonts w:ascii="PT Astra Serif" w:hAnsi="PT Astra Serif"/>
          <w:sz w:val="24"/>
        </w:rPr>
        <w:t xml:space="preserve">- исполнять перед лицами, находящимися под санкциями, обязательства по совершенным сделкам (в том числе по заключенным внешнеторговым контрактам), если такие обязательства </w:t>
      </w:r>
      <w:r>
        <w:rPr>
          <w:rFonts w:ascii="PT Astra Serif" w:hAnsi="PT Astra Serif"/>
          <w:sz w:val="24"/>
        </w:rPr>
        <w:t xml:space="preserve">  </w:t>
      </w:r>
      <w:r>
        <w:rPr>
          <w:rFonts w:ascii="PT Astra Serif" w:hAnsi="PT Astra Serif"/>
          <w:sz w:val="24"/>
        </w:rPr>
        <w:t>не исполнены или исполнены не в полном объеме;</w:t>
      </w:r>
    </w:p>
    <w:p w14:paraId="16000000">
      <w:pPr>
        <w:widowControl w:val="1"/>
        <w:spacing w:after="0" w:line="240" w:lineRule="auto"/>
        <w:ind w:firstLine="709"/>
        <w:jc w:val="both"/>
        <w:rPr>
          <w:rFonts w:ascii="PT Astra Serif" w:hAnsi="PT Astra Serif"/>
          <w:sz w:val="24"/>
        </w:rPr>
      </w:pPr>
      <w:r>
        <w:rPr>
          <w:rFonts w:ascii="PT Astra Serif" w:hAnsi="PT Astra Serif"/>
          <w:sz w:val="24"/>
        </w:rPr>
        <w:t>- осуществлять финансовые операции, выгодоприобретателями по которым являются лица, находящиеся под санкциями.</w:t>
      </w:r>
    </w:p>
    <w:p w14:paraId="17000000">
      <w:pPr>
        <w:widowControl w:val="1"/>
        <w:spacing w:after="0" w:line="240" w:lineRule="auto"/>
        <w:ind w:firstLine="709"/>
        <w:jc w:val="both"/>
        <w:rPr>
          <w:rFonts w:ascii="PT Astra Serif" w:hAnsi="PT Astra Serif"/>
          <w:sz w:val="24"/>
        </w:rPr>
      </w:pPr>
      <w:r>
        <w:rPr>
          <w:rFonts w:ascii="PT Astra Serif" w:hAnsi="PT Astra Serif"/>
          <w:sz w:val="24"/>
        </w:rPr>
        <w:t xml:space="preserve">Перечень юридических лиц, в отношении которых применяются специальные экономические меры, утвержден постановлением Правительства Российской Федерации </w:t>
      </w:r>
      <w:r>
        <w:rPr>
          <w:rFonts w:ascii="PT Astra Serif" w:hAnsi="PT Astra Serif"/>
          <w:sz w:val="24"/>
        </w:rPr>
        <w:t xml:space="preserve">                </w:t>
      </w:r>
      <w:r>
        <w:rPr>
          <w:rFonts w:ascii="PT Astra Serif" w:hAnsi="PT Astra Serif"/>
          <w:sz w:val="24"/>
        </w:rPr>
        <w:t xml:space="preserve">от 11.05.2022 № 851. </w:t>
      </w:r>
    </w:p>
    <w:p w14:paraId="18000000">
      <w:pPr>
        <w:widowControl w:val="1"/>
        <w:spacing w:after="0" w:line="240" w:lineRule="auto"/>
        <w:ind w:firstLine="709"/>
        <w:rPr>
          <w:rFonts w:ascii="PT Astra Serif" w:hAnsi="PT Astra Serif"/>
          <w:sz w:val="24"/>
        </w:rPr>
      </w:pPr>
    </w:p>
    <w:p w14:paraId="19000000">
      <w:pPr>
        <w:widowControl w:val="1"/>
        <w:spacing w:after="0" w:line="240" w:lineRule="auto"/>
        <w:ind/>
        <w:jc w:val="center"/>
        <w:rPr>
          <w:rFonts w:ascii="PT Astra Serif" w:hAnsi="PT Astra Serif"/>
          <w:sz w:val="24"/>
        </w:rPr>
      </w:pPr>
      <w:r>
        <w:rPr>
          <w:rFonts w:ascii="PT Astra Serif" w:hAnsi="PT Astra Serif"/>
          <w:b w:val="1"/>
          <w:sz w:val="24"/>
        </w:rPr>
        <w:t>Заявка на участие в закупке должна содержать</w:t>
      </w:r>
      <w:r>
        <w:rPr>
          <w:rFonts w:ascii="PT Astra Serif" w:hAnsi="PT Astra Serif"/>
          <w:sz w:val="24"/>
        </w:rPr>
        <w:t>:</w:t>
      </w:r>
    </w:p>
    <w:p w14:paraId="1A000000">
      <w:pPr>
        <w:widowControl w:val="1"/>
        <w:spacing w:after="0" w:line="240" w:lineRule="auto"/>
        <w:ind w:firstLine="709"/>
        <w:jc w:val="both"/>
        <w:rPr>
          <w:rFonts w:ascii="PT Astra Serif" w:hAnsi="PT Astra Serif"/>
          <w:b w:val="1"/>
          <w:sz w:val="24"/>
        </w:rPr>
      </w:pPr>
      <w:r>
        <w:rPr>
          <w:rFonts w:ascii="PT Astra Serif" w:hAnsi="PT Astra Serif"/>
          <w:b w:val="1"/>
          <w:sz w:val="24"/>
        </w:rPr>
        <w:t>1)</w:t>
      </w:r>
      <w:r>
        <w:rPr>
          <w:rFonts w:ascii="PT Astra Serif" w:hAnsi="PT Astra Serif"/>
          <w:b w:val="1"/>
          <w:sz w:val="24"/>
        </w:rPr>
        <w:t xml:space="preserve"> Информацию и документы об участнике закупки:</w:t>
      </w:r>
    </w:p>
    <w:p w14:paraId="1B000000">
      <w:pPr>
        <w:widowControl w:val="1"/>
        <w:spacing w:after="0" w:line="240" w:lineRule="auto"/>
        <w:ind w:firstLine="709"/>
        <w:jc w:val="both"/>
        <w:rPr>
          <w:rFonts w:ascii="PT Astra Serif" w:hAnsi="PT Astra Serif"/>
          <w:sz w:val="24"/>
        </w:rPr>
      </w:pPr>
      <w:r>
        <w:rPr>
          <w:rFonts w:ascii="PT Astra Serif" w:hAnsi="PT Astra Serif"/>
          <w:sz w:val="24"/>
        </w:rPr>
        <w:t xml:space="preserve">1.1) </w:t>
      </w:r>
      <w:r>
        <w:rPr>
          <w:rFonts w:ascii="PT Astra Serif" w:hAnsi="PT Astra Serif"/>
          <w:sz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r>
        <w:rPr>
          <w:rFonts w:ascii="PT Astra Serif" w:hAnsi="PT Astra Serif"/>
          <w:sz w:val="24"/>
        </w:rPr>
        <w:t xml:space="preserve"> сделкой</w:t>
      </w:r>
      <w:r>
        <w:rPr>
          <w:rFonts w:ascii="PT Astra Serif" w:hAnsi="PT Astra Serif"/>
          <w:sz w:val="24"/>
        </w:rPr>
        <w:t>;</w:t>
      </w:r>
    </w:p>
    <w:p w14:paraId="1C000000">
      <w:pPr>
        <w:widowControl w:val="1"/>
        <w:spacing w:after="0" w:line="240" w:lineRule="auto"/>
        <w:ind w:firstLine="709"/>
        <w:jc w:val="both"/>
        <w:rPr>
          <w:rFonts w:ascii="PT Astra Serif" w:hAnsi="PT Astra Serif"/>
          <w:sz w:val="24"/>
        </w:rPr>
      </w:pPr>
      <w:r>
        <w:rPr>
          <w:rFonts w:ascii="PT Astra Serif" w:hAnsi="PT Astra Serif"/>
          <w:sz w:val="24"/>
        </w:rPr>
        <w:t xml:space="preserve">1.2) декларация о соответствии участника закупки требованиям, установленным пунктами 3 - 5, 7 - 11 части 1 статьи 31 </w:t>
      </w:r>
      <w:r>
        <w:rPr>
          <w:rFonts w:ascii="PT Astra Serif" w:hAnsi="PT Astra Serif"/>
          <w:sz w:val="24"/>
        </w:rPr>
        <w:t xml:space="preserve">Федерального закона </w:t>
      </w:r>
      <w:r>
        <w:rPr>
          <w:rFonts w:ascii="PT Astra Serif" w:hAnsi="PT Astra Serif"/>
          <w:sz w:val="24"/>
        </w:rPr>
        <w:t>(</w:t>
      </w:r>
      <w:r>
        <w:rPr>
          <w:rFonts w:ascii="PT Astra Serif" w:hAnsi="PT Astra Serif"/>
          <w:sz w:val="24"/>
        </w:rPr>
        <w:t xml:space="preserve">п. </w:t>
      </w:r>
      <w:r>
        <w:rPr>
          <w:rFonts w:ascii="PT Astra Serif" w:hAnsi="PT Astra Serif"/>
          <w:sz w:val="24"/>
        </w:rPr>
        <w:t>1</w:t>
      </w:r>
      <w:r>
        <w:rPr>
          <w:rFonts w:ascii="PT Astra Serif" w:hAnsi="PT Astra Serif"/>
          <w:sz w:val="24"/>
        </w:rPr>
        <w:t>-</w:t>
      </w:r>
      <w:r>
        <w:rPr>
          <w:rFonts w:ascii="PT Astra Serif" w:hAnsi="PT Astra Serif"/>
          <w:sz w:val="24"/>
        </w:rPr>
        <w:t>8</w:t>
      </w:r>
      <w:r>
        <w:rPr>
          <w:rFonts w:ascii="PT Astra Serif" w:hAnsi="PT Astra Serif"/>
          <w:sz w:val="24"/>
        </w:rPr>
        <w:t xml:space="preserve"> пункта 1 раздела «Требования к участникам закупки» настоящего извещения</w:t>
      </w:r>
      <w:r>
        <w:rPr>
          <w:rFonts w:ascii="PT Astra Serif" w:hAnsi="PT Astra Serif"/>
          <w:sz w:val="24"/>
        </w:rPr>
        <w:t>);</w:t>
      </w:r>
      <w:r>
        <w:rPr>
          <w:rFonts w:ascii="PT Astra Serif" w:hAnsi="PT Astra Serif"/>
          <w:sz w:val="24"/>
        </w:rPr>
        <w:t xml:space="preserve">  </w:t>
      </w:r>
      <w:r>
        <w:rPr>
          <w:rFonts w:ascii="PT Astra Serif" w:hAnsi="PT Astra Serif"/>
          <w:sz w:val="24"/>
        </w:rPr>
        <w:t xml:space="preserve"> </w:t>
      </w:r>
    </w:p>
    <w:p w14:paraId="1D000000">
      <w:pPr>
        <w:widowControl w:val="1"/>
        <w:spacing w:after="0" w:line="240" w:lineRule="auto"/>
        <w:ind w:firstLine="709"/>
        <w:jc w:val="both"/>
        <w:rPr>
          <w:rFonts w:ascii="PT Astra Serif" w:hAnsi="PT Astra Serif"/>
          <w:sz w:val="24"/>
        </w:rPr>
      </w:pPr>
      <w:r>
        <w:rPr>
          <w:rFonts w:ascii="PT Astra Serif" w:hAnsi="PT Astra Serif"/>
          <w:sz w:val="24"/>
        </w:rPr>
        <w:t>1.</w:t>
      </w:r>
      <w:r>
        <w:rPr>
          <w:rFonts w:ascii="PT Astra Serif" w:hAnsi="PT Astra Serif"/>
          <w:sz w:val="24"/>
        </w:rPr>
        <w:t>3</w:t>
      </w:r>
      <w:r>
        <w:rPr>
          <w:rFonts w:ascii="PT Astra Serif" w:hAnsi="PT Astra Serif"/>
          <w:sz w:val="24"/>
        </w:rPr>
        <w:t xml:space="preserve">) </w:t>
      </w:r>
      <w:r>
        <w:rPr>
          <w:rFonts w:ascii="PT Astra Serif" w:hAnsi="PT Astra Serif"/>
          <w:sz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w:t>
      </w:r>
      <w:r>
        <w:rPr>
          <w:rFonts w:ascii="PT Astra Serif" w:hAnsi="PT Astra Serif"/>
          <w:sz w:val="24"/>
        </w:rPr>
        <w:t>дств в к</w:t>
      </w:r>
      <w:r>
        <w:rPr>
          <w:rFonts w:ascii="PT Astra Serif" w:hAnsi="PT Astra Serif"/>
          <w:sz w:val="24"/>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Pr>
          <w:rFonts w:ascii="PT Astra Serif" w:hAnsi="PT Astra Serif"/>
          <w:sz w:val="24"/>
        </w:rPr>
        <w:t>.</w:t>
      </w:r>
    </w:p>
    <w:p w14:paraId="1E000000">
      <w:pPr>
        <w:widowControl w:val="1"/>
        <w:spacing w:after="0" w:line="240" w:lineRule="auto"/>
        <w:ind w:firstLine="709"/>
        <w:jc w:val="both"/>
        <w:rPr>
          <w:rFonts w:ascii="PT Astra Serif" w:hAnsi="PT Astra Serif"/>
          <w:sz w:val="24"/>
        </w:rPr>
      </w:pPr>
      <w:r>
        <w:rPr>
          <w:rFonts w:ascii="PT Astra Serif" w:hAnsi="PT Astra Serif"/>
          <w:sz w:val="24"/>
        </w:rPr>
        <w:t>1.4) информация и документы, предусмотренные нормативными правовыми актами, принятыми в соответствии с частью 2 статьи 14 Федерального закона.</w:t>
      </w:r>
    </w:p>
    <w:p w14:paraId="1F000000">
      <w:pPr>
        <w:widowControl w:val="1"/>
        <w:spacing w:after="0" w:line="240" w:lineRule="auto"/>
        <w:ind w:firstLine="709"/>
        <w:jc w:val="both"/>
        <w:rPr>
          <w:rFonts w:ascii="PT Astra Serif" w:hAnsi="PT Astra Serif"/>
          <w:b w:val="1"/>
          <w:sz w:val="24"/>
        </w:rPr>
      </w:pPr>
      <w:r>
        <w:rPr>
          <w:rFonts w:ascii="PT Astra Serif" w:hAnsi="PT Astra Serif"/>
          <w:b w:val="1"/>
          <w:sz w:val="24"/>
        </w:rPr>
        <w:t>2) Предложение участника закупки в отношении объекта закупки:</w:t>
      </w:r>
    </w:p>
    <w:p w14:paraId="20000000">
      <w:pPr>
        <w:widowControl w:val="1"/>
        <w:spacing w:after="0" w:line="240" w:lineRule="auto"/>
        <w:ind w:firstLine="709"/>
        <w:jc w:val="both"/>
        <w:rPr>
          <w:rFonts w:ascii="PT Astra Serif" w:hAnsi="PT Astra Serif"/>
          <w:sz w:val="24"/>
        </w:rPr>
      </w:pPr>
      <w:r>
        <w:rPr>
          <w:rFonts w:ascii="PT Astra Serif" w:hAnsi="PT Astra Serif"/>
          <w:sz w:val="24"/>
        </w:rPr>
        <w:t>Документы, подтверждающие соответствие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услуге и представление указанных документов предусмотрено извещением об осуществлении закупки).</w:t>
      </w:r>
    </w:p>
    <w:p w14:paraId="21000000">
      <w:pPr>
        <w:widowControl w:val="1"/>
        <w:spacing w:after="0" w:line="240" w:lineRule="auto"/>
        <w:ind w:firstLine="709"/>
        <w:jc w:val="both"/>
        <w:rPr>
          <w:rFonts w:ascii="PT Astra Serif" w:hAnsi="PT Astra Serif"/>
          <w:sz w:val="24"/>
        </w:rPr>
      </w:pPr>
      <w:r>
        <w:rPr>
          <w:rFonts w:ascii="PT Astra Serif" w:hAnsi="PT Astra Serif"/>
          <w:sz w:val="24"/>
        </w:rPr>
        <w:t>Подача заявки на участие в закупке означает согласие участника закупки, подавшего такую заявку, на оказание услуг на условиях, предусмотренных Извещением об осуществлении закупки, и в соответствии с заявкой такого участника закупки на участие в закупке.</w:t>
      </w:r>
    </w:p>
    <w:p w14:paraId="22000000">
      <w:pPr>
        <w:widowControl w:val="1"/>
        <w:spacing w:after="0" w:line="240" w:lineRule="auto"/>
        <w:ind w:firstLine="709"/>
        <w:jc w:val="both"/>
        <w:rPr>
          <w:rFonts w:ascii="PT Astra Serif" w:hAnsi="PT Astra Serif"/>
          <w:b w:val="1"/>
          <w:sz w:val="24"/>
        </w:rPr>
      </w:pPr>
      <w:r>
        <w:rPr>
          <w:rFonts w:ascii="PT Astra Serif" w:hAnsi="PT Astra Serif"/>
          <w:b w:val="1"/>
          <w:sz w:val="24"/>
        </w:rPr>
        <w:t>3</w:t>
      </w:r>
      <w:r>
        <w:rPr>
          <w:rFonts w:ascii="PT Astra Serif" w:hAnsi="PT Astra Serif"/>
          <w:b w:val="1"/>
          <w:sz w:val="24"/>
        </w:rPr>
        <w:t>)</w:t>
      </w:r>
      <w:r>
        <w:rPr>
          <w:rFonts w:ascii="PT Astra Serif" w:hAnsi="PT Astra Serif"/>
          <w:b w:val="1"/>
          <w:sz w:val="24"/>
        </w:rPr>
        <w:t xml:space="preserve"> </w:t>
      </w:r>
      <w:r>
        <w:rPr>
          <w:rFonts w:ascii="PT Astra Serif" w:hAnsi="PT Astra Serif"/>
          <w:b w:val="1"/>
          <w:sz w:val="24"/>
        </w:rPr>
        <w:t>Информация и документы, которые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14:paraId="23000000">
      <w:pPr>
        <w:pStyle w:val="Style_2"/>
        <w:widowControl w:val="1"/>
        <w:numPr>
          <w:ilvl w:val="0"/>
          <w:numId w:val="1"/>
        </w:numPr>
        <w:spacing w:after="0" w:line="240" w:lineRule="auto"/>
        <w:ind w:firstLine="709" w:left="0"/>
        <w:jc w:val="both"/>
        <w:rPr>
          <w:rFonts w:ascii="PT Astra Serif" w:hAnsi="PT Astra Serif"/>
          <w:sz w:val="24"/>
        </w:rPr>
      </w:pPr>
      <w:r>
        <w:rPr>
          <w:rFonts w:ascii="PT Astra Serif" w:hAnsi="PT Astra Serif"/>
          <w:sz w:val="24"/>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w:t>
      </w:r>
      <w:r>
        <w:rPr>
          <w:rFonts w:ascii="PT Astra Serif" w:hAnsi="PT Astra Serif"/>
          <w:sz w:val="24"/>
        </w:rPr>
        <w:t xml:space="preserve"> закупки является физическое лицо, в том числе зарегистрированное в качестве индивидуального предпринимателя);</w:t>
      </w:r>
    </w:p>
    <w:p w14:paraId="24000000">
      <w:pPr>
        <w:pStyle w:val="Style_2"/>
        <w:widowControl w:val="1"/>
        <w:numPr>
          <w:ilvl w:val="0"/>
          <w:numId w:val="1"/>
        </w:numPr>
        <w:spacing w:after="0" w:line="240" w:lineRule="auto"/>
        <w:ind w:firstLine="709" w:left="0"/>
        <w:jc w:val="both"/>
        <w:rPr>
          <w:rFonts w:ascii="PT Astra Serif" w:hAnsi="PT Astra Serif"/>
          <w:sz w:val="24"/>
        </w:rPr>
      </w:pPr>
      <w:r>
        <w:rPr>
          <w:rFonts w:ascii="PT Astra Serif" w:hAnsi="PT Astra Serif"/>
          <w:sz w:val="24"/>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5000000">
      <w:pPr>
        <w:pStyle w:val="Style_2"/>
        <w:widowControl w:val="1"/>
        <w:numPr>
          <w:ilvl w:val="0"/>
          <w:numId w:val="1"/>
        </w:numPr>
        <w:spacing w:after="0" w:line="240" w:lineRule="auto"/>
        <w:ind w:firstLine="709" w:left="0"/>
        <w:jc w:val="both"/>
        <w:rPr>
          <w:rFonts w:ascii="PT Astra Serif" w:hAnsi="PT Astra Serif"/>
          <w:sz w:val="24"/>
        </w:rPr>
      </w:pPr>
      <w:r>
        <w:rPr>
          <w:rFonts w:ascii="PT Astra Serif" w:hAnsi="PT Astra Serif"/>
          <w:sz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6000000">
      <w:pPr>
        <w:pStyle w:val="Style_2"/>
        <w:widowControl w:val="1"/>
        <w:numPr>
          <w:ilvl w:val="0"/>
          <w:numId w:val="1"/>
        </w:numPr>
        <w:spacing w:after="0" w:line="240" w:lineRule="auto"/>
        <w:ind w:firstLine="709" w:left="0"/>
        <w:jc w:val="both"/>
        <w:rPr>
          <w:rFonts w:ascii="PT Astra Serif" w:hAnsi="PT Astra Serif"/>
          <w:sz w:val="24"/>
        </w:rPr>
      </w:pPr>
      <w:r>
        <w:rPr>
          <w:rFonts w:ascii="PT Astra Serif" w:hAnsi="PT Astra Serif"/>
          <w:sz w:val="24"/>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w:t>
      </w:r>
      <w:r>
        <w:rPr>
          <w:rFonts w:ascii="PT Astra Serif" w:hAnsi="PT Astra Serif"/>
          <w:sz w:val="24"/>
        </w:rPr>
        <w:t>),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27000000">
      <w:pPr>
        <w:pStyle w:val="Style_2"/>
        <w:widowControl w:val="1"/>
        <w:numPr>
          <w:ilvl w:val="0"/>
          <w:numId w:val="1"/>
        </w:numPr>
        <w:spacing w:after="0" w:line="240" w:lineRule="auto"/>
        <w:ind w:firstLine="709" w:left="0"/>
        <w:jc w:val="both"/>
        <w:rPr>
          <w:rFonts w:ascii="PT Astra Serif" w:hAnsi="PT Astra Serif"/>
          <w:sz w:val="24"/>
        </w:rPr>
      </w:pPr>
      <w:r>
        <w:rPr>
          <w:rFonts w:ascii="PT Astra Serif" w:hAnsi="PT Astra Serif"/>
          <w:sz w:val="24"/>
        </w:rPr>
        <w:t xml:space="preserve">копия документа, удостоверяющего личность участника закупки в соответствии </w:t>
      </w:r>
      <w:r>
        <w:rPr>
          <w:rFonts w:ascii="PT Astra Serif" w:hAnsi="PT Astra Serif"/>
          <w:sz w:val="24"/>
        </w:rPr>
        <w:t xml:space="preserve">                      </w:t>
      </w:r>
      <w:r>
        <w:rPr>
          <w:rFonts w:ascii="PT Astra Serif" w:hAnsi="PT Astra Serif"/>
          <w:sz w:val="24"/>
        </w:rPr>
        <w:t xml:space="preserve">с законодательством Российской Федерации (если участник закупки является физическим лицом, </w:t>
      </w:r>
      <w:r>
        <w:rPr>
          <w:rFonts w:ascii="PT Astra Serif" w:hAnsi="PT Astra Serif"/>
          <w:sz w:val="24"/>
        </w:rPr>
        <w:t xml:space="preserve"> </w:t>
      </w:r>
      <w:r>
        <w:rPr>
          <w:rFonts w:ascii="PT Astra Serif" w:hAnsi="PT Astra Serif"/>
          <w:sz w:val="24"/>
        </w:rPr>
        <w:t>не являющимся индивидуальным предпринимателем);</w:t>
      </w:r>
    </w:p>
    <w:p w14:paraId="28000000">
      <w:pPr>
        <w:pStyle w:val="Style_2"/>
        <w:widowControl w:val="1"/>
        <w:numPr>
          <w:ilvl w:val="0"/>
          <w:numId w:val="1"/>
        </w:numPr>
        <w:spacing w:after="0" w:line="240" w:lineRule="auto"/>
        <w:ind w:firstLine="709" w:left="0"/>
        <w:jc w:val="both"/>
        <w:rPr>
          <w:rFonts w:ascii="PT Astra Serif" w:hAnsi="PT Astra Serif"/>
          <w:sz w:val="24"/>
        </w:rPr>
      </w:pPr>
      <w:r>
        <w:rPr>
          <w:rFonts w:ascii="PT Astra Serif" w:hAnsi="PT Astra Serif"/>
          <w:sz w:val="24"/>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w:t>
      </w:r>
      <w:r>
        <w:rPr>
          <w:rFonts w:ascii="PT Astra Serif" w:hAnsi="PT Astra Serif"/>
          <w:sz w:val="24"/>
        </w:rPr>
        <w:t xml:space="preserve"> </w:t>
      </w:r>
      <w:r>
        <w:rPr>
          <w:rFonts w:ascii="PT Astra Serif" w:hAnsi="PT Astra Serif"/>
          <w:sz w:val="24"/>
        </w:rPr>
        <w:t>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29000000">
      <w:pPr>
        <w:pStyle w:val="Style_2"/>
        <w:widowControl w:val="1"/>
        <w:numPr>
          <w:ilvl w:val="0"/>
          <w:numId w:val="1"/>
        </w:numPr>
        <w:spacing w:after="0" w:line="240" w:lineRule="auto"/>
        <w:ind w:firstLine="709" w:left="0"/>
        <w:jc w:val="both"/>
        <w:rPr>
          <w:rFonts w:ascii="PT Astra Serif" w:hAnsi="PT Astra Serif"/>
          <w:sz w:val="24"/>
        </w:rPr>
      </w:pPr>
      <w:r>
        <w:rPr>
          <w:rFonts w:ascii="PT Astra Serif" w:hAnsi="PT Astra Serif"/>
          <w:sz w:val="24"/>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2A000000">
      <w:pPr>
        <w:pStyle w:val="Style_2"/>
        <w:widowControl w:val="1"/>
        <w:numPr>
          <w:ilvl w:val="0"/>
          <w:numId w:val="1"/>
        </w:numPr>
        <w:spacing w:after="0" w:line="240" w:lineRule="auto"/>
        <w:ind w:firstLine="709" w:left="0"/>
        <w:jc w:val="both"/>
        <w:rPr>
          <w:rFonts w:ascii="PT Astra Serif" w:hAnsi="PT Astra Serif"/>
          <w:sz w:val="24"/>
        </w:rPr>
      </w:pPr>
      <w:r>
        <w:rPr>
          <w:rFonts w:ascii="PT Astra Serif" w:hAnsi="PT Astra Serif"/>
          <w:sz w:val="24"/>
        </w:rPr>
        <w:t xml:space="preserve">надлежащим образом заверенный перевод на русский язык документов </w:t>
      </w:r>
      <w:r>
        <w:rPr>
          <w:rFonts w:ascii="PT Astra Serif" w:hAnsi="PT Astra Serif"/>
          <w:sz w:val="24"/>
        </w:rPr>
        <w:t xml:space="preserve">                                    </w:t>
      </w:r>
      <w:r>
        <w:rPr>
          <w:rFonts w:ascii="PT Astra Serif" w:hAnsi="PT Astra Serif"/>
          <w:sz w:val="24"/>
        </w:rPr>
        <w:t xml:space="preserve">о государственной регистрации юридического лица или физического лица в качестве </w:t>
      </w:r>
      <w:r>
        <w:rPr>
          <w:rFonts w:ascii="PT Astra Serif" w:hAnsi="PT Astra Serif"/>
          <w:sz w:val="24"/>
        </w:rPr>
        <w:t>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2B000000">
      <w:pPr>
        <w:pStyle w:val="Style_2"/>
        <w:widowControl w:val="1"/>
        <w:numPr>
          <w:ilvl w:val="0"/>
          <w:numId w:val="1"/>
        </w:numPr>
        <w:spacing w:after="0" w:line="240" w:lineRule="auto"/>
        <w:ind w:firstLine="709" w:left="0"/>
        <w:jc w:val="both"/>
        <w:rPr>
          <w:rFonts w:ascii="PT Astra Serif" w:hAnsi="PT Astra Serif"/>
          <w:sz w:val="24"/>
        </w:rPr>
      </w:pPr>
      <w:r>
        <w:rPr>
          <w:rFonts w:ascii="PT Astra Serif" w:hAnsi="PT Astra Serif"/>
          <w:sz w:val="24"/>
        </w:rPr>
        <w:t>декларация о принадлежности участника закупки к социально ориентирован</w:t>
      </w:r>
      <w:r>
        <w:rPr>
          <w:rFonts w:ascii="PT Astra Serif" w:hAnsi="PT Astra Serif"/>
          <w:sz w:val="24"/>
        </w:rPr>
        <w:t>ным некоммерческим организациям.</w:t>
      </w:r>
    </w:p>
    <w:p w14:paraId="2C000000">
      <w:pPr>
        <w:widowControl w:val="1"/>
        <w:spacing w:after="0" w:line="240" w:lineRule="auto"/>
        <w:ind/>
        <w:jc w:val="both"/>
        <w:rPr>
          <w:rFonts w:ascii="PT Astra Serif" w:hAnsi="PT Astra Serif"/>
          <w:sz w:val="24"/>
        </w:rPr>
      </w:pPr>
    </w:p>
    <w:p w14:paraId="2D000000">
      <w:pPr>
        <w:widowControl w:val="1"/>
        <w:spacing w:line="240" w:lineRule="auto"/>
        <w:ind/>
        <w:jc w:val="center"/>
        <w:rPr>
          <w:rFonts w:ascii="PT Astra Serif" w:hAnsi="PT Astra Serif"/>
          <w:b w:val="1"/>
          <w:sz w:val="24"/>
        </w:rPr>
      </w:pPr>
      <w:r>
        <w:rPr>
          <w:rFonts w:ascii="PT Astra Serif" w:hAnsi="PT Astra Serif"/>
          <w:b w:val="1"/>
          <w:sz w:val="24"/>
        </w:rPr>
        <w:t>ИНСТРУКЦИЯ ПО ЗАПОЛНЕНИЮ ЗАЯВКИ НА УЧАСТИЕ В ЗАКУПКЕ</w:t>
      </w:r>
    </w:p>
    <w:p w14:paraId="2E000000">
      <w:pPr>
        <w:widowControl w:val="1"/>
        <w:spacing w:line="240" w:lineRule="auto"/>
        <w:ind w:firstLine="708"/>
        <w:jc w:val="both"/>
        <w:rPr>
          <w:rFonts w:ascii="PT Astra Serif" w:hAnsi="PT Astra Serif"/>
          <w:sz w:val="24"/>
        </w:rPr>
      </w:pPr>
      <w:r>
        <w:rPr>
          <w:rFonts w:ascii="PT Astra Serif" w:hAnsi="PT Astra Serif"/>
          <w:sz w:val="24"/>
        </w:rPr>
        <w:t xml:space="preserve">Подача заявки на участие в закупке означает согласие участника закупки, подавшего такую заявку, на оказание услуг,  предусмотренных извещением об осуществлении закупки, и в соответствии с заявкой такого участника закупки на участие </w:t>
      </w:r>
      <w:r>
        <w:rPr>
          <w:rFonts w:ascii="PT Astra Serif" w:hAnsi="PT Astra Serif"/>
          <w:sz w:val="24"/>
        </w:rPr>
        <w:t xml:space="preserve"> </w:t>
      </w:r>
      <w:r>
        <w:rPr>
          <w:rFonts w:ascii="PT Astra Serif" w:hAnsi="PT Astra Serif"/>
          <w:sz w:val="24"/>
        </w:rPr>
        <w:t>в закупке.</w:t>
      </w:r>
    </w:p>
    <w:p w14:paraId="2F000000">
      <w:pPr>
        <w:widowControl w:val="1"/>
        <w:spacing w:line="240" w:lineRule="auto"/>
        <w:ind w:firstLine="708"/>
        <w:jc w:val="both"/>
        <w:rPr>
          <w:rFonts w:ascii="PT Astra Serif" w:hAnsi="PT Astra Serif"/>
          <w:sz w:val="24"/>
        </w:rPr>
      </w:pPr>
      <w:r>
        <w:rPr>
          <w:rFonts w:ascii="PT Astra Serif" w:hAnsi="PT Astra Serif"/>
          <w:sz w:val="24"/>
        </w:rPr>
        <w:t xml:space="preserve">Информация, указанная в пункте </w:t>
      </w:r>
      <w:r>
        <w:rPr>
          <w:rFonts w:ascii="PT Astra Serif" w:hAnsi="PT Astra Serif"/>
          <w:sz w:val="24"/>
        </w:rPr>
        <w:t>3</w:t>
      </w:r>
      <w:r>
        <w:rPr>
          <w:rFonts w:ascii="PT Astra Serif" w:hAnsi="PT Astra Serif"/>
          <w:sz w:val="24"/>
        </w:rPr>
        <w:t xml:space="preserve"> настоящего Приложения к извещению не включаются участником закупки в заявку на участие в закупке. Такая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14:paraId="30000000">
      <w:pPr>
        <w:widowControl w:val="1"/>
        <w:spacing w:line="240" w:lineRule="auto"/>
        <w:ind w:firstLine="708"/>
        <w:jc w:val="both"/>
        <w:rPr>
          <w:rFonts w:ascii="PT Astra Serif" w:hAnsi="PT Astra Serif"/>
          <w:sz w:val="24"/>
        </w:rPr>
      </w:pPr>
      <w:r>
        <w:rPr>
          <w:rFonts w:ascii="PT Astra Serif" w:hAnsi="PT Astra Serif"/>
          <w:sz w:val="24"/>
        </w:rPr>
        <w:t>Участником в заявку включается информация, указанная в пункте 1 настоящего Приложения к извещению.</w:t>
      </w:r>
    </w:p>
    <w:p w14:paraId="31000000">
      <w:pPr>
        <w:widowControl w:val="1"/>
        <w:spacing w:line="240" w:lineRule="auto"/>
        <w:ind w:firstLine="708"/>
        <w:jc w:val="both"/>
        <w:rPr>
          <w:rFonts w:ascii="PT Astra Serif" w:hAnsi="PT Astra Serif"/>
          <w:sz w:val="24"/>
        </w:rPr>
      </w:pPr>
      <w:r>
        <w:rPr>
          <w:rFonts w:ascii="PT Astra Serif" w:hAnsi="PT Astra Serif"/>
          <w:sz w:val="24"/>
        </w:rPr>
        <w:t>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14:paraId="32000000">
      <w:pPr>
        <w:widowControl w:val="1"/>
        <w:spacing w:line="240" w:lineRule="auto"/>
        <w:ind w:firstLine="708"/>
        <w:jc w:val="both"/>
        <w:rPr>
          <w:rFonts w:ascii="PT Astra Serif" w:hAnsi="PT Astra Serif"/>
          <w:sz w:val="24"/>
        </w:rPr>
      </w:pPr>
      <w:r>
        <w:rPr>
          <w:rFonts w:ascii="PT Astra Serif" w:hAnsi="PT Astra Serif"/>
          <w:sz w:val="24"/>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Pr>
          <w:rFonts w:ascii="PT Astra Serif" w:hAnsi="PT Astra Serif"/>
          <w:sz w:val="24"/>
        </w:rPr>
        <w:t>.</w:t>
      </w:r>
    </w:p>
    <w:p w14:paraId="33000000">
      <w:pPr>
        <w:widowControl w:val="1"/>
        <w:spacing w:line="240" w:lineRule="auto"/>
        <w:ind w:firstLine="708"/>
        <w:jc w:val="both"/>
        <w:rPr>
          <w:rFonts w:ascii="PT Astra Serif" w:hAnsi="PT Astra Serif"/>
          <w:sz w:val="24"/>
        </w:rPr>
      </w:pPr>
    </w:p>
    <w:sectPr>
      <w:footerReference r:id="rId1" w:type="default"/>
      <w:pgSz w:h="16838" w:orient="portrait" w:w="11906"/>
      <w:pgMar w:bottom="851" w:footer="709" w:gutter="0" w:header="709" w:left="1134" w:right="851" w:top="567"/>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ft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widowControl w:val="1"/>
        <w:ind w:hanging="360" w:left="1259"/>
      </w:pPr>
      <w:rPr>
        <w:rFonts w:ascii="Wingdings" w:hAnsi="Wingdings"/>
      </w:rPr>
    </w:lvl>
    <w:lvl w:ilvl="1">
      <w:start w:val="1"/>
      <w:numFmt w:val="bullet"/>
      <w:lvlText w:val="o"/>
      <w:lvlJc w:val="left"/>
      <w:pPr>
        <w:widowControl w:val="1"/>
        <w:ind w:hanging="360" w:left="1979"/>
      </w:pPr>
      <w:rPr>
        <w:rFonts w:ascii="Courier New" w:hAnsi="Courier New"/>
      </w:rPr>
    </w:lvl>
    <w:lvl w:ilvl="2">
      <w:start w:val="1"/>
      <w:numFmt w:val="bullet"/>
      <w:lvlText w:val=""/>
      <w:lvlJc w:val="left"/>
      <w:pPr>
        <w:widowControl w:val="1"/>
        <w:ind w:hanging="360" w:left="2699"/>
      </w:pPr>
      <w:rPr>
        <w:rFonts w:ascii="Wingdings" w:hAnsi="Wingdings"/>
      </w:rPr>
    </w:lvl>
    <w:lvl w:ilvl="3">
      <w:start w:val="1"/>
      <w:numFmt w:val="bullet"/>
      <w:lvlText w:val=""/>
      <w:lvlJc w:val="left"/>
      <w:pPr>
        <w:widowControl w:val="1"/>
        <w:ind w:hanging="360" w:left="3419"/>
      </w:pPr>
      <w:rPr>
        <w:rFonts w:ascii="Symbol" w:hAnsi="Symbol"/>
      </w:rPr>
    </w:lvl>
    <w:lvl w:ilvl="4">
      <w:start w:val="1"/>
      <w:numFmt w:val="bullet"/>
      <w:lvlText w:val="o"/>
      <w:lvlJc w:val="left"/>
      <w:pPr>
        <w:widowControl w:val="1"/>
        <w:ind w:hanging="360" w:left="4139"/>
      </w:pPr>
      <w:rPr>
        <w:rFonts w:ascii="Courier New" w:hAnsi="Courier New"/>
      </w:rPr>
    </w:lvl>
    <w:lvl w:ilvl="5">
      <w:start w:val="1"/>
      <w:numFmt w:val="bullet"/>
      <w:lvlText w:val=""/>
      <w:lvlJc w:val="left"/>
      <w:pPr>
        <w:widowControl w:val="1"/>
        <w:ind w:hanging="360" w:left="4859"/>
      </w:pPr>
      <w:rPr>
        <w:rFonts w:ascii="Wingdings" w:hAnsi="Wingdings"/>
      </w:rPr>
    </w:lvl>
    <w:lvl w:ilvl="6">
      <w:start w:val="1"/>
      <w:numFmt w:val="bullet"/>
      <w:lvlText w:val=""/>
      <w:lvlJc w:val="left"/>
      <w:pPr>
        <w:widowControl w:val="1"/>
        <w:ind w:hanging="360" w:left="5579"/>
      </w:pPr>
      <w:rPr>
        <w:rFonts w:ascii="Symbol" w:hAnsi="Symbol"/>
      </w:rPr>
    </w:lvl>
    <w:lvl w:ilvl="7">
      <w:start w:val="1"/>
      <w:numFmt w:val="bullet"/>
      <w:lvlText w:val="o"/>
      <w:lvlJc w:val="left"/>
      <w:pPr>
        <w:widowControl w:val="1"/>
        <w:ind w:hanging="360" w:left="6299"/>
      </w:pPr>
      <w:rPr>
        <w:rFonts w:ascii="Courier New" w:hAnsi="Courier New"/>
      </w:rPr>
    </w:lvl>
    <w:lvl w:ilvl="8">
      <w:start w:val="1"/>
      <w:numFmt w:val="bullet"/>
      <w:lvlText w:val=""/>
      <w:lvlJc w:val="left"/>
      <w:pPr>
        <w:widowControl w:val="1"/>
        <w:ind w:hanging="360" w:left="7019"/>
      </w:pPr>
      <w:rPr>
        <w:rFonts w:ascii="Wingdings" w:hAnsi="Wingdings"/>
      </w:rPr>
    </w:lvl>
  </w:abstractNum>
  <w:num w:numId="1">
    <w:abstractNumId w:val="0"/>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style>
  <w:style w:default="1" w:styleId="Style_3_ch" w:type="character">
    <w:name w:val="Normal"/>
    <w:link w:val="Style_3"/>
  </w:style>
  <w:style w:styleId="Style_1" w:type="paragraph">
    <w:name w:val="footer"/>
    <w:basedOn w:val="Style_3"/>
    <w:link w:val="Style_1_ch"/>
    <w:pPr>
      <w:widowControl w:val="1"/>
      <w:tabs>
        <w:tab w:leader="none" w:pos="4677" w:val="center"/>
        <w:tab w:leader="none" w:pos="9355" w:val="right"/>
      </w:tabs>
      <w:spacing w:after="0" w:line="240" w:lineRule="auto"/>
      <w:ind/>
    </w:pPr>
  </w:style>
  <w:style w:styleId="Style_1_ch" w:type="character">
    <w:name w:val="footer"/>
    <w:basedOn w:val="Style_3_ch"/>
    <w:link w:val="Style_1"/>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No Spacing"/>
    <w:link w:val="Style_8_ch"/>
    <w:pPr>
      <w:widowControl w:val="1"/>
      <w:spacing w:after="0" w:line="240" w:lineRule="auto"/>
      <w:ind/>
    </w:pPr>
  </w:style>
  <w:style w:styleId="Style_8_ch" w:type="character">
    <w:name w:val="No Spacing"/>
    <w:link w:val="Style_8"/>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3"/>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2" w:type="paragraph">
    <w:name w:val="List Paragraph"/>
    <w:basedOn w:val="Style_3"/>
    <w:link w:val="Style_2_ch"/>
    <w:pPr>
      <w:widowControl w:val="1"/>
      <w:ind w:left="720"/>
      <w:contextualSpacing w:val="1"/>
    </w:pPr>
  </w:style>
  <w:style w:styleId="Style_2_ch" w:type="character">
    <w:name w:val="List Paragraph"/>
    <w:basedOn w:val="Style_3_ch"/>
    <w:link w:val="Style_2"/>
  </w:style>
  <w:style w:styleId="Style_11" w:type="paragraph">
    <w:name w:val="annotation reference"/>
    <w:basedOn w:val="Style_12"/>
    <w:link w:val="Style_11_ch"/>
    <w:rPr>
      <w:sz w:val="16"/>
    </w:rPr>
  </w:style>
  <w:style w:styleId="Style_11_ch" w:type="character">
    <w:name w:val="annotation reference"/>
    <w:basedOn w:val="Style_12_ch"/>
    <w:link w:val="Style_11"/>
    <w:rPr>
      <w:sz w:val="16"/>
    </w:rPr>
  </w:style>
  <w:style w:styleId="Style_13" w:type="paragraph">
    <w:name w:val="toc 3"/>
    <w:next w:val="Style_3"/>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header"/>
    <w:basedOn w:val="Style_3"/>
    <w:link w:val="Style_14_ch"/>
    <w:pPr>
      <w:widowControl w:val="1"/>
      <w:tabs>
        <w:tab w:leader="none" w:pos="4677" w:val="center"/>
        <w:tab w:leader="none" w:pos="9355" w:val="right"/>
      </w:tabs>
      <w:spacing w:after="0" w:line="240" w:lineRule="auto"/>
      <w:ind/>
    </w:pPr>
  </w:style>
  <w:style w:styleId="Style_14_ch" w:type="character">
    <w:name w:val="header"/>
    <w:basedOn w:val="Style_3_ch"/>
    <w:link w:val="Style_14"/>
  </w:style>
  <w:style w:styleId="Style_15" w:type="paragraph">
    <w:name w:val="heading 5"/>
    <w:next w:val="Style_3"/>
    <w:link w:val="Style_15_ch"/>
    <w:uiPriority w:val="9"/>
    <w:qFormat/>
    <w:pPr>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heading 1"/>
    <w:next w:val="Style_3"/>
    <w:link w:val="Style_16_ch"/>
    <w:uiPriority w:val="9"/>
    <w:qFormat/>
    <w:pPr>
      <w:spacing w:after="120" w:before="120"/>
      <w:ind/>
      <w:jc w:val="both"/>
      <w:outlineLvl w:val="0"/>
    </w:pPr>
    <w:rPr>
      <w:rFonts w:ascii="XO Thames" w:hAnsi="XO Thames"/>
      <w:b w:val="1"/>
      <w:sz w:val="32"/>
    </w:rPr>
  </w:style>
  <w:style w:styleId="Style_16_ch" w:type="character">
    <w:name w:val="heading 1"/>
    <w:link w:val="Style_16"/>
    <w:rPr>
      <w:rFonts w:ascii="XO Thames" w:hAnsi="XO Thames"/>
      <w:b w:val="1"/>
      <w:sz w:val="32"/>
    </w:rPr>
  </w:style>
  <w:style w:styleId="Style_17" w:type="paragraph">
    <w:name w:val="annotation text"/>
    <w:basedOn w:val="Style_3"/>
    <w:link w:val="Style_17_ch"/>
    <w:pPr>
      <w:widowControl w:val="1"/>
      <w:spacing w:line="240" w:lineRule="auto"/>
      <w:ind/>
    </w:pPr>
    <w:rPr>
      <w:sz w:val="20"/>
    </w:rPr>
  </w:style>
  <w:style w:styleId="Style_17_ch" w:type="character">
    <w:name w:val="annotation text"/>
    <w:basedOn w:val="Style_3_ch"/>
    <w:link w:val="Style_17"/>
    <w:rPr>
      <w:sz w:val="20"/>
    </w:rPr>
  </w:style>
  <w:style w:styleId="Style_18" w:type="paragraph">
    <w:name w:val="Hyperlink"/>
    <w:link w:val="Style_18_ch"/>
    <w:rPr>
      <w:color w:val="0000FF"/>
      <w:u w:val="single"/>
    </w:rPr>
  </w:style>
  <w:style w:styleId="Style_18_ch" w:type="character">
    <w:name w:val="Hyperlink"/>
    <w:link w:val="Style_18"/>
    <w:rPr>
      <w:color w:val="0000FF"/>
      <w:u w:val="single"/>
    </w:rPr>
  </w:style>
  <w:style w:styleId="Style_19" w:type="paragraph">
    <w:name w:val="Footnote"/>
    <w:link w:val="Style_19_ch"/>
    <w:pPr>
      <w:ind w:firstLine="851" w:left="0"/>
      <w:jc w:val="both"/>
    </w:pPr>
    <w:rPr>
      <w:rFonts w:ascii="XO Thames" w:hAnsi="XO Thames"/>
      <w:sz w:val="22"/>
    </w:rPr>
  </w:style>
  <w:style w:styleId="Style_19_ch" w:type="character">
    <w:name w:val="Footnote"/>
    <w:link w:val="Style_19"/>
    <w:rPr>
      <w:rFonts w:ascii="XO Thames" w:hAnsi="XO Thames"/>
      <w:sz w:val="22"/>
    </w:rPr>
  </w:style>
  <w:style w:styleId="Style_20" w:type="paragraph">
    <w:name w:val="toc 1"/>
    <w:next w:val="Style_3"/>
    <w:link w:val="Style_20_ch"/>
    <w:uiPriority w:val="39"/>
    <w:pPr>
      <w:ind w:firstLine="0" w:left="0"/>
      <w:jc w:val="left"/>
    </w:pPr>
    <w:rPr>
      <w:rFonts w:ascii="XO Thames" w:hAnsi="XO Thames"/>
      <w:b w:val="1"/>
      <w:sz w:val="28"/>
    </w:rPr>
  </w:style>
  <w:style w:styleId="Style_20_ch" w:type="character">
    <w:name w:val="toc 1"/>
    <w:link w:val="Style_20"/>
    <w:rPr>
      <w:rFonts w:ascii="XO Thames" w:hAnsi="XO Thames"/>
      <w:b w:val="1"/>
      <w:sz w:val="28"/>
    </w:rPr>
  </w:style>
  <w:style w:styleId="Style_21" w:type="paragraph">
    <w:name w:val="Header and Footer"/>
    <w:link w:val="Style_21_ch"/>
    <w:pPr>
      <w:spacing w:line="240" w:lineRule="auto"/>
      <w:ind/>
      <w:jc w:val="both"/>
    </w:pPr>
    <w:rPr>
      <w:rFonts w:ascii="XO Thames" w:hAnsi="XO Thames"/>
      <w:sz w:val="28"/>
    </w:rPr>
  </w:style>
  <w:style w:styleId="Style_21_ch" w:type="character">
    <w:name w:val="Header and Footer"/>
    <w:link w:val="Style_21"/>
    <w:rPr>
      <w:rFonts w:ascii="XO Thames" w:hAnsi="XO Thames"/>
      <w:sz w:val="28"/>
    </w:rPr>
  </w:style>
  <w:style w:styleId="Style_22" w:type="paragraph">
    <w:name w:val="annotation subject"/>
    <w:basedOn w:val="Style_17"/>
    <w:next w:val="Style_17"/>
    <w:link w:val="Style_22_ch"/>
    <w:rPr>
      <w:b w:val="1"/>
    </w:rPr>
  </w:style>
  <w:style w:styleId="Style_22_ch" w:type="character">
    <w:name w:val="annotation subject"/>
    <w:basedOn w:val="Style_17_ch"/>
    <w:link w:val="Style_22"/>
    <w:rPr>
      <w:b w:val="1"/>
    </w:rPr>
  </w:style>
  <w:style w:styleId="Style_23" w:type="paragraph">
    <w:name w:val="toc 9"/>
    <w:next w:val="Style_3"/>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toc 8"/>
    <w:next w:val="Style_3"/>
    <w:link w:val="Style_24_ch"/>
    <w:uiPriority w:val="39"/>
    <w:pPr>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toc 5"/>
    <w:next w:val="Style_3"/>
    <w:link w:val="Style_25_ch"/>
    <w:uiPriority w:val="39"/>
    <w:pPr>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Balloon Text"/>
    <w:basedOn w:val="Style_3"/>
    <w:link w:val="Style_26_ch"/>
    <w:pPr>
      <w:widowControl w:val="1"/>
      <w:spacing w:after="0" w:line="240" w:lineRule="auto"/>
      <w:ind/>
    </w:pPr>
    <w:rPr>
      <w:rFonts w:ascii="Segoe UI" w:hAnsi="Segoe UI"/>
      <w:sz w:val="18"/>
    </w:rPr>
  </w:style>
  <w:style w:styleId="Style_26_ch" w:type="character">
    <w:name w:val="Balloon Text"/>
    <w:basedOn w:val="Style_3_ch"/>
    <w:link w:val="Style_26"/>
    <w:rPr>
      <w:rFonts w:ascii="Segoe UI" w:hAnsi="Segoe UI"/>
      <w:sz w:val="18"/>
    </w:rPr>
  </w:style>
  <w:style w:styleId="Style_27" w:type="paragraph">
    <w:name w:val="Subtitle"/>
    <w:next w:val="Style_3"/>
    <w:link w:val="Style_27_ch"/>
    <w:uiPriority w:val="11"/>
    <w:qFormat/>
    <w:pPr>
      <w:ind/>
      <w:jc w:val="both"/>
    </w:pPr>
    <w:rPr>
      <w:rFonts w:ascii="XO Thames" w:hAnsi="XO Thames"/>
      <w:i w:val="1"/>
      <w:sz w:val="24"/>
    </w:rPr>
  </w:style>
  <w:style w:styleId="Style_27_ch" w:type="character">
    <w:name w:val="Subtitle"/>
    <w:link w:val="Style_27"/>
    <w:rPr>
      <w:rFonts w:ascii="XO Thames" w:hAnsi="XO Thames"/>
      <w:i w:val="1"/>
      <w:sz w:val="24"/>
    </w:rPr>
  </w:style>
  <w:style w:styleId="Style_28" w:type="paragraph">
    <w:name w:val="Title"/>
    <w:next w:val="Style_3"/>
    <w:link w:val="Style_28_ch"/>
    <w:uiPriority w:val="10"/>
    <w:qFormat/>
    <w:pPr>
      <w:spacing w:after="567" w:before="567"/>
      <w:ind/>
      <w:jc w:val="center"/>
    </w:pPr>
    <w:rPr>
      <w:rFonts w:ascii="XO Thames" w:hAnsi="XO Thames"/>
      <w:b w:val="1"/>
      <w:caps w:val="1"/>
      <w:sz w:val="40"/>
    </w:rPr>
  </w:style>
  <w:style w:styleId="Style_28_ch" w:type="character">
    <w:name w:val="Title"/>
    <w:link w:val="Style_28"/>
    <w:rPr>
      <w:rFonts w:ascii="XO Thames" w:hAnsi="XO Thames"/>
      <w:b w:val="1"/>
      <w:caps w:val="1"/>
      <w:sz w:val="40"/>
    </w:rPr>
  </w:style>
  <w:style w:styleId="Style_29" w:type="paragraph">
    <w:name w:val="heading 4"/>
    <w:next w:val="Style_3"/>
    <w:link w:val="Style_29_ch"/>
    <w:uiPriority w:val="9"/>
    <w:qFormat/>
    <w:pPr>
      <w:spacing w:after="120" w:before="120"/>
      <w:ind/>
      <w:jc w:val="both"/>
      <w:outlineLvl w:val="3"/>
    </w:pPr>
    <w:rPr>
      <w:rFonts w:ascii="XO Thames" w:hAnsi="XO Thames"/>
      <w:b w:val="1"/>
      <w:sz w:val="24"/>
    </w:rPr>
  </w:style>
  <w:style w:styleId="Style_29_ch" w:type="character">
    <w:name w:val="heading 4"/>
    <w:link w:val="Style_29"/>
    <w:rPr>
      <w:rFonts w:ascii="XO Thames" w:hAnsi="XO Thames"/>
      <w:b w:val="1"/>
      <w:sz w:val="24"/>
    </w:rPr>
  </w:style>
  <w:style w:styleId="Style_30" w:type="paragraph">
    <w:name w:val="heading 2"/>
    <w:next w:val="Style_3"/>
    <w:link w:val="Style_30_ch"/>
    <w:uiPriority w:val="9"/>
    <w:qFormat/>
    <w:pPr>
      <w:spacing w:after="120" w:before="120"/>
      <w:ind/>
      <w:jc w:val="both"/>
      <w:outlineLvl w:val="1"/>
    </w:pPr>
    <w:rPr>
      <w:rFonts w:ascii="XO Thames" w:hAnsi="XO Thames"/>
      <w:b w:val="1"/>
      <w:sz w:val="28"/>
    </w:rPr>
  </w:style>
  <w:style w:styleId="Style_30_ch" w:type="character">
    <w:name w:val="heading 2"/>
    <w:link w:val="Style_30"/>
    <w:rPr>
      <w:rFonts w:ascii="XO Thames" w:hAnsi="XO Thames"/>
      <w:b w:val="1"/>
      <w:sz w:val="28"/>
    </w:rPr>
  </w:style>
  <w:style w:styleId="Style_12" w:type="paragraph">
    <w:name w:val="Default Paragraph Font"/>
    <w:link w:val="Style_12_ch"/>
  </w:style>
  <w:style w:styleId="Style_12_ch" w:type="character">
    <w:name w:val="Default Paragraph Font"/>
    <w:link w:val="Style_12"/>
  </w:style>
  <w:style w:default="1" w:styleId="Style_3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footer1.xml" Type="http://schemas.openxmlformats.org/officeDocument/2006/relationships/foot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MyOffice-CoreFramework-Windows/41-1442.1138.10597.1072.1@fbf3f0f8790a2907561fe3fa808360a9a89cbba5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2026-08-04T05:45:00Z</dcterms:created>
  <dcterms:modified xsi:type="dcterms:W3CDTF">2026-10-01T10:36:56Z</dcterms:modified>
</cp:coreProperties>
</file>