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ИЗВЕЩЕНИЕ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/>
        <w:spacing w:after="0" w:line="240" w:lineRule="auto"/>
        <w:ind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 осуществлении закупки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/>
        <w:spacing w:after="0" w:line="240" w:lineRule="auto"/>
        <w:ind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/>
        <w:spacing w:after="0" w:line="240" w:lineRule="auto"/>
        <w:ind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Информация, формируемая с использованием </w:t>
      </w:r>
      <w:r>
        <w:rPr>
          <w:rFonts w:ascii="Arial" w:hAnsi="Arial" w:cs="Arial"/>
          <w:sz w:val="20"/>
          <w:szCs w:val="20"/>
        </w:rPr>
        <w:t xml:space="preserve">единой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/>
        <w:spacing w:after="0" w:line="240" w:lineRule="auto"/>
        <w:ind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информационной системы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Bdr/>
        <w:spacing w:after="0" w:line="240" w:lineRule="auto"/>
        <w:ind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tbl>
      <w:tblPr>
        <w:tblW w:w="0" w:type="auto"/>
        <w:tblCellMar>
          <w:left w:w="62" w:type="dxa"/>
          <w:top w:w="102" w:type="dxa"/>
          <w:right w:w="62" w:type="dxa"/>
          <w:bottom w:w="102" w:type="dxa"/>
        </w:tblCellMar>
        <w:tblBorders/>
        <w:tblLook w:val="0000" w:firstRow="0" w:lastRow="0" w:firstColumn="0" w:lastColumn="0" w:noHBand="0" w:noVBand="0"/>
        <w:tblLayout w:type="fixed"/>
      </w:tblPr>
      <w:tblGrid>
        <w:gridCol w:w="566"/>
        <w:gridCol w:w="7087"/>
        <w:gridCol w:w="6868"/>
      </w:tblGrid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Наименование, место нахождения, почтовый адрес, адрес электронной почты, номер контактного телефона, ответственное должностное лицо заказчика, специализированной организации (в случае ее привлечения заказчиком)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Территориальный фонд обязательного медицинского страхования Еврейской автономной области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679000, Еврейская автономная область, город Биробиджан, проспект 60-летия СССР, дом 24.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 w14:paraId="607BB209"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val="en-US"/>
              </w:rPr>
              <w:t xml:space="preserve">Nikolaeva.s@tfomseao.ru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8(42622) 50460 (доб.182)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Николаева Светлана Валерьевна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Идентификационный код закупки, определенный в соответствии со </w:t>
            </w:r>
            <w:hyperlink r:id="rId9" w:tooltip="consultantplus://offline/ref=89FBA4DCCD0A7476B7C9E2AD4B299BE8B03309BEC0AA4814A1D0E31DEA1286BB6E2F344994C7C0924314F74A6FA3DF0A0FED90833E4DC3F1405FE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статьей 23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"О контрактной системе в сфере закупок товаров, работ, услуг для обеспечения государственных и муниципальных нужд" (далее - Федеральный закон);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hd w:val="clear" w:color="ffffff" w:themeColor="background1" w:fill="ffffff" w:themeFill="background1"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261790000066279010100100510010000242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yellow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Указание на соответствующую часть </w:t>
            </w:r>
            <w:hyperlink r:id="rId10" w:tooltip="consultantplus://offline/ref=21EDD898239957BF1FC5B7C623901E78B3C59DE8EBE64A414C93046A900487C9888FB9741F5FC187849A7B96E567464A3785BAEF11B588625Dr4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статьи 15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закона, в соответствии с которой осуществляется закупка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(при осуществлении закупки в соответствии с </w:t>
            </w:r>
            <w:hyperlink r:id="rId11" w:tooltip="consultantplus://offline/ref=89FBA4DCCD0A7476B7C9E2AD4B299BE8B03309BEC0AA4814A1D0E31DEA1286BB6E2F344A93C0C9C3145BF61629F0CC080EED928422445DE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частями 4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- </w:t>
            </w:r>
            <w:hyperlink r:id="rId12" w:tooltip="consultantplus://offline/ref=89FBA4DCCD0A7476B7C9E2AD4B299BE8B03309BEC0AA4814A1D0E31DEA1286BB6E2F344994CFC69C114EE74E26F4D41609F48E86204D4C51E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6 статьи 15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настоящего Федерального закона)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Неприменимо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Указание на осуществление закупки в соответствии с Федеральным </w:t>
            </w:r>
            <w:hyperlink r:id="rId13" w:tooltip="consultantplus://offline/ref=89FBA4DCCD0A7476B7C9E2AD4B299BE8B03308B2CFA84814A1D0E31DEA1286BB7C2F6C4596C1DC974201A11B294F54E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законом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от 29 декабря 2012 года N 275-ФЗ "О государственном оборонном заказе", которое не размещается на официальном сайте;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Неприменимо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Способ определения поставщика (подрядчика, исполнителя)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Электронный аукцион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Адрес в информационно-телекоммуникационной сети "Интернет" электронной площадки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(в случае проведения электронной процедуры), специализированной электронной площадки (в случае проведения закрытой электронной процедуры);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val="en-US"/>
              </w:rPr>
              <w:t xml:space="preserve">https://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/www.sberbank-ast.ru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Наименование объекта закупки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Style w:val="734"/>
              <w:pBdr/>
              <w:spacing w:line="240" w:lineRule="auto"/>
              <w:ind w:left="34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казание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услуг по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передаче прав на использование программного обеспечения ViPNet PKI Client 2.x, ПМДЗ ViPNet SafeBoot 3, ViPNet Endpoint Protection (Standalone Agent) и предоставлению сертификата активации сервиса совместной технической поддержки компонентов сети ViPNet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val="en-US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Информация (при наличии), предусмотренная правилами использования каталога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, установленными в соответствии с </w:t>
            </w:r>
            <w:hyperlink r:id="rId14" w:tooltip="consultantplus://offline/ref=C3CDE52EC845621ACF3C31CCBAB61D04193797FE903EA8A99D86A91BD12DCBD8B6583BCA1EBA59C91F733A4407194443DF5427D9AF51899FI2DB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6 статьи </w:t>
              </w:r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23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настоящего Федерального закона;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Style w:val="897"/>
              <w:pBdr/>
              <w:spacing/>
              <w:ind w:right="0" w:firstLine="0" w:left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Код позиции ОКПД2: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62.02.3: Услуги по технической поддержке информационных технологий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r>
          </w:p>
          <w:p w14:paraId="4154606F">
            <w:pPr>
              <w:pStyle w:val="897"/>
              <w:pBdr/>
              <w:spacing/>
              <w:ind w:right="0" w:firstLine="0" w:left="0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58.29.11.000: Системы операционные на электронном носителе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eastAsia="ru-RU"/>
                <w14:ligatures w14:val="none"/>
              </w:rPr>
            </w:r>
          </w:p>
          <w:p>
            <w:pPr>
              <w:pStyle w:val="897"/>
              <w:pBdr/>
              <w:spacing/>
              <w:ind w:right="0" w:firstLine="0" w:left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КТРУ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58.29.11.000-00000003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Программное обеспечение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</w:r>
          </w:p>
          <w:p w14:paraId="3C6583A2">
            <w:pPr>
              <w:pStyle w:val="897"/>
              <w:pBdr/>
              <w:spacing/>
              <w:ind w:right="0" w:firstLine="0" w:left="0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62.02.30.000-00000002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Услуги по технической поддержке информационных технологий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 w14:paraId="79DBBE0D">
            <w:pPr>
              <w:pStyle w:val="897"/>
              <w:pBdr/>
              <w:spacing/>
              <w:ind w:right="0" w:firstLine="0" w:left="0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Описание характеристик товара приведено в прилож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 xml:space="preserve">ении к настоящему извещению.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группировочные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наименования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Неприменимо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Информация о количестве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(за исключением случая, предусмотренного </w:t>
            </w:r>
            <w:hyperlink r:id="rId15" w:tooltip="consultantplus://offline/ref=EAA2916E67EE5929EBDBA36F268A3D9A0D94B94472521EDDA323EC0638F6B75DBD4696A2D5D5428017636EB08AAADC3B48D932D19887gAEB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24 статьи 22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закона), единице измерения и месте поставки товара (при осуществлении закупки товара, в том числе поставляемого заказчику при выполнении закупаемых работ, оказании закупаемых услуг);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Количество –  в соответствии с описанием объекта закупки, единица измерения – штука, условная единица;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место поставки –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а.обл. Еврейская, г.о. город Биробиджан, г. Биробиджан, пр-кт 60-летия СССР, д. 24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, каб. 16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Информация об объеме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(за исключением случая, предусмотренного </w:t>
            </w:r>
            <w:hyperlink r:id="rId16" w:tooltip="consultantplus://offline/ref=E6CEBF96C7C301FFD46D8B9EEBD4AE881E02DF97C5119E5ABA7074045B8DDEBA26048439AC61863263D6EEA2285CC4D808B36AFE7879d1FD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24 статьи 22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закона), о единице измерения (при наличии) и месте выполнения работы или оказания услуги;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Неприменимо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Срок исполнения контракта (отдельных этапов исполнения контракта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, если проектом ко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нтракта предусмотрены такие этапы). В случае, предусмотренном частью 24 статьи 22 Федерального закона, указывается, что сроки исполнения отдельных этапов исполнения контракта определяются на основании заявок заказчика в порядке, предусмотренном контрактом;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течение  30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(Тридцати) календарных дней с даты заключения Контракта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Начальная (максимальная) цена контракта (цена отдельных этапов исполнения контракта, если проектом контракта предусмотрены такие этапы). В случае, предусмотренном </w:t>
            </w:r>
            <w:hyperlink r:id="rId17" w:tooltip="consultantplus://offline/ref=21EDD898239957BF1FC5B7C623901E78B3C59DE8EBE64A414C93046A900487C9888FB9741E58C88ED2C06B92AC334F553399A4EF0FB558rA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24 статьи 22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закона, указываются начальная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цена единицы товара, работы, услуги, а также начальная сумма цен указанных единиц и максимальное значение цены контракта без указания цен отдельных этапов исполнения контракта. В случаях, установленных Правительством Российской Федерации в соответствии с </w:t>
            </w:r>
            <w:hyperlink r:id="rId18" w:tooltip="consultantplus://offline/ref=21EDD898239957BF1FC5B7C623901E78B3C59DE8EBE64A414C93046A900487C9888FB9771D5CC88ED2C06B92AC334F553399A4EF0FB558rA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2 статьи 34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закона, указываются ориентировочное значение цены контракта либо формула цены и максимальное значение цены контракта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 w14:paraId="551C2A90">
            <w:pPr>
              <w:pBdr/>
              <w:spacing/>
              <w:ind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2"/>
                <w:szCs w:val="22"/>
                <w:highlight w:val="none"/>
              </w:rPr>
              <w:t xml:space="preserve">39 310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(Тридцать девять тысяч триста десять) рублей 00 коп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Источник финансирования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Бюджет Территориального фонда обязательного медицинского страхования Еврейской автономной области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Наименование валюты в соответствии с общероссийским </w:t>
            </w:r>
            <w:hyperlink r:id="rId19" w:tooltip="consultantplus://offline/ref=21EDD898239957BF1FC5B7C623901E78B3C99DE0EBE04A414C93046A900487C99A8FE1781E5BDE85848F2DC7A353r0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классификатором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валют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Российский рубль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Размер аванса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(если предусмотрена выплата аванса);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Выплата аванса 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е предусмотрен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Критерии оценки заявок на участие в конкурсах, величины значимости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этих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критериев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в соответствии с Федеральным законом;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Неприменимо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Требования, предъявляемые к участникам закупки в соответствии с </w:t>
            </w:r>
            <w:hyperlink r:id="rId20" w:tooltip="consultantplus://offline/ref=21EDD898239957BF1FC5B7C623901E78B3C59DE8EBE64A414C93046A900487C9888FB9741F5FC386809A7B96E567464A3785BAEF11B588625Dr4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 част</w:t>
              </w:r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ью</w:t>
              </w:r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 1 статьи 31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Требования к участникам закупок в соответствии с п.1 ч.1 ст.31 Федерального закона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Установлены единые требования к участникам закупки в соответствии с частью 1 статьи 31 Федерального закона.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В рамках п.11 ч. 1 ст. 31 Федерального закона № 44-ФЗ установлено требование об отсутствии у участника закупки ограничений для участия в закупках, установленных законодательством Российско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й Федерации: 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подп. «а» п. 2 Указа Президента Российской Федерации от 03 мая 2022 года № 252 «О применении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ответных специальных экономических мер в связи с недружественными действиями некоторых иностранных государств и международных организаций», либо являться организацией, находящейся под контролем таких лиц.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 предъявляются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734"/>
              <w:pBdr/>
              <w:tabs>
                <w:tab w:val="left" w:leader="none" w:pos="28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Требования, предъявляемые к участникам закупки в соответствии с </w:t>
            </w:r>
            <w:hyperlink r:id="rId21" w:tooltip="consultantplus://offline/ref=21EDD898239957BF1FC5B7C623901E78B3C59DE8EBE64A414C93046A900487C9888FB9771D5EC68ED2C06B92AC334F553399A4EF0FB558rA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2 </w:t>
              </w:r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(при наличии таких требований) </w:t>
              </w:r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статьи 31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закона, информация и исчерпывающий перечень документов, которые подтверждают соответствие участника закупки таким требованиям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 предъявляются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Требования, предъявляемые к участникам закупки в соответствии с </w:t>
            </w:r>
            <w:hyperlink r:id="rId22" w:tooltip="consultantplus://offline/ref=21EDD898239957BF1FC5B7C623901E78B3C59DE8EBE64A414C93046A900487C9888FB9771D5EC78ED2C06B92AC334F553399A4EF0FB558rA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2.1 </w:t>
              </w:r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(при наличии таких требований) </w:t>
              </w:r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статьи 31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информация и исчерпывающий перечень документов, которые подтверждают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соответствие участника закупки таким требованиям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 предъявляются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Требование, предъявляемое к участникам закупки в соответствии с </w:t>
            </w:r>
            <w:hyperlink r:id="rId23" w:tooltip="consultantplus://offline/ref=21EDD898239957BF1FC5B7C623901E78B3C59DE8EBE64A414C93046A900487C9888FB9771F5FC18ED2C06B92AC334F553399A4EF0FB558rA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1.1 статьи 31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(при наличии такого требования)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Установлено требование об отсутствии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в предусмотренном Федеральным </w:t>
            </w:r>
            <w:hyperlink r:id="rId24" w:tooltip="consultantplus://offline/ref=08CB1B118EF8C96C8747517F442333B55237644286F8F7919BA9BC044A555810342173B4195958589749BEF1F41DCBD63C1C043E86B1ED5APDr8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законом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реестре недобросовестных поставщиков (подрядчиков, исполнителей) информации об участнике закупки, в том числе о лицах, информация о которых содержится в заявке на участие в закупке в соответствии с </w:t>
            </w:r>
            <w:hyperlink r:id="rId25" w:tooltip="consultantplus://offline/ref=08CB1B118EF8C96C8747517F442333B55237644286F8F7919BA9BC044A555810342173B41B585E589B16BBE4E545C4D2240203279AB3EFP5rA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подпунктом "в" пункта 1 части 1 статьи 43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№ 44-ФЗ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, если Правительством Российской Федерации не установлено </w:t>
            </w:r>
            <w:hyperlink r:id="rId26" w:tooltip="consultantplus://offline/ref=08CB1B118EF8C96C8747517F442333B55234624C81F8F7919BA9BC044A555810342173B0120C0D15C54FE8A6AE48C1CA380206P3rB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иное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22.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Информация о предоставлении преимущества в соответствии со </w:t>
            </w:r>
            <w:hyperlink r:id="rId27" w:tooltip="consultantplus://offline/ref=21EDD898239957BF1FC5B7C623901E78B3C59DE8EBE64A414C93046A900487C9888FB9771E56C98ED2C06B92AC334F553399A4EF0FB558rA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статьями 28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и </w:t>
            </w:r>
            <w:hyperlink r:id="rId28" w:tooltip="consultantplus://offline/ref=21EDD898239957BF1FC5B7C623901E78B3C59DE8EBE64A414C93046A900487C9888FB9771D5FC38ED2C06B92AC334F553399A4EF0FB558rA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29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 предоставляются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23.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Информация о преимуществах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участия в определении поставщика (подрядчика, исполнителя)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в соответствии с </w:t>
            </w:r>
            <w:hyperlink r:id="rId29" w:tooltip="consultantplus://offline/ref=21EDD898239957BF1FC5B7C623901E78B3C59DE8EBE64A414C93046A900487C9888FB9771D5EC18ED2C06B92AC334F553399A4EF0FB558rA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3 статьи 30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Федерального закона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Установлено преимущество участникам закупок, которыми могут быть только субъекты малого предпринимательства, социально ориентированные некоммерческие организации.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24.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Требование, установленное в соответствии с </w:t>
            </w:r>
            <w:hyperlink r:id="rId30" w:tooltip="consultantplus://offline/ref=21EDD898239957BF1FC5B7C623901E78B3C59DE8EBE64A414C93046A900487C9888FB9741F5EC8838F9A7B96E567464A3785BAEF11B588625Dr4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5 статьи 30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закона, с указанием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в соответствии с </w:t>
            </w:r>
            <w:hyperlink r:id="rId31" w:tooltip="consultantplus://offline/ref=3E61416FD74EB71CB72C9C97D06C12BB1A283780DC3E1A2852588D836083A2911222590FB6B416D01D7159A8B296AA8D719DC199B99DB24ENEP0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6 статьи 30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объема привлечения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 предъявляется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25.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аничение, преимущество установлены в соответствии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u w:val="none"/>
              </w:rPr>
              <w:t xml:space="preserve">пунктом 1 части 2 статьи 14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 Федерального закона № 44-ФЗ в отношении товара (в том числе поставляемого при выполнении закупаемой работы, оказании закупаемой услуги), работы, услуги, являющихся объектом закупки;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Постановлением Правительства РФ от 23.12.2024 № 1875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установлен запрет в отношении объекта закупки относящегося к КТРУ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58.29.11.000-00000003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Программное обеспечение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.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  <w:p w14:paraId="47B3872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В связи с отсутствием кода окпд2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62.02.3: Услуги по технической поддержке информационных технологий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в перечнях 1, 2 ПП РФ №1875 от 23.12.2024 к данному объекту закупки применяется - преимущество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26.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Размер и порядок внесения денежных сре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дств в 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ачестве обеспечения заявки на участие в закупке, условия независимой гарантии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(если требование обеспечения заявки установлено в соответствии со </w:t>
            </w:r>
            <w:hyperlink r:id="rId32" w:tooltip="consultantplus://offline/ref=D36867573EB864E51D08F100F3D00B4033DADF680C3C0FC05BECEA1759B5AE0352D276A111D3AC375D77B2CD7663E259E7185761C2D0w8S0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статьей 44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 требуется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27.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, реквизиты счета для перечисления денежных сре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дств в сл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учае, предусмотренном </w:t>
            </w:r>
            <w:hyperlink r:id="rId33" w:tooltip="consultantplus://offline/ref=D36867573EB864E51D08F100F3D00B4033DADF680C3C0FC05BECEA1759B5AE0352D276A116D9A0375D77B2CD7663E259E7185761C2D0w8S0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13 статьи 44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 требуется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28.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Размер обеспечения исполнения контракта, гарантийных обязательств, порядок предоставления такого обеспечения, требования к такому обеспечению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(если требование обеспечения исполнения контракта, гарантийных обязательств установлено в соответствии со </w:t>
            </w:r>
            <w:hyperlink r:id="rId34" w:tooltip="consultantplus://offline/ref=6D9DE5EFE6119DE780F3B05B96C46C71F05A40A0CF35A7BCED74C40481567D8AF0831FA61543DBBC840D78FFE38BCD5BEF279D55102B5CF5eEV6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статьей 96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закона);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5%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Порядок предоставления обеспечения исполнения контракта установлен статьей 96 Федерального закона № 44-ФЗ. Исполнение контракта может обеспечиваться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предоставлением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независимой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РФ учитываются операции со средствами, поступающими заказчику.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Способ обеспечения исполнения контракта определяется участником закупки, с которым заключается контракт, самостоятельно.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2"/>
                <w:szCs w:val="22"/>
              </w:rPr>
              <w:t xml:space="preserve">Денежные средства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вносятся на следующий счет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Заказчика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Получатель: УФК по Еврейской автономной области (ТФОМС ЕАО) л/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сч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05580001000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ИНН 7900000662 КПП 790101001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ОКТМО 99701000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Банк получателя: ОКЦ № 1 Дальневосточного ГУ Банка России//УФК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по Еврейской автономной области г. Биробиджан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БИК банка получателя 040507101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ЕКС 40102810045370000101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КС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03272643990000092000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В поле «Назначение платежа» указывается: «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Средства, поступившие во временное распоряжение в качестве о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беспечени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исполнения контракта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№____ Дата_______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ru-RU"/>
              </w:rPr>
              <w:t xml:space="preserve">».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Факт внесения денежных средств на счет заказчика подтверждается платежным документом, на основании которого произведено перечисление средств.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Независимая гарантия должна быть включена в реестр независимых гарантий, размещенный в единой информационной системе. Должна быть безотзывной и должна содержать информацию, указанную в Постановлении Правительства РФ от 08.11.2013 № 1005.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При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</w:t>
            </w:r>
            <w:hyperlink r:id="rId35" w:tooltip="consultantplus://offline/ref=F8F0293D5752355A1271FCFB7CF9ED7FAA1E324D806600ACDAC4058187AA1FB5A87A53EFA82435D5B0A3EA57A36E7C5CF1EC7F2C1E8F77DDM7OD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статьей 95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 № 44-ФЗ.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Контракт заключается после предоставления участником закупки обеспечения исполнения контракта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, за исключением случаев, указанных в ч.8 и 8.1 ст. 96 Федерального закона № 44-ФЗ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 случае если предложенная поставщиком (подрядчиком, исполнителем) цена контракта снижена на 25% и более по отношению к НМЦК, обеспечение исполнения контракта предоставляется в соответствии со статьей 37 Федерального закона № 44-ФЗ.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Обеспечение исполнения контракта не применяется в случае заключения контракта с участником закупки, который является казенным учреждением. Участник закупки, с которым заключается контракт в соответствии с п.1 ч.1 ст. 30 Федерального закона № 44-ФЗ, ос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вобождается от предоставления обеспечения исполнения контракта, в т.ч. С учетом положений ст.37 Федерального закона № 44-ФЗ, в случае предоставления таким участником закупки информации, содержащейся в реестре контрактов, заключенных заказчиками, и подтверж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 закупки до заключения контракта в случаях, установленных Федеральным законом № 44-ФЗ для предоставления обеспечения исполнения контракта. При этом сумма цен таких контрактов должна составлять не менее НМЦК, указанной в извещении об осуществлении закупки.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Обеспечение гарантийных обязательств – не предусмотрено.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29.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Информация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о банковском сопровождении контракта в соответствии со </w:t>
            </w:r>
            <w:hyperlink r:id="rId36" w:tooltip="consultantplus://offline/ref=2AA987BCB4B39FFB1BB8CD81383663D2A67EB8E7428C9611703ECC0B5E0B0F50FBADFBDDB9A660388D6A1F65D8BFCAAF154AC594D8DFCCF3K8WC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статьей 35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закона, о казначейском сопровождении (если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сопровождению);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 требуется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30.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Информация о возможности заказчика заключить контракты, указанные в </w:t>
            </w:r>
            <w:hyperlink r:id="rId37" w:tooltip="consultantplus://offline/ref=21EDD898239957BF1FC5B7C623901E78B3C59DE8EBE64A414C93046A900487C9888FB9771D5CC98ED2C06B92AC334F553399A4EF0FB558rA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части 10 статьи 34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закона, с несколькими участниками закупки с указанием количества указанных контрактов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Неприменимо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31.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Информация о возможности одностороннего отказа от исполнения контракта в соответствии со </w:t>
            </w:r>
            <w:hyperlink r:id="rId38" w:tooltip="consultantplus://offline/ref=21EDD898239957BF1FC5B7C623901E78B3C59DE8EBE64A414C93046A900487C9888FB9741F5EC3858F9A7B96E567464A3785BAEF11B588625Dr4G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статьей 95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Предусмотрена возможность одностороннего отказа от исполнения контракта в соответствии со ст. 95 Федерального закона № 44-ФЗ.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32.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Дата и время окончания срока подачи заявок на участие в закупке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Такая дата не может приходиться на нерабочий день;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val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.10.2026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33.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Дата окончания срока рассмотрения и оценки первых частей заявок на участие в закупке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(в случае проведения электронного конкурса, за исключением случая, предусмотренного </w:t>
            </w:r>
            <w:hyperlink r:id="rId39" w:tooltip="consultantplus://offline/ref=E84C948B4930DAE4BF192252A1F2CD4660E6E8EDA5BCCC2076962A4C6836655D5BEB2F82B29B234C530CE3826783BF7A055BDAE020756AX0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19 статьи 48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 требуется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34.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Дата окончания срока рассмотрения и оценки вторых частей заявок на участие в закупке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(в случае проведения электронного конкурса),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 требуется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35.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Дата окончания срока рассмотрения заявок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(в случае проведения закрытого аукциона)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Не требуется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36.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Дата подведения итогов определения поставщика (подрядчика, исполнителя)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в соответствии с Федеральным законом;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  <w:lang w:val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566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37.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38.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7087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Дата проведения процедуры подачи предложений о цене контракта либо о сумме цен единиц товара, работы,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(в случае, предусмотренном </w:t>
            </w:r>
            <w:hyperlink r:id="rId40" w:tooltip="consultantplus://offline/ref=0F887D7900068177E9FCBBE973F4C42B180855817533D3788D00A7934FD5DB9B1BE0E2A982C6E7C674768FCDADABF59BA23076513357kEcF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24 статьи 22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закона) в случае проведения электронного конкурса (за исключением случая, предусмотренного </w:t>
            </w:r>
            <w:hyperlink r:id="rId41" w:tooltip="consultantplus://offline/ref=0F887D7900068177E9FCBBE973F4C42B180855817533D3788D00A7934FD5DB9B1BE0E2AA86C4EAC674768FCDADABF59BA23076513357kEcFF" w:history="1">
              <w:r>
                <w:rPr>
                  <w:rFonts w:ascii="Times New Roman" w:hAnsi="Times New Roman" w:eastAsia="Times New Roman" w:cs="Times New Roman"/>
                  <w:color w:val="000000" w:themeColor="text1"/>
                  <w:sz w:val="22"/>
                  <w:szCs w:val="22"/>
                </w:rPr>
                <w:t xml:space="preserve">частью 19 статьи 48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Федерального закона), аукционов. При проведении электронного конкурса предусмотренная настоящим пунктом дата должна приходиться на рабочий день, следующий за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датой окончания срока рассмотрения и оценки первых частей заявок на участие в закупке. При проведении электронного аукциона предусмотренная настоящим пунктом процедура начинается через два часа с момента окончания срока подачи заявок на участие в закупке.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Предупрежд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6868" w:type="dxa"/>
            <w:tcBorders/>
            <w:noWrap w:val="false"/>
            <w:textDirection w:val="lrTb"/>
          </w:tcPr>
          <w:p w14:paraId="4D7B71ED"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val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.10.2026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900"/>
              <w:widowControl w:val="false"/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bidi="ar-SA"/>
              </w:rPr>
              <w:t xml:space="preserve">За нарушение требований антимонопольного законодательства Российской Федерации: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900"/>
              <w:widowControl w:val="false"/>
              <w:pBdr/>
              <w:spacing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bidi="ar-SA"/>
              </w:rPr>
              <w:t xml:space="preserve"> - статьей 14.32 КоАП РФ (Заключение ограничивающего конкуренцию соглашения, осуществление ограничивающих конкуренцию согласованных де</w:t>
            </w:r>
            <w:bookmarkStart w:id="0" w:name="_GoBack"/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bookmarkEnd w:id="0"/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bidi="ar-SA"/>
              </w:rPr>
              <w:t xml:space="preserve">йствий, координация экономической деятельности) установлена административная ответственность;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   - статьей 178 УК РФ (Ограничение конкуренции) установлена уголовная ответственность.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r>
          </w:p>
        </w:tc>
      </w:tr>
    </w:tbl>
    <w:p>
      <w:pPr>
        <w:pBdr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Документы, прилагаемые к извещению об осуществлении закупки в форме электронных документов или образов бумажных документов, сформированных без использования единой информационной системы</w: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tbl>
      <w:tblPr>
        <w:tblW w:w="0" w:type="auto"/>
        <w:tblCellMar>
          <w:left w:w="62" w:type="dxa"/>
          <w:top w:w="102" w:type="dxa"/>
          <w:right w:w="62" w:type="dxa"/>
          <w:bottom w:w="102" w:type="dxa"/>
        </w:tblCellMar>
        <w:tblBorders/>
        <w:tblLook w:val="0000" w:firstRow="0" w:lastRow="0" w:firstColumn="0" w:lastColumn="0" w:noHBand="0" w:noVBand="0"/>
        <w:tblLayout w:type="fixed"/>
      </w:tblPr>
      <w:tblGrid>
        <w:gridCol w:w="485"/>
        <w:gridCol w:w="9214"/>
      </w:tblGrid>
      <w:tr>
        <w:trPr/>
        <w:tc>
          <w:tcPr>
            <w:tcW w:w="485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9214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Описание объекта закупки в соответствии со </w:t>
            </w:r>
            <w:hyperlink r:id="rId42" w:tooltip="consultantplus://offline/ref=21EDD898239957BF1FC5B7C623901E78B3C59DE8EBE64A414C93046A900487C9888FB9741F5FC38D809A7B96E567464A3785BAEF11B588625Dr4G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 xml:space="preserve">статьей 33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Федерального закона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9214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Обоснование </w:t>
            </w:r>
            <w:r>
              <w:rPr>
                <w:rFonts w:ascii="Arial" w:hAnsi="Arial" w:cs="Arial"/>
                <w:sz w:val="20"/>
                <w:szCs w:val="20"/>
              </w:rPr>
              <w:t xml:space="preserve">начальной (максимальной) цены контракта. </w:t>
            </w:r>
            <w:r>
              <w:rPr>
                <w:rFonts w:ascii="Arial" w:hAnsi="Arial" w:cs="Arial"/>
                <w:sz w:val="20"/>
                <w:szCs w:val="20"/>
              </w:rPr>
              <w:t xml:space="preserve">Заказчик, осуществляющий </w:t>
            </w:r>
            <w:r>
              <w:rPr>
                <w:rFonts w:ascii="Arial" w:hAnsi="Arial" w:cs="Arial"/>
                <w:sz w:val="20"/>
                <w:szCs w:val="20"/>
              </w:rPr>
              <w:t xml:space="preserve">деятельность на территории иностранного государства, также указывает информацию о валюте, используемой для определения и обоснования начальной (максимальной) цены контракта, для оплаты поставленного товара, выполненной </w:t>
            </w:r>
            <w:r>
              <w:rPr>
                <w:rFonts w:ascii="Arial" w:hAnsi="Arial" w:cs="Arial"/>
                <w:sz w:val="20"/>
                <w:szCs w:val="20"/>
              </w:rPr>
              <w:t xml:space="preserve">работы, оказанной услуги, и 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поставленного товара, выполненной работы, оказанной услуги;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9214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Требования к содержанию, составу заявки на участие в закупке в соответствии с Федеральным </w:t>
            </w:r>
            <w:hyperlink r:id="rId43" w:tooltip="consultantplus://offline/ref=21EDD898239957BF1FC5B7C623901E78B3C59DE8EBE64A414C93046A900487C99A8FE1781E5BDE85848F2DC7A353r0G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 xml:space="preserve">законом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и инструкция по ее заполнению</w:t>
            </w:r>
            <w:r>
              <w:rPr>
                <w:rFonts w:ascii="Arial" w:hAnsi="Arial" w:cs="Arial"/>
                <w:sz w:val="20"/>
                <w:szCs w:val="20"/>
              </w:rPr>
              <w:t xml:space="preserve">. При этом не допускается установление требований, влекущих за собой ограничение количества участников закупки;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9214" w:type="dxa"/>
            <w:tcBorders/>
            <w:noWrap w:val="false"/>
            <w:textDirection w:val="lrTb"/>
          </w:tcPr>
          <w:p>
            <w:pPr>
              <w:pBdr/>
              <w:spacing w:after="0" w:line="240" w:lineRule="auto"/>
              <w:ind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Проект контракта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</w:tr>
    </w:tbl>
    <w:p>
      <w:pPr>
        <w:pBdr/>
        <w:spacing/>
        <w:ind/>
        <w:rPr/>
      </w:pPr>
    </w:p>
    <w:sectPr>
      <w:footnotePr/>
      <w:endnotePr/>
      <w:type w:val="nextPage"/>
      <w:pgSz w:h="11906" w:orient="landscape" w:w="16838"/>
      <w:pgMar w:top="1134" w:right="851" w:bottom="851" w:left="85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)"/>
      <w:numFmt w:val="decimal"/>
      <w:pPr>
        <w:pBdr/>
        <w:spacing/>
        <w:ind w:hanging="360" w:left="2202"/>
      </w:pPr>
      <w:rPr>
        <w:rFonts w:hint="default"/>
        <w:color w:val="000000" w:themeColor="text1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922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3642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4362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5082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802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6522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7242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962"/>
      </w:pPr>
      <w:rPr/>
      <w:start w:val="1"/>
      <w:suff w:val="space"/>
    </w:lvl>
  </w:abstractNum>
  <w:abstractNum w:abstractNumId="1">
    <w:lvl w:ilvl="0">
      <w:isLgl w:val="false"/>
      <w:lvlJc w:val="left"/>
      <w:lvlText w:val="%1)"/>
      <w:numFmt w:val="decimal"/>
      <w:pPr>
        <w:pBdr/>
        <w:spacing/>
        <w:ind w:hanging="360" w:left="2202"/>
      </w:pPr>
      <w:rPr>
        <w:rFonts w:hint="default"/>
        <w:color w:val="000000" w:themeColor="text1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922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3642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4362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5082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802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6522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7242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962"/>
      </w:pPr>
      <w:rPr/>
      <w:start w:val="1"/>
      <w:suff w:val="space"/>
    </w:lvl>
  </w:abstractNum>
  <w:abstractNum w:abstractNumId="2">
    <w:nsid w:val="265257F8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>
        <w:rFonts w:ascii="Times New Roman" w:hAnsi="Times New Roman" w:eastAsia="Times New Roman" w:cs="Times New Roman"/>
        <w:b w:val="0"/>
        <w:bCs w:val="0"/>
        <w:color w:val="000000"/>
        <w:sz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1080"/>
      </w:pPr>
      <w:rPr>
        <w:rFonts w:cs="Times New Roman"/>
        <w:sz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800"/>
      </w:pPr>
      <w:rPr>
        <w:rFonts w:cs="Times New Roman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160"/>
      </w:pPr>
      <w:rPr>
        <w:rFonts w:cs="Times New Roman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880"/>
      </w:pPr>
      <w:rPr>
        <w:rFonts w:cs="Times New Roman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240"/>
      </w:pPr>
      <w:rPr>
        <w:rFonts w:cs="Times New Roman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960"/>
      </w:pPr>
      <w:rPr>
        <w:rFonts w:cs="Times New Roman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320"/>
      </w:pPr>
      <w:rPr>
        <w:rFonts w:cs="Times New Roman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040"/>
      </w:pPr>
      <w:rPr>
        <w:rFonts w:cs="Times New Roman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08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09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10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711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712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13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14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15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716">
    <w:name w:val="Heading 1"/>
    <w:basedOn w:val="892"/>
    <w:next w:val="892"/>
    <w:link w:val="71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717">
    <w:name w:val="Heading 1 Char"/>
    <w:basedOn w:val="893"/>
    <w:link w:val="71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718">
    <w:name w:val="Heading 2"/>
    <w:basedOn w:val="892"/>
    <w:next w:val="892"/>
    <w:link w:val="719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719">
    <w:name w:val="Heading 2 Char"/>
    <w:basedOn w:val="893"/>
    <w:link w:val="718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720">
    <w:name w:val="Heading 3"/>
    <w:basedOn w:val="892"/>
    <w:next w:val="892"/>
    <w:link w:val="721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721">
    <w:name w:val="Heading 3 Char"/>
    <w:basedOn w:val="893"/>
    <w:link w:val="72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892"/>
    <w:next w:val="892"/>
    <w:link w:val="723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3">
    <w:name w:val="Heading 4 Char"/>
    <w:basedOn w:val="893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724">
    <w:name w:val="Heading 5"/>
    <w:basedOn w:val="892"/>
    <w:next w:val="892"/>
    <w:link w:val="725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5">
    <w:name w:val="Heading 5 Char"/>
    <w:basedOn w:val="893"/>
    <w:link w:val="724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726">
    <w:name w:val="Heading 6"/>
    <w:basedOn w:val="892"/>
    <w:next w:val="892"/>
    <w:link w:val="727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7">
    <w:name w:val="Heading 6 Char"/>
    <w:basedOn w:val="893"/>
    <w:link w:val="726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28">
    <w:name w:val="Heading 7"/>
    <w:basedOn w:val="892"/>
    <w:next w:val="892"/>
    <w:link w:val="729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9">
    <w:name w:val="Heading 7 Char"/>
    <w:basedOn w:val="893"/>
    <w:link w:val="728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0">
    <w:name w:val="Heading 8"/>
    <w:basedOn w:val="892"/>
    <w:next w:val="892"/>
    <w:link w:val="731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1">
    <w:name w:val="Heading 8 Char"/>
    <w:basedOn w:val="893"/>
    <w:link w:val="730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32">
    <w:name w:val="Heading 9"/>
    <w:basedOn w:val="892"/>
    <w:next w:val="892"/>
    <w:link w:val="733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3">
    <w:name w:val="Heading 9 Char"/>
    <w:basedOn w:val="893"/>
    <w:link w:val="73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34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735">
    <w:name w:val="Title"/>
    <w:basedOn w:val="892"/>
    <w:next w:val="892"/>
    <w:link w:val="736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36">
    <w:name w:val="Title Char"/>
    <w:basedOn w:val="893"/>
    <w:link w:val="735"/>
    <w:uiPriority w:val="10"/>
    <w:pPr>
      <w:pBdr/>
      <w:spacing/>
      <w:ind/>
    </w:pPr>
    <w:rPr>
      <w:sz w:val="48"/>
      <w:szCs w:val="48"/>
    </w:rPr>
  </w:style>
  <w:style w:type="paragraph" w:styleId="737">
    <w:name w:val="Subtitle"/>
    <w:basedOn w:val="892"/>
    <w:next w:val="892"/>
    <w:link w:val="738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38">
    <w:name w:val="Subtitle Char"/>
    <w:basedOn w:val="893"/>
    <w:link w:val="737"/>
    <w:uiPriority w:val="11"/>
    <w:pPr>
      <w:pBdr/>
      <w:spacing/>
      <w:ind/>
    </w:pPr>
    <w:rPr>
      <w:sz w:val="24"/>
      <w:szCs w:val="24"/>
    </w:rPr>
  </w:style>
  <w:style w:type="paragraph" w:styleId="739">
    <w:name w:val="Quote"/>
    <w:basedOn w:val="892"/>
    <w:next w:val="892"/>
    <w:link w:val="740"/>
    <w:uiPriority w:val="29"/>
    <w:qFormat/>
    <w:pPr>
      <w:pBdr/>
      <w:spacing/>
      <w:ind w:right="720" w:left="720"/>
    </w:pPr>
    <w:rPr>
      <w:i/>
    </w:rPr>
  </w:style>
  <w:style w:type="character" w:styleId="740">
    <w:name w:val="Quote Char"/>
    <w:link w:val="739"/>
    <w:uiPriority w:val="29"/>
    <w:pPr>
      <w:pBdr/>
      <w:spacing/>
      <w:ind/>
    </w:pPr>
    <w:rPr>
      <w:i/>
    </w:rPr>
  </w:style>
  <w:style w:type="paragraph" w:styleId="741">
    <w:name w:val="Intense Quote"/>
    <w:basedOn w:val="892"/>
    <w:next w:val="892"/>
    <w:link w:val="742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42">
    <w:name w:val="Intense Quote Char"/>
    <w:link w:val="741"/>
    <w:uiPriority w:val="30"/>
    <w:pPr>
      <w:pBdr/>
      <w:spacing/>
      <w:ind/>
    </w:pPr>
    <w:rPr>
      <w:i/>
    </w:rPr>
  </w:style>
  <w:style w:type="paragraph" w:styleId="743">
    <w:name w:val="Header"/>
    <w:basedOn w:val="892"/>
    <w:link w:val="744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44">
    <w:name w:val="Header Char"/>
    <w:basedOn w:val="893"/>
    <w:link w:val="743"/>
    <w:uiPriority w:val="99"/>
    <w:pPr>
      <w:pBdr/>
      <w:spacing/>
      <w:ind/>
    </w:pPr>
  </w:style>
  <w:style w:type="paragraph" w:styleId="745">
    <w:name w:val="Footer"/>
    <w:basedOn w:val="892"/>
    <w:link w:val="748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46">
    <w:name w:val="Footer Char"/>
    <w:basedOn w:val="893"/>
    <w:link w:val="745"/>
    <w:uiPriority w:val="99"/>
    <w:pPr>
      <w:pBdr/>
      <w:spacing/>
      <w:ind/>
    </w:pPr>
  </w:style>
  <w:style w:type="paragraph" w:styleId="747">
    <w:name w:val="Caption"/>
    <w:basedOn w:val="892"/>
    <w:next w:val="892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48">
    <w:name w:val="Caption Char"/>
    <w:basedOn w:val="747"/>
    <w:link w:val="745"/>
    <w:uiPriority w:val="99"/>
    <w:pPr>
      <w:pBdr/>
      <w:spacing/>
      <w:ind/>
    </w:pPr>
  </w:style>
  <w:style w:type="table" w:styleId="749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1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75" w:fill="adc5e0" w:themeFill="accen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75" w:fill="adc5e0" w:themeFill="accen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75" w:fill="e1adac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75" w:fill="e1adac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75" w:fill="d1dfb2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75" w:fill="d1dfb2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75" w:fill="c4b7d4" w:themeFill="accent4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75" w:fill="c4b7d4" w:themeFill="accent4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75" w:fill="abd9e4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75" w:fill="abd9e4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da8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da8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d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99694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a59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6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5">
    <w:name w:val="footnote text"/>
    <w:basedOn w:val="892"/>
    <w:link w:val="8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76">
    <w:name w:val="Footnote Text Char"/>
    <w:link w:val="875"/>
    <w:uiPriority w:val="99"/>
    <w:pPr>
      <w:pBdr/>
      <w:spacing/>
      <w:ind/>
    </w:pPr>
    <w:rPr>
      <w:sz w:val="18"/>
    </w:rPr>
  </w:style>
  <w:style w:type="character" w:styleId="877">
    <w:name w:val="footnote reference"/>
    <w:basedOn w:val="893"/>
    <w:uiPriority w:val="99"/>
    <w:unhideWhenUsed/>
    <w:pPr>
      <w:pBdr/>
      <w:spacing/>
      <w:ind/>
    </w:pPr>
    <w:rPr>
      <w:vertAlign w:val="superscript"/>
    </w:rPr>
  </w:style>
  <w:style w:type="paragraph" w:styleId="878">
    <w:name w:val="endnote text"/>
    <w:basedOn w:val="892"/>
    <w:link w:val="8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79">
    <w:name w:val="Endnote Text Char"/>
    <w:link w:val="878"/>
    <w:uiPriority w:val="99"/>
    <w:pPr>
      <w:pBdr/>
      <w:spacing/>
      <w:ind/>
    </w:pPr>
    <w:rPr>
      <w:sz w:val="20"/>
    </w:rPr>
  </w:style>
  <w:style w:type="character" w:styleId="880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81">
    <w:name w:val="toc 1"/>
    <w:basedOn w:val="892"/>
    <w:next w:val="892"/>
    <w:uiPriority w:val="39"/>
    <w:unhideWhenUsed/>
    <w:pPr>
      <w:pBdr/>
      <w:spacing w:after="57"/>
      <w:ind w:right="0" w:firstLine="0" w:left="0"/>
    </w:pPr>
  </w:style>
  <w:style w:type="paragraph" w:styleId="882">
    <w:name w:val="toc 2"/>
    <w:basedOn w:val="892"/>
    <w:next w:val="892"/>
    <w:uiPriority w:val="39"/>
    <w:unhideWhenUsed/>
    <w:pPr>
      <w:pBdr/>
      <w:spacing w:after="57"/>
      <w:ind w:right="0" w:firstLine="0" w:left="283"/>
    </w:pPr>
  </w:style>
  <w:style w:type="paragraph" w:styleId="883">
    <w:name w:val="toc 3"/>
    <w:basedOn w:val="892"/>
    <w:next w:val="892"/>
    <w:uiPriority w:val="39"/>
    <w:unhideWhenUsed/>
    <w:pPr>
      <w:pBdr/>
      <w:spacing w:after="57"/>
      <w:ind w:right="0" w:firstLine="0" w:left="567"/>
    </w:pPr>
  </w:style>
  <w:style w:type="paragraph" w:styleId="884">
    <w:name w:val="toc 4"/>
    <w:basedOn w:val="892"/>
    <w:next w:val="892"/>
    <w:uiPriority w:val="39"/>
    <w:unhideWhenUsed/>
    <w:pPr>
      <w:pBdr/>
      <w:spacing w:after="57"/>
      <w:ind w:right="0" w:firstLine="0" w:left="850"/>
    </w:pPr>
  </w:style>
  <w:style w:type="paragraph" w:styleId="885">
    <w:name w:val="toc 5"/>
    <w:basedOn w:val="892"/>
    <w:next w:val="892"/>
    <w:uiPriority w:val="39"/>
    <w:unhideWhenUsed/>
    <w:pPr>
      <w:pBdr/>
      <w:spacing w:after="57"/>
      <w:ind w:right="0" w:firstLine="0" w:left="1134"/>
    </w:pPr>
  </w:style>
  <w:style w:type="paragraph" w:styleId="886">
    <w:name w:val="toc 6"/>
    <w:basedOn w:val="892"/>
    <w:next w:val="892"/>
    <w:uiPriority w:val="39"/>
    <w:unhideWhenUsed/>
    <w:pPr>
      <w:pBdr/>
      <w:spacing w:after="57"/>
      <w:ind w:right="0" w:firstLine="0" w:left="1417"/>
    </w:pPr>
  </w:style>
  <w:style w:type="paragraph" w:styleId="887">
    <w:name w:val="toc 7"/>
    <w:basedOn w:val="892"/>
    <w:next w:val="892"/>
    <w:uiPriority w:val="39"/>
    <w:unhideWhenUsed/>
    <w:pPr>
      <w:pBdr/>
      <w:spacing w:after="57"/>
      <w:ind w:right="0" w:firstLine="0" w:left="1701"/>
    </w:pPr>
  </w:style>
  <w:style w:type="paragraph" w:styleId="888">
    <w:name w:val="toc 8"/>
    <w:basedOn w:val="892"/>
    <w:next w:val="892"/>
    <w:uiPriority w:val="39"/>
    <w:unhideWhenUsed/>
    <w:pPr>
      <w:pBdr/>
      <w:spacing w:after="57"/>
      <w:ind w:right="0" w:firstLine="0" w:left="1984"/>
    </w:pPr>
  </w:style>
  <w:style w:type="paragraph" w:styleId="889">
    <w:name w:val="toc 9"/>
    <w:basedOn w:val="892"/>
    <w:next w:val="892"/>
    <w:uiPriority w:val="39"/>
    <w:unhideWhenUsed/>
    <w:pPr>
      <w:pBdr/>
      <w:spacing w:after="57"/>
      <w:ind w:right="0" w:firstLine="0" w:left="2268"/>
    </w:p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character" w:styleId="896">
    <w:name w:val="Hyperlink"/>
    <w:basedOn w:val="893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97">
    <w:name w:val="No Spacing"/>
    <w:uiPriority w:val="1"/>
    <w:qFormat/>
    <w:pPr>
      <w:pBdr/>
      <w:spacing w:after="0" w:line="240" w:lineRule="auto"/>
      <w:ind/>
    </w:pPr>
  </w:style>
  <w:style w:type="paragraph" w:styleId="898">
    <w:name w:val="Balloon Text"/>
    <w:basedOn w:val="892"/>
    <w:link w:val="899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899" w:customStyle="1">
    <w:name w:val="Текст выноски Знак"/>
    <w:basedOn w:val="893"/>
    <w:link w:val="898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00" w:customStyle="1">
    <w:name w:val="Обычный2"/>
    <w:qFormat/>
    <w:pPr>
      <w:pBdr/>
      <w:spacing w:after="0" w:line="240" w:lineRule="auto"/>
      <w:ind/>
      <w:jc w:val="both"/>
    </w:pPr>
    <w:rPr>
      <w:rFonts w:ascii="Times New Roman" w:hAnsi="Times New Roman" w:eastAsia="Times New Roman" w:cs="Calibri"/>
      <w:color w:val="000000"/>
      <w:szCs w:val="20"/>
      <w:lang w:eastAsia="ru-RU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consultantplus://offline/ref=89FBA4DCCD0A7476B7C9E2AD4B299BE8B03309BEC0AA4814A1D0E31DEA1286BB6E2F344994C7C0924314F74A6FA3DF0A0FED90833E4DC3F1405FE" TargetMode="External"/><Relationship Id="rId10" Type="http://schemas.openxmlformats.org/officeDocument/2006/relationships/hyperlink" Target="consultantplus://offline/ref=21EDD898239957BF1FC5B7C623901E78B3C59DE8EBE64A414C93046A900487C9888FB9741F5FC187849A7B96E567464A3785BAEF11B588625Dr4G" TargetMode="External"/><Relationship Id="rId11" Type="http://schemas.openxmlformats.org/officeDocument/2006/relationships/hyperlink" Target="consultantplus://offline/ref=89FBA4DCCD0A7476B7C9E2AD4B299BE8B03309BEC0AA4814A1D0E31DEA1286BB6E2F344A93C0C9C3145BF61629F0CC080EED928422445DE" TargetMode="External"/><Relationship Id="rId12" Type="http://schemas.openxmlformats.org/officeDocument/2006/relationships/hyperlink" Target="consultantplus://offline/ref=89FBA4DCCD0A7476B7C9E2AD4B299BE8B03309BEC0AA4814A1D0E31DEA1286BB6E2F344994CFC69C114EE74E26F4D41609F48E86204D4C51E" TargetMode="External"/><Relationship Id="rId13" Type="http://schemas.openxmlformats.org/officeDocument/2006/relationships/hyperlink" Target="consultantplus://offline/ref=89FBA4DCCD0A7476B7C9E2AD4B299BE8B03308B2CFA84814A1D0E31DEA1286BB7C2F6C4596C1DC974201A11B294F54E" TargetMode="External"/><Relationship Id="rId14" Type="http://schemas.openxmlformats.org/officeDocument/2006/relationships/hyperlink" Target="consultantplus://offline/ref=C3CDE52EC845621ACF3C31CCBAB61D04193797FE903EA8A99D86A91BD12DCBD8B6583BCA1EBA59C91F733A4407194443DF5427D9AF51899FI2DBF" TargetMode="External"/><Relationship Id="rId15" Type="http://schemas.openxmlformats.org/officeDocument/2006/relationships/hyperlink" Target="consultantplus://offline/ref=EAA2916E67EE5929EBDBA36F268A3D9A0D94B94472521EDDA323EC0638F6B75DBD4696A2D5D5428017636EB08AAADC3B48D932D19887gAEBF" TargetMode="External"/><Relationship Id="rId16" Type="http://schemas.openxmlformats.org/officeDocument/2006/relationships/hyperlink" Target="consultantplus://offline/ref=E6CEBF96C7C301FFD46D8B9EEBD4AE881E02DF97C5119E5ABA7074045B8DDEBA26048439AC61863263D6EEA2285CC4D808B36AFE7879d1FDF" TargetMode="External"/><Relationship Id="rId17" Type="http://schemas.openxmlformats.org/officeDocument/2006/relationships/hyperlink" Target="consultantplus://offline/ref=21EDD898239957BF1FC5B7C623901E78B3C59DE8EBE64A414C93046A900487C9888FB9741E58C88ED2C06B92AC334F553399A4EF0FB558rAG" TargetMode="External"/><Relationship Id="rId18" Type="http://schemas.openxmlformats.org/officeDocument/2006/relationships/hyperlink" Target="consultantplus://offline/ref=21EDD898239957BF1FC5B7C623901E78B3C59DE8EBE64A414C93046A900487C9888FB9771D5CC88ED2C06B92AC334F553399A4EF0FB558rAG" TargetMode="External"/><Relationship Id="rId19" Type="http://schemas.openxmlformats.org/officeDocument/2006/relationships/hyperlink" Target="consultantplus://offline/ref=21EDD898239957BF1FC5B7C623901E78B3C99DE0EBE04A414C93046A900487C99A8FE1781E5BDE85848F2DC7A353r0G" TargetMode="External"/><Relationship Id="rId20" Type="http://schemas.openxmlformats.org/officeDocument/2006/relationships/hyperlink" Target="consultantplus://offline/ref=21EDD898239957BF1FC5B7C623901E78B3C59DE8EBE64A414C93046A900487C9888FB9741F5FC386809A7B96E567464A3785BAEF11B588625Dr4G" TargetMode="External"/><Relationship Id="rId21" Type="http://schemas.openxmlformats.org/officeDocument/2006/relationships/hyperlink" Target="consultantplus://offline/ref=21EDD898239957BF1FC5B7C623901E78B3C59DE8EBE64A414C93046A900487C9888FB9771D5EC68ED2C06B92AC334F553399A4EF0FB558rAG" TargetMode="External"/><Relationship Id="rId22" Type="http://schemas.openxmlformats.org/officeDocument/2006/relationships/hyperlink" Target="consultantplus://offline/ref=21EDD898239957BF1FC5B7C623901E78B3C59DE8EBE64A414C93046A900487C9888FB9771D5EC78ED2C06B92AC334F553399A4EF0FB558rAG" TargetMode="External"/><Relationship Id="rId23" Type="http://schemas.openxmlformats.org/officeDocument/2006/relationships/hyperlink" Target="consultantplus://offline/ref=21EDD898239957BF1FC5B7C623901E78B3C59DE8EBE64A414C93046A900487C9888FB9771F5FC18ED2C06B92AC334F553399A4EF0FB558rAG" TargetMode="External"/><Relationship Id="rId24" Type="http://schemas.openxmlformats.org/officeDocument/2006/relationships/hyperlink" Target="consultantplus://offline/ref=08CB1B118EF8C96C8747517F442333B55237644286F8F7919BA9BC044A555810342173B4195958589749BEF1F41DCBD63C1C043E86B1ED5APDr8F" TargetMode="External"/><Relationship Id="rId25" Type="http://schemas.openxmlformats.org/officeDocument/2006/relationships/hyperlink" Target="consultantplus://offline/ref=08CB1B118EF8C96C8747517F442333B55237644286F8F7919BA9BC044A555810342173B41B585E589B16BBE4E545C4D2240203279AB3EFP5rAF" TargetMode="External"/><Relationship Id="rId26" Type="http://schemas.openxmlformats.org/officeDocument/2006/relationships/hyperlink" Target="consultantplus://offline/ref=08CB1B118EF8C96C8747517F442333B55234624C81F8F7919BA9BC044A555810342173B0120C0D15C54FE8A6AE48C1CA380206P3rBF" TargetMode="External"/><Relationship Id="rId27" Type="http://schemas.openxmlformats.org/officeDocument/2006/relationships/hyperlink" Target="consultantplus://offline/ref=21EDD898239957BF1FC5B7C623901E78B3C59DE8EBE64A414C93046A900487C9888FB9771E56C98ED2C06B92AC334F553399A4EF0FB558rAG" TargetMode="External"/><Relationship Id="rId28" Type="http://schemas.openxmlformats.org/officeDocument/2006/relationships/hyperlink" Target="consultantplus://offline/ref=21EDD898239957BF1FC5B7C623901E78B3C59DE8EBE64A414C93046A900487C9888FB9771D5FC38ED2C06B92AC334F553399A4EF0FB558rAG" TargetMode="External"/><Relationship Id="rId29" Type="http://schemas.openxmlformats.org/officeDocument/2006/relationships/hyperlink" Target="consultantplus://offline/ref=21EDD898239957BF1FC5B7C623901E78B3C59DE8EBE64A414C93046A900487C9888FB9771D5EC18ED2C06B92AC334F553399A4EF0FB558rAG" TargetMode="External"/><Relationship Id="rId30" Type="http://schemas.openxmlformats.org/officeDocument/2006/relationships/hyperlink" Target="consultantplus://offline/ref=21EDD898239957BF1FC5B7C623901E78B3C59DE8EBE64A414C93046A900487C9888FB9741F5EC8838F9A7B96E567464A3785BAEF11B588625Dr4G" TargetMode="External"/><Relationship Id="rId31" Type="http://schemas.openxmlformats.org/officeDocument/2006/relationships/hyperlink" Target="consultantplus://offline/ref=3E61416FD74EB71CB72C9C97D06C12BB1A283780DC3E1A2852588D836083A2911222590FB6B416D01D7159A8B296AA8D719DC199B99DB24ENEP0F" TargetMode="External"/><Relationship Id="rId32" Type="http://schemas.openxmlformats.org/officeDocument/2006/relationships/hyperlink" Target="consultantplus://offline/ref=D36867573EB864E51D08F100F3D00B4033DADF680C3C0FC05BECEA1759B5AE0352D276A111D3AC375D77B2CD7663E259E7185761C2D0w8S0F" TargetMode="External"/><Relationship Id="rId33" Type="http://schemas.openxmlformats.org/officeDocument/2006/relationships/hyperlink" Target="consultantplus://offline/ref=D36867573EB864E51D08F100F3D00B4033DADF680C3C0FC05BECEA1759B5AE0352D276A116D9A0375D77B2CD7663E259E7185761C2D0w8S0F" TargetMode="External"/><Relationship Id="rId34" Type="http://schemas.openxmlformats.org/officeDocument/2006/relationships/hyperlink" Target="consultantplus://offline/ref=6D9DE5EFE6119DE780F3B05B96C46C71F05A40A0CF35A7BCED74C40481567D8AF0831FA61543DBBC840D78FFE38BCD5BEF279D55102B5CF5eEV6F" TargetMode="External"/><Relationship Id="rId35" Type="http://schemas.openxmlformats.org/officeDocument/2006/relationships/hyperlink" Target="consultantplus://offline/ref=F8F0293D5752355A1271FCFB7CF9ED7FAA1E324D806600ACDAC4058187AA1FB5A87A53EFA82435D5B0A3EA57A36E7C5CF1EC7F2C1E8F77DDM7ODF" TargetMode="External"/><Relationship Id="rId36" Type="http://schemas.openxmlformats.org/officeDocument/2006/relationships/hyperlink" Target="consultantplus://offline/ref=2AA987BCB4B39FFB1BB8CD81383663D2A67EB8E7428C9611703ECC0B5E0B0F50FBADFBDDB9A660388D6A1F65D8BFCAAF154AC594D8DFCCF3K8WCF" TargetMode="External"/><Relationship Id="rId37" Type="http://schemas.openxmlformats.org/officeDocument/2006/relationships/hyperlink" Target="consultantplus://offline/ref=21EDD898239957BF1FC5B7C623901E78B3C59DE8EBE64A414C93046A900487C9888FB9771D5CC98ED2C06B92AC334F553399A4EF0FB558rAG" TargetMode="External"/><Relationship Id="rId38" Type="http://schemas.openxmlformats.org/officeDocument/2006/relationships/hyperlink" Target="consultantplus://offline/ref=21EDD898239957BF1FC5B7C623901E78B3C59DE8EBE64A414C93046A900487C9888FB9741F5EC3858F9A7B96E567464A3785BAEF11B588625Dr4G" TargetMode="External"/><Relationship Id="rId39" Type="http://schemas.openxmlformats.org/officeDocument/2006/relationships/hyperlink" Target="consultantplus://offline/ref=E84C948B4930DAE4BF192252A1F2CD4660E6E8EDA5BCCC2076962A4C6836655D5BEB2F82B29B234C530CE3826783BF7A055BDAE020756AX0F" TargetMode="External"/><Relationship Id="rId40" Type="http://schemas.openxmlformats.org/officeDocument/2006/relationships/hyperlink" Target="consultantplus://offline/ref=0F887D7900068177E9FCBBE973F4C42B180855817533D3788D00A7934FD5DB9B1BE0E2A982C6E7C674768FCDADABF59BA23076513357kEcFF" TargetMode="External"/><Relationship Id="rId41" Type="http://schemas.openxmlformats.org/officeDocument/2006/relationships/hyperlink" Target="consultantplus://offline/ref=0F887D7900068177E9FCBBE973F4C42B180855817533D3788D00A7934FD5DB9B1BE0E2AA86C4EAC674768FCDADABF59BA23076513357kEcFF" TargetMode="External"/><Relationship Id="rId42" Type="http://schemas.openxmlformats.org/officeDocument/2006/relationships/hyperlink" Target="consultantplus://offline/ref=21EDD898239957BF1FC5B7C623901E78B3C59DE8EBE64A414C93046A900487C9888FB9741F5FC38D809A7B96E567464A3785BAEF11B588625Dr4G" TargetMode="External"/><Relationship Id="rId43" Type="http://schemas.openxmlformats.org/officeDocument/2006/relationships/hyperlink" Target="consultantplus://offline/ref=21EDD898239957BF1FC5B7C623901E78B3C59DE8EBE64A414C93046A900487C99A8FE1781E5BDE85848F2DC7A353r0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Михайличенко Наталья Васильевна</dc:creator>
  <cp:keywords/>
  <dc:description/>
  <cp:revision>67</cp:revision>
  <dcterms:created xsi:type="dcterms:W3CDTF">2022-02-14T06:44:00Z</dcterms:created>
  <dcterms:modified xsi:type="dcterms:W3CDTF">2026-10-15T23:31:52Z</dcterms:modified>
</cp:coreProperties>
</file>