
<file path=[Content_Types].xml><?xml version="1.0" encoding="utf-8"?>
<Types xmlns="http://schemas.openxmlformats.org/package/2006/content-types">
  <Default Extension="svg" ContentType="image/svg+xml"/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89"/>
        <w:pBdr/>
        <w:spacing/>
        <w:ind w:firstLine="709"/>
        <w:jc w:val="right"/>
        <w:rPr>
          <w:sz w:val="24"/>
          <w:szCs w:val="24"/>
          <w:highlight w:val="none"/>
          <w:lang w:eastAsia="ru-RU"/>
        </w:rPr>
      </w:pPr>
      <w:r>
        <w:rPr>
          <w:sz w:val="24"/>
          <w:szCs w:val="24"/>
          <w:lang w:eastAsia="ru-RU"/>
        </w:rPr>
        <w:t xml:space="preserve">Приложение №</w: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2 к извещению</w:t>
      </w:r>
      <w:r>
        <w:rPr>
          <w:sz w:val="24"/>
          <w:szCs w:val="24"/>
          <w:lang w:eastAsia="ru-RU"/>
        </w:rPr>
      </w:r>
      <w:r>
        <w:rPr>
          <w:sz w:val="24"/>
          <w:szCs w:val="24"/>
        </w:rPr>
      </w:r>
    </w:p>
    <w:p w14:paraId="101F6675">
      <w:pPr>
        <w:pStyle w:val="889"/>
        <w:pBdr/>
        <w:spacing/>
        <w:ind w:firstLine="709"/>
        <w:jc w:val="right"/>
        <w:rPr>
          <w:sz w:val="24"/>
          <w:szCs w:val="24"/>
        </w:rPr>
      </w:pP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</w:r>
      <w:r>
        <w:rPr>
          <w:sz w:val="24"/>
          <w:szCs w:val="24"/>
          <w:highlight w:val="none"/>
          <w:lang w:eastAsia="ru-RU"/>
        </w:rPr>
      </w:r>
    </w:p>
    <w:p>
      <w:pPr>
        <w:pStyle w:val="889"/>
        <w:pBdr/>
        <w:spacing/>
        <w:ind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</w:t>
      </w:r>
      <w:r>
        <w:rPr>
          <w:b/>
          <w:sz w:val="24"/>
          <w:szCs w:val="24"/>
        </w:rPr>
        <w:t xml:space="preserve">боснование начальной (максимальной) цены Контракта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tbl>
      <w:tblPr>
        <w:tblStyle w:val="891"/>
        <w:tblW w:w="14548" w:type="dxa"/>
        <w:tblBorders/>
        <w:tblLayout w:type="fixed"/>
        <w:tblLook w:val="04A0" w:firstRow="1" w:lastRow="0" w:firstColumn="1" w:lastColumn="0" w:noHBand="0" w:noVBand="1"/>
      </w:tblPr>
      <w:tblGrid>
        <w:gridCol w:w="536"/>
        <w:gridCol w:w="2132"/>
        <w:gridCol w:w="996"/>
        <w:gridCol w:w="839"/>
        <w:gridCol w:w="1559"/>
        <w:gridCol w:w="1559"/>
        <w:gridCol w:w="1559"/>
        <w:gridCol w:w="1166"/>
        <w:gridCol w:w="1244"/>
        <w:gridCol w:w="1276"/>
        <w:gridCol w:w="1682"/>
      </w:tblGrid>
      <w:tr>
        <w:trPr>
          <w:trHeight w:val="642"/>
        </w:trPr>
        <w:tc>
          <w:tcPr>
            <w:gridSpan w:val="2"/>
            <w:tcBorders/>
            <w:tcW w:w="26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объекта закупки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tcBorders/>
            <w:tcW w:w="11880" w:type="dxa"/>
            <w:textDirection w:val="lrTb"/>
            <w:noWrap w:val="false"/>
          </w:tcPr>
          <w:p w14:paraId="77FB553E">
            <w:pPr>
              <w:pStyle w:val="890"/>
              <w:pBdr/>
              <w:spacing/>
              <w:ind w:left="34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eastAsia="ru-RU"/>
              </w:rPr>
              <w:t xml:space="preserve">казание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услуг по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передаче прав на использование программного обеспечения ViPNet PKI Client 2.x, ПМДЗ ViPNet SafeBoot 3, ViPNet Endpoint Protection (Standalone Agent) и предоставлению сертификата активации сервиса совместной технической поддержки компонентов сети ViPNet</w:t>
            </w:r>
            <w:r>
              <w:rPr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highlight w:val="none"/>
              </w:rPr>
            </w:r>
          </w:p>
        </w:tc>
      </w:tr>
      <w:tr>
        <w:trPr>
          <w:trHeight w:val="1373"/>
        </w:trPr>
        <w:tc>
          <w:tcPr>
            <w:gridSpan w:val="2"/>
            <w:tcBorders/>
            <w:tcW w:w="26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Используемый метод определения </w:t>
            </w:r>
            <w:r>
              <w:rPr>
                <w:sz w:val="22"/>
                <w:szCs w:val="22"/>
              </w:rPr>
              <w:t xml:space="preserve">НМЦК с обоснованием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tcBorders/>
            <w:tcW w:w="118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Times New Roman"/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М</w:t>
            </w:r>
            <w:r>
              <w:rPr>
                <w:sz w:val="22"/>
                <w:szCs w:val="22"/>
              </w:rPr>
              <w:t xml:space="preserve">етод сопостав</w:t>
            </w:r>
            <w:r>
              <w:rPr>
                <w:sz w:val="22"/>
                <w:szCs w:val="22"/>
              </w:rPr>
              <w:t xml:space="preserve">имых </w:t>
            </w:r>
            <w:r>
              <w:rPr>
                <w:sz w:val="22"/>
                <w:szCs w:val="22"/>
              </w:rPr>
              <w:t xml:space="preserve">рыночных цен (анализ рынка)</w:t>
            </w:r>
            <w:r>
              <w:rPr>
                <w:sz w:val="22"/>
                <w:szCs w:val="22"/>
              </w:rPr>
              <w:t xml:space="preserve"> на основании п.1 ч. 1 ст. 22 Федерального закона № 44-ФЗ от 05.04.2013.  НМЦК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сформирована</w:t>
            </w:r>
            <w:r>
              <w:rPr>
                <w:sz w:val="22"/>
                <w:szCs w:val="22"/>
              </w:rPr>
              <w:t xml:space="preserve"> по средней рыночно</w:t>
            </w:r>
            <w:bookmarkStart w:id="0" w:name="_GoBack"/>
            <w:r>
              <w:rPr>
                <w:sz w:val="22"/>
                <w:szCs w:val="22"/>
              </w:rPr>
            </w:r>
            <w:bookmarkEnd w:id="0"/>
            <w:r>
              <w:rPr>
                <w:sz w:val="22"/>
                <w:szCs w:val="22"/>
              </w:rPr>
              <w:t xml:space="preserve">й цене </w:t>
            </w:r>
            <w:r>
              <w:rPr>
                <w:sz w:val="22"/>
                <w:szCs w:val="22"/>
              </w:rPr>
              <w:t xml:space="preserve">за оказание требуемых услуг</w:t>
            </w:r>
            <w:r>
              <w:rPr>
                <w:sz w:val="22"/>
                <w:szCs w:val="22"/>
              </w:rPr>
              <w:t xml:space="preserve">, на основании информации по итогам мониторинга рыночных цен проведенного ТФОМС ЕАО. </w:t>
            </w:r>
            <w:r>
              <w:rPr>
                <w:sz w:val="22"/>
                <w:szCs w:val="22"/>
              </w:rPr>
              <w:t xml:space="preserve">Ценовая информация 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была использована из коммерческого предложения фирмы, которая занимается поставкой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требуемого заказчику товара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 и ценовой информации полученной из общедоступных источников сети интернет. </w:t>
            </w:r>
            <w:r>
              <w:rPr>
                <w:sz w:val="22"/>
                <w:szCs w:val="22"/>
              </w:rPr>
              <w:t xml:space="preserve">В мониторинге участвовали 4 Поставщика</w:t>
            </w:r>
            <w:r>
              <w:rPr>
                <w:sz w:val="22"/>
                <w:szCs w:val="22"/>
              </w:rPr>
              <w:t xml:space="preserve">. К расчету НМЦК приняты 3 в связи с разницей в стоимости товаров, которая привела к высокому коэффициенту вариации выше 33%.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ru-RU"/>
              </w:rPr>
              <w:t xml:space="preserve">Данные, полученные в ходе расчета начальной (максимальной) цены контракта, приведены ниже. </w:t>
            </w:r>
            <w:r>
              <w:rPr>
                <w:rFonts w:eastAsia="Times New Roman"/>
                <w:sz w:val="22"/>
                <w:szCs w:val="22"/>
                <w:highlight w:val="yellow"/>
                <w:lang w:eastAsia="ru-RU"/>
              </w:rPr>
            </w:r>
            <w:r>
              <w:rPr>
                <w:rFonts w:eastAsia="Times New Roman"/>
                <w:sz w:val="22"/>
                <w:szCs w:val="22"/>
                <w:highlight w:val="yellow"/>
                <w:lang w:eastAsia="ru-RU"/>
              </w:rPr>
            </w:r>
          </w:p>
        </w:tc>
      </w:tr>
      <w:tr>
        <w:trPr>
          <w:trHeight w:val="1542"/>
        </w:trPr>
        <w:tc>
          <w:tcPr>
            <w:gridSpan w:val="2"/>
            <w:tcBorders/>
            <w:tcW w:w="266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Расчет НМЦК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gridSpan w:val="9"/>
            <w:tcBorders/>
            <w:tcW w:w="1188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Times New Roman"/>
                <w:sz w:val="22"/>
                <w:szCs w:val="22"/>
              </w:rPr>
            </w:pPr>
            <w:r>
              <w:rPr>
                <w:position w:val="-14"/>
                <w:sz w:val="22"/>
                <w:szCs w:val="22"/>
                <w:lang w:eastAsia="ru-RU"/>
              </w:rPr>
              <w:t xml:space="preserve">НМЦК методом сопоставимых рыночных цен определяется по формуле: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НМЦК</w:t>
            </w:r>
            <w:r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t xml:space="preserve">рын</w:t>
            </w:r>
            <w:r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=  </w:t>
            </w:r>
            <m:oMath>
              <m:f>
                <m:fPr>
                  <m:ctrlPr>
                    <w:rPr>
                      <w:rFonts w:hint="default" w:ascii="Cambria Math" w:hAnsi="Cambria Math" w:eastAsia="Cambria Math" w:cs="Cambria Math"/>
                      <w:i/>
                      <w:sz w:val="22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rPr/>
                    <m:t>v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rPr/>
                    <m:t>n</m:t>
                  </m:r>
                </m:den>
              </m:f>
            </m:oMath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rPr/>
                <m:t>* </m:t>
              </m:r>
              <m:nary>
                <m:naryPr>
                  <m:chr m:val="∑"/>
                  <m:grow m:val="off"/>
                  <m:limLoc m:val="subSup"/>
                  <m:ctrlPr>
                    <w:rPr>
                      <w:rFonts w:hint="default" w:ascii="Cambria Math" w:hAnsi="Cambria Math" w:eastAsia="Cambria Math" w:cs="Cambria Math"/>
                      <w:i/>
                      <w:sz w:val="22"/>
                      <w:szCs w:val="24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2"/>
                      <w:szCs w:val="22"/>
                    </w:rPr>
                    <m:rPr/>
                    <m:t>i=1</m:t>
                  </m:r>
                </m:sub>
                <m:sup>
                  <m:r>
                    <w:rPr>
                      <w:rFonts w:ascii="Cambria Math" w:hAnsi="Cambria Math"/>
                      <w:sz w:val="22"/>
                      <w:szCs w:val="22"/>
                      <w:lang w:val="en-US"/>
                    </w:rPr>
                    <m:rPr/>
                    <m:t>n</m:t>
                  </m:r>
                </m:sup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rPr/>
                    <m:t>=</m:t>
                  </m:r>
                </m:e>
              </m:nary>
            </m:oMath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ц</w:t>
            </w:r>
            <w:r>
              <w:rPr>
                <w:rFonts w:eastAsia="Times New Roman"/>
                <w:sz w:val="22"/>
                <w:szCs w:val="22"/>
                <w:vertAlign w:val="subscript"/>
                <w:lang w:val="en-US" w:eastAsia="ru-RU"/>
              </w:rPr>
              <w:t xml:space="preserve">i</w:t>
            </w:r>
            <w:r>
              <w:rPr>
                <w:rFonts w:eastAsia="Times New Roman"/>
                <w:sz w:val="22"/>
                <w:szCs w:val="22"/>
                <w:vertAlign w:val="subscript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,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</w:p>
          <w:p>
            <w:pPr>
              <w:pBdr/>
              <w:spacing/>
              <w:ind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Где: НМЦК </w:t>
            </w:r>
            <w:r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t xml:space="preserve">рын</w:t>
            </w:r>
            <w:r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- НМЦК,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определяемая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методом сопоставимых рыночных цен (анализ рынка);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</w:p>
          <w:p>
            <w:pPr>
              <w:pBdr/>
              <w:spacing/>
              <w:ind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val="en-US" w:eastAsia="ru-RU"/>
              </w:rPr>
              <w:t xml:space="preserve">v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– количество (объем) закупаемого товара (работы, услуги);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val="en-US" w:eastAsia="ru-RU"/>
              </w:rPr>
              <w:t xml:space="preserve">n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– количество значений, используемых в расчете;</w:t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  <w:r>
              <w:rPr>
                <w:rFonts w:eastAsia="Times New Roman"/>
                <w:sz w:val="22"/>
                <w:szCs w:val="22"/>
                <w:lang w:eastAsia="ru-RU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  <w:lang w:val="en-US" w:eastAsia="ru-RU"/>
              </w:rPr>
              <w:t xml:space="preserve">i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–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номер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источника ценовой информации;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ц</w:t>
            </w:r>
            <w:r>
              <w:rPr>
                <w:rFonts w:eastAsia="Times New Roman"/>
                <w:sz w:val="22"/>
                <w:szCs w:val="22"/>
                <w:vertAlign w:val="subscript"/>
                <w:lang w:val="en-US" w:eastAsia="ru-RU"/>
              </w:rPr>
              <w:t xml:space="preserve">i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– цена единицы товара, работы, услуги, представленная в источнике с номером </w:t>
            </w:r>
            <w:r>
              <w:rPr>
                <w:rFonts w:eastAsia="Times New Roman"/>
                <w:sz w:val="22"/>
                <w:szCs w:val="22"/>
                <w:lang w:val="en-US" w:eastAsia="ru-RU"/>
              </w:rPr>
              <w:t xml:space="preserve">i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Совокупность значений, используемых в расчете, при определении НМЦК считается неоднородной, если коэффициент вариации цены превышает 33%. Коэффициент вариации определяется по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формуле: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position w:val="-28"/>
                <w:sz w:val="22"/>
                <w:szCs w:val="22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5925" cy="590550"/>
                      <wp:effectExtent l="0" t="0" r="0" b="0"/>
                      <wp:docPr id="1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9">
                                <a:extLst>
                                  <a:ext uri="{96DAC541-7B7A-43D3-8B79-37D633B846F1}">
                                    <asvg:svgBlip xmlns:asvg="http://schemas.microsoft.com/office/drawing/2016/SVG/main" r:embed="rId10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5925" cy="59054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32.75pt;height:46.50pt;mso-wrap-distance-left:0.00pt;mso-wrap-distance-top:0.00pt;mso-wrap-distance-right:0.00pt;mso-wrap-distance-bottom:0.00pt;z-index:1;" stroked="f">
                      <v:imagedata r:id="rId9" o:title=""/>
                      <o:lock v:ext="edit" rotation="t"/>
                    </v:shape>
                  </w:pict>
                </mc:Fallback>
              </mc:AlternateConten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401"/>
        </w:trPr>
        <w:tc>
          <w:tcPr>
            <w:gridSpan w:val="11"/>
            <w:tcBorders/>
            <w:tcW w:w="14548" w:type="dxa"/>
            <w:textDirection w:val="lrTb"/>
            <w:noWrap w:val="false"/>
          </w:tcPr>
          <w:p>
            <w:pPr>
              <w:pBdr/>
              <w:spacing/>
              <w:ind/>
              <w:rPr>
                <w:position w:val="-14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Информация о валюте, используемой для формирования цены контракта и расчетов с поставщиком  -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 xml:space="preserve">оссийский рубль</w:t>
            </w:r>
            <w:r>
              <w:rPr>
                <w:position w:val="-14"/>
                <w:sz w:val="22"/>
                <w:szCs w:val="22"/>
                <w:lang w:eastAsia="ru-RU"/>
              </w:rPr>
            </w:r>
            <w:r>
              <w:rPr>
                <w:position w:val="-14"/>
                <w:sz w:val="22"/>
                <w:szCs w:val="22"/>
                <w:lang w:eastAsia="ru-RU"/>
              </w:rPr>
            </w:r>
          </w:p>
        </w:tc>
      </w:tr>
      <w:tr>
        <w:trPr>
          <w:trHeight w:val="401"/>
        </w:trPr>
        <w:tc>
          <w:tcPr>
            <w:gridSpan w:val="11"/>
            <w:tcBorders/>
            <w:tcW w:w="14548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подготовки обоснования НМЦК: 17.</w:t>
            </w:r>
            <w:r>
              <w:rPr>
                <w:sz w:val="22"/>
                <w:szCs w:val="22"/>
              </w:rPr>
              <w:t xml:space="preserve">09.2026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716"/>
        </w:trPr>
        <w:tc>
          <w:tcPr>
            <w:tcBorders/>
            <w:tcW w:w="53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/п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gridSpan w:val="2"/>
            <w:tcBorders/>
            <w:tcW w:w="312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объекта закупки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Borders/>
            <w:tcW w:w="839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Объем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 усл. ед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 1 вх №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  <w:lang w:val="en-US"/>
              </w:rPr>
              <w:t xml:space="preserve">3196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  <w:lang w:val="en-US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  <w:lang w:val="en-US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.2026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 вх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№3197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от 17.09.2026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 вх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3197 </w:t>
            </w: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highlight w:val="none"/>
              </w:rPr>
              <w:t xml:space="preserve">от 17.09.2026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/>
            <w:tcW w:w="116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средняя цена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Borders/>
            <w:tcW w:w="124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среднее квадратичное отклонение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Коэффициент вариации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  <w:tc>
          <w:tcPr>
            <w:tcBorders/>
            <w:tcW w:w="168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zCs w:val="22"/>
              </w:rPr>
              <w:t xml:space="preserve">НМЦК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</w:tc>
      </w:tr>
      <w:tr>
        <w:trPr>
          <w:trHeight w:val="750"/>
        </w:trPr>
        <w:tc>
          <w:tcPr>
            <w:tcBorders/>
            <w:tcW w:w="53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tcBorders/>
            <w:tcW w:w="3128" w:type="dxa"/>
            <w:vAlign w:val="top"/>
            <w:vMerge w:val="restart"/>
            <w:textDirection w:val="lrTb"/>
            <w:noWrap w:val="false"/>
          </w:tcPr>
          <w:p w14:paraId="6989C19B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Передача права на использование ПО </w:t>
            </w:r>
            <w:r>
              <w:rPr>
                <w:sz w:val="22"/>
                <w:szCs w:val="22"/>
              </w:rPr>
              <w:t xml:space="preserve">ViPNet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Endpoint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Protection</w:t>
            </w:r>
            <w:r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Standalone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Agent</w:t>
            </w:r>
            <w:r>
              <w:rPr>
                <w:sz w:val="22"/>
                <w:szCs w:val="22"/>
              </w:rPr>
              <w:t xml:space="preserve">)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839" w:type="dxa"/>
            <w:vAlign w:val="top"/>
            <w:vMerge w:val="restart"/>
            <w:textDirection w:val="lrTb"/>
            <w:noWrap w:val="false"/>
          </w:tcPr>
          <w:p>
            <w:pPr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55AE7B97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5750.00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2E33731F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5750.00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2E33731F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5750.00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166" w:type="dxa"/>
            <w:vMerge w:val="restart"/>
            <w:textDirection w:val="lrTb"/>
            <w:noWrap w:val="false"/>
          </w:tcPr>
          <w:p w14:paraId="2E33731F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/>
              </w:rPr>
              <w:t xml:space="preserve">5750.00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244" w:type="dxa"/>
            <w:vMerge w:val="restart"/>
            <w:textDirection w:val="lrTb"/>
            <w:noWrap w:val="false"/>
          </w:tcPr>
          <w:p w14:paraId="5052EE5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 w14:paraId="7E89FB09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0%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682" w:type="dxa"/>
            <w:vMerge w:val="restart"/>
            <w:textDirection w:val="lrTb"/>
            <w:noWrap w:val="false"/>
          </w:tcPr>
          <w:p w14:paraId="6702A2C1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11 500</w:t>
            </w:r>
            <w:r>
              <w:rPr>
                <w:sz w:val="22"/>
                <w:szCs w:val="22"/>
                <w:lang w:val="ru-RU"/>
              </w:rPr>
              <w:t xml:space="preserve">,00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750"/>
        </w:trPr>
        <w:tc>
          <w:tcPr>
            <w:tcBorders/>
            <w:tcW w:w="536" w:type="dxa"/>
            <w:vMerge w:val="restart"/>
            <w:textDirection w:val="lrTb"/>
            <w:noWrap w:val="false"/>
          </w:tcPr>
          <w:p w14:paraId="15152FB6">
            <w:pPr>
              <w:pBdr/>
              <w:spacing/>
              <w:ind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tcBorders/>
            <w:tcW w:w="3128" w:type="dxa"/>
            <w:vAlign w:val="top"/>
            <w:vMerge w:val="restart"/>
            <w:textDirection w:val="lrTb"/>
            <w:noWrap w:val="false"/>
          </w:tcPr>
          <w:p w14:paraId="39576C82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Передача права на использование ПО ViPNet PKI Client 2.x Базовая лицензия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839" w:type="dxa"/>
            <w:vAlign w:val="top"/>
            <w:vMerge w:val="restart"/>
            <w:textDirection w:val="lrTb"/>
            <w:noWrap w:val="false"/>
          </w:tcPr>
          <w:p w14:paraId="0358F0E9">
            <w:pPr>
              <w:pBdr/>
              <w:spacing w:line="240" w:lineRule="auto"/>
              <w:ind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6A5C4C2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3590.0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7F136B7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3590.0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7F136B7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3590.0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166" w:type="dxa"/>
            <w:vMerge w:val="restart"/>
            <w:textDirection w:val="lrTb"/>
            <w:noWrap w:val="false"/>
          </w:tcPr>
          <w:p w14:paraId="7F136B7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3590.0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44" w:type="dxa"/>
            <w:vMerge w:val="restart"/>
            <w:textDirection w:val="lrTb"/>
            <w:noWrap w:val="false"/>
          </w:tcPr>
          <w:p w14:paraId="5052EE5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 w14:paraId="7E89FB09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0%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682" w:type="dxa"/>
            <w:vMerge w:val="restart"/>
            <w:textDirection w:val="lrTb"/>
            <w:noWrap w:val="false"/>
          </w:tcPr>
          <w:p w14:paraId="667AE66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3 590,00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750"/>
        </w:trPr>
        <w:tc>
          <w:tcPr>
            <w:tcBorders/>
            <w:tcW w:w="536" w:type="dxa"/>
            <w:vMerge w:val="restart"/>
            <w:textDirection w:val="lrTb"/>
            <w:noWrap w:val="false"/>
          </w:tcPr>
          <w:p w14:paraId="4BB999AD">
            <w:pPr>
              <w:pBdr/>
              <w:spacing/>
              <w:ind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tcBorders/>
            <w:tcW w:w="3128" w:type="dxa"/>
            <w:vAlign w:val="top"/>
            <w:vMerge w:val="restart"/>
            <w:textDirection w:val="lrTb"/>
            <w:noWrap w:val="false"/>
          </w:tcPr>
          <w:p w14:paraId="3460D97F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Передача права на использование ПК </w:t>
            </w:r>
            <w:r>
              <w:rPr>
                <w:sz w:val="22"/>
                <w:szCs w:val="22"/>
              </w:rPr>
              <w:t xml:space="preserve">ПМДЗ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ViPNet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SafeBoot</w:t>
            </w:r>
            <w:r>
              <w:rPr>
                <w:sz w:val="22"/>
                <w:szCs w:val="22"/>
              </w:rPr>
              <w:t xml:space="preserve"> 3 (исполнение 2)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839" w:type="dxa"/>
            <w:vAlign w:val="top"/>
            <w:vMerge w:val="restart"/>
            <w:textDirection w:val="lrTb"/>
            <w:noWrap w:val="false"/>
          </w:tcPr>
          <w:p w14:paraId="7743AD11">
            <w:pPr>
              <w:pBdr/>
              <w:spacing w:line="240" w:lineRule="auto"/>
              <w:ind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25CAFF4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7710.00</w:t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548B886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7710.00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548B886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7710.00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166" w:type="dxa"/>
            <w:vMerge w:val="restart"/>
            <w:textDirection w:val="lrTb"/>
            <w:noWrap w:val="false"/>
          </w:tcPr>
          <w:p w14:paraId="548B8866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7710.00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44" w:type="dxa"/>
            <w:vMerge w:val="restart"/>
            <w:textDirection w:val="lrTb"/>
            <w:noWrap w:val="false"/>
          </w:tcPr>
          <w:p w14:paraId="5052EE5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 w14:paraId="7E89FB09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0%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682" w:type="dxa"/>
            <w:vMerge w:val="restart"/>
            <w:textDirection w:val="lrTb"/>
            <w:noWrap w:val="false"/>
          </w:tcPr>
          <w:p w14:paraId="5443D6E0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7 710,00</w:t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750"/>
        </w:trPr>
        <w:tc>
          <w:tcPr>
            <w:tcBorders/>
            <w:tcW w:w="536" w:type="dxa"/>
            <w:vMerge w:val="restart"/>
            <w:textDirection w:val="lrTb"/>
            <w:noWrap w:val="false"/>
          </w:tcPr>
          <w:p w14:paraId="4353680C">
            <w:pPr>
              <w:pBdr/>
              <w:spacing/>
              <w:ind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tcBorders/>
            <w:tcW w:w="3128" w:type="dxa"/>
            <w:vAlign w:val="top"/>
            <w:vMerge w:val="restart"/>
            <w:textDirection w:val="lrTb"/>
            <w:noWrap w:val="false"/>
          </w:tcPr>
          <w:p w14:paraId="6D4BEA32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t xml:space="preserve">Сертификат активации сервиса сов</w:t>
            </w:r>
            <w:r>
              <w:rPr>
                <w:sz w:val="22"/>
                <w:szCs w:val="22"/>
              </w:rPr>
              <w:t xml:space="preserve">местной технич</w:t>
            </w:r>
            <w:r>
              <w:rPr>
                <w:sz w:val="22"/>
                <w:szCs w:val="22"/>
              </w:rPr>
              <w:t xml:space="preserve">еской поддержки компонентов сети </w:t>
            </w:r>
            <w:r>
              <w:rPr>
                <w:sz w:val="22"/>
                <w:szCs w:val="22"/>
              </w:rPr>
              <w:t xml:space="preserve">ViPNet</w:t>
            </w:r>
            <w:r>
              <w:rPr>
                <w:sz w:val="22"/>
                <w:szCs w:val="22"/>
              </w:rPr>
              <w:t xml:space="preserve">, уровень - Расширенный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839" w:type="dxa"/>
            <w:vAlign w:val="top"/>
            <w:vMerge w:val="restart"/>
            <w:textDirection w:val="lrTb"/>
            <w:noWrap w:val="false"/>
          </w:tcPr>
          <w:p w14:paraId="575DE4A5">
            <w:pPr>
              <w:pBdr/>
              <w:spacing w:line="240" w:lineRule="auto"/>
              <w:ind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066AF10F">
            <w:pPr>
              <w:pBdr/>
              <w:spacing/>
              <w:ind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ru-RU"/>
              </w:rPr>
              <w:t xml:space="preserve">16510,00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3DC6A33A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16510,00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43D78B12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16510,00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166" w:type="dxa"/>
            <w:vMerge w:val="restart"/>
            <w:textDirection w:val="lrTb"/>
            <w:noWrap w:val="false"/>
          </w:tcPr>
          <w:p w14:paraId="377E40BC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16510,00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44" w:type="dxa"/>
            <w:vMerge w:val="restart"/>
            <w:textDirection w:val="lrTb"/>
            <w:noWrap w:val="false"/>
          </w:tcPr>
          <w:p w14:paraId="1D061D38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276" w:type="dxa"/>
            <w:vMerge w:val="restart"/>
            <w:textDirection w:val="lrTb"/>
            <w:noWrap w:val="false"/>
          </w:tcPr>
          <w:p w14:paraId="06184C67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0%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682" w:type="dxa"/>
            <w:vMerge w:val="restart"/>
            <w:textDirection w:val="lrTb"/>
            <w:noWrap w:val="false"/>
          </w:tcPr>
          <w:p w14:paraId="6B5FBA11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16510,00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rPr>
          <w:trHeight w:val="357"/>
        </w:trPr>
        <w:tc>
          <w:tcPr>
            <w:tcBorders/>
            <w:tcW w:w="53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gridSpan w:val="9"/>
            <w:tcBorders/>
            <w:tcW w:w="12330" w:type="dxa"/>
            <w:vAlign w:val="center"/>
            <w:textDirection w:val="lrTb"/>
            <w:noWrap w:val="false"/>
          </w:tcPr>
          <w:p>
            <w:pPr>
              <w:pStyle w:val="889"/>
              <w:pBdr/>
              <w:spacing/>
              <w:ind/>
              <w:jc w:val="righ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 w:eastAsiaTheme="minorHAnsi"/>
                <w:b/>
                <w:color w:val="000000"/>
                <w:sz w:val="22"/>
                <w:szCs w:val="22"/>
              </w:rPr>
              <w:t xml:space="preserve">ИТОГО НМЦК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1682" w:type="dxa"/>
            <w:textDirection w:val="lrTb"/>
            <w:noWrap w:val="false"/>
          </w:tcPr>
          <w:p w14:paraId="709F7D72">
            <w:pPr>
              <w:pBdr/>
              <w:spacing/>
              <w:ind/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39 310,00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r>
          </w:p>
        </w:tc>
      </w:tr>
    </w:tbl>
    <w:p>
      <w:pPr>
        <w:pBdr/>
        <w:spacing/>
        <w:ind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sectPr>
      <w:footnotePr/>
      <w:endnotePr/>
      <w:type w:val="nextPage"/>
      <w:pgSz w:h="11906" w:orient="landscape" w:w="16838"/>
      <w:pgMar w:top="851" w:right="851" w:bottom="56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60BB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858"/>
      </w:pPr>
      <w:rPr>
        <w:b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7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5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Intense Emphasis"/>
    <w:basedOn w:val="88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02">
    <w:name w:val="Intense Reference"/>
    <w:basedOn w:val="88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03">
    <w:name w:val="Subtle Emphasis"/>
    <w:basedOn w:val="88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04">
    <w:name w:val="Emphasis"/>
    <w:basedOn w:val="886"/>
    <w:uiPriority w:val="20"/>
    <w:qFormat/>
    <w:pPr>
      <w:pBdr/>
      <w:spacing/>
      <w:ind/>
    </w:pPr>
    <w:rPr>
      <w:i/>
      <w:iCs/>
    </w:rPr>
  </w:style>
  <w:style w:type="character" w:styleId="705">
    <w:name w:val="Strong"/>
    <w:basedOn w:val="886"/>
    <w:uiPriority w:val="22"/>
    <w:qFormat/>
    <w:pPr>
      <w:pBdr/>
      <w:spacing/>
      <w:ind/>
    </w:pPr>
    <w:rPr>
      <w:b/>
      <w:bCs/>
    </w:rPr>
  </w:style>
  <w:style w:type="character" w:styleId="706">
    <w:name w:val="Subtle Reference"/>
    <w:basedOn w:val="88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07">
    <w:name w:val="Book Title"/>
    <w:basedOn w:val="886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08">
    <w:name w:val="FollowedHyperlink"/>
    <w:basedOn w:val="88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09">
    <w:name w:val="Placeholder Text"/>
    <w:basedOn w:val="886"/>
    <w:uiPriority w:val="99"/>
    <w:semiHidden/>
    <w:pPr>
      <w:pBdr/>
      <w:spacing/>
      <w:ind/>
    </w:pPr>
    <w:rPr>
      <w:color w:val="666666"/>
    </w:rPr>
  </w:style>
  <w:style w:type="paragraph" w:styleId="710">
    <w:name w:val="Heading 1"/>
    <w:basedOn w:val="885"/>
    <w:next w:val="885"/>
    <w:link w:val="71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11">
    <w:name w:val="Heading 1 Char"/>
    <w:basedOn w:val="886"/>
    <w:link w:val="71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12">
    <w:name w:val="Heading 2"/>
    <w:basedOn w:val="885"/>
    <w:next w:val="885"/>
    <w:link w:val="713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13">
    <w:name w:val="Heading 2 Char"/>
    <w:basedOn w:val="886"/>
    <w:link w:val="712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14">
    <w:name w:val="Heading 3"/>
    <w:basedOn w:val="885"/>
    <w:next w:val="885"/>
    <w:link w:val="71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15">
    <w:name w:val="Heading 3 Char"/>
    <w:basedOn w:val="886"/>
    <w:link w:val="714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885"/>
    <w:next w:val="885"/>
    <w:link w:val="71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7">
    <w:name w:val="Heading 4 Char"/>
    <w:basedOn w:val="886"/>
    <w:link w:val="71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885"/>
    <w:next w:val="885"/>
    <w:link w:val="719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9">
    <w:name w:val="Heading 5 Char"/>
    <w:basedOn w:val="886"/>
    <w:link w:val="71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0">
    <w:name w:val="Heading 6"/>
    <w:basedOn w:val="885"/>
    <w:next w:val="885"/>
    <w:link w:val="72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1">
    <w:name w:val="Heading 6 Char"/>
    <w:basedOn w:val="886"/>
    <w:link w:val="72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22">
    <w:name w:val="Heading 7"/>
    <w:basedOn w:val="885"/>
    <w:next w:val="885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3">
    <w:name w:val="Heading 7 Char"/>
    <w:basedOn w:val="886"/>
    <w:link w:val="72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4">
    <w:name w:val="Heading 8"/>
    <w:basedOn w:val="885"/>
    <w:next w:val="885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5">
    <w:name w:val="Heading 8 Char"/>
    <w:basedOn w:val="886"/>
    <w:link w:val="72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26">
    <w:name w:val="Heading 9"/>
    <w:basedOn w:val="885"/>
    <w:next w:val="885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7">
    <w:name w:val="Heading 9 Char"/>
    <w:basedOn w:val="886"/>
    <w:link w:val="72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28">
    <w:name w:val="Title"/>
    <w:basedOn w:val="885"/>
    <w:next w:val="885"/>
    <w:link w:val="729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29">
    <w:name w:val="Title Char"/>
    <w:basedOn w:val="886"/>
    <w:link w:val="728"/>
    <w:uiPriority w:val="10"/>
    <w:pPr>
      <w:pBdr/>
      <w:spacing/>
      <w:ind/>
    </w:pPr>
    <w:rPr>
      <w:sz w:val="48"/>
      <w:szCs w:val="48"/>
    </w:rPr>
  </w:style>
  <w:style w:type="paragraph" w:styleId="730">
    <w:name w:val="Subtitle"/>
    <w:basedOn w:val="885"/>
    <w:next w:val="885"/>
    <w:link w:val="731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31">
    <w:name w:val="Subtitle Char"/>
    <w:basedOn w:val="886"/>
    <w:link w:val="730"/>
    <w:uiPriority w:val="11"/>
    <w:pPr>
      <w:pBdr/>
      <w:spacing/>
      <w:ind/>
    </w:pPr>
    <w:rPr>
      <w:sz w:val="24"/>
      <w:szCs w:val="24"/>
    </w:rPr>
  </w:style>
  <w:style w:type="paragraph" w:styleId="732">
    <w:name w:val="Quote"/>
    <w:basedOn w:val="885"/>
    <w:next w:val="885"/>
    <w:link w:val="733"/>
    <w:uiPriority w:val="29"/>
    <w:qFormat/>
    <w:pPr>
      <w:pBdr/>
      <w:spacing/>
      <w:ind w:right="720" w:left="720"/>
    </w:pPr>
    <w:rPr>
      <w:i/>
    </w:rPr>
  </w:style>
  <w:style w:type="character" w:styleId="733">
    <w:name w:val="Quote Char"/>
    <w:link w:val="732"/>
    <w:uiPriority w:val="29"/>
    <w:pPr>
      <w:pBdr/>
      <w:spacing/>
      <w:ind/>
    </w:pPr>
    <w:rPr>
      <w:i/>
    </w:rPr>
  </w:style>
  <w:style w:type="paragraph" w:styleId="734">
    <w:name w:val="Intense Quote"/>
    <w:basedOn w:val="885"/>
    <w:next w:val="885"/>
    <w:link w:val="735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35">
    <w:name w:val="Intense Quote Char"/>
    <w:link w:val="734"/>
    <w:uiPriority w:val="30"/>
    <w:pPr>
      <w:pBdr/>
      <w:spacing/>
      <w:ind/>
    </w:pPr>
    <w:rPr>
      <w:i/>
    </w:rPr>
  </w:style>
  <w:style w:type="paragraph" w:styleId="736">
    <w:name w:val="Header"/>
    <w:basedOn w:val="885"/>
    <w:link w:val="73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37">
    <w:name w:val="Header Char"/>
    <w:basedOn w:val="886"/>
    <w:link w:val="736"/>
    <w:uiPriority w:val="99"/>
    <w:pPr>
      <w:pBdr/>
      <w:spacing/>
      <w:ind/>
    </w:pPr>
  </w:style>
  <w:style w:type="paragraph" w:styleId="738">
    <w:name w:val="Footer"/>
    <w:basedOn w:val="885"/>
    <w:link w:val="74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39">
    <w:name w:val="Footer Char"/>
    <w:basedOn w:val="886"/>
    <w:link w:val="738"/>
    <w:uiPriority w:val="99"/>
    <w:pPr>
      <w:pBdr/>
      <w:spacing/>
      <w:ind/>
    </w:pPr>
  </w:style>
  <w:style w:type="paragraph" w:styleId="740">
    <w:name w:val="Caption"/>
    <w:basedOn w:val="885"/>
    <w:next w:val="88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41">
    <w:name w:val="Caption Char"/>
    <w:basedOn w:val="740"/>
    <w:link w:val="738"/>
    <w:uiPriority w:val="99"/>
    <w:pPr>
      <w:pBdr/>
      <w:spacing/>
      <w:ind/>
    </w:pPr>
  </w:style>
  <w:style w:type="table" w:styleId="74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7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69">
    <w:name w:val="Footnote Text Char"/>
    <w:link w:val="868"/>
    <w:uiPriority w:val="99"/>
    <w:pPr>
      <w:pBdr/>
      <w:spacing/>
      <w:ind/>
    </w:pPr>
    <w:rPr>
      <w:sz w:val="18"/>
    </w:rPr>
  </w:style>
  <w:style w:type="character" w:styleId="870">
    <w:name w:val="footnote reference"/>
    <w:basedOn w:val="886"/>
    <w:uiPriority w:val="99"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72">
    <w:name w:val="Endnote Text Char"/>
    <w:link w:val="871"/>
    <w:uiPriority w:val="99"/>
    <w:pPr>
      <w:pBdr/>
      <w:spacing/>
      <w:ind/>
    </w:pPr>
    <w:rPr>
      <w:sz w:val="20"/>
    </w:rPr>
  </w:style>
  <w:style w:type="character" w:styleId="873">
    <w:name w:val="endnote reference"/>
    <w:basedOn w:val="886"/>
    <w:uiPriority w:val="99"/>
    <w:semiHidden/>
    <w:unhideWhenUsed/>
    <w:pPr>
      <w:pBdr/>
      <w:spacing/>
      <w:ind/>
    </w:pPr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pBdr/>
      <w:spacing w:after="57"/>
      <w:ind w:right="0" w:firstLine="0" w:left="0"/>
    </w:pPr>
  </w:style>
  <w:style w:type="paragraph" w:styleId="875">
    <w:name w:val="toc 2"/>
    <w:basedOn w:val="885"/>
    <w:next w:val="885"/>
    <w:uiPriority w:val="39"/>
    <w:unhideWhenUsed/>
    <w:pPr>
      <w:pBdr/>
      <w:spacing w:after="57"/>
      <w:ind w:right="0" w:firstLine="0" w:left="283"/>
    </w:pPr>
  </w:style>
  <w:style w:type="paragraph" w:styleId="876">
    <w:name w:val="toc 3"/>
    <w:basedOn w:val="885"/>
    <w:next w:val="885"/>
    <w:uiPriority w:val="39"/>
    <w:unhideWhenUsed/>
    <w:pPr>
      <w:pBdr/>
      <w:spacing w:after="57"/>
      <w:ind w:right="0" w:firstLine="0" w:left="567"/>
    </w:pPr>
  </w:style>
  <w:style w:type="paragraph" w:styleId="877">
    <w:name w:val="toc 4"/>
    <w:basedOn w:val="885"/>
    <w:next w:val="885"/>
    <w:uiPriority w:val="39"/>
    <w:unhideWhenUsed/>
    <w:pPr>
      <w:pBdr/>
      <w:spacing w:after="57"/>
      <w:ind w:right="0" w:firstLine="0" w:left="850"/>
    </w:pPr>
  </w:style>
  <w:style w:type="paragraph" w:styleId="878">
    <w:name w:val="toc 5"/>
    <w:basedOn w:val="885"/>
    <w:next w:val="885"/>
    <w:uiPriority w:val="39"/>
    <w:unhideWhenUsed/>
    <w:pPr>
      <w:pBdr/>
      <w:spacing w:after="57"/>
      <w:ind w:right="0" w:firstLine="0" w:left="1134"/>
    </w:pPr>
  </w:style>
  <w:style w:type="paragraph" w:styleId="879">
    <w:name w:val="toc 6"/>
    <w:basedOn w:val="885"/>
    <w:next w:val="885"/>
    <w:uiPriority w:val="39"/>
    <w:unhideWhenUsed/>
    <w:pPr>
      <w:pBdr/>
      <w:spacing w:after="57"/>
      <w:ind w:right="0" w:firstLine="0" w:left="1417"/>
    </w:pPr>
  </w:style>
  <w:style w:type="paragraph" w:styleId="880">
    <w:name w:val="toc 7"/>
    <w:basedOn w:val="885"/>
    <w:next w:val="885"/>
    <w:uiPriority w:val="39"/>
    <w:unhideWhenUsed/>
    <w:pPr>
      <w:pBdr/>
      <w:spacing w:after="57"/>
      <w:ind w:right="0" w:firstLine="0" w:left="1701"/>
    </w:pPr>
  </w:style>
  <w:style w:type="paragraph" w:styleId="881">
    <w:name w:val="toc 8"/>
    <w:basedOn w:val="885"/>
    <w:next w:val="885"/>
    <w:uiPriority w:val="39"/>
    <w:unhideWhenUsed/>
    <w:pPr>
      <w:pBdr/>
      <w:spacing w:after="57"/>
      <w:ind w:right="0" w:firstLine="0" w:left="1984"/>
    </w:pPr>
  </w:style>
  <w:style w:type="paragraph" w:styleId="882">
    <w:name w:val="toc 9"/>
    <w:basedOn w:val="885"/>
    <w:next w:val="885"/>
    <w:uiPriority w:val="39"/>
    <w:unhideWhenUsed/>
    <w:pPr>
      <w:pBdr/>
      <w:spacing w:after="57"/>
      <w:ind w:right="0" w:firstLine="0" w:left="2268"/>
    </w:pPr>
  </w:style>
  <w:style w:type="paragraph" w:styleId="883">
    <w:name w:val="TOC Heading"/>
    <w:uiPriority w:val="39"/>
    <w:unhideWhenUsed/>
    <w:pPr>
      <w:pBdr/>
      <w:spacing/>
      <w:ind/>
    </w:pPr>
  </w:style>
  <w:style w:type="paragraph" w:styleId="884">
    <w:name w:val="table of figures"/>
    <w:basedOn w:val="885"/>
    <w:next w:val="885"/>
    <w:uiPriority w:val="99"/>
    <w:unhideWhenUsed/>
    <w:pPr>
      <w:pBdr/>
      <w:spacing w:after="0" w:afterAutospacing="0"/>
      <w:ind/>
    </w:pPr>
  </w:style>
  <w:style w:type="paragraph" w:styleId="885" w:default="1">
    <w:name w:val="Normal"/>
    <w:qFormat/>
    <w:pPr>
      <w:pBdr/>
      <w:spacing w:after="0" w:line="240" w:lineRule="auto"/>
      <w:ind/>
      <w:jc w:val="center"/>
    </w:pPr>
    <w:rPr>
      <w:rFonts w:ascii="Times New Roman" w:hAnsi="Times New Roman" w:eastAsia="Calibri" w:cs="Times New Roman"/>
      <w:sz w:val="28"/>
      <w:szCs w:val="28"/>
    </w:rPr>
  </w:style>
  <w:style w:type="character" w:styleId="886" w:default="1">
    <w:name w:val="Default Paragraph Font"/>
    <w:uiPriority w:val="1"/>
    <w:semiHidden/>
    <w:unhideWhenUsed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uiPriority w:val="1"/>
    <w:qFormat/>
    <w:pPr>
      <w:pBdr/>
      <w:spacing w:after="0" w:line="240" w:lineRule="auto"/>
      <w:ind/>
      <w:jc w:val="center"/>
    </w:pPr>
    <w:rPr>
      <w:rFonts w:ascii="Times New Roman" w:hAnsi="Times New Roman" w:eastAsia="Calibri" w:cs="Times New Roman"/>
      <w:sz w:val="28"/>
      <w:szCs w:val="28"/>
    </w:rPr>
  </w:style>
  <w:style w:type="paragraph" w:styleId="890">
    <w:name w:val="List Paragraph"/>
    <w:basedOn w:val="885"/>
    <w:uiPriority w:val="34"/>
    <w:qFormat/>
    <w:pPr>
      <w:pBdr/>
      <w:spacing/>
      <w:ind w:left="720"/>
      <w:contextualSpacing w:val="true"/>
    </w:pPr>
  </w:style>
  <w:style w:type="table" w:styleId="89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2">
    <w:name w:val="Balloon Text"/>
    <w:basedOn w:val="885"/>
    <w:link w:val="893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893" w:customStyle="1">
    <w:name w:val="Текст выноски Знак"/>
    <w:basedOn w:val="886"/>
    <w:link w:val="892"/>
    <w:uiPriority w:val="99"/>
    <w:semiHidden/>
    <w:pPr>
      <w:pBdr/>
      <w:spacing/>
      <w:ind/>
    </w:pPr>
    <w:rPr>
      <w:rFonts w:ascii="Tahoma" w:hAnsi="Tahoma" w:eastAsia="Calibri" w:cs="Tahoma"/>
      <w:sz w:val="16"/>
      <w:szCs w:val="16"/>
    </w:rPr>
  </w:style>
  <w:style w:type="paragraph" w:styleId="894" w:customStyle="1">
    <w:name w:val="Нормальный (таблица)"/>
    <w:basedOn w:val="718"/>
    <w:next w:val="718"/>
    <w:uiPriority w:val="99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both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Михайличенко Наталья Васильевна</dc:creator>
  <cp:keywords/>
  <dc:description/>
  <cp:revision>27</cp:revision>
  <dcterms:created xsi:type="dcterms:W3CDTF">2022-02-15T23:15:00Z</dcterms:created>
  <dcterms:modified xsi:type="dcterms:W3CDTF">2026-10-15T05:30:24Z</dcterms:modified>
</cp:coreProperties>
</file>